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6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11"/>
        <w:spacing w:after="0" w:line="237"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WASHINGTON, D. C. 20549</w:t>
      </w:r>
    </w:p>
    <w:p>
      <w:pPr>
        <w:spacing w:after="0" w:line="200" w:lineRule="exact"/>
        <w:rPr>
          <w:sz w:val="24"/>
          <w:szCs w:val="24"/>
          <w:color w:val="auto"/>
        </w:rPr>
      </w:pPr>
    </w:p>
    <w:p>
      <w:pPr>
        <w:spacing w:after="0" w:line="27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00" w:lineRule="exact"/>
        <w:rPr>
          <w:sz w:val="24"/>
          <w:szCs w:val="24"/>
          <w:color w:val="auto"/>
        </w:rPr>
      </w:pPr>
    </w:p>
    <w:p>
      <w:pPr>
        <w:spacing w:after="0" w:line="369" w:lineRule="exact"/>
        <w:rPr>
          <w:sz w:val="24"/>
          <w:szCs w:val="24"/>
          <w:color w:val="auto"/>
        </w:rPr>
      </w:pPr>
    </w:p>
    <w:p>
      <w:pPr>
        <w:ind w:left="652" w:hanging="652"/>
        <w:spacing w:after="0" w:line="262" w:lineRule="auto"/>
        <w:tabs>
          <w:tab w:leader="none" w:pos="48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20"/>
          <w:szCs w:val="20"/>
          <w:color w:val="auto"/>
        </w:rPr>
        <w:t xml:space="preserve">ANNUAL REPORT PURSUANT TO SECTION 15(d) OF THE SECURITIES EXCHANGE ACT OF 1934 </w:t>
      </w:r>
      <w:r>
        <w:rPr>
          <w:rFonts w:ascii="Times New Roman" w:cs="Times New Roman" w:eastAsia="Times New Roman" w:hAnsi="Times New Roman"/>
          <w:sz w:val="17"/>
          <w:szCs w:val="17"/>
          <w:color w:val="auto"/>
        </w:rPr>
        <w:t>For the fiscal year 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December 31, 2025</w:t>
      </w:r>
    </w:p>
    <w:p>
      <w:pPr>
        <w:spacing w:after="0" w:line="19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OR</w:t>
      </w:r>
    </w:p>
    <w:p>
      <w:pPr>
        <w:spacing w:after="0" w:line="248" w:lineRule="exact"/>
        <w:rPr>
          <w:sz w:val="24"/>
          <w:szCs w:val="24"/>
          <w:color w:val="auto"/>
        </w:rPr>
      </w:pPr>
    </w:p>
    <w:p>
      <w:pPr>
        <w:ind w:left="632" w:hanging="592"/>
        <w:spacing w:after="0"/>
        <w:tabs>
          <w:tab w:leader="none" w:pos="632"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color w:val="auto"/>
        </w:rPr>
        <w:t>TRANSITION REPORT PURSUANT TO SECTION 15(d) OF THE SECURITIES EXCHANGE ACT OF 1934</w:t>
      </w:r>
    </w:p>
    <w:p>
      <w:pPr>
        <w:spacing w:after="0" w:line="8" w:lineRule="exact"/>
        <w:rPr>
          <w:rFonts w:ascii="MS PGothic" w:cs="MS PGothic" w:eastAsia="MS PGothic" w:hAnsi="MS PGothic"/>
          <w:sz w:val="22"/>
          <w:szCs w:val="22"/>
          <w:color w:val="auto"/>
        </w:rPr>
      </w:pPr>
    </w:p>
    <w:p>
      <w:pPr>
        <w:ind w:left="3952"/>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For the transition period from _____ to _____</w:t>
      </w:r>
    </w:p>
    <w:p>
      <w:pPr>
        <w:spacing w:after="0" w:line="200" w:lineRule="exact"/>
        <w:rPr>
          <w:sz w:val="24"/>
          <w:szCs w:val="24"/>
          <w:color w:val="auto"/>
        </w:rPr>
      </w:pPr>
    </w:p>
    <w:p>
      <w:pPr>
        <w:spacing w:after="0" w:line="24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Commission file number 001-35961</w:t>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5"/>
          <w:szCs w:val="25"/>
          <w:b w:val="1"/>
          <w:bCs w:val="1"/>
          <w:u w:val="single" w:color="auto"/>
          <w:color w:val="auto"/>
        </w:rPr>
        <w:t>LIBERTY GLOBAL 401(K) SAVINGS &amp; STOCK OWNERSHIP PLAN</w:t>
      </w:r>
    </w:p>
    <w:p>
      <w:pPr>
        <w:spacing w:after="0" w:line="6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3137535</wp:posOffset>
            </wp:positionH>
            <wp:positionV relativeFrom="paragraph">
              <wp:posOffset>163195</wp:posOffset>
            </wp:positionV>
            <wp:extent cx="86550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5505"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u w:val="single" w:color="auto"/>
          <w:color w:val="auto"/>
        </w:rPr>
        <w:t>LIBERTY GLOBAL LTD.</w:t>
      </w:r>
    </w:p>
    <w:p>
      <w:pPr>
        <w:spacing w:after="0" w:line="3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(Issuer of the securities held pursuant to the Plan)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p>
      <w:pPr>
        <w:spacing w:after="0" w:line="1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1526540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10140" w:val="left"/>
        </w:tabs>
        <w:rPr>
          <w:sz w:val="20"/>
          <w:szCs w:val="20"/>
          <w:color w:val="auto"/>
        </w:rPr>
      </w:pPr>
      <w:r>
        <w:rPr>
          <w:rFonts w:ascii="Times New Roman" w:cs="Times New Roman" w:eastAsia="Times New Roman" w:hAnsi="Times New Roman"/>
          <w:sz w:val="16"/>
          <w:szCs w:val="16"/>
          <w:b w:val="1"/>
          <w:bCs w:val="1"/>
          <w:u w:val="single" w:color="auto"/>
          <w:color w:val="auto"/>
        </w:rPr>
        <w:t>Table of Contents</w:t>
      </w:r>
      <w:r>
        <w:rPr>
          <w:sz w:val="20"/>
          <w:szCs w:val="20"/>
          <w:color w:val="auto"/>
        </w:rPr>
        <w:tab/>
      </w:r>
      <w:r>
        <w:rPr>
          <w:rFonts w:ascii="Times New Roman" w:cs="Times New Roman" w:eastAsia="Times New Roman" w:hAnsi="Times New Roman"/>
          <w:sz w:val="16"/>
          <w:szCs w:val="16"/>
          <w:b w:val="1"/>
          <w:bCs w:val="1"/>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21590</wp:posOffset>
            </wp:positionV>
            <wp:extent cx="763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BDO USA, P.C.</w:t>
            </w:r>
          </w:p>
        </w:tc>
        <w:tc>
          <w:tcPr>
            <w:tcW w:w="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520" w:type="dxa"/>
            <w:vAlign w:val="bottom"/>
            <w:shd w:val="clear" w:color="auto" w:fill="CCEEFF"/>
          </w:tcPr>
          <w:p>
            <w:pPr>
              <w:spacing w:after="0"/>
              <w:rPr>
                <w:sz w:val="19"/>
                <w:szCs w:val="19"/>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0540" w:type="dxa"/>
            <w:vAlign w:val="bottom"/>
            <w:tcBorders>
              <w:top w:val="single" w:sz="8" w:color="CCEEFF"/>
            </w:tcBorders>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Financial Statements:</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Statements of Net Assets Available for Plan Benefits as of December 31, 2025 and 2024</w:t>
            </w:r>
          </w:p>
        </w:tc>
        <w:tc>
          <w:tcPr>
            <w:tcW w:w="16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5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8"/>
                <w:szCs w:val="18"/>
                <w:color w:val="auto"/>
              </w:rPr>
              <w:t>Statement of Changes in Net Assets Available for Plan Benefits for the Year Ended December 31, 2025</w:t>
            </w:r>
          </w:p>
        </w:tc>
        <w:tc>
          <w:tcPr>
            <w:tcW w:w="1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5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Notes to Financial Statements</w:t>
            </w:r>
          </w:p>
        </w:tc>
        <w:tc>
          <w:tcPr>
            <w:tcW w:w="16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520" w:type="dxa"/>
            <w:vAlign w:val="bottom"/>
            <w:shd w:val="clear" w:color="auto" w:fill="CCEEFF"/>
          </w:tcPr>
          <w:p>
            <w:pPr>
              <w:spacing w:after="0"/>
              <w:rPr>
                <w:sz w:val="18"/>
                <w:szCs w:val="18"/>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0540" w:type="dxa"/>
            <w:vAlign w:val="bottom"/>
            <w:tcBorders>
              <w:top w:val="single" w:sz="8" w:color="CCEEFF"/>
            </w:tcBorders>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Schedule:</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Schedule of Assets (Held at End of Year) – Form 5500, Schedule H, Part IV, Line 4i, as of December 31, 2025</w:t>
            </w:r>
          </w:p>
        </w:tc>
        <w:tc>
          <w:tcPr>
            <w:tcW w:w="680" w:type="dxa"/>
            <w:vAlign w:val="bottom"/>
            <w:gridSpan w:val="4"/>
            <w:shd w:val="clear" w:color="auto" w:fill="CCEEFF"/>
          </w:tcPr>
          <w:p>
            <w:pPr>
              <w:jc w:val="center"/>
              <w:ind w:right="5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1411"/>
        </w:trPr>
        <w:tc>
          <w:tcPr>
            <w:tcW w:w="20" w:type="dxa"/>
            <w:vAlign w:val="bottom"/>
            <w:tcBorders>
              <w:top w:val="single" w:sz="8" w:color="CCEEFF"/>
              <w:bottom w:val="single" w:sz="8" w:color="9A9A9A"/>
            </w:tcBorders>
          </w:tcPr>
          <w:p>
            <w:pPr>
              <w:spacing w:after="0"/>
              <w:rPr>
                <w:sz w:val="24"/>
                <w:szCs w:val="24"/>
                <w:color w:val="auto"/>
              </w:rPr>
            </w:pPr>
          </w:p>
        </w:tc>
        <w:tc>
          <w:tcPr>
            <w:tcW w:w="15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88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4766310"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7663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Participants</w:t>
      </w:r>
    </w:p>
    <w:p>
      <w:pPr>
        <w:spacing w:after="0" w:line="237" w:lineRule="auto"/>
        <w:rPr>
          <w:sz w:val="20"/>
          <w:szCs w:val="20"/>
          <w:color w:val="auto"/>
        </w:rPr>
      </w:pPr>
      <w:r>
        <w:rPr>
          <w:rFonts w:ascii="Times New Roman" w:cs="Times New Roman" w:eastAsia="Times New Roman" w:hAnsi="Times New Roman"/>
          <w:sz w:val="18"/>
          <w:szCs w:val="18"/>
          <w:color w:val="auto"/>
        </w:rPr>
        <w:t>Liberty Global 401(k) Savings &amp; Stock Ownership Plan</w:t>
      </w: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plan benefits of the Liberty Global 401(k) Savings &amp; Stock Ownership Plan (the “Plan”) as of December 31, 2025 and 2024, the related statement of changes in net assets available for plan benefits for the year ended December 31, 2025, and the related notes (collectively, the “financial statements”). In our opinion, the financial statements present fairly, in all material respects, the net assets available for plan benefits of the Plan as of December 31, 2025 and 2024, and the changes in net assets available for plan benefits for the year ended December 31, 2025,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939598"/>
        </w:rPr>
        <w:t>BDO USA, P.C., a Virginia professional corporation, is the U.S. member of BDO International Limited, a UK company limited by guarantee, and forms part of the international BDO network of independent member firms.</w:t>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939598"/>
        </w:rPr>
        <w:t>BDO is the brand name for the BDO network and for each of the BDO Member Firms.</w:t>
      </w:r>
    </w:p>
    <w:p>
      <w:pPr>
        <w:sectPr>
          <w:pgSz w:w="11900" w:h="16838" w:orient="portrait"/>
          <w:cols w:equalWidth="0" w:num="1">
            <w:col w:w="11240"/>
          </w:cols>
          <w:pgMar w:left="320" w:top="1440" w:right="339" w:bottom="2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281"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06299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16459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Plan Benefits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36"/>
        </w:trPr>
        <w:tc>
          <w:tcPr>
            <w:tcW w:w="8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45"/>
        </w:trPr>
        <w:tc>
          <w:tcPr>
            <w:tcW w:w="8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46,762,778</w:t>
            </w:r>
          </w:p>
        </w:tc>
        <w:tc>
          <w:tcPr>
            <w:tcW w:w="16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45,203,818</w:t>
            </w:r>
          </w:p>
        </w:tc>
      </w:tr>
      <w:tr>
        <w:trPr>
          <w:trHeight w:val="229"/>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Employer shares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6,363,728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4,898,265</w:t>
            </w:r>
          </w:p>
        </w:tc>
      </w:tr>
      <w:tr>
        <w:trPr>
          <w:trHeight w:val="230"/>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Self-directed brokerage account (</w:t>
            </w:r>
            <w:r>
              <w:rPr>
                <w:rFonts w:ascii="Times New Roman" w:cs="Times New Roman" w:eastAsia="Times New Roman" w:hAnsi="Times New Roman"/>
                <w:sz w:val="18"/>
                <w:szCs w:val="18"/>
                <w:b w:val="1"/>
                <w:bCs w:val="1"/>
                <w:color w:val="auto"/>
              </w:rPr>
              <w:t>BrokerageLink</w:t>
            </w: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2,640,961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1,536,896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2,808,437</w:t>
            </w:r>
          </w:p>
        </w:tc>
      </w:tr>
      <w:tr>
        <w:trPr>
          <w:trHeight w:val="229"/>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3,175,175</w:t>
            </w:r>
          </w:p>
        </w:tc>
      </w:tr>
      <w:tr>
        <w:trPr>
          <w:trHeight w:val="223"/>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57,304,363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56,085,695</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209,341</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 receivable, net of forfeitures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259,324</w:t>
            </w:r>
          </w:p>
        </w:tc>
      </w:tr>
      <w:tr>
        <w:trPr>
          <w:trHeight w:val="22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assets available for Plan benefits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57,471,301</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56,554,360</w:t>
            </w:r>
          </w:p>
        </w:tc>
      </w:tr>
      <w:tr>
        <w:trPr>
          <w:trHeight w:val="21"/>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84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LIBERTY GLOBAL 401(K) SAVINGS &amp; STOCK OWNERSHIP PLAN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707"/>
        </w:trPr>
        <w:tc>
          <w:tcPr>
            <w:tcW w:w="984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 Available for Plan Benefits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984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22"/>
        </w:trPr>
        <w:tc>
          <w:tcPr>
            <w:tcW w:w="9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29"/>
        </w:trPr>
        <w:tc>
          <w:tcPr>
            <w:tcW w:w="9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(deductions from) net assets attributed to:</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Participant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1,607,164</w:t>
            </w:r>
          </w:p>
        </w:tc>
      </w:tr>
      <w:tr>
        <w:trPr>
          <w:trHeight w:val="229"/>
        </w:trPr>
        <w:tc>
          <w:tcPr>
            <w:tcW w:w="9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1,483,158</w:t>
            </w:r>
          </w:p>
        </w:tc>
      </w:tr>
      <w:tr>
        <w:trPr>
          <w:trHeight w:val="230"/>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Rollovers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9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contributions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3,091,252</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9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2,805,265</w:t>
            </w:r>
          </w:p>
        </w:tc>
      </w:tr>
      <w:tr>
        <w:trPr>
          <w:trHeight w:val="230"/>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3,142,045</w:t>
            </w:r>
          </w:p>
        </w:tc>
      </w:tr>
      <w:tr>
        <w:trPr>
          <w:trHeight w:val="223"/>
        </w:trPr>
        <w:tc>
          <w:tcPr>
            <w:tcW w:w="9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investment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5,947,310</w:t>
            </w:r>
          </w:p>
        </w:tc>
      </w:tr>
      <w:tr>
        <w:trPr>
          <w:trHeight w:val="223"/>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w:t>
            </w:r>
          </w:p>
        </w:tc>
      </w:tr>
      <w:tr>
        <w:trPr>
          <w:trHeight w:val="229"/>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participants and notes deemed distributed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(8,152,162)</w:t>
            </w:r>
          </w:p>
        </w:tc>
      </w:tr>
      <w:tr>
        <w:trPr>
          <w:trHeight w:val="229"/>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sharing, fees and other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w:t>
            </w:r>
          </w:p>
        </w:tc>
      </w:tr>
      <w:tr>
        <w:trPr>
          <w:trHeight w:val="223"/>
        </w:trPr>
        <w:tc>
          <w:tcPr>
            <w:tcW w:w="9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increase in net assets available for Plan benefits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916,941</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Plan benefits,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56,554,360</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Plan benefits,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57,471,301</w:t>
            </w:r>
          </w:p>
        </w:tc>
      </w:tr>
      <w:tr>
        <w:trPr>
          <w:trHeight w:val="21"/>
        </w:trPr>
        <w:tc>
          <w:tcPr>
            <w:tcW w:w="9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340"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Description of the Plan</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The following description of the Liberty Global 401(k) Savings &amp; Stock Ownership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provides only general information. Participants and all others should refer to the Plan document for a more complete description of the Plan’s provisions. Liberty Global, Inc. (</w:t>
      </w:r>
      <w:r>
        <w:rPr>
          <w:rFonts w:ascii="Times New Roman" w:cs="Times New Roman" w:eastAsia="Times New Roman" w:hAnsi="Times New Roman"/>
          <w:sz w:val="18"/>
          <w:szCs w:val="18"/>
          <w:b w:val="1"/>
          <w:bCs w:val="1"/>
          <w:color w:val="auto"/>
        </w:rPr>
        <w:t>LGI</w:t>
      </w:r>
      <w:r>
        <w:rPr>
          <w:rFonts w:ascii="Times New Roman" w:cs="Times New Roman" w:eastAsia="Times New Roman" w:hAnsi="Times New Roman"/>
          <w:sz w:val="18"/>
          <w:szCs w:val="18"/>
          <w:color w:val="auto"/>
        </w:rPr>
        <w:t>) is a subsidiary of Liberty Global Ltd.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a Bermuda exempted company limited by shares. LGI, as the Plan sponsor, reserves the right to amend the Plan at any time. In these notes, the terms “we,” “our,” “our company” and “us” may refer, as the context requires to Liberty Global. In addition, “Liberty Global” may refer, as the context requires, to Liberty Global Ltd. or collectively to Liberty Global Ltd. and its subsidiaries.</w:t>
      </w:r>
    </w:p>
    <w:p>
      <w:pPr>
        <w:spacing w:after="0" w:line="2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completed the spin-off of our operations in Switzerland, referred to as “</w:t>
      </w:r>
      <w:r>
        <w:rPr>
          <w:rFonts w:ascii="Times New Roman" w:cs="Times New Roman" w:eastAsia="Times New Roman" w:hAnsi="Times New Roman"/>
          <w:sz w:val="18"/>
          <w:szCs w:val="18"/>
          <w:b w:val="1"/>
          <w:bCs w:val="1"/>
          <w:color w:val="auto"/>
        </w:rPr>
        <w:t>Sunrise</w:t>
      </w:r>
      <w:r>
        <w:rPr>
          <w:rFonts w:ascii="Times New Roman" w:cs="Times New Roman" w:eastAsia="Times New Roman" w:hAnsi="Times New Roman"/>
          <w:sz w:val="18"/>
          <w:szCs w:val="18"/>
          <w:color w:val="auto"/>
        </w:rPr>
        <w:t xml:space="preserve">”, together with certain other Liberty Global subsidiaries connected to our Swiss business (together, the </w:t>
      </w:r>
      <w:r>
        <w:rPr>
          <w:rFonts w:ascii="Times New Roman" w:cs="Times New Roman" w:eastAsia="Times New Roman" w:hAnsi="Times New Roman"/>
          <w:sz w:val="18"/>
          <w:szCs w:val="18"/>
          <w:b w:val="1"/>
          <w:bCs w:val="1"/>
          <w:color w:val="auto"/>
        </w:rPr>
        <w:t>Sunrise Entities</w:t>
      </w:r>
      <w:r>
        <w:rPr>
          <w:rFonts w:ascii="Times New Roman" w:cs="Times New Roman" w:eastAsia="Times New Roman" w:hAnsi="Times New Roman"/>
          <w:sz w:val="18"/>
          <w:szCs w:val="18"/>
          <w:color w:val="auto"/>
        </w:rPr>
        <w:t xml:space="preserve">) on November 8, 2024 (the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Following a series of transactions, the Spin-off resulted in the transfer of the Sunrise Entities to an independent separate publicly-traded Swiss company, Sunrise Communications AG. The Spin-off was accomplished through the distribution of Sunrise common shares, in the form of Sunrise American depository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to Liberty Global shareholders. Liberty Global shareholders received one Sunrise Class A ADS for every five Liberty Global Class A or Class C common shares and two Sunrise Class B ADSs for each Liberty Global Class B common share. While Fidelity (as defined and described below) was able to receive the Sunrise ADSs and sell them on the Nasdaq, Fidelity was unable to convert the Sunrise ADSs into Sunrise common shares. As a result, participants had the option to request Fidelity to sell their Sunrise ADSs prior to January 13, 2025 and reinvest the proceeds into investments of their choosing. For any Sunrise ADSs that remained in the Plan as of January 13, 2025, Liberty Global’s Plan committee instructed Fidelity to sell them and reinvest the proceeds into participant’s current elections under the Plan.</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financial statements reflect our consideration of the accounting and disclosure implications of subsequent events through June 15, 2026, the date of issuance.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Plan was established January 1, 1994 and is a defined contribution plan. The Plan is subject to the provisions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The Plan has been amended and restated at various dates. It was last amended in November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Employees of LGI are eligible to participate in the Plan. Employees under a collective bargaining agreement, leased employees, part-time employees and interns with less than 1,000 hours of service and residents of Puerto Rico are not eligible to participate in the Plan.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Trustee and Recordkeeper</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trustee and recordkeeper of the Plan is Fidelity Management Trust Company (</w:t>
      </w:r>
      <w:r>
        <w:rPr>
          <w:rFonts w:ascii="Times New Roman" w:cs="Times New Roman" w:eastAsia="Times New Roman" w:hAnsi="Times New Roman"/>
          <w:sz w:val="18"/>
          <w:szCs w:val="18"/>
          <w:b w:val="1"/>
          <w:bCs w:val="1"/>
          <w:color w:val="auto"/>
        </w:rPr>
        <w:t>Fidelity</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Participants who are residents or citizens of the United States may make pre-tax contributions, Roth deferral contributions or a combination of pre-tax and Roth deferral contributions to the Plan of up to 75% of their eligible compensation, as defined in the Plan document. Participants may also make after-tax contributions to the Plan, up to a maximum of 20% of their eligible compensation. Catch-up contributions, as defined in the Economic Growth and Tax Relief Reconciliation Act of 2001, are permitted for those eligible employees and are matched by the employer. Participants may revise their contribution elections at any time, however, such changes will not take effect until they are implemented by Liberty Global, which occurs on a monthly basis. Once processed, the revised elections will be applied to the following pay period. Liberty Global may make matching contributions equal to 100% of participant contributions, up to a maximum match of 10% of eligible compensation. Liberty Global reserves the right to change the matching contribution at any time. All participant contributions and employer matching contributions are subject to limitations as determined annually by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During 2025, participant elective pre-tax and Roth deferral contributions were limited to $23,500, and combined participant and employer contributions (including after-tax contributions) per participant were limited to $70,000. Catch-up contributions for individuals age 50 through 59 and 64 and over were limited to $7,500 during 2025. Additionally, catch-up contributions for individuals age 60 through 63 were limited to $11,250 during 2025.</w:t>
      </w: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Participant contributions may be invested in any investment offered by the Plan at the participant’s election, except for the Fidelity Cash Reserves Money Market Fund accounts, which are used by Fidelity for managing contributions. All employer matching contributions are made in Liberty Global Class C common shares, irrespective of the form in which Liberty Global elects to satisfy the employer contributions receivable. Liberty Global common shares contributed by the employer can be transferred by participants to any investment in the Plan, except for the Fidelity Cash Reserves Money Market Fund accounts and Sunrise ADSs, which are not open for investment. Employer contributions that are not directed by the participant remain in Liberty Global Class C common shares.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Rollovers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Participants may elect to rollover amounts from other qualified plans or individual retirement accounts into the Plan provided that certain conditions are met.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 (Participant Loans)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fund accounts a minimum of $1,000 up to the lesser of (i) $50,000 or (ii) the greater of 50% of their vested account balance or $10,000 (if the participant is vested in at least $10,000). Unless the loan is for the purchase of a participant’s primary residence, loans must be repaid within five years and bear interest at a rate equal to the prime rate in effect on the first day of the calendar quarter in which the loan is originated, plus 1%. Loans transferred from other plans retain the repayment terms and interest rates in effect at the time of transfer. Loans are secured by the vested balance in the participant’s account and principal and interest are paid ratably through bi-weekly payroll deductions.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Forfeitures of employer contributions (due to a participant’s termination prior to full vesting) are used to offset future matching contributions and to pay Plan administrative expenses other than participant loan, distribution and asset-based fees. During 2025 and 2024, forfeitures of $500 and $9, respectively, were used to offset employer contributions. Unallocated forfeitures available as of December 31, 2025 and 2024 were $156,718 and $74,859,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Participants may select from a variety of core investment options available through Fidelity or the BrokerageLink self-directed brokerage account. The BrokerageLink account allows the participant to direct Fidelity to make any investment permitted under the Plan. As of December 31, 2025, the Plan had various investments, including 28 mutual funds, two employer share funds, one money market fund and one self-directed BrokerageLink account. Plan participants may change investment options on any day that the applicable exchange is open for trading. Plan participants may not invest in the Fidelity Cash Reserves Money Market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Payments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Distributions from the Plan may be made to a participant upon attaining the age of 59½, death, total disability and financial hardship (as defined in the Plan document) or termination of employment. Distributions and other withdrawals are processed on a daily basis. Benefits may be paid in a lump-sum or in installments, and employer shares may be received in-kind. In-kind distributions are priced at fair value and are accounted for when shares are transferred by the Trustee to participants. Certain other in-service distributions are allowed if certain criteria are met.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Participant contributions are always fully vested. Participants acquire a vested right in employer matching contributions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Years of service</w:t>
            </w:r>
          </w:p>
        </w:tc>
        <w:tc>
          <w:tcPr>
            <w:tcW w:w="14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20" w:type="dxa"/>
            <w:vAlign w:val="bottom"/>
            <w:gridSpan w:val="2"/>
            <w:vMerge w:val="continue"/>
          </w:tcPr>
          <w:p>
            <w:pPr>
              <w:spacing w:after="0"/>
              <w:rPr>
                <w:sz w:val="15"/>
                <w:szCs w:val="15"/>
                <w:color w:val="auto"/>
              </w:rPr>
            </w:pPr>
          </w:p>
        </w:tc>
        <w:tc>
          <w:tcPr>
            <w:tcW w:w="1400" w:type="dxa"/>
            <w:vAlign w:val="bottom"/>
          </w:tcPr>
          <w:p>
            <w:pPr>
              <w:jc w:val="right"/>
              <w:ind w:right="193"/>
              <w:spacing w:after="0" w:line="175" w:lineRule="exact"/>
              <w:rPr>
                <w:sz w:val="20"/>
                <w:szCs w:val="20"/>
                <w:color w:val="auto"/>
              </w:rPr>
            </w:pPr>
            <w:r>
              <w:rPr>
                <w:rFonts w:ascii="Times New Roman" w:cs="Times New Roman" w:eastAsia="Times New Roman" w:hAnsi="Times New Roman"/>
                <w:sz w:val="16"/>
                <w:szCs w:val="16"/>
                <w:b w:val="1"/>
                <w:bCs w:val="1"/>
                <w:color w:val="auto"/>
              </w:rPr>
              <w:t>percentages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w:t>
            </w: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70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7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or more</w:t>
            </w: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employees who have not been employed with LGI for at least three years, employer contributions become fully vested when a participant (i) attains the normal retirement age of 65, (ii) terminates employment due to total disability or (iii) dies.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Termination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LGI has not expressed any intent to terminate the Plan, it may do so at any time, subject to the provisions of ERISA. The Plan provides for full and immediate vesting of all participant rights upon termination of the Plan.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Participant accounts are credited with the participant’s contributions, employer contributions and earnings on investments and are charged with participant withdrawals, losses on investments, distributions and loan and distribution fees. The investment earnings or losses of each investment fund are allocated to each participant’s account in accordance with the Plan document.</w:t>
      </w:r>
    </w:p>
    <w:p>
      <w:pPr>
        <w:spacing w:after="0" w:line="172"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on the accrual basis and present the net assets available for Plan benefits and the changes in those net assets.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Investments are reflected in the accompanying financial statements at fair value. The Plan Committee (as defined in the Plan document) determines the Plan’s valuation policies utilizing information provided by the investment advisors, the custodian and the Trustee. For additional information, see note 3.</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appreciation or depreciation in the fair value of investments as reflected in the accompanying statement of changes in net assets available for Plan benefits is determined as the difference between the fair value at the beginning of the period (or date purchased during the year) and selling price or year-end fair value and includes any capital gain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Securities and investment transactions are accounted for on the trade date. The cost basis of shares distributed is determined using the moving average method. Dividend income is recorded on the ex-dividend date. Income from other investments is recorded as earned on an accrual basis.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 has adopted a Fidelity “volume submitter” plan. Fidelity received an IRS advisory letter for the volume submitter plan on June 30, 2020, stating that the Plan is qualified and the trust is tax-exempt. The Plan administrator believes that the Plan, as amended, is designed and is currently being operated in compliance with the applicable requirements of the IRS. Therefore, no provision for income taxes has been included in the Plan’s financial statements.</w:t>
      </w:r>
    </w:p>
    <w:p>
      <w:pPr>
        <w:spacing w:after="0" w:line="20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require Plan management to evaluate tax positions taken by the Plan and recognize a tax liability (or asset) if the Plan has taken an uncertain tax position that more-likely-than-not would not be sustained upon examination by the IRS. The Plan administrator has analyzed the tax positions taken by the Plan and has concluded, as of December 31, 2025 and 2024, that there are no uncertain tax positions taken or expected to be taken, which would require recognition of a liability (or asset) or disclosure in the financial statements. The Plan is subject to routine audits by taxing jurisdictions; however, there are currently no audits for any tax periods in progress.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 of Liberty Global Common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Fidelity holds Liberty Global common shares on behalf of the Plan. Each participant or beneficiary of a deceased participant has the right to direct the Trustee as to the manner of voting with respect to the Liberty Global common shares, to the extent such shares are eligible to vote, that have been allocated to the respective participant’s account. For all other investments in the Plan, Fidelity has the right to vote any shares.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Plan management to make estimates and assumptions that affect the reported amounts of assets and liabilities and disclosure of contingent assets and liabilities at the date of the financial statements and the reported amounts of additions and deductions during the reporting period. Actual results could differ from those estimates.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 (Participant Loans)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and unpaid interest. Interest income is recorded on an accrual basis. Related fees are recorded as administrative expenses and are expensed as incurred. No allowance for credit losses has been recorded as of December 31, 2025 or 2024. If a participant ceases to make loan repayments and the Plan administrator deems the participant loan to be in default, the participant loan balance is reduced and a benefit payment is recorded. Delinquent participant loans are reclassified as distributions to participants based on the terms of the Plan document.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forfeited employer contributions may be used to offset future employer matching contributions and then to pay Plan expenses, if any, except for participant loan, distribution or asset-based fees, all of which are paid by the respective participants. Other administrative expenses of the Plan are paid directly by LGI and, accordingly, are not included in the Plan financial statements. No Trustee or record keeping fees were paid to Fidelity through the forfeiture account during 2025. Loan, distribution and asset-based fees paid by participants were $16,939 during 2025.</w:t>
      </w:r>
    </w:p>
    <w:p>
      <w:pPr>
        <w:spacing w:after="0" w:line="20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Proceeds from revenue sharing, as described below under </w:t>
      </w:r>
      <w:r>
        <w:rPr>
          <w:rFonts w:ascii="Times New Roman" w:cs="Times New Roman" w:eastAsia="Times New Roman" w:hAnsi="Times New Roman"/>
          <w:sz w:val="18"/>
          <w:szCs w:val="18"/>
          <w:i w:val="1"/>
          <w:iCs w:val="1"/>
          <w:color w:val="auto"/>
        </w:rPr>
        <w:t>Related-party/Party-in-Interest Transactions</w:t>
      </w:r>
      <w:r>
        <w:rPr>
          <w:rFonts w:ascii="Times New Roman" w:cs="Times New Roman" w:eastAsia="Times New Roman" w:hAnsi="Times New Roman"/>
          <w:sz w:val="18"/>
          <w:szCs w:val="18"/>
          <w:color w:val="auto"/>
        </w:rPr>
        <w:t>, may be used to offset Plan expenses incurred by participants. Revenue sharing and participant-paid fees are presented on a net basis in the statement of changes in net assets available for Plan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Participant contributions and related employer contributions are recognized during the period in which the respective payroll deductions are made.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Related-party/Party-in-interest Transactions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a trust agreement between LGI and the Trustee, the Trustee manages certain mutual funds and money market funds on behalf of the Plan and has been granted authority concerning purchases and sales of investments for the trust funds. In addition, the Plan includes two employer share funds. Purchases and sales for the year ended December 31, 2025 with respect to these employer share funds are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32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Sales</w:t>
            </w:r>
          </w:p>
        </w:tc>
      </w:tr>
      <w:tr>
        <w:trPr>
          <w:trHeight w:val="95"/>
        </w:trPr>
        <w:tc>
          <w:tcPr>
            <w:tcW w:w="83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Class A Common Shares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(64,942)</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Liberty Global Class C Common Shares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3,698,496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(1,686,186)</w:t>
            </w:r>
          </w:p>
        </w:tc>
      </w:tr>
      <w:tr>
        <w:trPr>
          <w:trHeight w:val="248"/>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(1,751,128)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 are also party-in-interest transactions.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the Plan’s mutual funds pay investment management fees, and many of these mutual funds may receive income in the form of revenue sharing based on the performance of the fund. These amounts are added to or deducted from the net asset value of the shares of each mutual fund held by the Plan and are reflected in the net fees and expenses of those funds. Such transactions qualify as party-in-interest transactions, which are exempt from the prohibited transaction rules. During 2025, the aggregate revenue sharing amount received by the Plan was $33,247, which was allocated to participant accounts as prescribed in the Plan document. For Form 5500 reporting purposes, the sharing amount has been reflected separately from Plan expenses and included as other income.</w:t>
      </w:r>
    </w:p>
    <w:p>
      <w:pPr>
        <w:spacing w:after="0" w:line="210"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provides for a fair value hierarchy that prioritizes the inputs to valuation techniques used to measure fair value into three broad levels. Level 1 inputs are quoted market prices in active markets for identical investments that the Plan has the ability to access at the measurement date. Level 2 inputs are inputs other than quoted market prices included within Level 1 that are observable for the Plan’s investments, either directly or indirectly. Level 3 inputs are unobservable inputs for the Plan’s investments. The Plan records transfers of investments in or out of Levels 1, 2 or 3 at the beginning of the quarter during which the transfer occurred. During the year ended December 31, 2025, no such transfers were made.</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methodology used for the investments measured at fair value, including the general classification of such instruments pursuant to the valuation hierarchy.</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Money market funds, mutual funds, BrokerageLink, employer shares and equity securities. </w:t>
      </w:r>
      <w:r>
        <w:rPr>
          <w:rFonts w:ascii="Times New Roman" w:cs="Times New Roman" w:eastAsia="Times New Roman" w:hAnsi="Times New Roman"/>
          <w:sz w:val="18"/>
          <w:szCs w:val="18"/>
          <w:color w:val="auto"/>
        </w:rPr>
        <w:t>As of December 31, 2025 and 2024, all Plan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measured at fair value. These investments are valued at quoted market prices in an active market, which represent the net asset values of shares held by the Plan at year end and, accordingly, are classified as Level 1 investments.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preceding method described may produce a fair value calculation that may not be indicative of net realizable value or reflective of future fair values. Furthermore, although the Plan has concluded that its valuation method is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&amp; STOCK OWNERSHIP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Plan investments measured at fair value is as follows:</w:t>
      </w:r>
    </w:p>
    <w:p>
      <w:pPr>
        <w:spacing w:after="0" w:line="14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Quoted prices in active markets for</w:t>
      </w: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identical assets (Level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8890</wp:posOffset>
            </wp:positionV>
            <wp:extent cx="1817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29"/>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46,762,778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45,203,818</w:t>
            </w:r>
          </w:p>
        </w:tc>
      </w:tr>
      <w:tr>
        <w:trPr>
          <w:trHeight w:val="229"/>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shares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4,898,265</w:t>
            </w:r>
          </w:p>
        </w:tc>
      </w:tr>
      <w:tr>
        <w:trPr>
          <w:trHeight w:val="230"/>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BrokerageLink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2,808,437</w:t>
            </w:r>
          </w:p>
        </w:tc>
      </w:tr>
      <w:tr>
        <w:trPr>
          <w:trHeight w:val="229"/>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3,175,175</w:t>
            </w:r>
          </w:p>
        </w:tc>
      </w:tr>
      <w:tr>
        <w:trPr>
          <w:trHeight w:val="223"/>
        </w:trPr>
        <w:tc>
          <w:tcPr>
            <w:tcW w:w="20" w:type="dxa"/>
            <w:vAlign w:val="bottom"/>
          </w:tcPr>
          <w:p>
            <w:pPr>
              <w:spacing w:after="0"/>
              <w:rPr>
                <w:sz w:val="19"/>
                <w:szCs w:val="19"/>
                <w:color w:val="auto"/>
              </w:rPr>
            </w:pPr>
          </w:p>
        </w:tc>
        <w:tc>
          <w:tcPr>
            <w:tcW w:w="8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57,304,363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56,085,695</w:t>
            </w: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Concentrations, Risks and Uncertainties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Plan invests in (i) various money market and mutual funds, (ii) common shares of Liberty Global, (iii) a BrokerageLink account and (iv) through January 13, 2025, ADSs of Sunrise. Investment securities are exposed to various risks, such as interest rate, credit and overall market volatility risks, including the impact of inflation. Additionally, the value, liquidity and related income of the investment securities are sensitive to changes in economic conditions, including delinquencies or defaults, and may be adversely affected by shifts in the market’s perception of the issuers or changes in interest rates. Liberty Global common shares are also exposed to risks specific to Liberty Global.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Plan benefits. Investment in the common shares of Liberty Global represented 11% and 9% of the net assets available for Plan benefits as of December 31, 2025 and 2024, respectively. Accordingly, price fluctuations in the common shares of Liberty Global can have a significant impact on the Plan’s net assets available for Plan benefits. In addition, as a result of funds being selected by participants, certain other funds may individually represent a concentration of greater than 10% of the Plan’s net assets available for benefits. The Fidelity Total Market Index Fund represented 17% as of December 31, 2025 and 2024. The JPMorgan Large Cap Growth Fund Class R6 represented 15% and 14% as of December 31, 2025 and 2024, respectively.</w:t>
      </w:r>
    </w:p>
    <w:p>
      <w:pPr>
        <w:spacing w:after="0" w:line="213"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Reconciliation of Financial Statements to Form 5500</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accompanying financial statements to Form 5500: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tcBorders>
              <w:bottom w:val="single" w:sz="8" w:color="auto"/>
            </w:tcBorders>
          </w:tcPr>
          <w:p>
            <w:pPr>
              <w:spacing w:after="0"/>
              <w:rPr>
                <w:sz w:val="19"/>
                <w:szCs w:val="19"/>
                <w:color w:val="auto"/>
              </w:rPr>
            </w:pPr>
          </w:p>
        </w:tc>
      </w:tr>
      <w:tr>
        <w:trPr>
          <w:trHeight w:val="214"/>
        </w:trPr>
        <w:tc>
          <w:tcPr>
            <w:tcW w:w="7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6"/>
        </w:trPr>
        <w:tc>
          <w:tcPr>
            <w:tcW w:w="7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Plan benefits, per the financial statements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57,471,301</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56,554,360</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Employer contributions receivable, net of forfeitures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(259,323)</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available for Plan benefits, per form 5500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57,471,301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56,295,037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Year ended December</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7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6"/>
        </w:trPr>
        <w:tc>
          <w:tcPr>
            <w:tcW w:w="7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Plan benefits, per the financial statements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Employer contributions receivable, net of forfeitures at December 31, 2024</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per form 5500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401(K) SAVINGS AND STOCK OWNERSHIP PLAN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46-1947033, Plan Number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Supplemental Schedule I</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7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Identity of Issuer, Borrower, Lessor or Similar Party</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 of Investment</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5"/>
                <w:szCs w:val="15"/>
                <w:b w:val="1"/>
                <w:bCs w:val="1"/>
                <w:color w:val="auto"/>
              </w:rPr>
              <w:t>Current Value</w:t>
            </w:r>
          </w:p>
        </w:tc>
        <w:tc>
          <w:tcPr>
            <w:tcW w:w="0" w:type="dxa"/>
            <w:vAlign w:val="bottom"/>
          </w:tcPr>
          <w:p>
            <w:pPr>
              <w:spacing w:after="0"/>
              <w:rPr>
                <w:sz w:val="1"/>
                <w:szCs w:val="1"/>
                <w:color w:val="auto"/>
              </w:rPr>
            </w:pPr>
          </w:p>
        </w:tc>
      </w:tr>
      <w:tr>
        <w:trPr>
          <w:trHeight w:val="40"/>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44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60" w:type="dxa"/>
            <w:vAlign w:val="bottom"/>
            <w:vMerge w:val="continue"/>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Total Market Index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9,711,640</w:t>
            </w:r>
          </w:p>
        </w:tc>
        <w:tc>
          <w:tcPr>
            <w:tcW w:w="0" w:type="dxa"/>
            <w:vAlign w:val="bottom"/>
          </w:tcPr>
          <w:p>
            <w:pPr>
              <w:spacing w:after="0"/>
              <w:rPr>
                <w:sz w:val="1"/>
                <w:szCs w:val="1"/>
                <w:color w:val="auto"/>
              </w:rPr>
            </w:pPr>
          </w:p>
        </w:tc>
      </w:tr>
      <w:tr>
        <w:trPr>
          <w:trHeight w:val="229"/>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JPMorgan Large Cap Growth Fund Class R6</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8,462,160</w:t>
            </w:r>
          </w:p>
        </w:tc>
        <w:tc>
          <w:tcPr>
            <w:tcW w:w="0" w:type="dxa"/>
            <w:vAlign w:val="bottom"/>
          </w:tcPr>
          <w:p>
            <w:pPr>
              <w:spacing w:after="0"/>
              <w:rPr>
                <w:sz w:val="1"/>
                <w:szCs w:val="1"/>
                <w:color w:val="auto"/>
              </w:rPr>
            </w:pPr>
          </w:p>
        </w:tc>
      </w:tr>
      <w:tr>
        <w:trPr>
          <w:trHeight w:val="230"/>
        </w:trPr>
        <w:tc>
          <w:tcPr>
            <w:tcW w:w="260" w:type="dxa"/>
            <w:vAlign w:val="bottom"/>
            <w:vMerge w:val="continue"/>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Class C Common Shares</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531,124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5,863,610</w:t>
            </w:r>
          </w:p>
        </w:tc>
        <w:tc>
          <w:tcPr>
            <w:tcW w:w="0" w:type="dxa"/>
            <w:vAlign w:val="bottom"/>
          </w:tcPr>
          <w:p>
            <w:pPr>
              <w:spacing w:after="0"/>
              <w:rPr>
                <w:sz w:val="1"/>
                <w:szCs w:val="1"/>
                <w:color w:val="auto"/>
              </w:rPr>
            </w:pPr>
          </w:p>
        </w:tc>
      </w:tr>
      <w:tr>
        <w:trPr>
          <w:trHeight w:val="229"/>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Dodge and Cox Stock Fund Class X</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4,581,492</w:t>
            </w:r>
          </w:p>
        </w:tc>
        <w:tc>
          <w:tcPr>
            <w:tcW w:w="0" w:type="dxa"/>
            <w:vAlign w:val="bottom"/>
          </w:tcPr>
          <w:p>
            <w:pPr>
              <w:spacing w:after="0"/>
              <w:rPr>
                <w:sz w:val="1"/>
                <w:szCs w:val="1"/>
                <w:color w:val="auto"/>
              </w:rPr>
            </w:pPr>
          </w:p>
        </w:tc>
      </w:tr>
      <w:tr>
        <w:trPr>
          <w:trHeight w:val="229"/>
        </w:trPr>
        <w:tc>
          <w:tcPr>
            <w:tcW w:w="260" w:type="dxa"/>
            <w:vAlign w:val="bottom"/>
            <w:vMerge w:val="continue"/>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2040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3,665,149</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2030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2,351,329</w:t>
            </w:r>
          </w:p>
        </w:tc>
        <w:tc>
          <w:tcPr>
            <w:tcW w:w="0" w:type="dxa"/>
            <w:vAlign w:val="bottom"/>
          </w:tcPr>
          <w:p>
            <w:pPr>
              <w:spacing w:after="0"/>
              <w:rPr>
                <w:sz w:val="1"/>
                <w:szCs w:val="1"/>
                <w:color w:val="auto"/>
              </w:rPr>
            </w:pPr>
          </w:p>
        </w:tc>
      </w:tr>
      <w:tr>
        <w:trPr>
          <w:trHeight w:val="229"/>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2045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2,246,945</w:t>
            </w:r>
          </w:p>
        </w:tc>
        <w:tc>
          <w:tcPr>
            <w:tcW w:w="0" w:type="dxa"/>
            <w:vAlign w:val="bottom"/>
          </w:tcPr>
          <w:p>
            <w:pPr>
              <w:spacing w:after="0"/>
              <w:rPr>
                <w:sz w:val="1"/>
                <w:szCs w:val="1"/>
                <w:color w:val="auto"/>
              </w:rPr>
            </w:pPr>
          </w:p>
        </w:tc>
      </w:tr>
      <w:tr>
        <w:trPr>
          <w:trHeight w:val="229"/>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2035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2,003,776</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Artisan International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2,002,877</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Baron Growth Fund Institutional Shares</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1,873,800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Victory Sycamore Small Company Opportunity Index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1,644,709</w:t>
            </w:r>
          </w:p>
        </w:tc>
        <w:tc>
          <w:tcPr>
            <w:tcW w:w="0" w:type="dxa"/>
            <w:vAlign w:val="bottom"/>
          </w:tcPr>
          <w:p>
            <w:pPr>
              <w:spacing w:after="0"/>
              <w:rPr>
                <w:sz w:val="1"/>
                <w:szCs w:val="1"/>
                <w:color w:val="auto"/>
              </w:rPr>
            </w:pPr>
          </w:p>
        </w:tc>
      </w:tr>
      <w:tr>
        <w:trPr>
          <w:trHeight w:val="229"/>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Treasury Money Market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1,535,137</w:t>
            </w:r>
          </w:p>
        </w:tc>
        <w:tc>
          <w:tcPr>
            <w:tcW w:w="0" w:type="dxa"/>
            <w:vAlign w:val="bottom"/>
          </w:tcPr>
          <w:p>
            <w:pPr>
              <w:spacing w:after="0"/>
              <w:rPr>
                <w:sz w:val="1"/>
                <w:szCs w:val="1"/>
                <w:color w:val="auto"/>
              </w:rPr>
            </w:pPr>
          </w:p>
        </w:tc>
      </w:tr>
      <w:tr>
        <w:trPr>
          <w:trHeight w:val="229"/>
        </w:trPr>
        <w:tc>
          <w:tcPr>
            <w:tcW w:w="260" w:type="dxa"/>
            <w:vAlign w:val="bottom"/>
            <w:vMerge w:val="continue"/>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Total International Index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1,456,864</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2050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1,128,675</w:t>
            </w:r>
          </w:p>
        </w:tc>
        <w:tc>
          <w:tcPr>
            <w:tcW w:w="0" w:type="dxa"/>
            <w:vAlign w:val="bottom"/>
          </w:tcPr>
          <w:p>
            <w:pPr>
              <w:spacing w:after="0"/>
              <w:rPr>
                <w:sz w:val="1"/>
                <w:szCs w:val="1"/>
                <w:color w:val="auto"/>
              </w:rPr>
            </w:pPr>
          </w:p>
        </w:tc>
      </w:tr>
      <w:tr>
        <w:trPr>
          <w:trHeight w:val="229"/>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2025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1,098,533</w:t>
            </w:r>
          </w:p>
        </w:tc>
        <w:tc>
          <w:tcPr>
            <w:tcW w:w="0" w:type="dxa"/>
            <w:vAlign w:val="bottom"/>
          </w:tcPr>
          <w:p>
            <w:pPr>
              <w:spacing w:after="0"/>
              <w:rPr>
                <w:sz w:val="1"/>
                <w:szCs w:val="1"/>
                <w:color w:val="auto"/>
              </w:rPr>
            </w:pPr>
          </w:p>
        </w:tc>
      </w:tr>
      <w:tr>
        <w:trPr>
          <w:trHeight w:val="229"/>
        </w:trPr>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JPMorgan Core Bond Class R6</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954,596</w:t>
            </w:r>
          </w:p>
        </w:tc>
        <w:tc>
          <w:tcPr>
            <w:tcW w:w="0" w:type="dxa"/>
            <w:vAlign w:val="bottom"/>
          </w:tcPr>
          <w:p>
            <w:pPr>
              <w:spacing w:after="0"/>
              <w:rPr>
                <w:sz w:val="1"/>
                <w:szCs w:val="1"/>
                <w:color w:val="auto"/>
              </w:rPr>
            </w:pPr>
          </w:p>
        </w:tc>
      </w:tr>
      <w:tr>
        <w:trPr>
          <w:trHeight w:val="230"/>
        </w:trPr>
        <w:tc>
          <w:tcPr>
            <w:tcW w:w="260" w:type="dxa"/>
            <w:vAlign w:val="bottom"/>
            <w:vMerge w:val="continue"/>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2055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914,297</w:t>
            </w:r>
          </w:p>
        </w:tc>
        <w:tc>
          <w:tcPr>
            <w:tcW w:w="0" w:type="dxa"/>
            <w:vAlign w:val="bottom"/>
          </w:tcPr>
          <w:p>
            <w:pPr>
              <w:spacing w:after="0"/>
              <w:rPr>
                <w:sz w:val="1"/>
                <w:szCs w:val="1"/>
                <w:color w:val="auto"/>
              </w:rPr>
            </w:pPr>
          </w:p>
        </w:tc>
      </w:tr>
      <w:tr>
        <w:trPr>
          <w:trHeight w:val="229"/>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PIMCO High Yield Fund Institutional Class</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685,025</w:t>
            </w:r>
          </w:p>
        </w:tc>
        <w:tc>
          <w:tcPr>
            <w:tcW w:w="0" w:type="dxa"/>
            <w:vAlign w:val="bottom"/>
          </w:tcPr>
          <w:p>
            <w:pPr>
              <w:spacing w:after="0"/>
              <w:rPr>
                <w:sz w:val="1"/>
                <w:szCs w:val="1"/>
                <w:color w:val="auto"/>
              </w:rPr>
            </w:pPr>
          </w:p>
        </w:tc>
      </w:tr>
      <w:tr>
        <w:trPr>
          <w:trHeight w:val="230"/>
        </w:trPr>
        <w:tc>
          <w:tcPr>
            <w:tcW w:w="260" w:type="dxa"/>
            <w:vAlign w:val="bottom"/>
            <w:vMerge w:val="continue"/>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Class A Common Shares</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500,118</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Short Term Bond Index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U.S. Bond Index</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361,608</w:t>
            </w:r>
          </w:p>
        </w:tc>
        <w:tc>
          <w:tcPr>
            <w:tcW w:w="0" w:type="dxa"/>
            <w:vAlign w:val="bottom"/>
          </w:tcPr>
          <w:p>
            <w:pPr>
              <w:spacing w:after="0"/>
              <w:rPr>
                <w:sz w:val="1"/>
                <w:szCs w:val="1"/>
                <w:color w:val="auto"/>
              </w:rPr>
            </w:pPr>
          </w:p>
        </w:tc>
      </w:tr>
      <w:tr>
        <w:trPr>
          <w:trHeight w:val="229"/>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2060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303,039</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2020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252,443</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Inflation Protected Bond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223,994</w:t>
            </w:r>
          </w:p>
        </w:tc>
        <w:tc>
          <w:tcPr>
            <w:tcW w:w="0" w:type="dxa"/>
            <w:vAlign w:val="bottom"/>
          </w:tcPr>
          <w:p>
            <w:pPr>
              <w:spacing w:after="0"/>
              <w:rPr>
                <w:sz w:val="1"/>
                <w:szCs w:val="1"/>
                <w:color w:val="auto"/>
              </w:rPr>
            </w:pPr>
          </w:p>
        </w:tc>
      </w:tr>
      <w:tr>
        <w:trPr>
          <w:trHeight w:val="230"/>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DFA Global Real Estate Securities Portfolio</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156,223</w:t>
            </w:r>
          </w:p>
        </w:tc>
        <w:tc>
          <w:tcPr>
            <w:tcW w:w="0" w:type="dxa"/>
            <w:vAlign w:val="bottom"/>
          </w:tcPr>
          <w:p>
            <w:pPr>
              <w:spacing w:after="0"/>
              <w:rPr>
                <w:sz w:val="1"/>
                <w:szCs w:val="1"/>
                <w:color w:val="auto"/>
              </w:rPr>
            </w:pPr>
          </w:p>
        </w:tc>
      </w:tr>
      <w:tr>
        <w:trPr>
          <w:trHeight w:val="229"/>
        </w:trPr>
        <w:tc>
          <w:tcPr>
            <w:tcW w:w="260" w:type="dxa"/>
            <w:vAlign w:val="bottom"/>
            <w:vMerge w:val="continue"/>
          </w:tcPr>
          <w:p>
            <w:pPr>
              <w:spacing w:after="0"/>
              <w:rPr>
                <w:sz w:val="19"/>
                <w:szCs w:val="19"/>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Retirement Fund Class K</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115,427</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2065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64,141</w:t>
            </w: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2015 Fund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46,789</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2070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46,507</w:t>
            </w:r>
          </w:p>
        </w:tc>
        <w:tc>
          <w:tcPr>
            <w:tcW w:w="0" w:type="dxa"/>
            <w:vAlign w:val="bottom"/>
          </w:tcPr>
          <w:p>
            <w:pPr>
              <w:spacing w:after="0"/>
              <w:rPr>
                <w:sz w:val="1"/>
                <w:szCs w:val="1"/>
                <w:color w:val="auto"/>
              </w:rPr>
            </w:pPr>
          </w:p>
        </w:tc>
      </w:tr>
      <w:tr>
        <w:trPr>
          <w:trHeight w:val="230"/>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Total International Bond Index Fund Admiral Shares</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38,785</w:t>
            </w:r>
          </w:p>
        </w:tc>
        <w:tc>
          <w:tcPr>
            <w:tcW w:w="0" w:type="dxa"/>
            <w:vAlign w:val="bottom"/>
          </w:tcPr>
          <w:p>
            <w:pPr>
              <w:spacing w:after="0"/>
              <w:rPr>
                <w:sz w:val="1"/>
                <w:szCs w:val="1"/>
                <w:color w:val="auto"/>
              </w:rPr>
            </w:pPr>
          </w:p>
        </w:tc>
      </w:tr>
      <w:tr>
        <w:trPr>
          <w:trHeight w:val="229"/>
        </w:trPr>
        <w:tc>
          <w:tcPr>
            <w:tcW w:w="260" w:type="dxa"/>
            <w:vAlign w:val="bottom"/>
            <w:vMerge w:val="continue"/>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Cash Reserves Money Market Fund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30"/>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2010 Fund</w:t>
            </w:r>
          </w:p>
        </w:tc>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registered investment companies</w:t>
            </w:r>
          </w:p>
        </w:tc>
        <w:tc>
          <w:tcPr>
            <w:tcW w:w="2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54,663,402</w:t>
            </w:r>
          </w:p>
        </w:tc>
        <w:tc>
          <w:tcPr>
            <w:tcW w:w="0" w:type="dxa"/>
            <w:vAlign w:val="bottom"/>
          </w:tcPr>
          <w:p>
            <w:pPr>
              <w:spacing w:after="0"/>
              <w:rPr>
                <w:sz w:val="1"/>
                <w:szCs w:val="1"/>
                <w:color w:val="auto"/>
              </w:rPr>
            </w:pPr>
          </w:p>
        </w:tc>
      </w:tr>
      <w:tr>
        <w:trPr>
          <w:trHeight w:val="230"/>
        </w:trPr>
        <w:tc>
          <w:tcPr>
            <w:tcW w:w="260" w:type="dxa"/>
            <w:vAlign w:val="bottom"/>
            <w:vMerge w:val="continue"/>
          </w:tcPr>
          <w:p>
            <w:pPr>
              <w:spacing w:after="0"/>
              <w:rPr>
                <w:sz w:val="19"/>
                <w:szCs w:val="19"/>
                <w:color w:val="auto"/>
              </w:rPr>
            </w:pPr>
          </w:p>
        </w:tc>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BrokerageLink</w:t>
            </w:r>
          </w:p>
        </w:tc>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2,640,961</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investments</w:t>
            </w:r>
          </w:p>
        </w:tc>
        <w:tc>
          <w:tcPr>
            <w:tcW w:w="2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57,304,363</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rates of 4.25% through</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9.5%, various maturity dates</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through 2030</w:t>
            </w: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139,771</w:t>
            </w: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 held at the end of the year</w:t>
            </w:r>
          </w:p>
        </w:tc>
        <w:tc>
          <w:tcPr>
            <w:tcW w:w="2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57,444,134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8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Party-in-interest as defined by ERISA.</w:t>
      </w:r>
    </w:p>
    <w:p>
      <w:pPr>
        <w:spacing w:after="0" w:line="200" w:lineRule="exact"/>
        <w:rPr>
          <w:sz w:val="20"/>
          <w:szCs w:val="20"/>
          <w:color w:val="auto"/>
        </w:rPr>
      </w:pPr>
    </w:p>
    <w:p>
      <w:pPr>
        <w:spacing w:after="0" w:line="20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401(K) SAVINGS AND STOCK OWNERSHIP PLAN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Plan Committee have duly caused this annual report to be signed on its behalf by the undersigned hereunto duly authorized.</w:t>
      </w:r>
    </w:p>
    <w:p>
      <w:pPr>
        <w:spacing w:after="0" w:line="28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LIBERTY GLOBAL 401(K) SAVINGS</w:t>
      </w:r>
    </w:p>
    <w:p>
      <w:pPr>
        <w:spacing w:after="0" w:line="5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AND STOCK OWNERSHIP PLAN</w:t>
      </w:r>
    </w:p>
    <w:p>
      <w:pPr>
        <w:spacing w:after="0" w:line="90" w:lineRule="exact"/>
        <w:rPr>
          <w:sz w:val="20"/>
          <w:szCs w:val="20"/>
          <w:color w:val="auto"/>
        </w:rPr>
      </w:pPr>
    </w:p>
    <w:p>
      <w:pPr>
        <w:ind w:left="7420"/>
        <w:spacing w:after="0"/>
        <w:tabs>
          <w:tab w:leader="none" w:pos="8520" w:val="left"/>
          <w:tab w:leader="none" w:pos="8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JASON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34290</wp:posOffset>
            </wp:positionV>
            <wp:extent cx="22542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4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Jason Waldron</w:t>
      </w:r>
    </w:p>
    <w:p>
      <w:pPr>
        <w:ind w:left="7720"/>
        <w:spacing w:after="0" w:line="205" w:lineRule="auto"/>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line="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for Liberty Global, Inc. as Plan Sponsor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right"/>
        <w:ind w:right="1599"/>
        <w:spacing w:after="0"/>
        <w:rPr>
          <w:sz w:val="20"/>
          <w:szCs w:val="20"/>
          <w:color w:val="auto"/>
        </w:rPr>
      </w:pPr>
      <w:r>
        <w:rPr>
          <w:rFonts w:ascii="Times New Roman" w:cs="Times New Roman" w:eastAsia="Times New Roman" w:hAnsi="Times New Roman"/>
          <w:sz w:val="18"/>
          <w:szCs w:val="18"/>
          <w:b w:val="1"/>
          <w:bCs w:val="1"/>
          <w:color w:val="auto"/>
        </w:rPr>
        <w:t>LIBERTY GLOBAL 401(K) SAVINGS AND STOCK OWNERSHIP PLAN</w:t>
      </w:r>
    </w:p>
    <w:p>
      <w:pPr>
        <w:spacing w:after="0" w:line="200" w:lineRule="exact"/>
        <w:rPr>
          <w:sz w:val="20"/>
          <w:szCs w:val="20"/>
          <w:color w:val="auto"/>
        </w:rPr>
      </w:pPr>
    </w:p>
    <w:p>
      <w:pPr>
        <w:spacing w:after="0" w:line="3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the exhibit, which is filed or furnished as a part of this Report —</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23.1 – </w:t>
      </w:r>
      <w:r>
        <w:rPr>
          <w:rFonts w:ascii="Times New Roman" w:cs="Times New Roman" w:eastAsia="Times New Roman" w:hAnsi="Times New Roman"/>
          <w:sz w:val="18"/>
          <w:szCs w:val="18"/>
          <w:u w:val="single" w:color="auto"/>
          <w:color w:val="0000FF"/>
        </w:rPr>
        <w:t>Consent of Independent Registered Public Accounting Firm – BDO USA,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39"/>
          </w:cols>
          <w:pgMar w:left="320" w:top="360"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Global 401(k) Savings &amp; Stock Ownership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333-275737) of Liberty Global Ltd. of our report dated June 15, 2026, relating to the financial statements and supplemental schedule of the Liberty Global 401(k) Savings &amp; Stock Ownership Plan which appear in this Form 11-K for the year ended December 31, 2025.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sectPr>
      <w:pgSz w:w="11900" w:h="16838" w:orient="portrait"/>
      <w:cols w:equalWidth="0" w:num="1">
        <w:col w:w="11240"/>
      </w:cols>
      <w:pgMar w:left="320" w:top="13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R"/>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2026-06-15T15:08:27Z</dcterms:created>
  <dcterms:modified xsi:type="dcterms:W3CDTF">2026-06-15T15:08:27Z</dcterms:modified>
</cp:coreProperties>
</file>