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July 28,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Liberty Global Ltd.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5962" w:type="dxa"/>
        <w:jc w:val="left"/>
        <w:tblInd w:w="0" w:type="dxa"/>
        <w:tblLayout w:type="fixed"/>
        <w:tblCellMar>
          <w:top w:w="28" w:type="dxa"/>
          <w:left w:w="28" w:type="dxa"/>
          <w:bottom w:w="28" w:type="dxa"/>
          <w:right w:w="28" w:type="dxa"/>
        </w:tblCellMar>
      </w:tblPr>
      <w:tblGrid>
        <w:gridCol w:w="710"/>
        <w:gridCol w:w="625"/>
        <w:gridCol w:w="630"/>
        <w:gridCol w:w="109"/>
        <w:gridCol w:w="109"/>
        <w:gridCol w:w="109"/>
        <w:gridCol w:w="687"/>
        <w:gridCol w:w="687"/>
        <w:gridCol w:w="695"/>
        <w:gridCol w:w="109"/>
        <w:gridCol w:w="109"/>
        <w:gridCol w:w="109"/>
        <w:gridCol w:w="371"/>
        <w:gridCol w:w="371"/>
        <w:gridCol w:w="532"/>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Bermuda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001-35961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98-1750381</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Clarendon House, 2 Church Street, Hamilton HM 11, Bermuda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+1.303.220.6600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6883" w:type="dxa"/>
        <w:jc w:val="center"/>
        <w:tblInd w:w="0" w:type="dxa"/>
        <w:tblLayout w:type="fixed"/>
        <w:tblCellMar>
          <w:top w:w="28" w:type="dxa"/>
          <w:left w:w="28" w:type="dxa"/>
          <w:bottom w:w="28" w:type="dxa"/>
          <w:right w:w="28" w:type="dxa"/>
        </w:tblCellMar>
      </w:tblPr>
      <w:tblGrid>
        <w:gridCol w:w="667"/>
        <w:gridCol w:w="587"/>
        <w:gridCol w:w="591"/>
        <w:gridCol w:w="519"/>
        <w:gridCol w:w="519"/>
        <w:gridCol w:w="521"/>
        <w:gridCol w:w="1019"/>
        <w:gridCol w:w="1019"/>
        <w:gridCol w:w="144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LBTYA</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B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LBTYB</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C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LBTYK</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120" w:after="12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Emerging growth company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response to market conditions and other factors, the board of directors of Liberty Global Ltd.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has authorized management to effect share repurchases of its Class A and Class C common shares (the “</w:t>
      </w:r>
      <w:r>
        <w:rPr>
          <w:rFonts w:ascii="Times New Roman;serif" w:hAnsi="Times New Roman;serif"/>
          <w:b/>
          <w:color w:val="000000"/>
          <w:sz w:val="20"/>
        </w:rPr>
        <w:t>Shares</w:t>
      </w:r>
      <w:r>
        <w:rPr>
          <w:color w:val="000000"/>
        </w:rPr>
        <w:t>”</w:t>
      </w:r>
      <w:r>
        <w:rPr>
          <w:rFonts w:ascii="Times New Roman;serif" w:hAnsi="Times New Roman;serif"/>
          <w:b w:val="false"/>
          <w:color w:val="000000"/>
          <w:sz w:val="20"/>
        </w:rPr>
        <w:t xml:space="preserve">) from time-to-time when management believes that the repurchases are consistent with the Company’s capital allocation priorities, taking into account prevailing market conditions, expected cash proceeds from transactions or operations, and other relevant factors. Pursuant to this authorization, the Company does not anticipate making more than $200 million in selective repurchases over the course of any twelve-month period. The Board may separately authorize additional share repurchase programs in the future.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Any repurchases of Shares may be made from time to time through open market purchases, privately negotiated transactions, block trades or other transactions in accordance with authorization from the board of directors of the Company and applicable federal securities laws, including, where appropriate, pursuant to Rule 10b5-1 trading plans and Rule 10b-18 under the Securities Exchange Act of 1934, as amended.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within the meaning of Section 27A of the Securities Act and Section 21E of the Exchange Act, including statements relating to the Company’s share repurchase program, including any future repurchases or repurchase authorizations. Actual actions or results may differ materially from those indicated by such forward-looking statements as a result of various factors, including those discussed in the “Risk Factors” section of the Company’s most recent Annual Report on Form 10-K and in the Company’s other filings with the SEC. The forward-looking statements contained in this Current Report on Form 8-K speak only as of the date hereof, and the Company specifically disclaims any obligation to update these forward-looking statements, whether as a result of new information, future events or otherwise.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785" w:type="dxa"/>
        <w:jc w:val="left"/>
        <w:tblInd w:w="0" w:type="dxa"/>
        <w:tblLayout w:type="fixed"/>
        <w:tblCellMar>
          <w:top w:w="28" w:type="dxa"/>
          <w:left w:w="28" w:type="dxa"/>
          <w:bottom w:w="28" w:type="dxa"/>
          <w:right w:w="28" w:type="dxa"/>
        </w:tblCellMar>
      </w:tblPr>
      <w:tblGrid>
        <w:gridCol w:w="363"/>
        <w:gridCol w:w="320"/>
        <w:gridCol w:w="321"/>
        <w:gridCol w:w="109"/>
        <w:gridCol w:w="109"/>
        <w:gridCol w:w="109"/>
        <w:gridCol w:w="2179"/>
        <w:gridCol w:w="2179"/>
        <w:gridCol w:w="3096"/>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Name</w:t>
            </w:r>
          </w:p>
        </w:tc>
      </w:tr>
      <w:tr>
        <w:trPr/>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3572" w:type="dxa"/>
        <w:jc w:val="left"/>
        <w:tblInd w:w="0" w:type="dxa"/>
        <w:tblLayout w:type="fixed"/>
        <w:tblCellMar>
          <w:top w:w="28" w:type="dxa"/>
          <w:left w:w="28" w:type="dxa"/>
          <w:bottom w:w="28" w:type="dxa"/>
          <w:right w:w="28" w:type="dxa"/>
        </w:tblCellMar>
      </w:tblPr>
      <w:tblGrid>
        <w:gridCol w:w="124"/>
        <w:gridCol w:w="109"/>
        <w:gridCol w:w="109"/>
        <w:gridCol w:w="352"/>
        <w:gridCol w:w="352"/>
        <w:gridCol w:w="352"/>
        <w:gridCol w:w="635"/>
        <w:gridCol w:w="635"/>
        <w:gridCol w:w="9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LIBERTY GLOBAL LTD.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0"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RANDY L. LAZZELL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Randy L. Lazzell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July 28, 2026</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711</Words>
  <Characters>4071</Characters>
  <CharactersWithSpaces>4774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