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274320</wp:posOffset>
            </wp:positionH>
            <wp:positionV relativeFrom="page">
              <wp:posOffset>694690</wp:posOffset>
            </wp:positionV>
            <wp:extent cx="7000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0240" cy="8255"/>
                    </a:xfrm>
                    <a:prstGeom prst="rect">
                      <a:avLst/>
                    </a:prstGeom>
                    <a:noFill/>
                  </pic:spPr>
                </pic:pic>
              </a:graphicData>
            </a:graphic>
          </wp:anchor>
        </w:drawing>
        <w:drawing>
          <wp:anchor simplePos="0" relativeHeight="251657728" behindDoc="1" locked="0" layoutInCell="0" allowOverlap="1">
            <wp:simplePos x="0" y="0"/>
            <wp:positionH relativeFrom="page">
              <wp:posOffset>274320</wp:posOffset>
            </wp:positionH>
            <wp:positionV relativeFrom="page">
              <wp:posOffset>652780</wp:posOffset>
            </wp:positionV>
            <wp:extent cx="70002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0240" cy="17145"/>
                    </a:xfrm>
                    <a:prstGeom prst="rect">
                      <a:avLst/>
                    </a:prstGeom>
                    <a:noFill/>
                  </pic:spPr>
                </pic:pic>
              </a:graphicData>
            </a:graphic>
          </wp:anchor>
        </w:drawing>
        <w:t>UNITED STATES 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10-Q</w:t>
      </w:r>
    </w:p>
    <w:p>
      <w:pPr>
        <w:spacing w:after="0" w:line="104" w:lineRule="exact"/>
        <w:rPr>
          <w:sz w:val="24"/>
          <w:szCs w:val="24"/>
          <w:color w:val="auto"/>
        </w:rPr>
      </w:pPr>
    </w:p>
    <w:p>
      <w:pPr>
        <w:ind w:left="880" w:hanging="856"/>
        <w:spacing w:after="0"/>
        <w:tabs>
          <w:tab w:leader="none" w:pos="880" w:val="left"/>
        </w:tabs>
        <w:numPr>
          <w:ilvl w:val="0"/>
          <w:numId w:val="1"/>
        </w:numPr>
        <w:rPr>
          <w:rFonts w:ascii="MS PGothic" w:cs="MS PGothic" w:eastAsia="MS PGothic" w:hAnsi="MS PGothic"/>
          <w:sz w:val="25"/>
          <w:szCs w:val="25"/>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40"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83" w:lineRule="exact"/>
        <w:rPr>
          <w:sz w:val="24"/>
          <w:szCs w:val="24"/>
          <w:color w:val="auto"/>
        </w:rPr>
      </w:pPr>
    </w:p>
    <w:p>
      <w:pPr>
        <w:ind w:left="880" w:hanging="856"/>
        <w:spacing w:after="0"/>
        <w:tabs>
          <w:tab w:leader="none" w:pos="880" w:val="left"/>
        </w:tabs>
        <w:numPr>
          <w:ilvl w:val="0"/>
          <w:numId w:val="2"/>
        </w:numPr>
        <w:rPr>
          <w:rFonts w:ascii="MS PGothic" w:cs="MS PGothic" w:eastAsia="MS PGothic" w:hAnsi="MS PGothic"/>
          <w:sz w:val="25"/>
          <w:szCs w:val="25"/>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40" w:lineRule="exact"/>
        <w:rPr>
          <w:sz w:val="24"/>
          <w:szCs w:val="24"/>
          <w:color w:val="auto"/>
        </w:rPr>
      </w:pPr>
    </w:p>
    <w:p>
      <w:pPr>
        <w:ind w:left="880"/>
        <w:spacing w:after="0"/>
        <w:tabs>
          <w:tab w:leader="none" w:pos="37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3234690</wp:posOffset>
            </wp:positionH>
            <wp:positionV relativeFrom="paragraph">
              <wp:posOffset>9525</wp:posOffset>
            </wp:positionV>
            <wp:extent cx="681355" cy="681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355" cy="681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Liberty Global plc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40"/>
          </w:cols>
          <w:pgMar w:left="320" w:top="1225" w:right="339" w:bottom="1440" w:gutter="0" w:footer="0" w:header="0"/>
        </w:sectPr>
      </w:pPr>
    </w:p>
    <w:p>
      <w:pPr>
        <w:spacing w:after="0" w:line="127" w:lineRule="exact"/>
        <w:rPr>
          <w:sz w:val="24"/>
          <w:szCs w:val="24"/>
          <w:color w:val="auto"/>
        </w:rPr>
      </w:pPr>
    </w:p>
    <w:p>
      <w:pPr>
        <w:ind w:left="3260"/>
        <w:spacing w:after="0"/>
        <w:rPr>
          <w:sz w:val="20"/>
          <w:szCs w:val="20"/>
          <w:color w:val="auto"/>
        </w:rPr>
      </w:pPr>
      <w:r>
        <w:rPr>
          <w:rFonts w:ascii="Arial" w:cs="Arial" w:eastAsia="Arial" w:hAnsi="Arial"/>
          <w:sz w:val="12"/>
          <w:szCs w:val="12"/>
          <w:b w:val="1"/>
          <w:bCs w:val="1"/>
          <w:color w:val="auto"/>
        </w:rPr>
        <w:t>England and Wales</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98-1112770</w:t>
      </w:r>
    </w:p>
    <w:p>
      <w:pPr>
        <w:spacing w:after="0" w:line="35" w:lineRule="exact"/>
        <w:rPr>
          <w:sz w:val="24"/>
          <w:szCs w:val="24"/>
          <w:color w:val="auto"/>
        </w:rPr>
      </w:pPr>
    </w:p>
    <w:p>
      <w:pPr>
        <w:sectPr>
          <w:pgSz w:w="11900" w:h="16838" w:orient="portrait"/>
          <w:cols w:equalWidth="0" w:num="2">
            <w:col w:w="6340" w:space="720"/>
            <w:col w:w="4180"/>
          </w:cols>
          <w:pgMar w:left="320" w:top="1225" w:right="339" w:bottom="1440" w:gutter="0" w:footer="0" w:header="0"/>
          <w:type w:val="continuous"/>
        </w:sectPr>
      </w:pPr>
    </w:p>
    <w:p>
      <w:pPr>
        <w:spacing w:after="0" w:line="12" w:lineRule="exact"/>
        <w:rPr>
          <w:sz w:val="24"/>
          <w:szCs w:val="24"/>
          <w:color w:val="auto"/>
        </w:rPr>
      </w:pPr>
    </w:p>
    <w:p>
      <w:pPr>
        <w:ind w:left="3020"/>
        <w:spacing w:after="0"/>
        <w:rPr>
          <w:sz w:val="20"/>
          <w:szCs w:val="20"/>
          <w:color w:val="auto"/>
        </w:rPr>
      </w:pPr>
      <w:r>
        <w:rPr>
          <w:rFonts w:ascii="Arial" w:cs="Arial" w:eastAsia="Arial" w:hAnsi="Arial"/>
          <w:sz w:val="13"/>
          <w:szCs w:val="13"/>
          <w:i w:val="1"/>
          <w:iCs w:val="1"/>
          <w:color w:val="auto"/>
        </w:rPr>
        <w:t>(State or other jurisdiction of</w:t>
      </w:r>
    </w:p>
    <w:p>
      <w:pPr>
        <w:ind w:left="298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3340"/>
        <w:spacing w:after="0"/>
        <w:rPr>
          <w:sz w:val="20"/>
          <w:szCs w:val="20"/>
          <w:color w:val="auto"/>
        </w:rPr>
      </w:pPr>
      <w:r>
        <w:rPr>
          <w:rFonts w:ascii="Arial" w:cs="Arial" w:eastAsia="Arial" w:hAnsi="Arial"/>
          <w:sz w:val="14"/>
          <w:szCs w:val="14"/>
          <w:i w:val="1"/>
          <w:iCs w:val="1"/>
          <w:color w:val="auto"/>
        </w:rPr>
        <w:t>(I.R.S. Employer</w:t>
      </w:r>
    </w:p>
    <w:p>
      <w:pPr>
        <w:jc w:val="center"/>
        <w:ind w:right="3340"/>
        <w:spacing w:after="0"/>
        <w:rPr>
          <w:sz w:val="20"/>
          <w:szCs w:val="20"/>
          <w:color w:val="auto"/>
        </w:rPr>
      </w:pPr>
      <w:r>
        <w:rPr>
          <w:rFonts w:ascii="Arial" w:cs="Arial" w:eastAsia="Arial" w:hAnsi="Arial"/>
          <w:sz w:val="13"/>
          <w:szCs w:val="13"/>
          <w:i w:val="1"/>
          <w:iCs w:val="1"/>
          <w:color w:val="auto"/>
        </w:rPr>
        <w:t>Identification No.)</w:t>
      </w:r>
    </w:p>
    <w:p>
      <w:pPr>
        <w:spacing w:after="0" w:line="73" w:lineRule="exact"/>
        <w:rPr>
          <w:sz w:val="24"/>
          <w:szCs w:val="24"/>
          <w:color w:val="auto"/>
        </w:rPr>
      </w:pPr>
    </w:p>
    <w:p>
      <w:pPr>
        <w:sectPr>
          <w:pgSz w:w="11900" w:h="16838" w:orient="portrait"/>
          <w:cols w:equalWidth="0" w:num="2">
            <w:col w:w="6140" w:space="720"/>
            <w:col w:w="4380"/>
          </w:cols>
          <w:pgMar w:left="320" w:top="1225" w:right="339" w:bottom="1440" w:gutter="0" w:footer="0" w:header="0"/>
          <w:type w:val="continuous"/>
        </w:sectPr>
      </w:pPr>
    </w:p>
    <w:p>
      <w:pPr>
        <w:jc w:val="center"/>
        <w:ind w:left="1340"/>
        <w:spacing w:after="0"/>
        <w:rPr>
          <w:sz w:val="20"/>
          <w:szCs w:val="20"/>
          <w:color w:val="auto"/>
        </w:rPr>
      </w:pPr>
      <w:r>
        <w:rPr>
          <w:rFonts w:ascii="Arial" w:cs="Arial" w:eastAsia="Arial" w:hAnsi="Arial"/>
          <w:sz w:val="14"/>
          <w:szCs w:val="14"/>
          <w:b w:val="1"/>
          <w:bCs w:val="1"/>
          <w:color w:val="auto"/>
        </w:rPr>
        <w:t>Griffin House</w:t>
      </w:r>
    </w:p>
    <w:p>
      <w:pPr>
        <w:spacing w:after="0" w:line="25" w:lineRule="exact"/>
        <w:rPr>
          <w:sz w:val="24"/>
          <w:szCs w:val="24"/>
          <w:color w:val="auto"/>
        </w:rPr>
      </w:pPr>
    </w:p>
    <w:p>
      <w:pPr>
        <w:jc w:val="center"/>
        <w:ind w:left="1340"/>
        <w:spacing w:after="0"/>
        <w:rPr>
          <w:sz w:val="20"/>
          <w:szCs w:val="20"/>
          <w:color w:val="auto"/>
        </w:rPr>
      </w:pPr>
      <w:r>
        <w:rPr>
          <w:rFonts w:ascii="Arial" w:cs="Arial" w:eastAsia="Arial" w:hAnsi="Arial"/>
          <w:sz w:val="14"/>
          <w:szCs w:val="14"/>
          <w:b w:val="1"/>
          <w:bCs w:val="1"/>
          <w:color w:val="auto"/>
        </w:rPr>
        <w:t>161 Hammersmith Rd</w:t>
      </w:r>
    </w:p>
    <w:p>
      <w:pPr>
        <w:spacing w:after="0" w:line="25" w:lineRule="exact"/>
        <w:rPr>
          <w:sz w:val="24"/>
          <w:szCs w:val="24"/>
          <w:color w:val="auto"/>
        </w:rPr>
      </w:pPr>
    </w:p>
    <w:p>
      <w:pPr>
        <w:jc w:val="center"/>
        <w:ind w:left="1340"/>
        <w:spacing w:after="0"/>
        <w:rPr>
          <w:sz w:val="20"/>
          <w:szCs w:val="20"/>
          <w:color w:val="auto"/>
        </w:rPr>
      </w:pPr>
      <w:r>
        <w:rPr>
          <w:rFonts w:ascii="Arial" w:cs="Arial" w:eastAsia="Arial" w:hAnsi="Arial"/>
          <w:sz w:val="14"/>
          <w:szCs w:val="14"/>
          <w:b w:val="1"/>
          <w:bCs w:val="1"/>
          <w:color w:val="auto"/>
        </w:rPr>
        <w:t>London</w:t>
      </w:r>
    </w:p>
    <w:p>
      <w:pPr>
        <w:spacing w:after="0" w:line="25" w:lineRule="exact"/>
        <w:rPr>
          <w:sz w:val="24"/>
          <w:szCs w:val="24"/>
          <w:color w:val="auto"/>
        </w:rPr>
      </w:pPr>
    </w:p>
    <w:p>
      <w:pPr>
        <w:jc w:val="center"/>
        <w:ind w:left="1340"/>
        <w:spacing w:after="0"/>
        <w:rPr>
          <w:sz w:val="20"/>
          <w:szCs w:val="20"/>
          <w:color w:val="auto"/>
        </w:rPr>
      </w:pPr>
      <w:r>
        <w:rPr>
          <w:rFonts w:ascii="Arial" w:cs="Arial" w:eastAsia="Arial" w:hAnsi="Arial"/>
          <w:sz w:val="14"/>
          <w:szCs w:val="14"/>
          <w:b w:val="1"/>
          <w:bCs w:val="1"/>
          <w:color w:val="auto"/>
        </w:rPr>
        <w:t>United Kingdom</w:t>
      </w:r>
    </w:p>
    <w:p>
      <w:pPr>
        <w:spacing w:after="0" w:line="29" w:lineRule="exact"/>
        <w:rPr>
          <w:sz w:val="24"/>
          <w:szCs w:val="24"/>
          <w:color w:val="auto"/>
        </w:rPr>
      </w:pPr>
    </w:p>
    <w:p>
      <w:pPr>
        <w:jc w:val="center"/>
        <w:ind w:left="1340"/>
        <w:spacing w:after="0"/>
        <w:rPr>
          <w:sz w:val="20"/>
          <w:szCs w:val="20"/>
          <w:color w:val="auto"/>
        </w:rPr>
      </w:pPr>
      <w:r>
        <w:rPr>
          <w:rFonts w:ascii="Arial" w:cs="Arial" w:eastAsia="Arial" w:hAnsi="Arial"/>
          <w:sz w:val="12"/>
          <w:szCs w:val="12"/>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7" w:lineRule="exact"/>
        <w:rPr>
          <w:sz w:val="24"/>
          <w:szCs w:val="24"/>
          <w:color w:val="auto"/>
        </w:rPr>
      </w:pPr>
    </w:p>
    <w:p>
      <w:pPr>
        <w:jc w:val="center"/>
        <w:ind w:right="3540"/>
        <w:spacing w:after="0"/>
        <w:rPr>
          <w:sz w:val="20"/>
          <w:szCs w:val="20"/>
          <w:color w:val="auto"/>
        </w:rPr>
      </w:pPr>
      <w:r>
        <w:rPr>
          <w:rFonts w:ascii="Arial" w:cs="Arial" w:eastAsia="Arial" w:hAnsi="Arial"/>
          <w:sz w:val="14"/>
          <w:szCs w:val="14"/>
          <w:b w:val="1"/>
          <w:bCs w:val="1"/>
          <w:color w:val="auto"/>
        </w:rPr>
        <w:t>W6 8BS</w:t>
      </w:r>
    </w:p>
    <w:p>
      <w:pPr>
        <w:spacing w:after="0" w:line="29" w:lineRule="exact"/>
        <w:rPr>
          <w:sz w:val="24"/>
          <w:szCs w:val="24"/>
          <w:color w:val="auto"/>
        </w:rPr>
      </w:pPr>
    </w:p>
    <w:p>
      <w:pPr>
        <w:jc w:val="center"/>
        <w:ind w:right="3540"/>
        <w:spacing w:after="0"/>
        <w:rPr>
          <w:sz w:val="20"/>
          <w:szCs w:val="20"/>
          <w:color w:val="auto"/>
        </w:rPr>
      </w:pPr>
      <w:r>
        <w:rPr>
          <w:rFonts w:ascii="Arial" w:cs="Arial" w:eastAsia="Arial" w:hAnsi="Arial"/>
          <w:sz w:val="13"/>
          <w:szCs w:val="13"/>
          <w:i w:val="1"/>
          <w:iCs w:val="1"/>
          <w:color w:val="auto"/>
        </w:rPr>
        <w:t>(Zip Code)</w:t>
      </w:r>
    </w:p>
    <w:p>
      <w:pPr>
        <w:spacing w:after="0" w:line="200" w:lineRule="exact"/>
        <w:rPr>
          <w:sz w:val="24"/>
          <w:szCs w:val="24"/>
          <w:color w:val="auto"/>
        </w:rPr>
      </w:pPr>
    </w:p>
    <w:p>
      <w:pPr>
        <w:sectPr>
          <w:pgSz w:w="11900" w:h="16838" w:orient="portrait"/>
          <w:cols w:equalWidth="0" w:num="2">
            <w:col w:w="6360" w:space="720"/>
            <w:col w:w="4160"/>
          </w:cols>
          <w:pgMar w:left="320" w:top="1225" w:right="339" w:bottom="1440" w:gutter="0" w:footer="0" w:header="0"/>
          <w:type w:val="continuous"/>
        </w:sectPr>
      </w:pP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Registrant’s telephone number, including area code: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+44.208.483.6449 or 303.220.6600</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1225" w:right="339" w:bottom="1440" w:gutter="0" w:footer="0" w:header="0"/>
          <w:type w:val="continuous"/>
        </w:sectPr>
      </w:pPr>
    </w:p>
    <w:p>
      <w:pPr>
        <w:spacing w:after="0" w:line="166"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08" w:lineRule="exact"/>
        <w:rPr>
          <w:sz w:val="24"/>
          <w:szCs w:val="24"/>
          <w:color w:val="auto"/>
        </w:rPr>
      </w:pPr>
    </w:p>
    <w:p>
      <w:pPr>
        <w:sectPr>
          <w:pgSz w:w="11900" w:h="16838" w:orient="portrait"/>
          <w:cols w:equalWidth="0" w:num="3">
            <w:col w:w="3900" w:space="720"/>
            <w:col w:w="1540" w:space="720"/>
            <w:col w:w="4360"/>
          </w:cols>
          <w:pgMar w:left="320" w:top="1225" w:right="339" w:bottom="1440" w:gutter="0" w:footer="0" w:header="0"/>
          <w:type w:val="continuous"/>
        </w:sectPr>
      </w:pPr>
    </w:p>
    <w:p>
      <w:pPr>
        <w:jc w:val="center"/>
        <w:ind w:left="760"/>
        <w:spacing w:after="0"/>
        <w:rPr>
          <w:sz w:val="20"/>
          <w:szCs w:val="20"/>
          <w:color w:val="auto"/>
        </w:rPr>
      </w:pPr>
      <w:r>
        <w:rPr>
          <w:rFonts w:ascii="Arial" w:cs="Arial" w:eastAsia="Arial" w:hAnsi="Arial"/>
          <w:sz w:val="14"/>
          <w:szCs w:val="14"/>
          <w:color w:val="auto"/>
        </w:rPr>
        <w:t>Class A ordinary shares</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6"/>
          <w:szCs w:val="16"/>
          <w:color w:val="auto"/>
        </w:rPr>
        <w:t>LBTYA</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50" w:lineRule="exact"/>
        <w:rPr>
          <w:sz w:val="24"/>
          <w:szCs w:val="24"/>
          <w:color w:val="auto"/>
        </w:rPr>
      </w:pPr>
    </w:p>
    <w:p>
      <w:pPr>
        <w:sectPr>
          <w:pgSz w:w="11900" w:h="16838" w:orient="portrait"/>
          <w:cols w:equalWidth="0" w:num="3">
            <w:col w:w="4280" w:space="720"/>
            <w:col w:w="1700" w:space="720"/>
            <w:col w:w="3820"/>
          </w:cols>
          <w:pgMar w:left="320" w:top="1225" w:right="339" w:bottom="1440" w:gutter="0" w:footer="0" w:header="0"/>
          <w:type w:val="continuous"/>
        </w:sectPr>
      </w:pPr>
    </w:p>
    <w:p>
      <w:pPr>
        <w:jc w:val="center"/>
        <w:ind w:left="780"/>
        <w:spacing w:after="0"/>
        <w:rPr>
          <w:sz w:val="20"/>
          <w:szCs w:val="20"/>
          <w:color w:val="auto"/>
        </w:rPr>
      </w:pPr>
      <w:r>
        <w:rPr>
          <w:rFonts w:ascii="Arial" w:cs="Arial" w:eastAsia="Arial" w:hAnsi="Arial"/>
          <w:sz w:val="14"/>
          <w:szCs w:val="14"/>
          <w:color w:val="auto"/>
        </w:rPr>
        <w:t>Class B ordinary shares</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6"/>
          <w:szCs w:val="16"/>
          <w:color w:val="auto"/>
        </w:rPr>
        <w:t>LBTYB</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50" w:lineRule="exact"/>
        <w:rPr>
          <w:sz w:val="24"/>
          <w:szCs w:val="24"/>
          <w:color w:val="auto"/>
        </w:rPr>
      </w:pPr>
    </w:p>
    <w:p>
      <w:pPr>
        <w:sectPr>
          <w:pgSz w:w="11900" w:h="16838" w:orient="portrait"/>
          <w:cols w:equalWidth="0" w:num="3">
            <w:col w:w="4280" w:space="720"/>
            <w:col w:w="1700" w:space="720"/>
            <w:col w:w="3820"/>
          </w:cols>
          <w:pgMar w:left="320" w:top="1225" w:right="339" w:bottom="1440" w:gutter="0" w:footer="0" w:header="0"/>
          <w:type w:val="continuous"/>
        </w:sectPr>
      </w:pPr>
    </w:p>
    <w:p>
      <w:pPr>
        <w:jc w:val="center"/>
        <w:ind w:left="780"/>
        <w:spacing w:after="0"/>
        <w:rPr>
          <w:sz w:val="20"/>
          <w:szCs w:val="20"/>
          <w:color w:val="auto"/>
        </w:rPr>
      </w:pPr>
      <w:r>
        <w:rPr>
          <w:rFonts w:ascii="Arial" w:cs="Arial" w:eastAsia="Arial" w:hAnsi="Arial"/>
          <w:sz w:val="14"/>
          <w:szCs w:val="14"/>
          <w:color w:val="auto"/>
        </w:rPr>
        <w:t>Class C ordinary shares</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6"/>
          <w:szCs w:val="16"/>
          <w:color w:val="auto"/>
        </w:rPr>
        <w:t>LBTYK</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222" w:lineRule="exact"/>
        <w:rPr>
          <w:sz w:val="24"/>
          <w:szCs w:val="24"/>
          <w:color w:val="auto"/>
        </w:rPr>
      </w:pPr>
    </w:p>
    <w:p>
      <w:pPr>
        <w:sectPr>
          <w:pgSz w:w="11900" w:h="16838" w:orient="portrait"/>
          <w:cols w:equalWidth="0" w:num="3">
            <w:col w:w="4280" w:space="720"/>
            <w:col w:w="1700" w:space="720"/>
            <w:col w:w="3820"/>
          </w:cols>
          <w:pgMar w:left="320" w:top="1225" w:right="339" w:bottom="1440" w:gutter="0" w:footer="0" w:header="0"/>
          <w:type w:val="continuous"/>
        </w:sectPr>
      </w:pPr>
    </w:p>
    <w:p>
      <w:pPr>
        <w:spacing w:after="0" w:line="67" w:lineRule="exact"/>
        <w:rPr>
          <w:sz w:val="24"/>
          <w:szCs w:val="24"/>
          <w:color w:val="auto"/>
        </w:rPr>
      </w:pPr>
    </w:p>
    <w:p>
      <w:pPr>
        <w:ind w:right="160"/>
        <w:spacing w:after="0" w:line="28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28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3" w:lineRule="exact"/>
        <w:rPr>
          <w:sz w:val="24"/>
          <w:szCs w:val="24"/>
          <w:color w:val="auto"/>
        </w:rPr>
      </w:pPr>
    </w:p>
    <w:p>
      <w:pPr>
        <w:ind w:right="600"/>
        <w:spacing w:after="0" w:line="20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right="20"/>
        <w:spacing w:after="0" w:line="32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32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67" w:lineRule="exact"/>
        <w:rPr>
          <w:sz w:val="24"/>
          <w:szCs w:val="24"/>
          <w:color w:val="auto"/>
        </w:rPr>
      </w:pPr>
    </w:p>
    <w:p>
      <w:pPr>
        <w:ind w:left="3560"/>
        <w:spacing w:after="0" w:line="21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9"/>
          <w:szCs w:val="19"/>
          <w:color w:val="auto"/>
        </w:rPr>
        <w:t>☐</w:t>
      </w:r>
    </w:p>
    <w:p>
      <w:pPr>
        <w:spacing w:after="0" w:line="144" w:lineRule="exact"/>
        <w:rPr>
          <w:sz w:val="24"/>
          <w:szCs w:val="24"/>
          <w:color w:val="auto"/>
        </w:rPr>
      </w:pPr>
    </w:p>
    <w:p>
      <w:pPr>
        <w:spacing w:after="0" w:line="20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spacing w:after="0" w:line="267" w:lineRule="auto"/>
        <w:rPr>
          <w:sz w:val="20"/>
          <w:szCs w:val="20"/>
          <w:color w:val="auto"/>
        </w:rPr>
      </w:pPr>
      <w:r>
        <w:rPr>
          <w:rFonts w:ascii="Arial" w:cs="Arial" w:eastAsia="Arial" w:hAnsi="Arial"/>
          <w:sz w:val="16"/>
          <w:szCs w:val="16"/>
          <w:color w:val="auto"/>
        </w:rPr>
        <w:t>The number of outstanding ordinary shares of Liberty Global plc as of July 20, 2021 was: 176,571,806 class A ordinary shares, 12,930,839 class B ordinary shares and 366,049,267 class C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768350</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83185</wp:posOffset>
            </wp:positionV>
            <wp:extent cx="70002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1714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57785</wp:posOffset>
            </wp:positionV>
            <wp:extent cx="7000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0240" cy="8255"/>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type w:val="continuous"/>
        </w:sectPr>
      </w:pPr>
    </w:p>
    <w:bookmarkStart w:id="1" w:name="page2"/>
    <w:bookmarkEnd w:id="1"/>
    <w:p>
      <w:pPr>
        <w:ind w:left="4640"/>
        <w:spacing w:after="0"/>
        <w:rPr>
          <w:sz w:val="20"/>
          <w:szCs w:val="20"/>
          <w:color w:val="auto"/>
        </w:rPr>
      </w:pPr>
      <w:r>
        <w:rPr>
          <w:rFonts w:ascii="Arial" w:cs="Arial" w:eastAsia="Arial" w:hAnsi="Arial"/>
          <w:sz w:val="18"/>
          <w:szCs w:val="18"/>
          <w:b w:val="1"/>
          <w:bCs w:val="1"/>
          <w:color w:val="auto"/>
        </w:rPr>
        <w:t>LIBERTY GLOBAL PLC</w:t>
      </w:r>
    </w:p>
    <w:p>
      <w:pPr>
        <w:spacing w:after="0" w:line="98"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TABLE OF CONTENTS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60" w:type="dxa"/>
            <w:vAlign w:val="bottom"/>
            <w:gridSpan w:val="9"/>
          </w:tcPr>
          <w:p>
            <w:pPr>
              <w:jc w:val="center"/>
              <w:ind w:right="2560"/>
              <w:spacing w:after="0"/>
              <w:rPr>
                <w:sz w:val="20"/>
                <w:szCs w:val="20"/>
                <w:color w:val="auto"/>
              </w:rPr>
            </w:pPr>
            <w:r>
              <w:rPr>
                <w:rFonts w:ascii="Arial" w:cs="Arial" w:eastAsia="Arial" w:hAnsi="Arial"/>
                <w:sz w:val="18"/>
                <w:szCs w:val="18"/>
                <w:b w:val="1"/>
                <w:bCs w:val="1"/>
                <w:color w:val="auto"/>
              </w:rPr>
              <w:t>PART I — FINANCIAL INFORMATION</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Arial" w:cs="Arial" w:eastAsia="Arial" w:hAnsi="Arial"/>
                <w:sz w:val="18"/>
                <w:szCs w:val="18"/>
                <w:color w:val="auto"/>
              </w:rPr>
              <w:t>ITEM 1.</w:t>
            </w:r>
          </w:p>
        </w:tc>
        <w:tc>
          <w:tcPr>
            <w:tcW w:w="940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6880" w:type="dxa"/>
            <w:vAlign w:val="bottom"/>
            <w:gridSpan w:val="9"/>
          </w:tcPr>
          <w:p>
            <w:pPr>
              <w:spacing w:after="0" w:line="187" w:lineRule="exact"/>
              <w:rPr>
                <w:rFonts w:ascii="Arial" w:cs="Arial" w:eastAsia="Arial" w:hAnsi="Arial"/>
                <w:sz w:val="18"/>
                <w:szCs w:val="18"/>
                <w:color w:val="0000FF"/>
                <w:w w:val="86"/>
              </w:rPr>
            </w:pPr>
            <w:hyperlink w:anchor="page2">
              <w:r>
                <w:rPr>
                  <w:rFonts w:ascii="Arial" w:cs="Arial" w:eastAsia="Arial" w:hAnsi="Arial"/>
                  <w:sz w:val="18"/>
                  <w:szCs w:val="18"/>
                  <w:color w:val="0000FF"/>
                  <w:w w:val="86"/>
                </w:rPr>
                <w:t xml:space="preserve">Condensed Consolidated Balance Sheets as of June </w:t>
              </w:r>
            </w:hyperlink>
            <w:r>
              <w:rPr>
                <w:rFonts w:ascii="Arial" w:cs="Arial" w:eastAsia="Arial" w:hAnsi="Arial"/>
                <w:sz w:val="18"/>
                <w:szCs w:val="18"/>
                <w:color w:val="0000FF"/>
                <w:w w:val="86"/>
              </w:rPr>
              <w:t xml:space="preserve">30, </w:t>
            </w:r>
            <w:hyperlink w:anchor="page2">
              <w:r>
                <w:rPr>
                  <w:rFonts w:ascii="Arial" w:cs="Arial" w:eastAsia="Arial" w:hAnsi="Arial"/>
                  <w:sz w:val="18"/>
                  <w:szCs w:val="18"/>
                  <w:color w:val="0000FF"/>
                  <w:w w:val="86"/>
                </w:rPr>
                <w:t>2021 and December 31, 2020 (unaudited)</w:t>
              </w:r>
            </w:hyperlink>
          </w:p>
        </w:tc>
        <w:tc>
          <w:tcPr>
            <w:tcW w:w="2520" w:type="dxa"/>
            <w:vAlign w:val="bottom"/>
            <w:gridSpan w:val="5"/>
          </w:tcPr>
          <w:p>
            <w:pPr>
              <w:spacing w:after="0"/>
              <w:rPr>
                <w:sz w:val="16"/>
                <w:szCs w:val="16"/>
                <w:color w:val="auto"/>
              </w:rPr>
            </w:pPr>
          </w:p>
        </w:tc>
        <w:tc>
          <w:tcPr>
            <w:tcW w:w="460" w:type="dxa"/>
            <w:vAlign w:val="bottom"/>
            <w:gridSpan w:val="4"/>
          </w:tcPr>
          <w:p>
            <w:pPr>
              <w:jc w:val="center"/>
              <w:ind w:left="215"/>
              <w:spacing w:after="0" w:line="187"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1</w:t>
              </w:r>
            </w:hyperlink>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9400" w:type="dxa"/>
            <w:vAlign w:val="bottom"/>
            <w:gridSpan w:val="14"/>
          </w:tcPr>
          <w:p>
            <w:pPr>
              <w:spacing w:after="0" w:line="205" w:lineRule="exact"/>
              <w:rPr>
                <w:rFonts w:ascii="Arial" w:cs="Arial" w:eastAsia="Arial" w:hAnsi="Arial"/>
                <w:sz w:val="18"/>
                <w:szCs w:val="18"/>
                <w:color w:val="0000FF"/>
                <w:w w:val="93"/>
              </w:rPr>
            </w:pPr>
            <w:hyperlink w:anchor="page4">
              <w:r>
                <w:rPr>
                  <w:rFonts w:ascii="Arial" w:cs="Arial" w:eastAsia="Arial" w:hAnsi="Arial"/>
                  <w:sz w:val="18"/>
                  <w:szCs w:val="18"/>
                  <w:color w:val="0000FF"/>
                  <w:w w:val="93"/>
                </w:rPr>
                <w:t xml:space="preserve">Condensed Consolidated Statements of Operations for the Three and Six Months Ended June </w:t>
              </w:r>
            </w:hyperlink>
            <w:r>
              <w:rPr>
                <w:rFonts w:ascii="Arial" w:cs="Arial" w:eastAsia="Arial" w:hAnsi="Arial"/>
                <w:sz w:val="18"/>
                <w:szCs w:val="18"/>
                <w:color w:val="0000FF"/>
                <w:w w:val="93"/>
              </w:rPr>
              <w:t xml:space="preserve">30, </w:t>
            </w:r>
            <w:hyperlink w:anchor="page4">
              <w:r>
                <w:rPr>
                  <w:rFonts w:ascii="Arial" w:cs="Arial" w:eastAsia="Arial" w:hAnsi="Arial"/>
                  <w:sz w:val="18"/>
                  <w:szCs w:val="18"/>
                  <w:color w:val="0000FF"/>
                  <w:w w:val="93"/>
                </w:rPr>
                <w:t>2021 and 2020 (unaudited)</w:t>
              </w:r>
            </w:hyperlink>
          </w:p>
        </w:tc>
        <w:tc>
          <w:tcPr>
            <w:tcW w:w="460" w:type="dxa"/>
            <w:vAlign w:val="bottom"/>
            <w:gridSpan w:val="4"/>
          </w:tcPr>
          <w:p>
            <w:pPr>
              <w:jc w:val="center"/>
              <w:ind w:left="215"/>
              <w:spacing w:after="0" w:line="205"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9400" w:type="dxa"/>
            <w:vAlign w:val="bottom"/>
            <w:gridSpan w:val="14"/>
          </w:tcPr>
          <w:p>
            <w:pPr>
              <w:spacing w:after="0" w:line="205" w:lineRule="exact"/>
              <w:rPr>
                <w:rFonts w:ascii="Arial" w:cs="Arial" w:eastAsia="Arial" w:hAnsi="Arial"/>
                <w:sz w:val="18"/>
                <w:szCs w:val="18"/>
                <w:color w:val="0000FF"/>
                <w:w w:val="92"/>
              </w:rPr>
            </w:pPr>
            <w:hyperlink w:anchor="page5">
              <w:r>
                <w:rPr>
                  <w:rFonts w:ascii="Arial" w:cs="Arial" w:eastAsia="Arial" w:hAnsi="Arial"/>
                  <w:sz w:val="18"/>
                  <w:szCs w:val="18"/>
                  <w:color w:val="0000FF"/>
                  <w:w w:val="92"/>
                </w:rPr>
                <w:t>Condensed Consolidated Statements of Comprehensive Earnings for the Three and Six Months Ended June 30, 2021 and 2020</w:t>
              </w:r>
            </w:hyperlink>
          </w:p>
        </w:tc>
        <w:tc>
          <w:tcPr>
            <w:tcW w:w="460" w:type="dxa"/>
            <w:vAlign w:val="bottom"/>
            <w:gridSpan w:val="4"/>
            <w:vMerge w:val="restart"/>
          </w:tcPr>
          <w:p>
            <w:pPr>
              <w:jc w:val="center"/>
              <w:ind w:left="215"/>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800" w:type="dxa"/>
            <w:vAlign w:val="bottom"/>
            <w:tcBorders>
              <w:top w:val="single" w:sz="8" w:color="0000FF"/>
            </w:tcBorders>
            <w:gridSpan w:val="12"/>
          </w:tcPr>
          <w:p>
            <w:pPr>
              <w:spacing w:after="0" w:line="152" w:lineRule="exact"/>
              <w:rPr>
                <w:rFonts w:ascii="Arial" w:cs="Arial" w:eastAsia="Arial" w:hAnsi="Arial"/>
                <w:sz w:val="17"/>
                <w:szCs w:val="17"/>
                <w:color w:val="0000FF"/>
              </w:rPr>
            </w:pPr>
            <w:hyperlink w:anchor="page5">
              <w:r>
                <w:rPr>
                  <w:rFonts w:ascii="Arial" w:cs="Arial" w:eastAsia="Arial" w:hAnsi="Arial"/>
                  <w:sz w:val="17"/>
                  <w:szCs w:val="17"/>
                  <w:color w:val="0000FF"/>
                </w:rPr>
                <w:t>(unaudited)</w:t>
              </w:r>
            </w:hyperlink>
          </w:p>
        </w:tc>
        <w:tc>
          <w:tcPr>
            <w:tcW w:w="460" w:type="dxa"/>
            <w:vAlign w:val="bottom"/>
          </w:tcPr>
          <w:p>
            <w:pPr>
              <w:spacing w:after="0"/>
              <w:rPr>
                <w:sz w:val="13"/>
                <w:szCs w:val="13"/>
                <w:color w:val="auto"/>
              </w:rPr>
            </w:pPr>
          </w:p>
        </w:tc>
        <w:tc>
          <w:tcPr>
            <w:tcW w:w="46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9400" w:type="dxa"/>
            <w:vAlign w:val="bottom"/>
            <w:gridSpan w:val="14"/>
          </w:tcPr>
          <w:p>
            <w:pPr>
              <w:spacing w:after="0" w:line="205" w:lineRule="exact"/>
              <w:rPr>
                <w:rFonts w:ascii="Arial" w:cs="Arial" w:eastAsia="Arial" w:hAnsi="Arial"/>
                <w:sz w:val="18"/>
                <w:szCs w:val="18"/>
                <w:color w:val="0000FF"/>
                <w:w w:val="97"/>
              </w:rPr>
            </w:pPr>
            <w:hyperlink w:anchor="page6">
              <w:r>
                <w:rPr>
                  <w:rFonts w:ascii="Arial" w:cs="Arial" w:eastAsia="Arial" w:hAnsi="Arial"/>
                  <w:sz w:val="18"/>
                  <w:szCs w:val="18"/>
                  <w:color w:val="0000FF"/>
                  <w:w w:val="97"/>
                </w:rPr>
                <w:t>Condensed Consolidated Statements of Equity for the Three and Six Months Ended June 30, 2021 and 2020 (unaudited)</w:t>
              </w:r>
            </w:hyperlink>
          </w:p>
        </w:tc>
        <w:tc>
          <w:tcPr>
            <w:tcW w:w="460" w:type="dxa"/>
            <w:vAlign w:val="bottom"/>
            <w:gridSpan w:val="4"/>
          </w:tcPr>
          <w:p>
            <w:pPr>
              <w:jc w:val="center"/>
              <w:ind w:left="215"/>
              <w:spacing w:after="0" w:line="205"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8480" w:type="dxa"/>
            <w:vAlign w:val="bottom"/>
            <w:gridSpan w:val="11"/>
          </w:tcPr>
          <w:p>
            <w:pPr>
              <w:spacing w:after="0" w:line="205" w:lineRule="exact"/>
              <w:rPr>
                <w:rFonts w:ascii="Arial" w:cs="Arial" w:eastAsia="Arial" w:hAnsi="Arial"/>
                <w:sz w:val="18"/>
                <w:szCs w:val="18"/>
                <w:color w:val="0000FF"/>
                <w:w w:val="92"/>
              </w:rPr>
            </w:pPr>
            <w:hyperlink w:anchor="page8">
              <w:r>
                <w:rPr>
                  <w:rFonts w:ascii="Arial" w:cs="Arial" w:eastAsia="Arial" w:hAnsi="Arial"/>
                  <w:sz w:val="18"/>
                  <w:szCs w:val="18"/>
                  <w:color w:val="0000FF"/>
                  <w:w w:val="92"/>
                </w:rPr>
                <w:t>Condensed Consolidated Statements of Cash Flows for the Six Months Ended June 30, 2021 and 2020 (unaudited)</w:t>
              </w:r>
            </w:hyperlink>
          </w:p>
        </w:tc>
        <w:tc>
          <w:tcPr>
            <w:tcW w:w="920" w:type="dxa"/>
            <w:vAlign w:val="bottom"/>
            <w:gridSpan w:val="3"/>
          </w:tcPr>
          <w:p>
            <w:pPr>
              <w:spacing w:after="0"/>
              <w:rPr>
                <w:sz w:val="17"/>
                <w:szCs w:val="17"/>
                <w:color w:val="auto"/>
              </w:rPr>
            </w:pPr>
          </w:p>
        </w:tc>
        <w:tc>
          <w:tcPr>
            <w:tcW w:w="460" w:type="dxa"/>
            <w:vAlign w:val="bottom"/>
            <w:gridSpan w:val="4"/>
          </w:tcPr>
          <w:p>
            <w:pPr>
              <w:jc w:val="center"/>
              <w:ind w:left="215"/>
              <w:spacing w:after="0" w:line="205"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8080" w:type="dxa"/>
            <w:vAlign w:val="bottom"/>
            <w:gridSpan w:val="10"/>
          </w:tcPr>
          <w:p>
            <w:pPr>
              <w:spacing w:after="0" w:line="205" w:lineRule="exact"/>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 (unaudited)</w:t>
              </w:r>
            </w:hyperlink>
          </w:p>
        </w:tc>
        <w:tc>
          <w:tcPr>
            <w:tcW w:w="1320" w:type="dxa"/>
            <w:vAlign w:val="bottom"/>
            <w:gridSpan w:val="4"/>
          </w:tcPr>
          <w:p>
            <w:pPr>
              <w:spacing w:after="0"/>
              <w:rPr>
                <w:sz w:val="17"/>
                <w:szCs w:val="17"/>
                <w:color w:val="auto"/>
              </w:rPr>
            </w:pPr>
          </w:p>
        </w:tc>
        <w:tc>
          <w:tcPr>
            <w:tcW w:w="460" w:type="dxa"/>
            <w:vAlign w:val="bottom"/>
            <w:gridSpan w:val="4"/>
          </w:tcPr>
          <w:p>
            <w:pPr>
              <w:jc w:val="center"/>
              <w:ind w:left="215"/>
              <w:spacing w:after="0" w:line="205"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9</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2.</w:t>
            </w:r>
          </w:p>
        </w:tc>
        <w:tc>
          <w:tcPr>
            <w:tcW w:w="8740" w:type="dxa"/>
            <w:vAlign w:val="bottom"/>
            <w:gridSpan w:val="12"/>
          </w:tcPr>
          <w:p>
            <w:pPr>
              <w:spacing w:after="0" w:line="205" w:lineRule="exact"/>
              <w:rPr>
                <w:rFonts w:ascii="Arial" w:cs="Arial" w:eastAsia="Arial" w:hAnsi="Arial"/>
                <w:sz w:val="18"/>
                <w:szCs w:val="18"/>
                <w:color w:val="0000FF"/>
                <w:w w:val="94"/>
              </w:rPr>
            </w:pPr>
            <w:hyperlink w:anchor="page50">
              <w:r>
                <w:rPr>
                  <w:rFonts w:ascii="Arial" w:cs="Arial" w:eastAsia="Arial" w:hAnsi="Arial"/>
                  <w:sz w:val="18"/>
                  <w:szCs w:val="18"/>
                  <w:color w:val="0000FF"/>
                  <w:w w:val="94"/>
                </w:rPr>
                <w:t>MANAGEMENT’S DISCUSSION AND ANALYSIS OF FINANCIAL CONDITION AND RESULTS OF OPERATIONS</w:t>
              </w:r>
            </w:hyperlink>
          </w:p>
        </w:tc>
        <w:tc>
          <w:tcPr>
            <w:tcW w:w="6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4"/>
          </w:tcPr>
          <w:p>
            <w:pPr>
              <w:jc w:val="center"/>
              <w:ind w:right="300"/>
              <w:spacing w:after="0" w:line="205"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49</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3.</w:t>
            </w:r>
          </w:p>
        </w:tc>
        <w:tc>
          <w:tcPr>
            <w:tcW w:w="6020" w:type="dxa"/>
            <w:vAlign w:val="bottom"/>
            <w:gridSpan w:val="8"/>
          </w:tcPr>
          <w:p>
            <w:pPr>
              <w:spacing w:after="0" w:line="205" w:lineRule="exact"/>
              <w:rPr>
                <w:rFonts w:ascii="Arial" w:cs="Arial" w:eastAsia="Arial" w:hAnsi="Arial"/>
                <w:sz w:val="18"/>
                <w:szCs w:val="18"/>
                <w:color w:val="0000FF"/>
                <w:w w:val="96"/>
              </w:rPr>
            </w:pPr>
            <w:hyperlink w:anchor="page82">
              <w:r>
                <w:rPr>
                  <w:rFonts w:ascii="Arial" w:cs="Arial" w:eastAsia="Arial" w:hAnsi="Arial"/>
                  <w:sz w:val="18"/>
                  <w:szCs w:val="18"/>
                  <w:color w:val="0000FF"/>
                  <w:w w:val="96"/>
                </w:rPr>
                <w:t>QUANTITATIVE AND QUALITATIVE DISCLOSURES ABOUT MARKET RISK</w:t>
              </w:r>
            </w:hyperlink>
          </w:p>
        </w:tc>
        <w:tc>
          <w:tcPr>
            <w:tcW w:w="2720" w:type="dxa"/>
            <w:vAlign w:val="bottom"/>
            <w:gridSpan w:val="4"/>
          </w:tcPr>
          <w:p>
            <w:pPr>
              <w:spacing w:after="0"/>
              <w:rPr>
                <w:sz w:val="17"/>
                <w:szCs w:val="17"/>
                <w:color w:val="auto"/>
              </w:rPr>
            </w:pPr>
          </w:p>
        </w:tc>
        <w:tc>
          <w:tcPr>
            <w:tcW w:w="6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4"/>
          </w:tcPr>
          <w:p>
            <w:pPr>
              <w:jc w:val="center"/>
              <w:ind w:right="300"/>
              <w:spacing w:after="0" w:line="205" w:lineRule="exact"/>
              <w:rPr>
                <w:rFonts w:ascii="Arial" w:cs="Arial" w:eastAsia="Arial" w:hAnsi="Arial"/>
                <w:sz w:val="18"/>
                <w:szCs w:val="18"/>
                <w:color w:val="0000FF"/>
                <w:w w:val="89"/>
              </w:rPr>
            </w:pPr>
            <w:hyperlink w:anchor="page82">
              <w:r>
                <w:rPr>
                  <w:rFonts w:ascii="Arial" w:cs="Arial" w:eastAsia="Arial" w:hAnsi="Arial"/>
                  <w:sz w:val="18"/>
                  <w:szCs w:val="18"/>
                  <w:color w:val="0000FF"/>
                  <w:w w:val="89"/>
                </w:rPr>
                <w:t>81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4.</w:t>
            </w:r>
          </w:p>
        </w:tc>
        <w:tc>
          <w:tcPr>
            <w:tcW w:w="6020" w:type="dxa"/>
            <w:vAlign w:val="bottom"/>
            <w:gridSpan w:val="8"/>
          </w:tcPr>
          <w:p>
            <w:pPr>
              <w:spacing w:after="0" w:line="205" w:lineRule="exact"/>
              <w:rPr>
                <w:rFonts w:ascii="Arial" w:cs="Arial" w:eastAsia="Arial" w:hAnsi="Arial"/>
                <w:sz w:val="18"/>
                <w:szCs w:val="18"/>
                <w:color w:val="0000FF"/>
              </w:rPr>
            </w:pPr>
            <w:hyperlink w:anchor="page86">
              <w:r>
                <w:rPr>
                  <w:rFonts w:ascii="Arial" w:cs="Arial" w:eastAsia="Arial" w:hAnsi="Arial"/>
                  <w:sz w:val="18"/>
                  <w:szCs w:val="18"/>
                  <w:color w:val="0000FF"/>
                </w:rPr>
                <w:t>CONTROLS AND PROCEDURES</w:t>
              </w:r>
            </w:hyperlink>
          </w:p>
        </w:tc>
        <w:tc>
          <w:tcPr>
            <w:tcW w:w="338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4"/>
          </w:tcPr>
          <w:p>
            <w:pPr>
              <w:jc w:val="center"/>
              <w:ind w:right="300"/>
              <w:spacing w:after="0" w:line="205"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84</w:t>
              </w:r>
            </w:hyperlink>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86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6860" w:type="dxa"/>
            <w:vAlign w:val="bottom"/>
            <w:gridSpan w:val="9"/>
          </w:tcPr>
          <w:p>
            <w:pPr>
              <w:jc w:val="center"/>
              <w:ind w:right="2580"/>
              <w:spacing w:after="0"/>
              <w:rPr>
                <w:sz w:val="20"/>
                <w:szCs w:val="20"/>
                <w:color w:val="auto"/>
              </w:rPr>
            </w:pPr>
            <w:r>
              <w:rPr>
                <w:rFonts w:ascii="Arial" w:cs="Arial" w:eastAsia="Arial" w:hAnsi="Arial"/>
                <w:sz w:val="18"/>
                <w:szCs w:val="18"/>
                <w:b w:val="1"/>
                <w:bCs w:val="1"/>
                <w:color w:val="auto"/>
              </w:rPr>
              <w:t>PART II — OTHER INFORMATION</w:t>
            </w:r>
          </w:p>
        </w:tc>
        <w:tc>
          <w:tcPr>
            <w:tcW w:w="280" w:type="dxa"/>
            <w:vAlign w:val="bottom"/>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080" w:type="dxa"/>
            <w:vAlign w:val="bottom"/>
          </w:tcPr>
          <w:p>
            <w:pPr>
              <w:ind w:left="20"/>
              <w:spacing w:after="0" w:line="187" w:lineRule="exact"/>
              <w:rPr>
                <w:sz w:val="20"/>
                <w:szCs w:val="20"/>
                <w:color w:val="auto"/>
              </w:rPr>
            </w:pPr>
            <w:r>
              <w:rPr>
                <w:rFonts w:ascii="Arial" w:cs="Arial" w:eastAsia="Arial" w:hAnsi="Arial"/>
                <w:sz w:val="18"/>
                <w:szCs w:val="18"/>
                <w:color w:val="auto"/>
              </w:rPr>
              <w:t>ITEM 1.</w:t>
            </w:r>
          </w:p>
        </w:tc>
        <w:tc>
          <w:tcPr>
            <w:tcW w:w="9400" w:type="dxa"/>
            <w:vAlign w:val="bottom"/>
            <w:gridSpan w:val="14"/>
          </w:tcPr>
          <w:p>
            <w:pPr>
              <w:spacing w:after="0" w:line="187" w:lineRule="exact"/>
              <w:rPr>
                <w:rFonts w:ascii="Arial" w:cs="Arial" w:eastAsia="Arial" w:hAnsi="Arial"/>
                <w:sz w:val="18"/>
                <w:szCs w:val="18"/>
                <w:color w:val="0000FF"/>
              </w:rPr>
            </w:pPr>
            <w:hyperlink w:anchor="page87">
              <w:r>
                <w:rPr>
                  <w:rFonts w:ascii="Arial" w:cs="Arial" w:eastAsia="Arial" w:hAnsi="Arial"/>
                  <w:sz w:val="18"/>
                  <w:szCs w:val="18"/>
                  <w:color w:val="0000FF"/>
                </w:rPr>
                <w:t>LEGAL PROCEEDINGS</w:t>
              </w:r>
            </w:hyperlink>
          </w:p>
        </w:tc>
        <w:tc>
          <w:tcPr>
            <w:tcW w:w="760" w:type="dxa"/>
            <w:vAlign w:val="bottom"/>
            <w:gridSpan w:val="5"/>
          </w:tcPr>
          <w:p>
            <w:pPr>
              <w:jc w:val="center"/>
              <w:ind w:right="20"/>
              <w:spacing w:after="0" w:line="187"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85</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2.</w:t>
            </w:r>
          </w:p>
        </w:tc>
        <w:tc>
          <w:tcPr>
            <w:tcW w:w="9400" w:type="dxa"/>
            <w:vAlign w:val="bottom"/>
            <w:gridSpan w:val="14"/>
          </w:tcPr>
          <w:p>
            <w:pPr>
              <w:spacing w:after="0" w:line="205" w:lineRule="exact"/>
              <w:rPr>
                <w:rFonts w:ascii="Arial" w:cs="Arial" w:eastAsia="Arial" w:hAnsi="Arial"/>
                <w:sz w:val="18"/>
                <w:szCs w:val="18"/>
                <w:color w:val="0000FF"/>
              </w:rPr>
            </w:pPr>
            <w:hyperlink w:anchor="page87">
              <w:r>
                <w:rPr>
                  <w:rFonts w:ascii="Arial" w:cs="Arial" w:eastAsia="Arial" w:hAnsi="Arial"/>
                  <w:sz w:val="18"/>
                  <w:szCs w:val="18"/>
                  <w:color w:val="0000FF"/>
                </w:rPr>
                <w:t>UNREGISTERED SALES OF EQUITY SECURITIES AND USE OF PROCEEDS</w:t>
              </w:r>
            </w:hyperlink>
          </w:p>
        </w:tc>
        <w:tc>
          <w:tcPr>
            <w:tcW w:w="760" w:type="dxa"/>
            <w:vAlign w:val="bottom"/>
            <w:gridSpan w:val="5"/>
          </w:tcPr>
          <w:p>
            <w:pPr>
              <w:jc w:val="center"/>
              <w:ind w:right="20"/>
              <w:spacing w:after="0" w:line="205"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85</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140" w:type="dxa"/>
            <w:vAlign w:val="bottom"/>
            <w:gridSpan w:val="5"/>
            <w:shd w:val="clear" w:color="auto" w:fill="0000FF"/>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6.</w:t>
            </w:r>
          </w:p>
        </w:tc>
        <w:tc>
          <w:tcPr>
            <w:tcW w:w="5940" w:type="dxa"/>
            <w:vAlign w:val="bottom"/>
            <w:gridSpan w:val="7"/>
          </w:tcPr>
          <w:p>
            <w:pPr>
              <w:spacing w:after="0" w:line="205" w:lineRule="exact"/>
              <w:rPr>
                <w:rFonts w:ascii="Arial" w:cs="Arial" w:eastAsia="Arial" w:hAnsi="Arial"/>
                <w:sz w:val="18"/>
                <w:szCs w:val="18"/>
                <w:color w:val="0000FF"/>
              </w:rPr>
            </w:pPr>
            <w:hyperlink w:anchor="page87">
              <w:r>
                <w:rPr>
                  <w:rFonts w:ascii="Arial" w:cs="Arial" w:eastAsia="Arial" w:hAnsi="Arial"/>
                  <w:sz w:val="18"/>
                  <w:szCs w:val="18"/>
                  <w:color w:val="0000FF"/>
                </w:rPr>
                <w:t>EXHIBITS</w:t>
              </w:r>
            </w:hyperlink>
          </w:p>
        </w:tc>
        <w:tc>
          <w:tcPr>
            <w:tcW w:w="346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4"/>
          </w:tcPr>
          <w:p>
            <w:pPr>
              <w:jc w:val="center"/>
              <w:ind w:right="300"/>
              <w:spacing w:after="0" w:line="205"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86</w:t>
              </w:r>
            </w:hyperlink>
          </w:p>
        </w:tc>
        <w:tc>
          <w:tcPr>
            <w:tcW w:w="0" w:type="dxa"/>
            <w:vAlign w:val="bottom"/>
          </w:tcPr>
          <w:p>
            <w:pPr>
              <w:spacing w:after="0"/>
              <w:rPr>
                <w:sz w:val="1"/>
                <w:szCs w:val="1"/>
                <w:color w:val="auto"/>
              </w:rPr>
            </w:pPr>
          </w:p>
        </w:tc>
      </w:tr>
      <w:tr>
        <w:trPr>
          <w:trHeight w:val="1219"/>
        </w:trPr>
        <w:tc>
          <w:tcPr>
            <w:tcW w:w="108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6"/>
                <w:szCs w:val="16"/>
                <w:color w:val="auto"/>
              </w:rPr>
            </w:pPr>
          </w:p>
        </w:tc>
        <w:tc>
          <w:tcPr>
            <w:tcW w:w="1240" w:type="dxa"/>
            <w:vAlign w:val="bottom"/>
          </w:tcPr>
          <w:p>
            <w:pPr>
              <w:jc w:val="right"/>
              <w:ind w:right="153"/>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0"/>
        </w:trPr>
        <w:tc>
          <w:tcPr>
            <w:tcW w:w="8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8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gridSpan w:val="4"/>
          </w:tcPr>
          <w:p>
            <w:pPr>
              <w:jc w:val="right"/>
              <w:ind w:right="1013"/>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4"/>
        </w:trPr>
        <w:tc>
          <w:tcPr>
            <w:tcW w:w="8320" w:type="dxa"/>
            <w:vAlign w:val="bottom"/>
          </w:tcPr>
          <w:p>
            <w:pPr>
              <w:ind w:left="388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1,327.2</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receivables,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1,090.7</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Short-term investments (measured at fair value on a recurring basis) (note 5)</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1,600.2</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 (notes 3, 4, 5 and 6)</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0" w:type="dxa"/>
            <w:vAlign w:val="bottom"/>
          </w:tcPr>
          <w:p>
            <w:pPr>
              <w:spacing w:after="0"/>
              <w:rPr>
                <w:sz w:val="1"/>
                <w:szCs w:val="1"/>
                <w:color w:val="auto"/>
              </w:rPr>
            </w:pPr>
          </w:p>
        </w:tc>
      </w:tr>
      <w:tr>
        <w:trPr>
          <w:trHeight w:val="218"/>
        </w:trPr>
        <w:tc>
          <w:tcPr>
            <w:tcW w:w="8320" w:type="dxa"/>
            <w:vAlign w:val="bottom"/>
          </w:tcPr>
          <w:p>
            <w:pPr>
              <w:ind w:left="340"/>
              <w:spacing w:after="0" w:line="204" w:lineRule="exact"/>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4,849.1</w:t>
            </w:r>
          </w:p>
        </w:tc>
        <w:tc>
          <w:tcPr>
            <w:tcW w:w="0" w:type="dxa"/>
            <w:vAlign w:val="bottom"/>
          </w:tcPr>
          <w:p>
            <w:pPr>
              <w:spacing w:after="0"/>
              <w:rPr>
                <w:sz w:val="1"/>
                <w:szCs w:val="1"/>
                <w:color w:val="auto"/>
              </w:rPr>
            </w:pPr>
          </w:p>
        </w:tc>
      </w:tr>
      <w:tr>
        <w:trPr>
          <w:trHeight w:val="174"/>
        </w:trPr>
        <w:tc>
          <w:tcPr>
            <w:tcW w:w="83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89"/>
              </w:rPr>
              <w:t>Investments and related notes receivable (including $2,331.5 million and $1,865.8 million, respectively, measured at</w:t>
            </w: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20,220.9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5,354.5</w:t>
            </w:r>
          </w:p>
        </w:tc>
        <w:tc>
          <w:tcPr>
            <w:tcW w:w="0" w:type="dxa"/>
            <w:vAlign w:val="bottom"/>
          </w:tcPr>
          <w:p>
            <w:pPr>
              <w:spacing w:after="0"/>
              <w:rPr>
                <w:sz w:val="1"/>
                <w:szCs w:val="1"/>
                <w:color w:val="auto"/>
              </w:rPr>
            </w:pPr>
          </w:p>
        </w:tc>
      </w:tr>
      <w:tr>
        <w:trPr>
          <w:trHeight w:val="224"/>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on a recurring basis) (note 5)</w:t>
            </w:r>
          </w:p>
        </w:tc>
        <w:tc>
          <w:tcPr>
            <w:tcW w:w="2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Property and equipment, net (notes 8 and 10)</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7,585.2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8,054.1</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(note 8)</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10,466.7</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Intangible assets subject to amortization, net (note 8)</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2,886.0</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held for sale (note 4)</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24,282.7</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 (notes 3, 4, 6, 8 and 10)</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3,199.6</w:t>
            </w:r>
          </w:p>
        </w:tc>
        <w:tc>
          <w:tcPr>
            <w:tcW w:w="0" w:type="dxa"/>
            <w:vAlign w:val="bottom"/>
          </w:tcPr>
          <w:p>
            <w:pPr>
              <w:spacing w:after="0"/>
              <w:rPr>
                <w:sz w:val="1"/>
                <w:szCs w:val="1"/>
                <w:color w:val="auto"/>
              </w:rPr>
            </w:pPr>
          </w:p>
        </w:tc>
      </w:tr>
      <w:tr>
        <w:trPr>
          <w:trHeight w:val="243"/>
        </w:trPr>
        <w:tc>
          <w:tcPr>
            <w:tcW w:w="8320" w:type="dxa"/>
            <w:vAlign w:val="bottom"/>
            <w:tcBorders>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48,554.6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59,092.7</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1200" w:type="dxa"/>
            <w:vAlign w:val="bottom"/>
          </w:tcPr>
          <w:p>
            <w:pPr>
              <w:jc w:val="right"/>
              <w:ind w:right="132"/>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4"/>
          </w:tcPr>
          <w:p>
            <w:pPr>
              <w:jc w:val="right"/>
              <w:ind w:right="95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4"/>
        </w:trPr>
        <w:tc>
          <w:tcPr>
            <w:tcW w:w="8440" w:type="dxa"/>
            <w:vAlign w:val="bottom"/>
          </w:tcPr>
          <w:p>
            <w:pPr>
              <w:ind w:left="320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599.2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618.2</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 (note 3)</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Current portion of debt and finance lease obligations (notes 9 and 10)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1,130.4</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income taxes (note 11)</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Derivative instruments (note 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and current liabilities (note 10)</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1,781.2</w:t>
            </w:r>
          </w:p>
        </w:tc>
        <w:tc>
          <w:tcPr>
            <w:tcW w:w="0" w:type="dxa"/>
            <w:vAlign w:val="bottom"/>
          </w:tcPr>
          <w:p>
            <w:pPr>
              <w:spacing w:after="0"/>
              <w:rPr>
                <w:sz w:val="1"/>
                <w:szCs w:val="1"/>
                <w:color w:val="auto"/>
              </w:rPr>
            </w:pPr>
          </w:p>
        </w:tc>
      </w:tr>
      <w:tr>
        <w:trPr>
          <w:trHeight w:val="218"/>
        </w:trPr>
        <w:tc>
          <w:tcPr>
            <w:tcW w:w="8440" w:type="dxa"/>
            <w:vAlign w:val="bottom"/>
          </w:tcPr>
          <w:p>
            <w:pPr>
              <w:ind w:left="340"/>
              <w:spacing w:after="0" w:line="204" w:lineRule="exact"/>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4,192.1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4,467.0</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 (notes 9 and 10)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13,867.3</w:t>
            </w:r>
          </w:p>
        </w:tc>
        <w:tc>
          <w:tcPr>
            <w:tcW w:w="0" w:type="dxa"/>
            <w:vAlign w:val="bottom"/>
          </w:tcPr>
          <w:p>
            <w:pPr>
              <w:spacing w:after="0"/>
              <w:rPr>
                <w:sz w:val="1"/>
                <w:szCs w:val="1"/>
                <w:color w:val="auto"/>
              </w:rPr>
            </w:pP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Liabilities associated with assets held for sale (note 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23,197.2</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 (note 10)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1,267.4</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 (notes 3, 6 and 13)</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2,995.4</w:t>
            </w: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22,004.6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45,794.3</w:t>
            </w:r>
          </w:p>
        </w:tc>
        <w:tc>
          <w:tcPr>
            <w:tcW w:w="0" w:type="dxa"/>
            <w:vAlign w:val="bottom"/>
          </w:tcPr>
          <w:p>
            <w:pPr>
              <w:spacing w:after="0"/>
              <w:rPr>
                <w:sz w:val="1"/>
                <w:szCs w:val="1"/>
                <w:color w:val="auto"/>
              </w:rPr>
            </w:pPr>
          </w:p>
        </w:tc>
      </w:tr>
      <w:tr>
        <w:trPr>
          <w:trHeight w:val="179"/>
        </w:trPr>
        <w:tc>
          <w:tcPr>
            <w:tcW w:w="8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(notes 6, 9, 11 and 15)</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(note 12):</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Liberty Global shareholders: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44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w w:val="88"/>
              </w:rPr>
              <w:t>Class A ordinary shares, $0.01 nominal value. Issued and outstanding 176,566,406 shares and 181,348,114 shares,</w:t>
            </w: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440" w:type="dxa"/>
            <w:vAlign w:val="bottom"/>
          </w:tcPr>
          <w:p>
            <w:pPr>
              <w:ind w:left="220"/>
              <w:spacing w:after="0" w:line="173" w:lineRule="exact"/>
              <w:rPr>
                <w:sz w:val="20"/>
                <w:szCs w:val="20"/>
                <w:color w:val="auto"/>
              </w:rPr>
            </w:pPr>
            <w:r>
              <w:rPr>
                <w:rFonts w:ascii="Arial" w:cs="Arial" w:eastAsia="Arial" w:hAnsi="Arial"/>
                <w:sz w:val="18"/>
                <w:szCs w:val="18"/>
                <w:color w:val="auto"/>
                <w:w w:val="90"/>
              </w:rPr>
              <w:t>Class B ordinary shares, $0.01 nominal value. Issued and outstanding 12,930,839 shares and 12,561,444 shares,</w:t>
            </w:r>
          </w:p>
        </w:tc>
        <w:tc>
          <w:tcPr>
            <w:tcW w:w="2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4"/>
        </w:trPr>
        <w:tc>
          <w:tcPr>
            <w:tcW w:w="844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44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w w:val="88"/>
              </w:rPr>
              <w:t>Class C ordinary shares, $0.01 nominal value. Issued and outstanding 368,946,495 shares and 386,588,921 shares,</w:t>
            </w: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4,698.3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5,271.7</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earnings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4,692.1</w:t>
            </w:r>
          </w:p>
        </w:tc>
        <w:tc>
          <w:tcPr>
            <w:tcW w:w="0" w:type="dxa"/>
            <w:vAlign w:val="bottom"/>
          </w:tcPr>
          <w:p>
            <w:pPr>
              <w:spacing w:after="0"/>
              <w:rPr>
                <w:sz w:val="1"/>
                <w:szCs w:val="1"/>
                <w:color w:val="auto"/>
              </w:rPr>
            </w:pPr>
          </w:p>
        </w:tc>
      </w:tr>
      <w:tr>
        <w:trPr>
          <w:trHeight w:val="225"/>
        </w:trPr>
        <w:tc>
          <w:tcPr>
            <w:tcW w:w="8440" w:type="dxa"/>
            <w:vAlign w:val="bottom"/>
          </w:tcPr>
          <w:p>
            <w:pPr>
              <w:ind w:left="220"/>
              <w:spacing w:after="0"/>
              <w:rPr>
                <w:sz w:val="20"/>
                <w:szCs w:val="20"/>
                <w:color w:val="auto"/>
              </w:rPr>
            </w:pPr>
            <w:r>
              <w:rPr>
                <w:rFonts w:ascii="Arial" w:cs="Arial" w:eastAsia="Arial" w:hAnsi="Arial"/>
                <w:sz w:val="18"/>
                <w:szCs w:val="18"/>
                <w:color w:val="auto"/>
              </w:rPr>
              <w:t>Accumulated other comprehensive earnings, net of taxes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4,972.6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3,693.1</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shares, at cost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8"/>
        </w:trPr>
        <w:tc>
          <w:tcPr>
            <w:tcW w:w="8440" w:type="dxa"/>
            <w:vAlign w:val="bottom"/>
          </w:tcPr>
          <w:p>
            <w:pPr>
              <w:ind w:left="460"/>
              <w:spacing w:after="0" w:line="204" w:lineRule="exact"/>
              <w:rPr>
                <w:sz w:val="20"/>
                <w:szCs w:val="20"/>
                <w:color w:val="auto"/>
              </w:rPr>
            </w:pPr>
            <w:r>
              <w:rPr>
                <w:rFonts w:ascii="Arial" w:cs="Arial" w:eastAsia="Arial" w:hAnsi="Arial"/>
                <w:sz w:val="18"/>
                <w:szCs w:val="18"/>
                <w:color w:val="auto"/>
              </w:rPr>
              <w:t>Total Liberty Global shareholders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26,882.1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13,662.6</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18"/>
        </w:trPr>
        <w:tc>
          <w:tcPr>
            <w:tcW w:w="8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13,298.4</w:t>
            </w: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48,554.6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59,092.7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8"/>
              </w:rPr>
              <w:t>Three months ended</w:t>
            </w:r>
          </w:p>
        </w:tc>
        <w:tc>
          <w:tcPr>
            <w:tcW w:w="280" w:type="dxa"/>
            <w:vAlign w:val="bottom"/>
          </w:tcPr>
          <w:p>
            <w:pPr>
              <w:spacing w:after="0"/>
              <w:rPr>
                <w:sz w:val="18"/>
                <w:szCs w:val="18"/>
                <w:color w:val="auto"/>
              </w:rPr>
            </w:pPr>
          </w:p>
        </w:tc>
        <w:tc>
          <w:tcPr>
            <w:tcW w:w="2260" w:type="dxa"/>
            <w:vAlign w:val="bottom"/>
            <w:gridSpan w:val="4"/>
          </w:tcPr>
          <w:p>
            <w:pPr>
              <w:jc w:val="right"/>
              <w:ind w:right="57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6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6"/>
                <w:szCs w:val="16"/>
                <w:b w:val="1"/>
                <w:bCs w:val="1"/>
                <w:color w:val="auto"/>
                <w:w w:val="87"/>
              </w:rPr>
              <w:t>June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6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6"/>
          </w:tcPr>
          <w:p>
            <w:pPr>
              <w:spacing w:after="0"/>
              <w:rPr>
                <w:sz w:val="20"/>
                <w:szCs w:val="20"/>
                <w:color w:val="auto"/>
              </w:rPr>
            </w:pPr>
            <w:r>
              <w:rPr>
                <w:rFonts w:ascii="Arial" w:cs="Arial" w:eastAsia="Arial" w:hAnsi="Arial"/>
                <w:sz w:val="16"/>
                <w:szCs w:val="16"/>
                <w:b w:val="1"/>
                <w:bCs w:val="1"/>
                <w:color w:val="auto"/>
                <w:w w:val="91"/>
              </w:rPr>
              <w:t>in millions, except per share amounts</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(notes 3, 4, 5 and 16)</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5,598.7</w:t>
            </w:r>
          </w:p>
        </w:tc>
        <w:tc>
          <w:tcPr>
            <w:tcW w:w="0" w:type="dxa"/>
            <w:vAlign w:val="bottom"/>
          </w:tcPr>
          <w:p>
            <w:pPr>
              <w:spacing w:after="0"/>
              <w:rPr>
                <w:sz w:val="1"/>
                <w:szCs w:val="1"/>
                <w:color w:val="auto"/>
              </w:rPr>
            </w:pPr>
          </w:p>
        </w:tc>
      </w:tr>
      <w:tr>
        <w:trPr>
          <w:trHeight w:val="153"/>
        </w:trPr>
        <w:tc>
          <w:tcPr>
            <w:tcW w:w="6040" w:type="dxa"/>
            <w:vAlign w:val="bottom"/>
          </w:tcPr>
          <w:p>
            <w:pPr>
              <w:ind w:left="20"/>
              <w:spacing w:after="0" w:line="154" w:lineRule="exact"/>
              <w:rPr>
                <w:sz w:val="20"/>
                <w:szCs w:val="20"/>
                <w:color w:val="auto"/>
              </w:rPr>
            </w:pPr>
            <w:r>
              <w:rPr>
                <w:rFonts w:ascii="Arial" w:cs="Arial" w:eastAsia="Arial" w:hAnsi="Arial"/>
                <w:sz w:val="17"/>
                <w:szCs w:val="17"/>
                <w:color w:val="auto"/>
                <w:w w:val="97"/>
              </w:rPr>
              <w:t>Operating costs and expenses (exclusive of depreciation and amortization, shown</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6040" w:type="dxa"/>
            <w:vAlign w:val="bottom"/>
          </w:tcPr>
          <w:p>
            <w:pPr>
              <w:ind w:left="100"/>
              <w:spacing w:after="0"/>
              <w:rPr>
                <w:sz w:val="20"/>
                <w:szCs w:val="20"/>
                <w:color w:val="auto"/>
              </w:rPr>
            </w:pPr>
            <w:r>
              <w:rPr>
                <w:rFonts w:ascii="Arial" w:cs="Arial" w:eastAsia="Arial" w:hAnsi="Arial"/>
                <w:sz w:val="18"/>
                <w:szCs w:val="18"/>
                <w:color w:val="auto"/>
              </w:rPr>
              <w:t>separately below):</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Programming and other direct costs of services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1,570.1</w:t>
            </w:r>
          </w:p>
        </w:tc>
        <w:tc>
          <w:tcPr>
            <w:tcW w:w="0" w:type="dxa"/>
            <w:vAlign w:val="bottom"/>
          </w:tcPr>
          <w:p>
            <w:pPr>
              <w:spacing w:after="0"/>
              <w:rPr>
                <w:sz w:val="1"/>
                <w:szCs w:val="1"/>
                <w:color w:val="auto"/>
              </w:rPr>
            </w:pPr>
          </w:p>
        </w:tc>
      </w:tr>
      <w:tr>
        <w:trPr>
          <w:trHeight w:val="225"/>
        </w:trPr>
        <w:tc>
          <w:tcPr>
            <w:tcW w:w="6040" w:type="dxa"/>
            <w:vAlign w:val="bottom"/>
          </w:tcPr>
          <w:p>
            <w:pPr>
              <w:ind w:left="140"/>
              <w:spacing w:after="0"/>
              <w:rPr>
                <w:sz w:val="20"/>
                <w:szCs w:val="20"/>
                <w:color w:val="auto"/>
              </w:rPr>
            </w:pPr>
            <w:r>
              <w:rPr>
                <w:rFonts w:ascii="Arial" w:cs="Arial" w:eastAsia="Arial" w:hAnsi="Arial"/>
                <w:sz w:val="18"/>
                <w:szCs w:val="18"/>
                <w:color w:val="auto"/>
              </w:rPr>
              <w:t>Other operating (note 13)</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821.2</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b w:val="1"/>
                <w:bCs w:val="1"/>
                <w:color w:val="auto"/>
              </w:rPr>
              <w:t>SG&amp;A</w:t>
            </w:r>
            <w:r>
              <w:rPr>
                <w:rFonts w:ascii="Arial" w:cs="Arial" w:eastAsia="Arial" w:hAnsi="Arial"/>
                <w:sz w:val="18"/>
                <w:szCs w:val="18"/>
                <w:color w:val="auto"/>
              </w:rPr>
              <w:t>) (note 13)</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1,007.6</w:t>
            </w:r>
          </w:p>
        </w:tc>
        <w:tc>
          <w:tcPr>
            <w:tcW w:w="0" w:type="dxa"/>
            <w:vAlign w:val="bottom"/>
          </w:tcPr>
          <w:p>
            <w:pPr>
              <w:spacing w:after="0"/>
              <w:rPr>
                <w:sz w:val="1"/>
                <w:szCs w:val="1"/>
                <w:color w:val="auto"/>
              </w:rPr>
            </w:pPr>
          </w:p>
        </w:tc>
      </w:tr>
      <w:tr>
        <w:trPr>
          <w:trHeight w:val="225"/>
        </w:trPr>
        <w:tc>
          <w:tcPr>
            <w:tcW w:w="60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1,329.2</w:t>
            </w:r>
          </w:p>
        </w:tc>
        <w:tc>
          <w:tcPr>
            <w:tcW w:w="0" w:type="dxa"/>
            <w:vAlign w:val="bottom"/>
          </w:tcPr>
          <w:p>
            <w:pPr>
              <w:spacing w:after="0"/>
              <w:rPr>
                <w:sz w:val="1"/>
                <w:szCs w:val="1"/>
                <w:color w:val="auto"/>
              </w:rPr>
            </w:pPr>
          </w:p>
        </w:tc>
      </w:tr>
      <w:tr>
        <w:trPr>
          <w:trHeight w:val="225"/>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8"/>
        </w:trPr>
        <w:tc>
          <w:tcPr>
            <w:tcW w:w="60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4,791.3</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0" w:type="dxa"/>
            <w:vAlign w:val="bottom"/>
          </w:tcPr>
          <w:p>
            <w:pPr>
              <w:spacing w:after="0"/>
              <w:rPr>
                <w:sz w:val="1"/>
                <w:szCs w:val="1"/>
                <w:color w:val="auto"/>
              </w:rPr>
            </w:pPr>
          </w:p>
        </w:tc>
      </w:tr>
      <w:tr>
        <w:trPr>
          <w:trHeight w:val="205"/>
        </w:trPr>
        <w:tc>
          <w:tcPr>
            <w:tcW w:w="6040" w:type="dxa"/>
            <w:vAlign w:val="bottom"/>
          </w:tcPr>
          <w:p>
            <w:pPr>
              <w:ind w:left="20"/>
              <w:spacing w:after="0" w:line="204" w:lineRule="exact"/>
              <w:rPr>
                <w:sz w:val="20"/>
                <w:szCs w:val="20"/>
                <w:color w:val="auto"/>
              </w:rPr>
            </w:pPr>
            <w:r>
              <w:rPr>
                <w:rFonts w:ascii="Arial" w:cs="Arial" w:eastAsia="Arial" w:hAnsi="Arial"/>
                <w:sz w:val="18"/>
                <w:szCs w:val="18"/>
                <w:color w:val="auto"/>
              </w:rPr>
              <w:t>Non-operating income (expense):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25"/>
        </w:trPr>
        <w:tc>
          <w:tcPr>
            <w:tcW w:w="6040" w:type="dxa"/>
            <w:vAlign w:val="bottom"/>
          </w:tcPr>
          <w:p>
            <w:pPr>
              <w:ind w:left="140"/>
              <w:spacing w:after="0"/>
              <w:rPr>
                <w:sz w:val="20"/>
                <w:szCs w:val="20"/>
                <w:color w:val="auto"/>
              </w:rPr>
            </w:pPr>
            <w:r>
              <w:rPr>
                <w:rFonts w:ascii="Arial" w:cs="Arial" w:eastAsia="Arial" w:hAnsi="Arial"/>
                <w:sz w:val="18"/>
                <w:szCs w:val="18"/>
                <w:color w:val="auto"/>
                <w:w w:val="95"/>
              </w:rPr>
              <w:t>Realized and unrealized gains (losses) on derivative instruments, net (note 6)</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transaction gains (losses),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173"/>
        </w:trPr>
        <w:tc>
          <w:tcPr>
            <w:tcW w:w="6040" w:type="dxa"/>
            <w:vAlign w:val="bottom"/>
          </w:tcPr>
          <w:p>
            <w:pPr>
              <w:ind w:left="140"/>
              <w:spacing w:after="0" w:line="173" w:lineRule="exact"/>
              <w:rPr>
                <w:sz w:val="20"/>
                <w:szCs w:val="20"/>
                <w:color w:val="auto"/>
              </w:rPr>
            </w:pPr>
            <w:r>
              <w:rPr>
                <w:rFonts w:ascii="Arial" w:cs="Arial" w:eastAsia="Arial" w:hAnsi="Arial"/>
                <w:sz w:val="18"/>
                <w:szCs w:val="18"/>
                <w:color w:val="auto"/>
                <w:w w:val="94"/>
              </w:rPr>
              <w:t>Realized and unrealized gains (losses) due to changes in fair values of certain</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288.1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482.7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24"/>
        </w:trPr>
        <w:tc>
          <w:tcPr>
            <w:tcW w:w="6040" w:type="dxa"/>
            <w:vAlign w:val="bottom"/>
          </w:tcPr>
          <w:p>
            <w:pPr>
              <w:ind w:left="300"/>
              <w:spacing w:after="0"/>
              <w:rPr>
                <w:sz w:val="20"/>
                <w:szCs w:val="20"/>
                <w:color w:val="auto"/>
              </w:rPr>
            </w:pPr>
            <w:r>
              <w:rPr>
                <w:rFonts w:ascii="Arial" w:cs="Arial" w:eastAsia="Arial" w:hAnsi="Arial"/>
                <w:sz w:val="18"/>
                <w:szCs w:val="18"/>
                <w:color w:val="auto"/>
              </w:rPr>
              <w:t>investments and debt, net (notes 5, 7 and 9)</w:t>
            </w: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 on debt extinguishment, net (note 9)</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25"/>
        </w:trPr>
        <w:tc>
          <w:tcPr>
            <w:tcW w:w="6040" w:type="dxa"/>
            <w:vAlign w:val="bottom"/>
          </w:tcPr>
          <w:p>
            <w:pPr>
              <w:ind w:left="140"/>
              <w:spacing w:after="0"/>
              <w:rPr>
                <w:sz w:val="20"/>
                <w:szCs w:val="20"/>
                <w:color w:val="auto"/>
              </w:rPr>
            </w:pPr>
            <w:r>
              <w:rPr>
                <w:rFonts w:ascii="Arial" w:cs="Arial" w:eastAsia="Arial" w:hAnsi="Arial"/>
                <w:sz w:val="18"/>
                <w:szCs w:val="18"/>
                <w:color w:val="auto"/>
              </w:rPr>
              <w:t>Share of results of affiliates, net (note 5)</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U.K. JV Transaction (note 4)</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10,891.8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18"/>
        </w:trPr>
        <w:tc>
          <w:tcPr>
            <w:tcW w:w="6040" w:type="dxa"/>
            <w:vAlign w:val="bottom"/>
          </w:tcPr>
          <w:p>
            <w:pPr>
              <w:ind w:left="260"/>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11,457.3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13,068.1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 (note 11)</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8"/>
        </w:trPr>
        <w:tc>
          <w:tcPr>
            <w:tcW w:w="6040" w:type="dxa"/>
            <w:vAlign w:val="bottom"/>
          </w:tcPr>
          <w:p>
            <w:pPr>
              <w:ind w:left="260"/>
              <w:spacing w:after="0"/>
              <w:rPr>
                <w:sz w:val="20"/>
                <w:szCs w:val="20"/>
                <w:color w:val="auto"/>
              </w:rPr>
            </w:pPr>
            <w:r>
              <w:rPr>
                <w:rFonts w:ascii="Arial" w:cs="Arial" w:eastAsia="Arial" w:hAnsi="Arial"/>
                <w:sz w:val="18"/>
                <w:szCs w:val="18"/>
                <w:color w:val="auto"/>
              </w:rPr>
              <w:t>Net earnings (loss)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11,174.5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12,614.8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513.9</w:t>
            </w:r>
          </w:p>
        </w:tc>
        <w:tc>
          <w:tcPr>
            <w:tcW w:w="0" w:type="dxa"/>
            <w:vAlign w:val="bottom"/>
          </w:tcPr>
          <w:p>
            <w:pPr>
              <w:spacing w:after="0"/>
              <w:rPr>
                <w:sz w:val="1"/>
                <w:szCs w:val="1"/>
                <w:color w:val="auto"/>
              </w:rPr>
            </w:pPr>
          </w:p>
        </w:tc>
      </w:tr>
      <w:tr>
        <w:trPr>
          <w:trHeight w:val="225"/>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9"/>
        </w:trPr>
        <w:tc>
          <w:tcPr>
            <w:tcW w:w="6040" w:type="dxa"/>
            <w:vAlign w:val="bottom"/>
          </w:tcPr>
          <w:p>
            <w:pPr>
              <w:ind w:left="260"/>
              <w:spacing w:after="0"/>
              <w:rPr>
                <w:sz w:val="20"/>
                <w:szCs w:val="20"/>
                <w:color w:val="auto"/>
              </w:rPr>
            </w:pPr>
            <w:r>
              <w:rPr>
                <w:rFonts w:ascii="Arial" w:cs="Arial" w:eastAsia="Arial" w:hAnsi="Arial"/>
                <w:sz w:val="18"/>
                <w:szCs w:val="18"/>
                <w:color w:val="auto"/>
              </w:rPr>
              <w:t>Net earnings (loss) attributable to Liberty Global shareholders</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11,128.2</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w w:val="90"/>
              </w:rPr>
              <w:t>Basic earnings (loss) attributable to Liberty Global shareholders per share (note 14)</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04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Diluted earnings (loss) attributable to Liberty Global shareholders per share (note</w:t>
            </w:r>
          </w:p>
        </w:tc>
        <w:tc>
          <w:tcPr>
            <w:tcW w:w="2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8"/>
        </w:trPr>
        <w:tc>
          <w:tcPr>
            <w:tcW w:w="6040" w:type="dxa"/>
            <w:vAlign w:val="bottom"/>
            <w:tcBorders>
              <w:bottom w:val="single" w:sz="8" w:color="CCEEFF"/>
            </w:tcBorders>
            <w:shd w:val="clear" w:color="auto" w:fill="CCEEFF"/>
          </w:tcPr>
          <w:p>
            <w:pPr>
              <w:ind w:left="100"/>
              <w:spacing w:after="0" w:line="198" w:lineRule="exact"/>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200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Six months ended</w:t>
            </w:r>
          </w:p>
        </w:tc>
      </w:tr>
      <w:tr>
        <w:trPr>
          <w:trHeight w:val="214"/>
        </w:trPr>
        <w:tc>
          <w:tcPr>
            <w:tcW w:w="6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r>
      <w:tr>
        <w:trPr>
          <w:trHeight w:val="206"/>
        </w:trPr>
        <w:tc>
          <w:tcPr>
            <w:tcW w:w="6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r>
      <w:tr>
        <w:trPr>
          <w:trHeight w:val="203"/>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12,614.8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513.9</w:t>
            </w:r>
          </w:p>
        </w:tc>
      </w:tr>
      <w:tr>
        <w:trPr>
          <w:trHeight w:val="205"/>
        </w:trPr>
        <w:tc>
          <w:tcPr>
            <w:tcW w:w="6400" w:type="dxa"/>
            <w:vAlign w:val="bottom"/>
          </w:tcPr>
          <w:p>
            <w:pPr>
              <w:ind w:left="20"/>
              <w:spacing w:after="0" w:line="204" w:lineRule="exact"/>
              <w:rPr>
                <w:sz w:val="20"/>
                <w:szCs w:val="20"/>
                <w:color w:val="auto"/>
              </w:rPr>
            </w:pPr>
            <w:r>
              <w:rPr>
                <w:rFonts w:ascii="Arial" w:cs="Arial" w:eastAsia="Arial" w:hAnsi="Arial"/>
                <w:sz w:val="18"/>
                <w:szCs w:val="18"/>
                <w:color w:val="auto"/>
              </w:rPr>
              <w:t>Other comprehensive earnings (loss), net of taxes: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r>
      <w:tr>
        <w:trPr>
          <w:trHeight w:val="225"/>
        </w:trPr>
        <w:tc>
          <w:tcPr>
            <w:tcW w:w="6400" w:type="dxa"/>
            <w:vAlign w:val="bottom"/>
          </w:tcPr>
          <w:p>
            <w:pPr>
              <w:ind w:left="180"/>
              <w:spacing w:after="0"/>
              <w:rPr>
                <w:sz w:val="20"/>
                <w:szCs w:val="20"/>
                <w:color w:val="auto"/>
              </w:rPr>
            </w:pPr>
            <w:r>
              <w:rPr>
                <w:rFonts w:ascii="Arial" w:cs="Arial" w:eastAsia="Arial" w:hAnsi="Arial"/>
                <w:sz w:val="18"/>
                <w:szCs w:val="18"/>
                <w:color w:val="auto"/>
              </w:rPr>
              <w:t>Reclassification adjustment included in net earnings (loss) (note 4)</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Pension-related adjustments and other</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18"/>
        </w:trPr>
        <w:tc>
          <w:tcPr>
            <w:tcW w:w="6400" w:type="dxa"/>
            <w:vAlign w:val="bottom"/>
          </w:tcPr>
          <w:p>
            <w:pPr>
              <w:ind w:left="460"/>
              <w:spacing w:after="0"/>
              <w:rPr>
                <w:sz w:val="20"/>
                <w:szCs w:val="20"/>
                <w:color w:val="auto"/>
              </w:rPr>
            </w:pPr>
            <w:r>
              <w:rPr>
                <w:rFonts w:ascii="Arial" w:cs="Arial" w:eastAsia="Arial" w:hAnsi="Arial"/>
                <w:sz w:val="18"/>
                <w:szCs w:val="18"/>
                <w:color w:val="auto"/>
              </w:rPr>
              <w:t>Other comprehensive earnings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(442.6)</w:t>
            </w:r>
          </w:p>
        </w:tc>
      </w:tr>
      <w:tr>
        <w:trPr>
          <w:trHeight w:val="226"/>
        </w:trPr>
        <w:tc>
          <w:tcPr>
            <w:tcW w:w="6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Comprehensive earnings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13,895.6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25"/>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earnings attributable to noncontrolling interests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r>
      <w:tr>
        <w:trPr>
          <w:trHeight w:val="244"/>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9"/>
              </w:rPr>
              <w:t>Comprehensive earnings (loss) attributable to Liberty Global shareholders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13,793.1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ind w:left="340"/>
              <w:spacing w:after="0"/>
              <w:rPr>
                <w:sz w:val="20"/>
                <w:szCs w:val="20"/>
                <w:color w:val="auto"/>
              </w:rPr>
            </w:pPr>
            <w:r>
              <w:rPr>
                <w:rFonts w:ascii="Arial" w:cs="Arial" w:eastAsia="Arial" w:hAnsi="Arial"/>
                <w:sz w:val="16"/>
                <w:szCs w:val="16"/>
                <w:b w:val="1"/>
                <w:bCs w:val="1"/>
                <w:color w:val="auto"/>
              </w:rPr>
              <w:t>Liberty Global shareholders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Additional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9"/>
              </w:rPr>
              <w:t>other</w:t>
            </w: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6"/>
            <w:vMerge w:val="restart"/>
          </w:tcPr>
          <w:p>
            <w:pPr>
              <w:jc w:val="center"/>
              <w:ind w:left="92"/>
              <w:spacing w:after="0"/>
              <w:rPr>
                <w:sz w:val="20"/>
                <w:szCs w:val="20"/>
                <w:color w:val="auto"/>
              </w:rPr>
            </w:pPr>
            <w:r>
              <w:rPr>
                <w:rFonts w:ascii="Arial" w:cs="Arial" w:eastAsia="Arial" w:hAnsi="Arial"/>
                <w:sz w:val="16"/>
                <w:szCs w:val="16"/>
                <w:b w:val="1"/>
                <w:bCs w:val="1"/>
                <w:color w:val="auto"/>
                <w:w w:val="91"/>
              </w:rPr>
              <w:t>Ordinary shares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Arial" w:cs="Arial" w:eastAsia="Arial" w:hAnsi="Arial"/>
                <w:sz w:val="16"/>
                <w:szCs w:val="16"/>
                <w:b w:val="1"/>
                <w:bCs w:val="1"/>
                <w:color w:val="auto"/>
                <w:w w:val="86"/>
              </w:rPr>
              <w:t>comprehensive</w:t>
            </w:r>
          </w:p>
        </w:tc>
        <w:tc>
          <w:tcPr>
            <w:tcW w:w="7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3"/>
              </w:rPr>
              <w:t>Liberty</w:t>
            </w: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6"/>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00"/>
              <w:spacing w:after="0" w:line="139" w:lineRule="exact"/>
              <w:rPr>
                <w:sz w:val="20"/>
                <w:szCs w:val="20"/>
                <w:color w:val="auto"/>
              </w:rPr>
            </w:pPr>
            <w:r>
              <w:rPr>
                <w:rFonts w:ascii="Arial" w:cs="Arial" w:eastAsia="Arial" w:hAnsi="Arial"/>
                <w:sz w:val="16"/>
                <w:szCs w:val="16"/>
                <w:b w:val="1"/>
                <w:bCs w:val="1"/>
                <w:color w:val="auto"/>
                <w:w w:val="91"/>
              </w:rPr>
              <w:t>paid-in</w:t>
            </w:r>
          </w:p>
        </w:tc>
        <w:tc>
          <w:tcPr>
            <w:tcW w:w="940" w:type="dxa"/>
            <w:vAlign w:val="bottom"/>
            <w:gridSpan w:val="2"/>
          </w:tcPr>
          <w:p>
            <w:pPr>
              <w:ind w:left="20"/>
              <w:spacing w:after="0" w:line="139" w:lineRule="exact"/>
              <w:rPr>
                <w:sz w:val="20"/>
                <w:szCs w:val="20"/>
                <w:color w:val="auto"/>
              </w:rPr>
            </w:pPr>
            <w:r>
              <w:rPr>
                <w:rFonts w:ascii="Arial" w:cs="Arial" w:eastAsia="Arial" w:hAnsi="Arial"/>
                <w:sz w:val="16"/>
                <w:szCs w:val="16"/>
                <w:b w:val="1"/>
                <w:bCs w:val="1"/>
                <w:color w:val="auto"/>
                <w:w w:val="89"/>
              </w:rPr>
              <w:t>Accumulated</w:t>
            </w:r>
          </w:p>
        </w:tc>
        <w:tc>
          <w:tcPr>
            <w:tcW w:w="80" w:type="dxa"/>
            <w:vAlign w:val="bottom"/>
          </w:tcPr>
          <w:p>
            <w:pPr>
              <w:spacing w:after="0"/>
              <w:rPr>
                <w:sz w:val="12"/>
                <w:szCs w:val="12"/>
                <w:color w:val="auto"/>
              </w:rPr>
            </w:pPr>
          </w:p>
        </w:tc>
        <w:tc>
          <w:tcPr>
            <w:tcW w:w="1140" w:type="dxa"/>
            <w:vAlign w:val="bottom"/>
            <w:gridSpan w:val="3"/>
          </w:tcPr>
          <w:p>
            <w:pPr>
              <w:jc w:val="center"/>
              <w:ind w:right="80"/>
              <w:spacing w:after="0" w:line="139" w:lineRule="exact"/>
              <w:rPr>
                <w:sz w:val="20"/>
                <w:szCs w:val="20"/>
                <w:color w:val="auto"/>
              </w:rPr>
            </w:pPr>
            <w:r>
              <w:rPr>
                <w:rFonts w:ascii="Arial" w:cs="Arial" w:eastAsia="Arial" w:hAnsi="Arial"/>
                <w:sz w:val="16"/>
                <w:szCs w:val="16"/>
                <w:b w:val="1"/>
                <w:bCs w:val="1"/>
                <w:color w:val="auto"/>
                <w:w w:val="86"/>
              </w:rPr>
              <w:t>earnings, net</w:t>
            </w:r>
          </w:p>
        </w:tc>
        <w:tc>
          <w:tcPr>
            <w:tcW w:w="760" w:type="dxa"/>
            <w:vAlign w:val="bottom"/>
            <w:gridSpan w:val="3"/>
          </w:tcPr>
          <w:p>
            <w:pPr>
              <w:ind w:left="100"/>
              <w:spacing w:after="0" w:line="139" w:lineRule="exact"/>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39" w:lineRule="exact"/>
              <w:rPr>
                <w:sz w:val="20"/>
                <w:szCs w:val="20"/>
                <w:color w:val="auto"/>
              </w:rPr>
            </w:pPr>
            <w:r>
              <w:rPr>
                <w:rFonts w:ascii="Arial" w:cs="Arial" w:eastAsia="Arial" w:hAnsi="Arial"/>
                <w:sz w:val="16"/>
                <w:szCs w:val="16"/>
                <w:b w:val="1"/>
                <w:bCs w:val="1"/>
                <w:color w:val="auto"/>
                <w:w w:val="92"/>
              </w:rPr>
              <w:t>Global</w:t>
            </w:r>
          </w:p>
        </w:tc>
        <w:tc>
          <w:tcPr>
            <w:tcW w:w="860" w:type="dxa"/>
            <w:vAlign w:val="bottom"/>
            <w:gridSpan w:val="3"/>
          </w:tcPr>
          <w:p>
            <w:pPr>
              <w:ind w:left="20"/>
              <w:spacing w:after="0" w:line="139" w:lineRule="exact"/>
              <w:rPr>
                <w:sz w:val="20"/>
                <w:szCs w:val="20"/>
                <w:color w:val="auto"/>
              </w:rPr>
            </w:pPr>
            <w:r>
              <w:rPr>
                <w:rFonts w:ascii="Arial" w:cs="Arial" w:eastAsia="Arial" w:hAnsi="Arial"/>
                <w:sz w:val="16"/>
                <w:szCs w:val="16"/>
                <w:b w:val="1"/>
                <w:bCs w:val="1"/>
                <w:color w:val="auto"/>
                <w:w w:val="99"/>
              </w:rPr>
              <w:t>controlling</w:t>
            </w:r>
          </w:p>
        </w:tc>
        <w:tc>
          <w:tcPr>
            <w:tcW w:w="800" w:type="dxa"/>
            <w:vAlign w:val="bottom"/>
          </w:tcPr>
          <w:p>
            <w:pPr>
              <w:jc w:val="right"/>
              <w:ind w:right="133"/>
              <w:spacing w:after="0" w:line="13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7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Class A</w:t>
            </w:r>
          </w:p>
        </w:tc>
        <w:tc>
          <w:tcPr>
            <w:tcW w:w="6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8"/>
              </w:rPr>
              <w:t>Class B</w:t>
            </w:r>
          </w:p>
        </w:tc>
        <w:tc>
          <w:tcPr>
            <w:tcW w:w="7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Class C</w:t>
            </w:r>
          </w:p>
        </w:tc>
        <w:tc>
          <w:tcPr>
            <w:tcW w:w="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0"/>
              </w:rPr>
              <w:t>capital</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89"/>
              </w:rPr>
              <w:t>earnings</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5"/>
              </w:rPr>
              <w:t>of taxes</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at cost</w:t>
            </w:r>
          </w:p>
        </w:tc>
        <w:tc>
          <w:tcPr>
            <w:tcW w:w="9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5"/>
              </w:rPr>
              <w:t>shareholders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3"/>
              </w:rPr>
              <w:t>interests</w:t>
            </w: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4"/>
          </w:tcPr>
          <w:p>
            <w:pPr>
              <w:ind w:left="2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$ 6,136.9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6,320.1</w:t>
            </w:r>
          </w:p>
        </w:tc>
        <w:tc>
          <w:tcPr>
            <w:tcW w:w="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13,575.9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$13,168.5</w:t>
            </w:r>
          </w:p>
        </w:tc>
        <w:tc>
          <w:tcPr>
            <w:tcW w:w="0" w:type="dxa"/>
            <w:vAlign w:val="bottom"/>
          </w:tcPr>
          <w:p>
            <w:pPr>
              <w:spacing w:after="0"/>
              <w:rPr>
                <w:sz w:val="1"/>
                <w:szCs w:val="1"/>
                <w:color w:val="auto"/>
              </w:rPr>
            </w:pPr>
          </w:p>
        </w:tc>
      </w:tr>
      <w:tr>
        <w:trPr>
          <w:trHeight w:val="225"/>
        </w:trPr>
        <w:tc>
          <w:tcPr>
            <w:tcW w:w="274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1,017.7</w:t>
            </w:r>
          </w:p>
        </w:tc>
        <w:tc>
          <w:tcPr>
            <w:tcW w:w="0" w:type="dxa"/>
            <w:vAlign w:val="bottom"/>
          </w:tcPr>
          <w:p>
            <w:pPr>
              <w:spacing w:after="0"/>
              <w:rPr>
                <w:sz w:val="1"/>
                <w:szCs w:val="1"/>
                <w:color w:val="auto"/>
              </w:rPr>
            </w:pPr>
          </w:p>
        </w:tc>
      </w:tr>
      <w:tr>
        <w:trPr>
          <w:trHeight w:val="174"/>
        </w:trPr>
        <w:tc>
          <w:tcPr>
            <w:tcW w:w="27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7"/>
              </w:rPr>
              <w:t>Other comprehensive loss, net of</w:t>
            </w:r>
          </w:p>
        </w:tc>
        <w:tc>
          <w:tcPr>
            <w:tcW w:w="22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(1,072.5)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(1,073.2)</w:t>
            </w: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740" w:type="dxa"/>
            <w:vAlign w:val="bottom"/>
          </w:tcPr>
          <w:p>
            <w:pPr>
              <w:ind w:left="140"/>
              <w:spacing w:after="0" w:line="173" w:lineRule="exact"/>
              <w:rPr>
                <w:sz w:val="20"/>
                <w:szCs w:val="20"/>
                <w:color w:val="auto"/>
              </w:rPr>
            </w:pPr>
            <w:r>
              <w:rPr>
                <w:rFonts w:ascii="Arial" w:cs="Arial" w:eastAsia="Arial" w:hAnsi="Arial"/>
                <w:sz w:val="18"/>
                <w:szCs w:val="18"/>
                <w:color w:val="auto"/>
                <w:w w:val="95"/>
              </w:rPr>
              <w:t>Repurchases and cancellations of</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40" w:type="dxa"/>
            <w:vAlign w:val="bottom"/>
          </w:tcPr>
          <w:p>
            <w:pPr>
              <w:ind w:left="300"/>
              <w:spacing w:after="0" w:line="172" w:lineRule="exact"/>
              <w:rPr>
                <w:sz w:val="20"/>
                <w:szCs w:val="20"/>
                <w:color w:val="auto"/>
              </w:rPr>
            </w:pPr>
            <w:r>
              <w:rPr>
                <w:rFonts w:ascii="Arial" w:cs="Arial" w:eastAsia="Arial" w:hAnsi="Arial"/>
                <w:sz w:val="18"/>
                <w:szCs w:val="18"/>
                <w:color w:val="auto"/>
              </w:rPr>
              <w:t>Liberty Global ordinary shares</w:t>
            </w:r>
          </w:p>
        </w:tc>
        <w:tc>
          <w:tcPr>
            <w:tcW w:w="22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91"/>
              </w:rPr>
              <w:t>(0.1)</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(224.3)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(224.4)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24"/>
        </w:trPr>
        <w:tc>
          <w:tcPr>
            <w:tcW w:w="2740" w:type="dxa"/>
            <w:vAlign w:val="bottom"/>
          </w:tcPr>
          <w:p>
            <w:pPr>
              <w:ind w:left="300"/>
              <w:spacing w:after="0"/>
              <w:rPr>
                <w:sz w:val="20"/>
                <w:szCs w:val="20"/>
                <w:color w:val="auto"/>
              </w:rPr>
            </w:pPr>
            <w:r>
              <w:rPr>
                <w:rFonts w:ascii="Arial" w:cs="Arial" w:eastAsia="Arial" w:hAnsi="Arial"/>
                <w:sz w:val="18"/>
                <w:szCs w:val="18"/>
                <w:color w:val="auto"/>
              </w:rPr>
              <w:t>(note 12)</w:t>
            </w:r>
          </w:p>
        </w:tc>
        <w:tc>
          <w:tcPr>
            <w:tcW w:w="22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Share-based compensation (note 13)</w:t>
            </w:r>
          </w:p>
        </w:tc>
        <w:tc>
          <w:tcPr>
            <w:tcW w:w="2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173"/>
        </w:trPr>
        <w:tc>
          <w:tcPr>
            <w:tcW w:w="2740" w:type="dxa"/>
            <w:vAlign w:val="bottom"/>
          </w:tcPr>
          <w:p>
            <w:pPr>
              <w:ind w:left="140"/>
              <w:spacing w:after="0" w:line="173" w:lineRule="exact"/>
              <w:rPr>
                <w:sz w:val="20"/>
                <w:szCs w:val="20"/>
                <w:color w:val="auto"/>
              </w:rPr>
            </w:pPr>
            <w:r>
              <w:rPr>
                <w:rFonts w:ascii="Arial" w:cs="Arial" w:eastAsia="Arial" w:hAnsi="Arial"/>
                <w:sz w:val="18"/>
                <w:szCs w:val="18"/>
                <w:color w:val="auto"/>
              </w:rPr>
              <w:t>Repurchases by Telenet of its</w:t>
            </w:r>
          </w:p>
        </w:tc>
        <w:tc>
          <w:tcPr>
            <w:tcW w:w="22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4"/>
        </w:trPr>
        <w:tc>
          <w:tcPr>
            <w:tcW w:w="2740" w:type="dxa"/>
            <w:vAlign w:val="bottom"/>
          </w:tcPr>
          <w:p>
            <w:pPr>
              <w:ind w:left="300"/>
              <w:spacing w:after="0"/>
              <w:rPr>
                <w:sz w:val="20"/>
                <w:szCs w:val="20"/>
                <w:color w:val="auto"/>
              </w:rPr>
            </w:pPr>
            <w:r>
              <w:rPr>
                <w:rFonts w:ascii="Arial" w:cs="Arial" w:eastAsia="Arial" w:hAnsi="Arial"/>
                <w:sz w:val="18"/>
                <w:szCs w:val="18"/>
                <w:color w:val="auto"/>
              </w:rPr>
              <w:t>outstanding shares</w:t>
            </w:r>
          </w:p>
        </w:tc>
        <w:tc>
          <w:tcPr>
            <w:tcW w:w="22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7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Adjustments due to changes in</w:t>
            </w:r>
          </w:p>
        </w:tc>
        <w:tc>
          <w:tcPr>
            <w:tcW w:w="22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0"/>
              </w:rPr>
              <w:t>subsidiaries’ equity and other, net</w:t>
            </w:r>
          </w:p>
        </w:tc>
        <w:tc>
          <w:tcPr>
            <w:tcW w:w="22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40" w:type="dxa"/>
            <w:vAlign w:val="bottom"/>
          </w:tcPr>
          <w:p>
            <w:pPr>
              <w:ind w:left="20"/>
              <w:spacing w:after="0" w:line="204" w:lineRule="exact"/>
              <w:rPr>
                <w:sz w:val="20"/>
                <w:szCs w:val="20"/>
                <w:color w:val="auto"/>
              </w:rPr>
            </w:pPr>
            <w:r>
              <w:rPr>
                <w:rFonts w:ascii="Arial" w:cs="Arial" w:eastAsia="Arial" w:hAnsi="Arial"/>
                <w:sz w:val="18"/>
                <w:szCs w:val="18"/>
                <w:color w:val="auto"/>
              </w:rPr>
              <w:t>Balance at March 31, 2020</w:t>
            </w: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5,927.9</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7,269.9</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13,244.1</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12,912.2</w:t>
            </w:r>
          </w:p>
        </w:tc>
        <w:tc>
          <w:tcPr>
            <w:tcW w:w="0" w:type="dxa"/>
            <w:vAlign w:val="bottom"/>
          </w:tcPr>
          <w:p>
            <w:pPr>
              <w:spacing w:after="0"/>
              <w:rPr>
                <w:sz w:val="1"/>
                <w:szCs w:val="1"/>
                <w:color w:val="auto"/>
              </w:rPr>
            </w:pPr>
          </w:p>
        </w:tc>
      </w:tr>
      <w:tr>
        <w:trPr>
          <w:trHeight w:val="226"/>
        </w:trPr>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173"/>
        </w:trPr>
        <w:tc>
          <w:tcPr>
            <w:tcW w:w="2740" w:type="dxa"/>
            <w:vAlign w:val="bottom"/>
          </w:tcPr>
          <w:p>
            <w:pPr>
              <w:ind w:left="140"/>
              <w:spacing w:after="0" w:line="173" w:lineRule="exact"/>
              <w:rPr>
                <w:sz w:val="20"/>
                <w:szCs w:val="20"/>
                <w:color w:val="auto"/>
              </w:rPr>
            </w:pPr>
            <w:r>
              <w:rPr>
                <w:rFonts w:ascii="Arial" w:cs="Arial" w:eastAsia="Arial" w:hAnsi="Arial"/>
                <w:sz w:val="18"/>
                <w:szCs w:val="18"/>
                <w:color w:val="auto"/>
                <w:w w:val="91"/>
              </w:rPr>
              <w:t>Other comprehensive earnings, net</w:t>
            </w:r>
          </w:p>
        </w:tc>
        <w:tc>
          <w:tcPr>
            <w:tcW w:w="22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636.6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636.6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24"/>
        </w:trPr>
        <w:tc>
          <w:tcPr>
            <w:tcW w:w="2740" w:type="dxa"/>
            <w:vAlign w:val="bottom"/>
          </w:tcPr>
          <w:p>
            <w:pPr>
              <w:ind w:left="300"/>
              <w:spacing w:after="0"/>
              <w:rPr>
                <w:sz w:val="20"/>
                <w:szCs w:val="20"/>
                <w:color w:val="auto"/>
              </w:rPr>
            </w:pPr>
            <w:r>
              <w:rPr>
                <w:rFonts w:ascii="Arial" w:cs="Arial" w:eastAsia="Arial" w:hAnsi="Arial"/>
                <w:sz w:val="18"/>
                <w:szCs w:val="18"/>
                <w:color w:val="auto"/>
              </w:rPr>
              <w:t>of taxes</w:t>
            </w:r>
          </w:p>
        </w:tc>
        <w:tc>
          <w:tcPr>
            <w:tcW w:w="22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7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5"/>
              </w:rPr>
              <w:t>Repurchases and cancellations of</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40" w:type="dxa"/>
            <w:vAlign w:val="bottom"/>
            <w:shd w:val="clear" w:color="auto" w:fill="CCEEFF"/>
          </w:tcPr>
          <w:p>
            <w:pPr>
              <w:ind w:left="300"/>
              <w:spacing w:after="0" w:line="172" w:lineRule="exact"/>
              <w:rPr>
                <w:sz w:val="20"/>
                <w:szCs w:val="20"/>
                <w:color w:val="auto"/>
              </w:rPr>
            </w:pPr>
            <w:r>
              <w:rPr>
                <w:rFonts w:ascii="Arial" w:cs="Arial" w:eastAsia="Arial" w:hAnsi="Arial"/>
                <w:sz w:val="18"/>
                <w:szCs w:val="18"/>
                <w:color w:val="auto"/>
              </w:rPr>
              <w:t>Liberty Global ordinary shares</w:t>
            </w:r>
          </w:p>
        </w:tc>
        <w:tc>
          <w:tcPr>
            <w:tcW w:w="22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(0.3)</w:t>
            </w:r>
          </w:p>
        </w:tc>
        <w:tc>
          <w:tcPr>
            <w:tcW w:w="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 12)</w:t>
            </w:r>
          </w:p>
        </w:tc>
        <w:tc>
          <w:tcPr>
            <w:tcW w:w="22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140"/>
              <w:spacing w:after="0"/>
              <w:rPr>
                <w:sz w:val="20"/>
                <w:szCs w:val="20"/>
                <w:color w:val="auto"/>
              </w:rPr>
            </w:pPr>
            <w:r>
              <w:rPr>
                <w:rFonts w:ascii="Arial" w:cs="Arial" w:eastAsia="Arial" w:hAnsi="Arial"/>
                <w:sz w:val="18"/>
                <w:szCs w:val="18"/>
                <w:color w:val="auto"/>
                <w:w w:val="86"/>
              </w:rPr>
              <w:t>Share-based compensation (note 13)</w:t>
            </w:r>
          </w:p>
        </w:tc>
        <w:tc>
          <w:tcPr>
            <w:tcW w:w="2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174"/>
        </w:trPr>
        <w:tc>
          <w:tcPr>
            <w:tcW w:w="27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Adjustments due to changes in</w:t>
            </w:r>
          </w:p>
        </w:tc>
        <w:tc>
          <w:tcPr>
            <w:tcW w:w="2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0"/>
              </w:rPr>
              <w:t>subsidiaries’ equity and other, net</w:t>
            </w:r>
          </w:p>
        </w:tc>
        <w:tc>
          <w:tcPr>
            <w:tcW w:w="2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40" w:type="dxa"/>
            <w:vAlign w:val="bottom"/>
          </w:tcPr>
          <w:p>
            <w:pPr>
              <w:ind w:left="20"/>
              <w:spacing w:after="0" w:line="204" w:lineRule="exact"/>
              <w:rPr>
                <w:sz w:val="20"/>
                <w:szCs w:val="20"/>
                <w:color w:val="auto"/>
              </w:rPr>
            </w:pPr>
            <w:r>
              <w:rPr>
                <w:rFonts w:ascii="Arial" w:cs="Arial" w:eastAsia="Arial" w:hAnsi="Arial"/>
                <w:sz w:val="18"/>
                <w:szCs w:val="18"/>
                <w:color w:val="auto"/>
              </w:rPr>
              <w:t>Balance at June 30, 2020</w:t>
            </w: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0"/>
              </w:rPr>
              <w:t>$ 5,505.7</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6,745.7</w:t>
            </w:r>
          </w:p>
        </w:tc>
        <w:tc>
          <w:tcPr>
            <w:tcW w:w="2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676.8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6"/>
              </w:rPr>
              <w:t>12,934.0</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(383.5)</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$12,550.5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8"/>
          </w:tcPr>
          <w:p>
            <w:pPr>
              <w:ind w:left="440"/>
              <w:spacing w:after="0"/>
              <w:rPr>
                <w:sz w:val="20"/>
                <w:szCs w:val="20"/>
                <w:color w:val="auto"/>
              </w:rPr>
            </w:pPr>
            <w:r>
              <w:rPr>
                <w:rFonts w:ascii="Arial" w:cs="Arial" w:eastAsia="Arial" w:hAnsi="Arial"/>
                <w:sz w:val="16"/>
                <w:szCs w:val="16"/>
                <w:b w:val="1"/>
                <w:bCs w:val="1"/>
                <w:color w:val="auto"/>
              </w:rPr>
              <w:t>Liberty Global shareholders</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1"/>
              </w:rPr>
              <w:t>Additional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9"/>
              </w:rPr>
              <w:t>other</w:t>
            </w: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w w:val="91"/>
              </w:rPr>
              <w:t>Treasury</w:t>
            </w:r>
          </w:p>
        </w:tc>
        <w:tc>
          <w:tcPr>
            <w:tcW w:w="10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Total Liberty</w:t>
            </w:r>
          </w:p>
        </w:tc>
        <w:tc>
          <w:tcPr>
            <w:tcW w:w="100" w:type="dxa"/>
            <w:vAlign w:val="bottom"/>
          </w:tcPr>
          <w:p>
            <w:pPr>
              <w:spacing w:after="0"/>
              <w:rPr>
                <w:sz w:val="13"/>
                <w:szCs w:val="13"/>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Non-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6"/>
            <w:vMerge w:val="restart"/>
          </w:tcPr>
          <w:p>
            <w:pPr>
              <w:ind w:left="200"/>
              <w:spacing w:after="0"/>
              <w:rPr>
                <w:sz w:val="20"/>
                <w:szCs w:val="20"/>
                <w:color w:val="auto"/>
              </w:rPr>
            </w:pPr>
            <w:r>
              <w:rPr>
                <w:rFonts w:ascii="Arial" w:cs="Arial" w:eastAsia="Arial" w:hAnsi="Arial"/>
                <w:sz w:val="16"/>
                <w:szCs w:val="16"/>
                <w:b w:val="1"/>
                <w:bCs w:val="1"/>
                <w:color w:val="auto"/>
                <w:w w:val="91"/>
              </w:rPr>
              <w:t>Ordinary shares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Arial" w:cs="Arial" w:eastAsia="Arial" w:hAnsi="Arial"/>
                <w:sz w:val="16"/>
                <w:szCs w:val="16"/>
                <w:b w:val="1"/>
                <w:bCs w:val="1"/>
                <w:color w:val="auto"/>
                <w:w w:val="86"/>
              </w:rPr>
              <w:t>comprehensive</w:t>
            </w:r>
          </w:p>
        </w:tc>
        <w:tc>
          <w:tcPr>
            <w:tcW w:w="760" w:type="dxa"/>
            <w:vAlign w:val="bottom"/>
            <w:gridSpan w:val="3"/>
            <w:vMerge w:val="continue"/>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6"/>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80"/>
              <w:spacing w:after="0" w:line="139" w:lineRule="exact"/>
              <w:rPr>
                <w:sz w:val="20"/>
                <w:szCs w:val="20"/>
                <w:color w:val="auto"/>
              </w:rPr>
            </w:pPr>
            <w:r>
              <w:rPr>
                <w:rFonts w:ascii="Arial" w:cs="Arial" w:eastAsia="Arial" w:hAnsi="Arial"/>
                <w:sz w:val="16"/>
                <w:szCs w:val="16"/>
                <w:b w:val="1"/>
                <w:bCs w:val="1"/>
                <w:color w:val="auto"/>
                <w:w w:val="91"/>
              </w:rPr>
              <w:t>paid-in</w:t>
            </w:r>
          </w:p>
        </w:tc>
        <w:tc>
          <w:tcPr>
            <w:tcW w:w="1020" w:type="dxa"/>
            <w:vAlign w:val="bottom"/>
            <w:gridSpan w:val="3"/>
          </w:tcPr>
          <w:p>
            <w:pPr>
              <w:ind w:left="20"/>
              <w:spacing w:after="0" w:line="139" w:lineRule="exact"/>
              <w:rPr>
                <w:sz w:val="20"/>
                <w:szCs w:val="20"/>
                <w:color w:val="auto"/>
              </w:rPr>
            </w:pPr>
            <w:r>
              <w:rPr>
                <w:rFonts w:ascii="Arial" w:cs="Arial" w:eastAsia="Arial" w:hAnsi="Arial"/>
                <w:sz w:val="16"/>
                <w:szCs w:val="16"/>
                <w:b w:val="1"/>
                <w:bCs w:val="1"/>
                <w:color w:val="auto"/>
                <w:w w:val="97"/>
              </w:rPr>
              <w:t>Accumulated</w:t>
            </w:r>
          </w:p>
        </w:tc>
        <w:tc>
          <w:tcPr>
            <w:tcW w:w="1140" w:type="dxa"/>
            <w:vAlign w:val="bottom"/>
            <w:gridSpan w:val="3"/>
          </w:tcPr>
          <w:p>
            <w:pPr>
              <w:jc w:val="center"/>
              <w:ind w:right="80"/>
              <w:spacing w:after="0" w:line="139" w:lineRule="exact"/>
              <w:rPr>
                <w:sz w:val="20"/>
                <w:szCs w:val="20"/>
                <w:color w:val="auto"/>
              </w:rPr>
            </w:pPr>
            <w:r>
              <w:rPr>
                <w:rFonts w:ascii="Arial" w:cs="Arial" w:eastAsia="Arial" w:hAnsi="Arial"/>
                <w:sz w:val="16"/>
                <w:szCs w:val="16"/>
                <w:b w:val="1"/>
                <w:bCs w:val="1"/>
                <w:color w:val="auto"/>
                <w:w w:val="86"/>
              </w:rPr>
              <w:t>earnings, net</w:t>
            </w:r>
          </w:p>
        </w:tc>
        <w:tc>
          <w:tcPr>
            <w:tcW w:w="760" w:type="dxa"/>
            <w:vAlign w:val="bottom"/>
            <w:gridSpan w:val="3"/>
          </w:tcPr>
          <w:p>
            <w:pPr>
              <w:ind w:left="100"/>
              <w:spacing w:after="0" w:line="139" w:lineRule="exact"/>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2"/>
                <w:szCs w:val="12"/>
                <w:color w:val="auto"/>
              </w:rPr>
            </w:pPr>
          </w:p>
        </w:tc>
        <w:tc>
          <w:tcPr>
            <w:tcW w:w="860" w:type="dxa"/>
            <w:vAlign w:val="bottom"/>
            <w:gridSpan w:val="2"/>
          </w:tcPr>
          <w:p>
            <w:pPr>
              <w:ind w:left="60"/>
              <w:spacing w:after="0" w:line="139" w:lineRule="exact"/>
              <w:rPr>
                <w:sz w:val="20"/>
                <w:szCs w:val="20"/>
                <w:color w:val="auto"/>
              </w:rPr>
            </w:pPr>
            <w:r>
              <w:rPr>
                <w:rFonts w:ascii="Arial" w:cs="Arial" w:eastAsia="Arial" w:hAnsi="Arial"/>
                <w:sz w:val="16"/>
                <w:szCs w:val="16"/>
                <w:b w:val="1"/>
                <w:bCs w:val="1"/>
                <w:color w:val="auto"/>
              </w:rPr>
              <w:t>Global</w:t>
            </w:r>
          </w:p>
        </w:tc>
        <w:tc>
          <w:tcPr>
            <w:tcW w:w="860" w:type="dxa"/>
            <w:vAlign w:val="bottom"/>
            <w:gridSpan w:val="3"/>
          </w:tcPr>
          <w:p>
            <w:pPr>
              <w:ind w:left="20"/>
              <w:spacing w:after="0" w:line="139" w:lineRule="exact"/>
              <w:rPr>
                <w:sz w:val="20"/>
                <w:szCs w:val="20"/>
                <w:color w:val="auto"/>
              </w:rPr>
            </w:pPr>
            <w:r>
              <w:rPr>
                <w:rFonts w:ascii="Arial" w:cs="Arial" w:eastAsia="Arial" w:hAnsi="Arial"/>
                <w:sz w:val="16"/>
                <w:szCs w:val="16"/>
                <w:b w:val="1"/>
                <w:bCs w:val="1"/>
                <w:color w:val="auto"/>
                <w:w w:val="99"/>
              </w:rPr>
              <w:t>controlling</w:t>
            </w:r>
          </w:p>
        </w:tc>
        <w:tc>
          <w:tcPr>
            <w:tcW w:w="800" w:type="dxa"/>
            <w:vAlign w:val="bottom"/>
          </w:tcPr>
          <w:p>
            <w:pPr>
              <w:jc w:val="right"/>
              <w:ind w:right="133"/>
              <w:spacing w:after="0" w:line="13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6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Class A</w:t>
            </w:r>
          </w:p>
        </w:tc>
        <w:tc>
          <w:tcPr>
            <w:tcW w:w="6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Class B</w:t>
            </w:r>
          </w:p>
        </w:tc>
        <w:tc>
          <w:tcPr>
            <w:tcW w:w="6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Class C</w:t>
            </w:r>
          </w:p>
        </w:tc>
        <w:tc>
          <w:tcPr>
            <w:tcW w:w="8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6"/>
                <w:szCs w:val="16"/>
                <w:b w:val="1"/>
                <w:bCs w:val="1"/>
                <w:color w:val="auto"/>
                <w:w w:val="90"/>
              </w:rPr>
              <w:t>capital</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5"/>
              </w:rPr>
              <w:t>of taxes</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at cost</w:t>
            </w: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7"/>
              </w:rPr>
              <w:t>shareholders</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6"/>
              </w:rPr>
              <w:t>interests</w:t>
            </w: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$ 5,271.7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13,662.6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$13,298.4</w:t>
            </w:r>
          </w:p>
        </w:tc>
        <w:tc>
          <w:tcPr>
            <w:tcW w:w="0" w:type="dxa"/>
            <w:vAlign w:val="bottom"/>
          </w:tcPr>
          <w:p>
            <w:pPr>
              <w:spacing w:after="0"/>
              <w:rPr>
                <w:sz w:val="1"/>
                <w:szCs w:val="1"/>
                <w:color w:val="auto"/>
              </w:rPr>
            </w:pPr>
          </w:p>
        </w:tc>
      </w:tr>
      <w:tr>
        <w:trPr>
          <w:trHeight w:val="225"/>
        </w:trPr>
        <w:tc>
          <w:tcPr>
            <w:tcW w:w="278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18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1,440.3</w:t>
            </w:r>
          </w:p>
        </w:tc>
        <w:tc>
          <w:tcPr>
            <w:tcW w:w="0" w:type="dxa"/>
            <w:vAlign w:val="bottom"/>
          </w:tcPr>
          <w:p>
            <w:pPr>
              <w:spacing w:after="0"/>
              <w:rPr>
                <w:sz w:val="1"/>
                <w:szCs w:val="1"/>
                <w:color w:val="auto"/>
              </w:rPr>
            </w:pPr>
          </w:p>
        </w:tc>
      </w:tr>
      <w:tr>
        <w:trPr>
          <w:trHeight w:val="174"/>
        </w:trPr>
        <w:tc>
          <w:tcPr>
            <w:tcW w:w="27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9"/>
              </w:rPr>
              <w:t>Other comprehensive loss, net of</w:t>
            </w:r>
          </w:p>
        </w:tc>
        <w:tc>
          <w:tcPr>
            <w:tcW w:w="18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taxes</w:t>
            </w:r>
          </w:p>
        </w:tc>
        <w:tc>
          <w:tcPr>
            <w:tcW w:w="18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140"/>
              <w:spacing w:after="0" w:line="173" w:lineRule="exact"/>
              <w:rPr>
                <w:sz w:val="20"/>
                <w:szCs w:val="20"/>
                <w:color w:val="auto"/>
              </w:rPr>
            </w:pPr>
            <w:r>
              <w:rPr>
                <w:rFonts w:ascii="Arial" w:cs="Arial" w:eastAsia="Arial" w:hAnsi="Arial"/>
                <w:sz w:val="18"/>
                <w:szCs w:val="18"/>
                <w:color w:val="auto"/>
                <w:w w:val="96"/>
              </w:rPr>
              <w:t>Repurchases and cancellations of</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80" w:type="dxa"/>
            <w:vAlign w:val="bottom"/>
          </w:tcPr>
          <w:p>
            <w:pPr>
              <w:ind w:left="300"/>
              <w:spacing w:after="0" w:line="172" w:lineRule="exact"/>
              <w:rPr>
                <w:sz w:val="20"/>
                <w:szCs w:val="20"/>
                <w:color w:val="auto"/>
              </w:rPr>
            </w:pPr>
            <w:r>
              <w:rPr>
                <w:rFonts w:ascii="Arial" w:cs="Arial" w:eastAsia="Arial" w:hAnsi="Arial"/>
                <w:sz w:val="18"/>
                <w:szCs w:val="18"/>
                <w:color w:val="auto"/>
              </w:rPr>
              <w:t>Liberty Global ordinary shares</w:t>
            </w:r>
          </w:p>
        </w:tc>
        <w:tc>
          <w:tcPr>
            <w:tcW w:w="18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w w:val="86"/>
              </w:rPr>
              <w:t>(0.2)</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(323.2)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64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(323.4)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24"/>
        </w:trPr>
        <w:tc>
          <w:tcPr>
            <w:tcW w:w="2780" w:type="dxa"/>
            <w:vAlign w:val="bottom"/>
          </w:tcPr>
          <w:p>
            <w:pPr>
              <w:ind w:left="300"/>
              <w:spacing w:after="0"/>
              <w:rPr>
                <w:sz w:val="20"/>
                <w:szCs w:val="20"/>
                <w:color w:val="auto"/>
              </w:rPr>
            </w:pPr>
            <w:r>
              <w:rPr>
                <w:rFonts w:ascii="Arial" w:cs="Arial" w:eastAsia="Arial" w:hAnsi="Arial"/>
                <w:sz w:val="18"/>
                <w:szCs w:val="18"/>
                <w:color w:val="auto"/>
              </w:rPr>
              <w:t>(note 12)</w:t>
            </w:r>
          </w:p>
        </w:tc>
        <w:tc>
          <w:tcPr>
            <w:tcW w:w="18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Share-based compensation (note 13)</w:t>
            </w:r>
          </w:p>
        </w:tc>
        <w:tc>
          <w:tcPr>
            <w:tcW w:w="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173"/>
        </w:trPr>
        <w:tc>
          <w:tcPr>
            <w:tcW w:w="2780" w:type="dxa"/>
            <w:vAlign w:val="bottom"/>
          </w:tcPr>
          <w:p>
            <w:pPr>
              <w:ind w:left="140"/>
              <w:spacing w:after="0" w:line="173" w:lineRule="exact"/>
              <w:rPr>
                <w:sz w:val="20"/>
                <w:szCs w:val="20"/>
                <w:color w:val="auto"/>
              </w:rPr>
            </w:pPr>
            <w:r>
              <w:rPr>
                <w:rFonts w:ascii="Arial" w:cs="Arial" w:eastAsia="Arial" w:hAnsi="Arial"/>
                <w:sz w:val="18"/>
                <w:szCs w:val="18"/>
                <w:color w:val="auto"/>
              </w:rPr>
              <w:t>Adjustments due to changes in</w:t>
            </w:r>
          </w:p>
        </w:tc>
        <w:tc>
          <w:tcPr>
            <w:tcW w:w="180" w:type="dxa"/>
            <w:vAlign w:val="bottom"/>
          </w:tcPr>
          <w:p>
            <w:pPr>
              <w:spacing w:after="0"/>
              <w:rPr>
                <w:sz w:val="15"/>
                <w:szCs w:val="15"/>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64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4"/>
        </w:trPr>
        <w:tc>
          <w:tcPr>
            <w:tcW w:w="2780" w:type="dxa"/>
            <w:vAlign w:val="bottom"/>
          </w:tcPr>
          <w:p>
            <w:pPr>
              <w:ind w:left="300"/>
              <w:spacing w:after="0"/>
              <w:rPr>
                <w:sz w:val="20"/>
                <w:szCs w:val="20"/>
                <w:color w:val="auto"/>
              </w:rPr>
            </w:pPr>
            <w:r>
              <w:rPr>
                <w:rFonts w:ascii="Arial" w:cs="Arial" w:eastAsia="Arial" w:hAnsi="Arial"/>
                <w:sz w:val="18"/>
                <w:szCs w:val="18"/>
                <w:color w:val="auto"/>
                <w:w w:val="91"/>
              </w:rPr>
              <w:t>subsidiaries’ equity and other, net</w:t>
            </w:r>
          </w:p>
        </w:tc>
        <w:tc>
          <w:tcPr>
            <w:tcW w:w="18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March 31, 2021</w:t>
            </w:r>
          </w:p>
        </w:tc>
        <w:tc>
          <w:tcPr>
            <w:tcW w:w="1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6,077.5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13,796.0</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13,488.1</w:t>
            </w:r>
          </w:p>
        </w:tc>
        <w:tc>
          <w:tcPr>
            <w:tcW w:w="0" w:type="dxa"/>
            <w:vAlign w:val="bottom"/>
          </w:tcPr>
          <w:p>
            <w:pPr>
              <w:spacing w:after="0"/>
              <w:rPr>
                <w:sz w:val="1"/>
                <w:szCs w:val="1"/>
                <w:color w:val="auto"/>
              </w:rPr>
            </w:pPr>
          </w:p>
        </w:tc>
      </w:tr>
      <w:tr>
        <w:trPr>
          <w:trHeight w:val="225"/>
        </w:trPr>
        <w:tc>
          <w:tcPr>
            <w:tcW w:w="278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18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11,128.2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6"/>
              </w:rPr>
              <w:t>11,128.2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11,174.5</w:t>
            </w:r>
          </w:p>
        </w:tc>
        <w:tc>
          <w:tcPr>
            <w:tcW w:w="0" w:type="dxa"/>
            <w:vAlign w:val="bottom"/>
          </w:tcPr>
          <w:p>
            <w:pPr>
              <w:spacing w:after="0"/>
              <w:rPr>
                <w:sz w:val="1"/>
                <w:szCs w:val="1"/>
                <w:color w:val="auto"/>
              </w:rPr>
            </w:pPr>
          </w:p>
        </w:tc>
      </w:tr>
      <w:tr>
        <w:trPr>
          <w:trHeight w:val="174"/>
        </w:trPr>
        <w:tc>
          <w:tcPr>
            <w:tcW w:w="27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3"/>
              </w:rPr>
              <w:t>Other comprehensive earnings, net</w:t>
            </w:r>
          </w:p>
        </w:tc>
        <w:tc>
          <w:tcPr>
            <w:tcW w:w="18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2,276.3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2,276.3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2,277.6</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of taxes</w:t>
            </w:r>
          </w:p>
        </w:tc>
        <w:tc>
          <w:tcPr>
            <w:tcW w:w="18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140"/>
              <w:spacing w:after="0" w:line="173" w:lineRule="exact"/>
              <w:rPr>
                <w:sz w:val="20"/>
                <w:szCs w:val="20"/>
                <w:color w:val="auto"/>
              </w:rPr>
            </w:pPr>
            <w:r>
              <w:rPr>
                <w:rFonts w:ascii="Arial" w:cs="Arial" w:eastAsia="Arial" w:hAnsi="Arial"/>
                <w:sz w:val="18"/>
                <w:szCs w:val="18"/>
                <w:color w:val="auto"/>
                <w:w w:val="96"/>
              </w:rPr>
              <w:t>Repurchases and cancellations of</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80" w:type="dxa"/>
            <w:vAlign w:val="bottom"/>
          </w:tcPr>
          <w:p>
            <w:pPr>
              <w:ind w:left="300"/>
              <w:spacing w:after="0" w:line="172" w:lineRule="exact"/>
              <w:rPr>
                <w:sz w:val="20"/>
                <w:szCs w:val="20"/>
                <w:color w:val="auto"/>
              </w:rPr>
            </w:pPr>
            <w:r>
              <w:rPr>
                <w:rFonts w:ascii="Arial" w:cs="Arial" w:eastAsia="Arial" w:hAnsi="Arial"/>
                <w:sz w:val="18"/>
                <w:szCs w:val="18"/>
                <w:color w:val="auto"/>
              </w:rPr>
              <w:t>Liberty Global ordinary shares</w:t>
            </w:r>
          </w:p>
        </w:tc>
        <w:tc>
          <w:tcPr>
            <w:tcW w:w="18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(345.2)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64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(345.2)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24"/>
        </w:trPr>
        <w:tc>
          <w:tcPr>
            <w:tcW w:w="2780" w:type="dxa"/>
            <w:vAlign w:val="bottom"/>
          </w:tcPr>
          <w:p>
            <w:pPr>
              <w:ind w:left="300"/>
              <w:spacing w:after="0"/>
              <w:rPr>
                <w:sz w:val="20"/>
                <w:szCs w:val="20"/>
                <w:color w:val="auto"/>
              </w:rPr>
            </w:pPr>
            <w:r>
              <w:rPr>
                <w:rFonts w:ascii="Arial" w:cs="Arial" w:eastAsia="Arial" w:hAnsi="Arial"/>
                <w:sz w:val="18"/>
                <w:szCs w:val="18"/>
                <w:color w:val="auto"/>
              </w:rPr>
              <w:t>(note 12)</w:t>
            </w:r>
          </w:p>
        </w:tc>
        <w:tc>
          <w:tcPr>
            <w:tcW w:w="18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Share-based compensation (note 13)</w:t>
            </w:r>
          </w:p>
        </w:tc>
        <w:tc>
          <w:tcPr>
            <w:tcW w:w="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173"/>
        </w:trPr>
        <w:tc>
          <w:tcPr>
            <w:tcW w:w="2780" w:type="dxa"/>
            <w:vAlign w:val="bottom"/>
          </w:tcPr>
          <w:p>
            <w:pPr>
              <w:ind w:left="140"/>
              <w:spacing w:after="0" w:line="173" w:lineRule="exact"/>
              <w:rPr>
                <w:sz w:val="20"/>
                <w:szCs w:val="20"/>
                <w:color w:val="auto"/>
              </w:rPr>
            </w:pPr>
            <w:r>
              <w:rPr>
                <w:rFonts w:ascii="Arial" w:cs="Arial" w:eastAsia="Arial" w:hAnsi="Arial"/>
                <w:sz w:val="18"/>
                <w:szCs w:val="18"/>
                <w:color w:val="auto"/>
              </w:rPr>
              <w:t>Adjustments due to changes in</w:t>
            </w:r>
          </w:p>
        </w:tc>
        <w:tc>
          <w:tcPr>
            <w:tcW w:w="180" w:type="dxa"/>
            <w:vAlign w:val="bottom"/>
          </w:tcPr>
          <w:p>
            <w:pPr>
              <w:spacing w:after="0"/>
              <w:rPr>
                <w:sz w:val="15"/>
                <w:szCs w:val="15"/>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64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24"/>
        </w:trPr>
        <w:tc>
          <w:tcPr>
            <w:tcW w:w="2780" w:type="dxa"/>
            <w:vAlign w:val="bottom"/>
          </w:tcPr>
          <w:p>
            <w:pPr>
              <w:ind w:left="300"/>
              <w:spacing w:after="0"/>
              <w:rPr>
                <w:sz w:val="20"/>
                <w:szCs w:val="20"/>
                <w:color w:val="auto"/>
              </w:rPr>
            </w:pPr>
            <w:r>
              <w:rPr>
                <w:rFonts w:ascii="Arial" w:cs="Arial" w:eastAsia="Arial" w:hAnsi="Arial"/>
                <w:sz w:val="18"/>
                <w:szCs w:val="18"/>
                <w:color w:val="auto"/>
                <w:w w:val="91"/>
              </w:rPr>
              <w:t>subsidiaries’ equity and other, net</w:t>
            </w:r>
          </w:p>
        </w:tc>
        <w:tc>
          <w:tcPr>
            <w:tcW w:w="18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80" w:type="dxa"/>
            <w:vAlign w:val="bottom"/>
            <w:tcBorders>
              <w:top w:val="single" w:sz="8" w:color="CCEEFF"/>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June 30, 2021</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$ 4,698.3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17,205.7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26,882.1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$26,550.0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center"/>
              <w:ind w:right="192"/>
              <w:spacing w:after="0"/>
              <w:rPr>
                <w:sz w:val="20"/>
                <w:szCs w:val="20"/>
                <w:color w:val="auto"/>
              </w:rPr>
            </w:pPr>
            <w:r>
              <w:rPr>
                <w:rFonts w:ascii="Arial" w:cs="Arial" w:eastAsia="Arial" w:hAnsi="Arial"/>
                <w:sz w:val="16"/>
                <w:szCs w:val="16"/>
                <w:b w:val="1"/>
                <w:bCs w:val="1"/>
                <w:color w:val="auto"/>
                <w:w w:val="87"/>
              </w:rPr>
              <w:t>Six months ended</w:t>
            </w:r>
          </w:p>
        </w:tc>
        <w:tc>
          <w:tcPr>
            <w:tcW w:w="0" w:type="dxa"/>
            <w:vAlign w:val="bottom"/>
          </w:tcPr>
          <w:p>
            <w:pPr>
              <w:spacing w:after="0"/>
              <w:rPr>
                <w:sz w:val="1"/>
                <w:szCs w:val="1"/>
                <w:color w:val="auto"/>
              </w:rPr>
            </w:pPr>
          </w:p>
        </w:tc>
      </w:tr>
      <w:tr>
        <w:trPr>
          <w:trHeight w:val="214"/>
        </w:trPr>
        <w:tc>
          <w:tcPr>
            <w:tcW w:w="8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6"/>
                <w:szCs w:val="16"/>
                <w:b w:val="1"/>
                <w:bCs w:val="1"/>
                <w:color w:val="auto"/>
                <w:w w:val="87"/>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center"/>
              <w:ind w:left="493"/>
              <w:spacing w:after="0"/>
              <w:rPr>
                <w:sz w:val="20"/>
                <w:szCs w:val="20"/>
                <w:color w:val="auto"/>
              </w:rPr>
            </w:pPr>
            <w:r>
              <w:rPr>
                <w:rFonts w:ascii="Arial" w:cs="Arial" w:eastAsia="Arial" w:hAnsi="Arial"/>
                <w:sz w:val="16"/>
                <w:szCs w:val="16"/>
                <w:b w:val="1"/>
                <w:bCs w:val="1"/>
                <w:color w:val="auto"/>
                <w:w w:val="90"/>
              </w:rPr>
              <w:t>in millions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12,614.8</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513.9</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8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1,329.2</w:t>
            </w:r>
          </w:p>
        </w:tc>
        <w:tc>
          <w:tcPr>
            <w:tcW w:w="0" w:type="dxa"/>
            <w:vAlign w:val="bottom"/>
          </w:tcPr>
          <w:p>
            <w:pPr>
              <w:spacing w:after="0"/>
              <w:rPr>
                <w:sz w:val="1"/>
                <w:szCs w:val="1"/>
                <w:color w:val="auto"/>
              </w:rPr>
            </w:pPr>
          </w:p>
        </w:tc>
      </w:tr>
      <w:tr>
        <w:trPr>
          <w:trHeight w:val="225"/>
        </w:trPr>
        <w:tc>
          <w:tcPr>
            <w:tcW w:w="8680" w:type="dxa"/>
            <w:vAlign w:val="bottom"/>
          </w:tcPr>
          <w:p>
            <w:pPr>
              <w:ind w:left="260"/>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of deferred financing costs and non-cash interest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5"/>
        </w:trPr>
        <w:tc>
          <w:tcPr>
            <w:tcW w:w="8680" w:type="dxa"/>
            <w:vAlign w:val="bottom"/>
          </w:tcPr>
          <w:p>
            <w:pPr>
              <w:ind w:left="260"/>
              <w:spacing w:after="0"/>
              <w:rPr>
                <w:sz w:val="20"/>
                <w:szCs w:val="20"/>
                <w:color w:val="auto"/>
              </w:rPr>
            </w:pPr>
            <w:r>
              <w:rPr>
                <w:rFonts w:ascii="Arial" w:cs="Arial" w:eastAsia="Arial" w:hAnsi="Arial"/>
                <w:sz w:val="18"/>
                <w:szCs w:val="18"/>
                <w:color w:val="auto"/>
              </w:rPr>
              <w:t>Realized and unrealized gains on derivative instruments,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transaction losses (gains),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25"/>
        </w:trPr>
        <w:tc>
          <w:tcPr>
            <w:tcW w:w="8680" w:type="dxa"/>
            <w:vAlign w:val="bottom"/>
          </w:tcPr>
          <w:p>
            <w:pPr>
              <w:ind w:left="260"/>
              <w:spacing w:after="0"/>
              <w:rPr>
                <w:sz w:val="20"/>
                <w:szCs w:val="20"/>
                <w:color w:val="auto"/>
              </w:rPr>
            </w:pPr>
            <w:r>
              <w:rPr>
                <w:rFonts w:ascii="Arial" w:cs="Arial" w:eastAsia="Arial" w:hAnsi="Arial"/>
                <w:sz w:val="18"/>
                <w:szCs w:val="18"/>
                <w:color w:val="auto"/>
              </w:rPr>
              <w:t>Realized and unrealized losses (gains) due to changes in fair values of certain investments and debt,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Losses on debt extinguishment,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25"/>
        </w:trPr>
        <w:tc>
          <w:tcPr>
            <w:tcW w:w="8680" w:type="dxa"/>
            <w:vAlign w:val="bottom"/>
          </w:tcPr>
          <w:p>
            <w:pPr>
              <w:ind w:left="260"/>
              <w:spacing w:after="0"/>
              <w:rPr>
                <w:sz w:val="20"/>
                <w:szCs w:val="20"/>
                <w:color w:val="auto"/>
              </w:rPr>
            </w:pPr>
            <w:r>
              <w:rPr>
                <w:rFonts w:ascii="Arial" w:cs="Arial" w:eastAsia="Arial" w:hAnsi="Arial"/>
                <w:sz w:val="18"/>
                <w:szCs w:val="18"/>
                <w:color w:val="auto"/>
              </w:rPr>
              <w:t>Share of results of affiliates,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income tax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25"/>
        </w:trPr>
        <w:tc>
          <w:tcPr>
            <w:tcW w:w="8680" w:type="dxa"/>
            <w:vAlign w:val="bottom"/>
          </w:tcPr>
          <w:p>
            <w:pPr>
              <w:ind w:left="260"/>
              <w:spacing w:after="0"/>
              <w:rPr>
                <w:sz w:val="20"/>
                <w:szCs w:val="20"/>
                <w:color w:val="auto"/>
              </w:rPr>
            </w:pPr>
            <w:r>
              <w:rPr>
                <w:rFonts w:ascii="Arial" w:cs="Arial" w:eastAsia="Arial" w:hAnsi="Arial"/>
                <w:sz w:val="18"/>
                <w:szCs w:val="18"/>
                <w:color w:val="auto"/>
              </w:rPr>
              <w:t>Gain on U.K. JV Transaction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(11,138.0)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operating assets and liabilities, net of the effects of acquisitions and dispositions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25"/>
        </w:trPr>
        <w:tc>
          <w:tcPr>
            <w:tcW w:w="86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Dividends from affiliates and others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8"/>
        </w:trPr>
        <w:tc>
          <w:tcPr>
            <w:tcW w:w="868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1,591.9</w:t>
            </w:r>
          </w:p>
        </w:tc>
        <w:tc>
          <w:tcPr>
            <w:tcW w:w="0" w:type="dxa"/>
            <w:vAlign w:val="bottom"/>
          </w:tcPr>
          <w:p>
            <w:pPr>
              <w:spacing w:after="0"/>
              <w:rPr>
                <w:sz w:val="1"/>
                <w:szCs w:val="1"/>
                <w:color w:val="auto"/>
              </w:rPr>
            </w:pPr>
          </w:p>
        </w:tc>
      </w:tr>
      <w:tr>
        <w:trPr>
          <w:trHeight w:val="179"/>
        </w:trPr>
        <w:tc>
          <w:tcPr>
            <w:tcW w:w="8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Cash paid for investments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(5,501.5)</w:t>
            </w:r>
          </w:p>
        </w:tc>
        <w:tc>
          <w:tcPr>
            <w:tcW w:w="0" w:type="dxa"/>
            <w:vAlign w:val="bottom"/>
          </w:tcPr>
          <w:p>
            <w:pPr>
              <w:spacing w:after="0"/>
              <w:rPr>
                <w:sz w:val="1"/>
                <w:szCs w:val="1"/>
                <w:color w:val="auto"/>
              </w:rPr>
            </w:pPr>
          </w:p>
        </w:tc>
      </w:tr>
      <w:tr>
        <w:trPr>
          <w:trHeight w:val="174"/>
        </w:trPr>
        <w:tc>
          <w:tcPr>
            <w:tcW w:w="86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Cash and restricted cash contributed to the VMED O2 JV in connection with the U.K. JV</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(3,424.0)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Transaction</w:t>
            </w: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Cash received from the sale of investments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2,526.2</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0" w:type="dxa"/>
            <w:vAlign w:val="bottom"/>
          </w:tcPr>
          <w:p>
            <w:pPr>
              <w:spacing w:after="0"/>
              <w:rPr>
                <w:sz w:val="1"/>
                <w:szCs w:val="1"/>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Net cash received in connection with the U.K. JV Transaction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activities,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8"/>
        </w:trPr>
        <w:tc>
          <w:tcPr>
            <w:tcW w:w="8680" w:type="dxa"/>
            <w:vAlign w:val="bottom"/>
          </w:tcPr>
          <w:p>
            <w:pPr>
              <w:ind w:left="440"/>
              <w:spacing w:after="0" w:line="204" w:lineRule="exact"/>
              <w:rPr>
                <w:sz w:val="20"/>
                <w:szCs w:val="20"/>
                <w:color w:val="auto"/>
              </w:rPr>
            </w:pPr>
            <w:r>
              <w:rPr>
                <w:rFonts w:ascii="Arial" w:cs="Arial" w:eastAsia="Arial" w:hAnsi="Arial"/>
                <w:sz w:val="18"/>
                <w:szCs w:val="18"/>
                <w:color w:val="auto"/>
              </w:rPr>
              <w:t>Net cash used by investing activities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center"/>
              <w:ind w:right="192"/>
              <w:spacing w:after="0"/>
              <w:rPr>
                <w:sz w:val="20"/>
                <w:szCs w:val="20"/>
                <w:color w:val="auto"/>
              </w:rPr>
            </w:pPr>
            <w:r>
              <w:rPr>
                <w:rFonts w:ascii="Arial" w:cs="Arial" w:eastAsia="Arial" w:hAnsi="Arial"/>
                <w:sz w:val="16"/>
                <w:szCs w:val="16"/>
                <w:b w:val="1"/>
                <w:bCs w:val="1"/>
                <w:color w:val="auto"/>
                <w:w w:val="87"/>
              </w:rPr>
              <w:t>Six months ended</w:t>
            </w:r>
          </w:p>
        </w:tc>
      </w:tr>
      <w:tr>
        <w:trPr>
          <w:trHeight w:val="215"/>
        </w:trPr>
        <w:tc>
          <w:tcPr>
            <w:tcW w:w="8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6"/>
                <w:szCs w:val="16"/>
                <w:b w:val="1"/>
                <w:bCs w:val="1"/>
                <w:color w:val="auto"/>
                <w:w w:val="87"/>
              </w:rPr>
              <w:t>June 30,</w:t>
            </w:r>
          </w:p>
        </w:tc>
        <w:tc>
          <w:tcPr>
            <w:tcW w:w="860" w:type="dxa"/>
            <w:vAlign w:val="bottom"/>
            <w:tcBorders>
              <w:bottom w:val="single" w:sz="8" w:color="auto"/>
            </w:tcBorders>
          </w:tcPr>
          <w:p>
            <w:pPr>
              <w:spacing w:after="0"/>
              <w:rPr>
                <w:sz w:val="18"/>
                <w:szCs w:val="18"/>
                <w:color w:val="auto"/>
              </w:rPr>
            </w:pPr>
          </w:p>
        </w:tc>
      </w:tr>
      <w:tr>
        <w:trPr>
          <w:trHeight w:val="206"/>
        </w:trPr>
        <w:tc>
          <w:tcPr>
            <w:tcW w:w="8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r>
      <w:tr>
        <w:trPr>
          <w:trHeight w:val="203"/>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center"/>
              <w:ind w:left="493"/>
              <w:spacing w:after="0"/>
              <w:rPr>
                <w:sz w:val="20"/>
                <w:szCs w:val="20"/>
                <w:color w:val="auto"/>
              </w:rPr>
            </w:pPr>
            <w:r>
              <w:rPr>
                <w:rFonts w:ascii="Arial" w:cs="Arial" w:eastAsia="Arial" w:hAnsi="Arial"/>
                <w:sz w:val="16"/>
                <w:szCs w:val="16"/>
                <w:b w:val="1"/>
                <w:bCs w:val="1"/>
                <w:color w:val="auto"/>
                <w:w w:val="90"/>
              </w:rPr>
              <w:t>in millions</w:t>
            </w:r>
          </w:p>
        </w:tc>
        <w:tc>
          <w:tcPr>
            <w:tcW w:w="860" w:type="dxa"/>
            <w:vAlign w:val="bottom"/>
          </w:tcPr>
          <w:p>
            <w:pPr>
              <w:spacing w:after="0"/>
              <w:rPr>
                <w:sz w:val="17"/>
                <w:szCs w:val="17"/>
                <w:color w:val="auto"/>
              </w:rPr>
            </w:pPr>
          </w:p>
        </w:tc>
      </w:tr>
      <w:tr>
        <w:trPr>
          <w:trHeight w:val="203"/>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Borrowings of debt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4,054.2</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6,893.1</w:t>
            </w: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and repurchases of debt and finance lease obligations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(7,647.9)</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Repurchases of Liberty Global ordinary shares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(692.0)</w:t>
            </w: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received related to derivative instruments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Payment of financing costs and debt premiums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(226.4)</w:t>
            </w: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financing activities,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r>
      <w:tr>
        <w:trPr>
          <w:trHeight w:val="218"/>
        </w:trPr>
        <w:tc>
          <w:tcPr>
            <w:tcW w:w="8680" w:type="dxa"/>
            <w:vAlign w:val="bottom"/>
            <w:tcBorders>
              <w:bottom w:val="single" w:sz="8" w:color="CCEEFF"/>
            </w:tcBorders>
          </w:tcPr>
          <w:p>
            <w:pPr>
              <w:ind w:left="320"/>
              <w:spacing w:after="0" w:line="204" w:lineRule="exact"/>
              <w:rPr>
                <w:sz w:val="20"/>
                <w:szCs w:val="20"/>
                <w:color w:val="auto"/>
              </w:rPr>
            </w:pPr>
            <w:r>
              <w:rPr>
                <w:rFonts w:ascii="Arial" w:cs="Arial" w:eastAsia="Arial" w:hAnsi="Arial"/>
                <w:sz w:val="18"/>
                <w:szCs w:val="18"/>
                <w:color w:val="auto"/>
              </w:rPr>
              <w:t>Net cash used by financing activities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(1,721.3)</w:t>
            </w:r>
          </w:p>
        </w:tc>
      </w:tr>
      <w:tr>
        <w:trPr>
          <w:trHeight w:val="193"/>
        </w:trPr>
        <w:tc>
          <w:tcPr>
            <w:tcW w:w="8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5"/>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193"/>
        </w:trPr>
        <w:tc>
          <w:tcPr>
            <w:tcW w:w="8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5"/>
        </w:trPr>
        <w:tc>
          <w:tcPr>
            <w:tcW w:w="868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 and restricted cash</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(3,774.2)</w:t>
            </w:r>
          </w:p>
        </w:tc>
      </w:tr>
      <w:tr>
        <w:trPr>
          <w:trHeight w:val="226"/>
        </w:trPr>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 and restricted cash:</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8680" w:type="dxa"/>
            <w:vAlign w:val="bottom"/>
          </w:tcPr>
          <w:p>
            <w:pPr>
              <w:ind w:left="320"/>
              <w:spacing w:after="0"/>
              <w:rPr>
                <w:sz w:val="20"/>
                <w:szCs w:val="20"/>
                <w:color w:val="auto"/>
              </w:rPr>
            </w:pPr>
            <w:r>
              <w:rPr>
                <w:rFonts w:ascii="Arial" w:cs="Arial" w:eastAsia="Arial" w:hAnsi="Arial"/>
                <w:sz w:val="18"/>
                <w:szCs w:val="18"/>
                <w:color w:val="auto"/>
              </w:rPr>
              <w:t>Beginning of period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4,717.3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8,180.9</w:t>
            </w:r>
          </w:p>
        </w:tc>
      </w:tr>
      <w:tr>
        <w:trPr>
          <w:trHeight w:val="226"/>
        </w:trPr>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decrease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(3,774.2)</w:t>
            </w:r>
          </w:p>
        </w:tc>
      </w:tr>
      <w:tr>
        <w:trPr>
          <w:trHeight w:val="218"/>
        </w:trPr>
        <w:tc>
          <w:tcPr>
            <w:tcW w:w="8680" w:type="dxa"/>
            <w:vAlign w:val="bottom"/>
          </w:tcPr>
          <w:p>
            <w:pPr>
              <w:ind w:left="420"/>
              <w:spacing w:after="0"/>
              <w:rPr>
                <w:sz w:val="20"/>
                <w:szCs w:val="20"/>
                <w:color w:val="auto"/>
              </w:rPr>
            </w:pPr>
            <w:r>
              <w:rPr>
                <w:rFonts w:ascii="Arial" w:cs="Arial" w:eastAsia="Arial" w:hAnsi="Arial"/>
                <w:sz w:val="18"/>
                <w:szCs w:val="18"/>
                <w:color w:val="auto"/>
              </w:rPr>
              <w:t>End of period</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4,406.7</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9"/>
        </w:trPr>
        <w:tc>
          <w:tcPr>
            <w:tcW w:w="8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99"/>
        </w:trPr>
        <w:tc>
          <w:tcPr>
            <w:tcW w:w="8680" w:type="dxa"/>
            <w:vAlign w:val="bottom"/>
          </w:tcPr>
          <w:p>
            <w:pPr>
              <w:ind w:left="40"/>
              <w:spacing w:after="0" w:line="199" w:lineRule="exact"/>
              <w:rPr>
                <w:sz w:val="20"/>
                <w:szCs w:val="20"/>
                <w:color w:val="auto"/>
              </w:rPr>
            </w:pPr>
            <w:r>
              <w:rPr>
                <w:rFonts w:ascii="Arial" w:cs="Arial" w:eastAsia="Arial" w:hAnsi="Arial"/>
                <w:sz w:val="18"/>
                <w:szCs w:val="18"/>
                <w:color w:val="auto"/>
              </w:rPr>
              <w:t>Cash paid for interest</w:t>
            </w:r>
          </w:p>
        </w:tc>
        <w:tc>
          <w:tcPr>
            <w:tcW w:w="280" w:type="dxa"/>
            <w:vAlign w:val="bottom"/>
            <w:tcBorders>
              <w:bottom w:val="single" w:sz="8" w:color="auto"/>
            </w:tcBorders>
          </w:tcPr>
          <w:p>
            <w:pPr>
              <w:jc w:val="right"/>
              <w:ind w:right="92"/>
              <w:spacing w:after="0" w:line="199"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613.9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2"/>
              <w:spacing w:after="0" w:line="199"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662.5</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3"/>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paid for taxes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46"/>
        </w:trPr>
        <w:tc>
          <w:tcPr>
            <w:tcW w:w="8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Details of end of period cash and cash equivalents and restricted cash:</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874.3</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4,360.6</w:t>
            </w: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included in other current assets and other assets,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Restricted cash included in assets held for sale</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44"/>
        </w:trPr>
        <w:tc>
          <w:tcPr>
            <w:tcW w:w="86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cash and cash equivalents and restricted cash</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4,406.7</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hanging="334"/>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44" w:lineRule="exact"/>
        <w:rPr>
          <w:sz w:val="20"/>
          <w:szCs w:val="20"/>
          <w:color w:val="auto"/>
        </w:rPr>
      </w:pPr>
    </w:p>
    <w:p>
      <w:pPr>
        <w:jc w:val="both"/>
        <w:ind w:firstLine="318"/>
        <w:spacing w:after="0" w:line="334" w:lineRule="auto"/>
        <w:rPr>
          <w:sz w:val="20"/>
          <w:szCs w:val="20"/>
          <w:color w:val="auto"/>
        </w:rPr>
      </w:pPr>
      <w:r>
        <w:rPr>
          <w:rFonts w:ascii="Arial" w:cs="Arial" w:eastAsia="Arial" w:hAnsi="Arial"/>
          <w:sz w:val="15"/>
          <w:szCs w:val="15"/>
          <w:color w:val="auto"/>
        </w:rPr>
        <w:t>Liberty Global plc (</w:t>
      </w:r>
      <w:r>
        <w:rPr>
          <w:rFonts w:ascii="Arial" w:cs="Arial" w:eastAsia="Arial" w:hAnsi="Arial"/>
          <w:sz w:val="15"/>
          <w:szCs w:val="15"/>
          <w:b w:val="1"/>
          <w:bCs w:val="1"/>
          <w:color w:val="auto"/>
        </w:rPr>
        <w:t>Liberty Global</w:t>
      </w:r>
      <w:r>
        <w:rPr>
          <w:rFonts w:ascii="Arial" w:cs="Arial" w:eastAsia="Arial" w:hAnsi="Arial"/>
          <w:sz w:val="15"/>
          <w:szCs w:val="15"/>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broadband internet, video, fixed-line telephony and mobile communications services to residential customers and businesses in Europe.</w:t>
      </w:r>
    </w:p>
    <w:p>
      <w:pPr>
        <w:spacing w:after="0" w:line="15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consolidated operations comprise businesses that provide residential and business-to-business (</w:t>
      </w:r>
      <w:r>
        <w:rPr>
          <w:rFonts w:ascii="Arial" w:cs="Arial" w:eastAsia="Arial" w:hAnsi="Arial"/>
          <w:sz w:val="18"/>
          <w:szCs w:val="18"/>
          <w:b w:val="1"/>
          <w:bCs w:val="1"/>
          <w:color w:val="auto"/>
        </w:rPr>
        <w:t>B2B</w:t>
      </w:r>
      <w:r>
        <w:rPr>
          <w:rFonts w:ascii="Arial" w:cs="Arial" w:eastAsia="Arial" w:hAnsi="Arial"/>
          <w:sz w:val="18"/>
          <w:szCs w:val="18"/>
          <w:color w:val="auto"/>
        </w:rPr>
        <w:t>) communications services in (i) Switzerland, Poland and Slovakia through various wholly-owned subsidiaries that we collectively refer to as “</w:t>
      </w:r>
      <w:r>
        <w:rPr>
          <w:rFonts w:ascii="Arial" w:cs="Arial" w:eastAsia="Arial" w:hAnsi="Arial"/>
          <w:sz w:val="18"/>
          <w:szCs w:val="18"/>
          <w:b w:val="1"/>
          <w:bCs w:val="1"/>
          <w:color w:val="auto"/>
        </w:rPr>
        <w:t>UPC Holding</w:t>
      </w:r>
      <w:r>
        <w:rPr>
          <w:rFonts w:ascii="Arial" w:cs="Arial" w:eastAsia="Arial" w:hAnsi="Arial"/>
          <w:sz w:val="18"/>
          <w:szCs w:val="18"/>
          <w:color w:val="auto"/>
        </w:rPr>
        <w:t>”, (ii) Belgium through Telenet Group Holding N.V. (</w:t>
      </w:r>
      <w:r>
        <w:rPr>
          <w:rFonts w:ascii="Arial" w:cs="Arial" w:eastAsia="Arial" w:hAnsi="Arial"/>
          <w:sz w:val="18"/>
          <w:szCs w:val="18"/>
          <w:b w:val="1"/>
          <w:bCs w:val="1"/>
          <w:color w:val="auto"/>
        </w:rPr>
        <w:t>Telenet</w:t>
      </w:r>
      <w:r>
        <w:rPr>
          <w:rFonts w:ascii="Arial" w:cs="Arial" w:eastAsia="Arial" w:hAnsi="Arial"/>
          <w:sz w:val="18"/>
          <w:szCs w:val="18"/>
          <w:color w:val="auto"/>
        </w:rPr>
        <w:t>), a 60.7%-owned subsidiary, and (iii) Ireland through another wholly-owned subsidiary (</w:t>
      </w:r>
      <w:r>
        <w:rPr>
          <w:rFonts w:ascii="Arial" w:cs="Arial" w:eastAsia="Arial" w:hAnsi="Arial"/>
          <w:sz w:val="18"/>
          <w:szCs w:val="18"/>
          <w:b w:val="1"/>
          <w:bCs w:val="1"/>
          <w:color w:val="auto"/>
        </w:rPr>
        <w:t>VM Ireland</w:t>
      </w:r>
      <w:r>
        <w:rPr>
          <w:rFonts w:ascii="Arial" w:cs="Arial" w:eastAsia="Arial" w:hAnsi="Arial"/>
          <w:sz w:val="18"/>
          <w:szCs w:val="18"/>
          <w:color w:val="auto"/>
        </w:rPr>
        <w:t>). In addition, we own 50% noncontrolling interests in (a) a 50:50 joint venture with Vodafone Group plc (</w:t>
      </w:r>
      <w:r>
        <w:rPr>
          <w:rFonts w:ascii="Arial" w:cs="Arial" w:eastAsia="Arial" w:hAnsi="Arial"/>
          <w:sz w:val="18"/>
          <w:szCs w:val="18"/>
          <w:b w:val="1"/>
          <w:bCs w:val="1"/>
          <w:color w:val="auto"/>
        </w:rPr>
        <w:t>Vodafone</w:t>
      </w:r>
      <w:r>
        <w:rPr>
          <w:rFonts w:ascii="Arial" w:cs="Arial" w:eastAsia="Arial" w:hAnsi="Arial"/>
          <w:sz w:val="18"/>
          <w:szCs w:val="18"/>
          <w:color w:val="auto"/>
        </w:rPr>
        <w:t xml:space="preserve">) (the </w:t>
      </w:r>
      <w:r>
        <w:rPr>
          <w:rFonts w:ascii="Arial" w:cs="Arial" w:eastAsia="Arial" w:hAnsi="Arial"/>
          <w:sz w:val="18"/>
          <w:szCs w:val="18"/>
          <w:b w:val="1"/>
          <w:bCs w:val="1"/>
          <w:color w:val="auto"/>
        </w:rPr>
        <w:t>VodafoneZiggo JV</w:t>
      </w:r>
      <w:r>
        <w:rPr>
          <w:rFonts w:ascii="Arial" w:cs="Arial" w:eastAsia="Arial" w:hAnsi="Arial"/>
          <w:sz w:val="18"/>
          <w:szCs w:val="18"/>
          <w:color w:val="auto"/>
        </w:rPr>
        <w:t>), which provides residential and B2B communication services in the Netherlands and (b) a 50:50 joint venture with Telefónica SA (</w:t>
      </w:r>
      <w:r>
        <w:rPr>
          <w:rFonts w:ascii="Arial" w:cs="Arial" w:eastAsia="Arial" w:hAnsi="Arial"/>
          <w:sz w:val="18"/>
          <w:szCs w:val="18"/>
          <w:b w:val="1"/>
          <w:bCs w:val="1"/>
          <w:color w:val="auto"/>
        </w:rPr>
        <w:t>Telefónica</w:t>
      </w:r>
      <w:r>
        <w:rPr>
          <w:rFonts w:ascii="Arial" w:cs="Arial" w:eastAsia="Arial" w:hAnsi="Arial"/>
          <w:sz w:val="18"/>
          <w:szCs w:val="18"/>
          <w:color w:val="auto"/>
        </w:rPr>
        <w:t xml:space="preserve">) (the </w:t>
      </w:r>
      <w:r>
        <w:rPr>
          <w:rFonts w:ascii="Arial" w:cs="Arial" w:eastAsia="Arial" w:hAnsi="Arial"/>
          <w:sz w:val="18"/>
          <w:szCs w:val="18"/>
          <w:b w:val="1"/>
          <w:bCs w:val="1"/>
          <w:color w:val="auto"/>
        </w:rPr>
        <w:t>VMED O2 JV</w:t>
      </w:r>
      <w:r>
        <w:rPr>
          <w:rFonts w:ascii="Arial" w:cs="Arial" w:eastAsia="Arial" w:hAnsi="Arial"/>
          <w:sz w:val="18"/>
          <w:szCs w:val="18"/>
          <w:color w:val="auto"/>
        </w:rPr>
        <w:t>), which provides residential and B2B communication services in the United Kingdom (</w:t>
      </w:r>
      <w:r>
        <w:rPr>
          <w:rFonts w:ascii="Arial" w:cs="Arial" w:eastAsia="Arial" w:hAnsi="Arial"/>
          <w:sz w:val="18"/>
          <w:szCs w:val="18"/>
          <w:b w:val="1"/>
          <w:bCs w:val="1"/>
          <w:color w:val="auto"/>
        </w:rPr>
        <w:t>U.K.</w:t>
      </w:r>
      <w:r>
        <w:rPr>
          <w:rFonts w:ascii="Arial" w:cs="Arial" w:eastAsia="Arial" w:hAnsi="Arial"/>
          <w:sz w:val="18"/>
          <w:szCs w:val="18"/>
          <w:color w:val="auto"/>
        </w:rPr>
        <w:t>).</w:t>
      </w:r>
    </w:p>
    <w:p>
      <w:pPr>
        <w:spacing w:after="0" w:line="2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Through May 31, 2021, our consolidated operations also provided residential and B2B communications services in the U.K. through Virgin Media Inc. (</w:t>
      </w:r>
      <w:r>
        <w:rPr>
          <w:rFonts w:ascii="Arial" w:cs="Arial" w:eastAsia="Arial" w:hAnsi="Arial"/>
          <w:sz w:val="18"/>
          <w:szCs w:val="18"/>
          <w:b w:val="1"/>
          <w:bCs w:val="1"/>
          <w:color w:val="auto"/>
        </w:rPr>
        <w:t>Virgin Media</w:t>
      </w:r>
      <w:r>
        <w:rPr>
          <w:rFonts w:ascii="Arial" w:cs="Arial" w:eastAsia="Arial" w:hAnsi="Arial"/>
          <w:sz w:val="18"/>
          <w:szCs w:val="18"/>
          <w:color w:val="auto"/>
        </w:rPr>
        <w:t>). On June 1, 2021, we contributed the U.K. JV Entities (as defined in note 4) to the VMED O2 JV and began accounting for our 50% interest in the VMED O2 JV as an equity method investment. For additional information, see note 4.</w:t>
      </w:r>
    </w:p>
    <w:p>
      <w:pPr>
        <w:spacing w:after="0" w:line="21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unaudited condensed consolidated financial statements have been prepared in accordance with accounting principles generally accepted in the United States (</w:t>
      </w:r>
      <w:r>
        <w:rPr>
          <w:rFonts w:ascii="Arial" w:cs="Arial" w:eastAsia="Arial" w:hAnsi="Arial"/>
          <w:sz w:val="15"/>
          <w:szCs w:val="15"/>
          <w:b w:val="1"/>
          <w:bCs w:val="1"/>
          <w:color w:val="auto"/>
        </w:rPr>
        <w:t>GAAP</w:t>
      </w:r>
      <w:r>
        <w:rPr>
          <w:rFonts w:ascii="Arial" w:cs="Arial" w:eastAsia="Arial" w:hAnsi="Arial"/>
          <w:sz w:val="15"/>
          <w:szCs w:val="15"/>
          <w:color w:val="auto"/>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2020 consolidated financial statements and notes thereto included in our 2020 Annual Report on Form 10-K, as amended (our </w:t>
      </w:r>
      <w:r>
        <w:rPr>
          <w:rFonts w:ascii="Arial" w:cs="Arial" w:eastAsia="Arial" w:hAnsi="Arial"/>
          <w:sz w:val="15"/>
          <w:szCs w:val="15"/>
          <w:b w:val="1"/>
          <w:bCs w:val="1"/>
          <w:color w:val="auto"/>
        </w:rPr>
        <w:t>10-K</w:t>
      </w:r>
      <w:r>
        <w:rPr>
          <w:rFonts w:ascii="Arial" w:cs="Arial" w:eastAsia="Arial" w:hAnsi="Arial"/>
          <w:sz w:val="15"/>
          <w:szCs w:val="15"/>
          <w:color w:val="auto"/>
        </w:rPr>
        <w:t>).</w:t>
      </w:r>
    </w:p>
    <w:p>
      <w:pPr>
        <w:spacing w:after="0" w:line="18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Unless otherwise indicated, ownership percentages and convenience translations into United States (</w:t>
      </w:r>
      <w:r>
        <w:rPr>
          <w:rFonts w:ascii="Arial" w:cs="Arial" w:eastAsia="Arial" w:hAnsi="Arial"/>
          <w:sz w:val="15"/>
          <w:szCs w:val="15"/>
          <w:b w:val="1"/>
          <w:bCs w:val="1"/>
          <w:color w:val="auto"/>
        </w:rPr>
        <w:t>U.S.</w:t>
      </w:r>
      <w:r>
        <w:rPr>
          <w:rFonts w:ascii="Arial" w:cs="Arial" w:eastAsia="Arial" w:hAnsi="Arial"/>
          <w:sz w:val="15"/>
          <w:szCs w:val="15"/>
          <w:color w:val="auto"/>
        </w:rPr>
        <w:t>) dollars are calculated as of June 30, 2021.</w:t>
      </w:r>
    </w:p>
    <w:p>
      <w:pPr>
        <w:spacing w:after="0" w:line="278" w:lineRule="exact"/>
        <w:rPr>
          <w:sz w:val="20"/>
          <w:szCs w:val="20"/>
          <w:color w:val="auto"/>
        </w:rPr>
      </w:pPr>
    </w:p>
    <w:p>
      <w:pPr>
        <w:ind w:left="380" w:hanging="374"/>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Changes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2019-12</w:t>
      </w:r>
    </w:p>
    <w:p>
      <w:pPr>
        <w:spacing w:after="0" w:line="23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December 2019, the Financial Accounting Standards Board (</w:t>
      </w:r>
      <w:r>
        <w:rPr>
          <w:rFonts w:ascii="Arial" w:cs="Arial" w:eastAsia="Arial" w:hAnsi="Arial"/>
          <w:sz w:val="18"/>
          <w:szCs w:val="18"/>
          <w:b w:val="1"/>
          <w:bCs w:val="1"/>
          <w:color w:val="auto"/>
        </w:rPr>
        <w:t>FASB</w:t>
      </w:r>
      <w:r>
        <w:rPr>
          <w:rFonts w:ascii="Arial" w:cs="Arial" w:eastAsia="Arial" w:hAnsi="Arial"/>
          <w:sz w:val="18"/>
          <w:szCs w:val="18"/>
          <w:color w:val="auto"/>
        </w:rPr>
        <w:t>) issued Accounting Standards Update (</w:t>
      </w:r>
      <w:r>
        <w:rPr>
          <w:rFonts w:ascii="Arial" w:cs="Arial" w:eastAsia="Arial" w:hAnsi="Arial"/>
          <w:sz w:val="18"/>
          <w:szCs w:val="18"/>
          <w:b w:val="1"/>
          <w:bCs w:val="1"/>
          <w:color w:val="auto"/>
        </w:rPr>
        <w:t>ASU</w:t>
      </w:r>
      <w:r>
        <w:rPr>
          <w:rFonts w:ascii="Arial" w:cs="Arial" w:eastAsia="Arial" w:hAnsi="Arial"/>
          <w:sz w:val="18"/>
          <w:szCs w:val="18"/>
          <w:color w:val="auto"/>
        </w:rPr>
        <w:t xml:space="preserve">) No. 2019-12, </w:t>
      </w:r>
      <w:r>
        <w:rPr>
          <w:rFonts w:ascii="Arial" w:cs="Arial" w:eastAsia="Arial" w:hAnsi="Arial"/>
          <w:sz w:val="18"/>
          <w:szCs w:val="18"/>
          <w:i w:val="1"/>
          <w:iCs w:val="1"/>
          <w:color w:val="auto"/>
        </w:rPr>
        <w:t>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Income Taxes (</w:t>
      </w:r>
      <w:r>
        <w:rPr>
          <w:rFonts w:ascii="Arial" w:cs="Arial" w:eastAsia="Arial" w:hAnsi="Arial"/>
          <w:sz w:val="18"/>
          <w:szCs w:val="18"/>
          <w:b w:val="1"/>
          <w:bCs w:val="1"/>
          <w:color w:val="auto"/>
        </w:rPr>
        <w:t>ASU 2019-12</w:t>
      </w:r>
      <w:r>
        <w:rPr>
          <w:rFonts w:ascii="Arial" w:cs="Arial" w:eastAsia="Arial" w:hAnsi="Arial"/>
          <w:sz w:val="18"/>
          <w:szCs w:val="18"/>
          <w:color w:val="auto"/>
        </w:rPr>
        <w:t>), which is intended to improve consistency and simplify several areas of existing guidance. ASU 2019-12</w:t>
      </w:r>
      <w:r>
        <w:rPr>
          <w:rFonts w:ascii="Arial" w:cs="Arial" w:eastAsia="Arial" w:hAnsi="Arial"/>
          <w:sz w:val="18"/>
          <w:szCs w:val="18"/>
          <w:i w:val="1"/>
          <w:iCs w:val="1"/>
          <w:color w:val="auto"/>
        </w:rPr>
        <w:t xml:space="preserve"> </w:t>
      </w:r>
      <w:r>
        <w:rPr>
          <w:rFonts w:ascii="Arial" w:cs="Arial" w:eastAsia="Arial" w:hAnsi="Arial"/>
          <w:sz w:val="18"/>
          <w:szCs w:val="18"/>
          <w:color w:val="auto"/>
        </w:rPr>
        <w:t>removes certain exceptions to the general principles related to the approach for intraperiod tax allocation, the methodology for calculating income taxes in an interim period and the recognition of deferred tax liabilities for outside basis differences. The new guidance also clarifies the accounting for transactions that result in a step-up in the tax basis of goodwill. We adopted ASU 2019-12 on January 1, 2021, and such adoption did not have a significant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380" w:hanging="374"/>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 and Related Costs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$55.2 million and $49.8 million at June 30, 2021 and December 31, 2020, respectively.</w:t>
      </w:r>
    </w:p>
    <w:p>
      <w:pPr>
        <w:spacing w:after="0" w:line="215"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$46.8 million and $44.3 million as of June 30, 2021 and December 31, 2020, respectively. The current and long-term portions of our contract asset balances are included within other current assets and other assets, net, respectively, on our condensed consolidated balance sheets.</w:t>
      </w:r>
    </w:p>
    <w:p>
      <w:pPr>
        <w:spacing w:after="0" w:line="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$377.1 million and $442.6 million as of June 30, 2021 and December 31, 2020, respectively. The decrease in deferred revenue for the six months ended June 30, 2021 is primarily due to the net effect of (a) the recognition of $240.5 million of revenue that was included in our deferred revenue balance at December 31, 2020 and (b) advanced billings in certain markets. The long-term portions of our deferred revenue balances are included within other long-term liabilities on our condensed consolidated balance sheets.</w:t>
      </w:r>
    </w:p>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 Costs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aggregate assets associated with incremental costs to obtain and fulfill our contracts were $61.9 million and $46.6 million at June 30, 2021 and December 31, 2020, respectively. The current and long-term portions of our assets related to contract costs are included within other current assets and other assets, net, respectively, on our condensed consolidated balance sheets. We amortized $27.8 million and $77.7 million during the three and six months ended June 30, 2021, respectively, and $31.9 million and $69.6 million during the three and six months ended June 30, 2020, respectively, to operating costs and expenses related to these assets.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209" w:lineRule="exact"/>
        <w:rPr>
          <w:sz w:val="20"/>
          <w:szCs w:val="20"/>
          <w:color w:val="auto"/>
        </w:rPr>
      </w:pPr>
    </w:p>
    <w:p>
      <w:pPr>
        <w:ind w:left="380" w:hanging="374"/>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 and Dispositions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U.K. Joint Venture Transaction</w:t>
      </w:r>
    </w:p>
    <w:p>
      <w:pPr>
        <w:spacing w:after="0" w:line="23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color w:val="auto"/>
        </w:rPr>
        <w:t xml:space="preserve">On June 1, 2021, pursuant to a Contribution Agreement dated May 7, 2020 (the </w:t>
      </w:r>
      <w:r>
        <w:rPr>
          <w:rFonts w:ascii="Arial" w:cs="Arial" w:eastAsia="Arial" w:hAnsi="Arial"/>
          <w:sz w:val="17"/>
          <w:szCs w:val="17"/>
          <w:b w:val="1"/>
          <w:bCs w:val="1"/>
          <w:color w:val="auto"/>
        </w:rPr>
        <w:t>Contribution Agreement</w:t>
      </w:r>
      <w:r>
        <w:rPr>
          <w:rFonts w:ascii="Arial" w:cs="Arial" w:eastAsia="Arial" w:hAnsi="Arial"/>
          <w:sz w:val="17"/>
          <w:szCs w:val="17"/>
          <w:color w:val="auto"/>
        </w:rPr>
        <w:t xml:space="preserve">) with, among others, Telefónica, (i) we contributed Virgin Media’s U.K. operations and certain other Liberty Global subsidiaries (together, the </w:t>
      </w:r>
      <w:r>
        <w:rPr>
          <w:rFonts w:ascii="Arial" w:cs="Arial" w:eastAsia="Arial" w:hAnsi="Arial"/>
          <w:sz w:val="17"/>
          <w:szCs w:val="17"/>
          <w:b w:val="1"/>
          <w:bCs w:val="1"/>
          <w:color w:val="auto"/>
        </w:rPr>
        <w:t>U.K. JV Entities</w:t>
      </w:r>
      <w:r>
        <w:rPr>
          <w:rFonts w:ascii="Arial" w:cs="Arial" w:eastAsia="Arial" w:hAnsi="Arial"/>
          <w:sz w:val="17"/>
          <w:szCs w:val="17"/>
          <w:color w:val="auto"/>
        </w:rPr>
        <w:t>) to the VMED O2 JV and (ii) Telefónica contributed its U.K. mobile business to the VMED O2 JV, creating a nationwide integrated communications provider (herein referred to as the “</w:t>
      </w:r>
      <w:r>
        <w:rPr>
          <w:rFonts w:ascii="Arial" w:cs="Arial" w:eastAsia="Arial" w:hAnsi="Arial"/>
          <w:sz w:val="17"/>
          <w:szCs w:val="17"/>
          <w:b w:val="1"/>
          <w:bCs w:val="1"/>
          <w:color w:val="auto"/>
        </w:rPr>
        <w:t>U.K. JV Transaction</w:t>
      </w:r>
      <w:r>
        <w:rPr>
          <w:rFonts w:ascii="Arial" w:cs="Arial" w:eastAsia="Arial" w:hAnsi="Arial"/>
          <w:sz w:val="17"/>
          <w:szCs w:val="17"/>
          <w:color w:val="auto"/>
        </w:rPr>
        <w:t>”). We account for our 50% interest in the VMED O2 JV as an equity method investment.</w:t>
      </w:r>
    </w:p>
    <w:p>
      <w:pPr>
        <w:spacing w:after="0" w:line="20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On June 1, 2021, we received net cash of $52.0 million, which includes (i) an equalization payment (which is subject to post-closing adjustments), (ii) our share of the proceeds associated with related recapitalization financing transactions completed by the VMED O2 JV and (iii) $44.5 million of cash paid by Liberty Global to settle certain centrally-held vendor financing obligations associated with the VMED O2 JV. In connection with the U.K. JV Transaction, we recognized a pre-tax gain of $11.1 billion, net of the recognition of a cumulative foreign currency translation loss of $1.2 billion. This gain was calculated by deducting the carrying value of the U.K. JV Entities (including the related foreign currency translation loss) from</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the sum of (i) the fair value assigned to our 50% interest in the VMED O2 JV and (ii) the net cash received pursuant to the equalization payment and the recapitalization transactions described above. For information regarding our approach to the valuation of our interest in the VMED O2 JV, see note 7.</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condensed consolidated statements of operations include aggregate earnings (loss) before income taxes attributable to the U.K. JV Entities of $305.5 million and ($46.1 million) during the three months ended June 30, 2021 and 2020, respectively, and $948.3 million and $85.0 million during the six months ended June 30, 2021 and 2020, respectively.</w:t>
      </w:r>
    </w:p>
    <w:p>
      <w:pPr>
        <w:spacing w:after="0" w:line="21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Effective with the signing of the Contribution Agreement, we began accounting for the U.K. JV Entities as held for sale. Accordingly, we ceased to depreciate or amortize the long-lived assets of the U.K. JV Entities. However, the U.K. JV Entities were not presented as discontinued operations as the U.K. JV Transaction did not represent a strategic shift that will have a major effect on our financial results or operations.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June 1, 2021 carrying amounts of the major classes of assets and liabilities associated with the U.K. JV Entities, which were contributed into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VMED O2 JV, are summarized below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9720" w:type="dxa"/>
            <w:vAlign w:val="bottom"/>
          </w:tcPr>
          <w:p>
            <w:pPr>
              <w:ind w:left="180"/>
              <w:spacing w:after="0"/>
              <w:rPr>
                <w:sz w:val="20"/>
                <w:szCs w:val="20"/>
                <w:color w:val="auto"/>
              </w:rPr>
            </w:pPr>
            <w:r>
              <w:rPr>
                <w:rFonts w:ascii="Arial" w:cs="Arial" w:eastAsia="Arial" w:hAnsi="Arial"/>
                <w:sz w:val="18"/>
                <w:szCs w:val="18"/>
                <w:color w:val="auto"/>
              </w:rPr>
              <w:t>Current assets (a)</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4,868.3</w:t>
            </w:r>
          </w:p>
        </w:tc>
      </w:tr>
      <w:tr>
        <w:trPr>
          <w:trHeight w:val="226"/>
        </w:trPr>
        <w:tc>
          <w:tcPr>
            <w:tcW w:w="9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9,465.1</w:t>
            </w:r>
          </w:p>
        </w:tc>
      </w:tr>
      <w:tr>
        <w:trPr>
          <w:trHeight w:val="225"/>
        </w:trPr>
        <w:tc>
          <w:tcPr>
            <w:tcW w:w="97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8,214.7</w:t>
            </w:r>
          </w:p>
        </w:tc>
      </w:tr>
      <w:tr>
        <w:trPr>
          <w:trHeight w:val="225"/>
        </w:trPr>
        <w:tc>
          <w:tcPr>
            <w:tcW w:w="9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 net</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3,086.9</w:t>
            </w:r>
          </w:p>
        </w:tc>
      </w:tr>
      <w:tr>
        <w:trPr>
          <w:trHeight w:val="219"/>
        </w:trPr>
        <w:tc>
          <w:tcPr>
            <w:tcW w:w="9720" w:type="dxa"/>
            <w:vAlign w:val="bottom"/>
          </w:tcPr>
          <w:p>
            <w:pPr>
              <w:ind w:left="30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25,635.0</w:t>
            </w:r>
          </w:p>
        </w:tc>
      </w:tr>
      <w:tr>
        <w:trPr>
          <w:trHeight w:val="20"/>
        </w:trPr>
        <w:tc>
          <w:tcPr>
            <w:tcW w:w="97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2"/>
        </w:trPr>
        <w:tc>
          <w:tcPr>
            <w:tcW w:w="9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5"/>
        </w:trPr>
        <w:tc>
          <w:tcPr>
            <w:tcW w:w="97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9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debt and finance lease obligations</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3,220.9</w:t>
            </w:r>
          </w:p>
        </w:tc>
      </w:tr>
      <w:tr>
        <w:trPr>
          <w:trHeight w:val="225"/>
        </w:trPr>
        <w:tc>
          <w:tcPr>
            <w:tcW w:w="9720" w:type="dxa"/>
            <w:vAlign w:val="bottom"/>
          </w:tcPr>
          <w:p>
            <w:pPr>
              <w:ind w:left="180"/>
              <w:spacing w:after="0"/>
              <w:rPr>
                <w:sz w:val="20"/>
                <w:szCs w:val="20"/>
                <w:color w:val="auto"/>
              </w:rPr>
            </w:pPr>
            <w:r>
              <w:rPr>
                <w:rFonts w:ascii="Arial" w:cs="Arial" w:eastAsia="Arial" w:hAnsi="Arial"/>
                <w:sz w:val="18"/>
                <w:szCs w:val="18"/>
                <w:color w:val="auto"/>
              </w:rPr>
              <w:t>Other accrued and current liabilities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2,242.0</w:t>
            </w:r>
          </w:p>
        </w:tc>
      </w:tr>
      <w:tr>
        <w:trPr>
          <w:trHeight w:val="226"/>
        </w:trPr>
        <w:tc>
          <w:tcPr>
            <w:tcW w:w="9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and finance lease obligations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16,905.1</w:t>
            </w:r>
          </w:p>
        </w:tc>
      </w:tr>
      <w:tr>
        <w:trPr>
          <w:trHeight w:val="225"/>
        </w:trPr>
        <w:tc>
          <w:tcPr>
            <w:tcW w:w="9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long-term liabilities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1,788.2</w:t>
            </w:r>
          </w:p>
        </w:tc>
      </w:tr>
      <w:tr>
        <w:trPr>
          <w:trHeight w:val="244"/>
        </w:trPr>
        <w:tc>
          <w:tcPr>
            <w:tcW w:w="9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24,156.2</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includes $3.4 billion of net proceeds from certain financing transactions completed in 2020 that were held in escrow pending the completion of the U.K. JV Transaction.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carrying amounts of the major classes of assets and liabilities associated with the U.K. JV Entities that are classified as held for sale on our condensed consolidated balance sheet as of December 31, 2020 are as follows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972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4,519.8</w:t>
            </w:r>
          </w:p>
        </w:tc>
      </w:tr>
      <w:tr>
        <w:trPr>
          <w:trHeight w:val="226"/>
        </w:trPr>
        <w:tc>
          <w:tcPr>
            <w:tcW w:w="9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8,614.0</w:t>
            </w:r>
          </w:p>
        </w:tc>
      </w:tr>
      <w:tr>
        <w:trPr>
          <w:trHeight w:val="225"/>
        </w:trPr>
        <w:tc>
          <w:tcPr>
            <w:tcW w:w="97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7,918.5</w:t>
            </w:r>
          </w:p>
        </w:tc>
      </w:tr>
      <w:tr>
        <w:trPr>
          <w:trHeight w:val="225"/>
        </w:trPr>
        <w:tc>
          <w:tcPr>
            <w:tcW w:w="9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 net</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3,230.4</w:t>
            </w:r>
          </w:p>
        </w:tc>
      </w:tr>
      <w:tr>
        <w:trPr>
          <w:trHeight w:val="219"/>
        </w:trPr>
        <w:tc>
          <w:tcPr>
            <w:tcW w:w="97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24,282.7</w:t>
            </w:r>
          </w:p>
        </w:tc>
      </w:tr>
      <w:tr>
        <w:trPr>
          <w:trHeight w:val="20"/>
        </w:trPr>
        <w:tc>
          <w:tcPr>
            <w:tcW w:w="97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2"/>
        </w:trPr>
        <w:tc>
          <w:tcPr>
            <w:tcW w:w="9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5"/>
        </w:trPr>
        <w:tc>
          <w:tcPr>
            <w:tcW w:w="97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9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debt and finance lease obligations</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2,699.5</w:t>
            </w:r>
          </w:p>
        </w:tc>
      </w:tr>
      <w:tr>
        <w:trPr>
          <w:trHeight w:val="225"/>
        </w:trPr>
        <w:tc>
          <w:tcPr>
            <w:tcW w:w="9720" w:type="dxa"/>
            <w:vAlign w:val="bottom"/>
          </w:tcPr>
          <w:p>
            <w:pPr>
              <w:ind w:left="180"/>
              <w:spacing w:after="0"/>
              <w:rPr>
                <w:sz w:val="20"/>
                <w:szCs w:val="20"/>
                <w:color w:val="auto"/>
              </w:rPr>
            </w:pPr>
            <w:r>
              <w:rPr>
                <w:rFonts w:ascii="Arial" w:cs="Arial" w:eastAsia="Arial" w:hAnsi="Arial"/>
                <w:sz w:val="18"/>
                <w:szCs w:val="18"/>
                <w:color w:val="auto"/>
              </w:rPr>
              <w:t>Other accrued and current liabilities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2,207.3</w:t>
            </w:r>
          </w:p>
        </w:tc>
      </w:tr>
      <w:tr>
        <w:trPr>
          <w:trHeight w:val="226"/>
        </w:trPr>
        <w:tc>
          <w:tcPr>
            <w:tcW w:w="9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and finance lease obligations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16,724.1</w:t>
            </w:r>
          </w:p>
        </w:tc>
      </w:tr>
      <w:tr>
        <w:trPr>
          <w:trHeight w:val="225"/>
        </w:trPr>
        <w:tc>
          <w:tcPr>
            <w:tcW w:w="9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long-term liabilities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1,566.3</w:t>
            </w:r>
          </w:p>
        </w:tc>
      </w:tr>
      <w:tr>
        <w:trPr>
          <w:trHeight w:val="244"/>
        </w:trPr>
        <w:tc>
          <w:tcPr>
            <w:tcW w:w="9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23,197.2</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In February 2021, we entered into a less significant 50:50 joint venture agreement that we currently expect will close during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2021. Accordingly, certain assets and liabilities associated with this pending transaction are classified as held for sale on our June 30, 2021 condensed consolidated balance sheet. Upon closing of the transaction, these assets and liabilities will be contributed to this joint venture, and we will account for our 50% interest in the joint venture as an equity method investment.</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2020 Acquisition</w:t>
      </w:r>
    </w:p>
    <w:p>
      <w:pPr>
        <w:spacing w:after="0" w:line="238"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i w:val="1"/>
          <w:iCs w:val="1"/>
          <w:color w:val="auto"/>
        </w:rPr>
        <w:t xml:space="preserve">Sunrise Acquisition. </w:t>
      </w:r>
      <w:r>
        <w:rPr>
          <w:rFonts w:ascii="Arial" w:cs="Arial" w:eastAsia="Arial" w:hAnsi="Arial"/>
          <w:sz w:val="17"/>
          <w:szCs w:val="17"/>
          <w:color w:val="auto"/>
        </w:rPr>
        <w:t>On November 11, 2020, Liberty Global completed the acquisition of Sunrise Communications Group AG (</w:t>
      </w:r>
      <w:r>
        <w:rPr>
          <w:rFonts w:ascii="Arial" w:cs="Arial" w:eastAsia="Arial" w:hAnsi="Arial"/>
          <w:sz w:val="17"/>
          <w:szCs w:val="17"/>
          <w:b w:val="1"/>
          <w:bCs w:val="1"/>
          <w:color w:val="auto"/>
        </w:rPr>
        <w:t>Sunrise</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Sunrise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Acquisition</w:t>
      </w:r>
      <w:r>
        <w:rPr>
          <w:rFonts w:ascii="Arial" w:cs="Arial" w:eastAsia="Arial" w:hAnsi="Arial"/>
          <w:sz w:val="17"/>
          <w:szCs w:val="17"/>
          <w:color w:val="auto"/>
        </w:rPr>
        <w:t>). The Sunrise Acquisition was effected through an all cash public tender offer of the outstanding shares of Sunrise (the</w:t>
      </w:r>
      <w:r>
        <w:rPr>
          <w:rFonts w:ascii="Arial" w:cs="Arial" w:eastAsia="Arial" w:hAnsi="Arial"/>
          <w:sz w:val="17"/>
          <w:szCs w:val="17"/>
          <w:b w:val="1"/>
          <w:bCs w:val="1"/>
          <w:color w:val="auto"/>
        </w:rPr>
        <w:t xml:space="preserve"> Sunrise Shares</w:t>
      </w:r>
      <w:r>
        <w:rPr>
          <w:rFonts w:ascii="Arial" w:cs="Arial" w:eastAsia="Arial" w:hAnsi="Arial"/>
          <w:sz w:val="17"/>
          <w:szCs w:val="17"/>
          <w:color w:val="auto"/>
        </w:rPr>
        <w:t>) for CHF</w:t>
      </w:r>
      <w:r>
        <w:rPr>
          <w:rFonts w:ascii="Arial" w:cs="Arial" w:eastAsia="Arial" w:hAnsi="Arial"/>
          <w:sz w:val="17"/>
          <w:szCs w:val="17"/>
          <w:b w:val="1"/>
          <w:bCs w:val="1"/>
          <w:color w:val="auto"/>
        </w:rPr>
        <w:t xml:space="preserve"> </w:t>
      </w:r>
      <w:r>
        <w:rPr>
          <w:rFonts w:ascii="Arial" w:cs="Arial" w:eastAsia="Arial" w:hAnsi="Arial"/>
          <w:sz w:val="17"/>
          <w:szCs w:val="17"/>
          <w:color w:val="auto"/>
        </w:rPr>
        <w:t>110 ($120 at the transaction date) per share, for a total purchase price of CHF 5.0 billion ($5.4 billion at the transaction date). As of June 30, 2021, Liberty Global held 100.0% of the share capital of Sunrise after the April 2021 completion of a statutory “squeeze-out” procedure, under applicable Swiss law, to acquire the remaining Sunrise Shares that were not acquired pursuant to the tender offer.</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unaudited pro forma consolidated operating results give effect to the Sunrise Acquisition as if it had been completed as of January 1, 2019.</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These pro forma amounts are not necessarily indicative of the operating results that would have occurred if the Sunrise Acquisition had occurred on such date.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pro forma adjustments are based on certain assumptions that we believe are reasonable.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1960" w:type="dxa"/>
            <w:vAlign w:val="bottom"/>
            <w:gridSpan w:val="3"/>
          </w:tcPr>
          <w:p>
            <w:pPr>
              <w:ind w:left="60"/>
              <w:spacing w:after="0"/>
              <w:rPr>
                <w:sz w:val="20"/>
                <w:szCs w:val="20"/>
                <w:color w:val="auto"/>
              </w:rPr>
            </w:pPr>
            <w:r>
              <w:rPr>
                <w:rFonts w:ascii="Arial" w:cs="Arial" w:eastAsia="Arial" w:hAnsi="Arial"/>
                <w:sz w:val="16"/>
                <w:szCs w:val="16"/>
                <w:b w:val="1"/>
                <w:bCs w:val="1"/>
                <w:color w:val="auto"/>
                <w:w w:val="94"/>
              </w:rPr>
              <w:t>Three months ended June</w:t>
            </w:r>
          </w:p>
        </w:tc>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w w:val="87"/>
              </w:rPr>
              <w:t>Six months ended June 30,</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6"/>
              <w:spacing w:after="0"/>
              <w:rPr>
                <w:sz w:val="20"/>
                <w:szCs w:val="20"/>
                <w:color w:val="auto"/>
              </w:rPr>
            </w:pPr>
            <w:r>
              <w:rPr>
                <w:rFonts w:ascii="Arial" w:cs="Arial" w:eastAsia="Arial" w:hAnsi="Arial"/>
                <w:sz w:val="16"/>
                <w:szCs w:val="16"/>
                <w:b w:val="1"/>
                <w:bCs w:val="1"/>
                <w:color w:val="auto"/>
              </w:rPr>
              <w:t>30, 2020</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0" w:type="dxa"/>
            <w:vAlign w:val="bottom"/>
            <w:gridSpan w:val="3"/>
          </w:tcPr>
          <w:p>
            <w:pPr>
              <w:jc w:val="center"/>
              <w:ind w:left="196"/>
              <w:spacing w:after="0"/>
              <w:rPr>
                <w:sz w:val="20"/>
                <w:szCs w:val="20"/>
                <w:color w:val="auto"/>
              </w:rPr>
            </w:pPr>
            <w:r>
              <w:rPr>
                <w:rFonts w:ascii="Arial" w:cs="Arial" w:eastAsia="Arial" w:hAnsi="Arial"/>
                <w:sz w:val="16"/>
                <w:szCs w:val="16"/>
                <w:b w:val="1"/>
                <w:bCs w:val="1"/>
                <w:color w:val="auto"/>
                <w:w w:val="91"/>
              </w:rPr>
              <w:t>(unaudited)</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0" w:type="dxa"/>
            <w:vAlign w:val="bottom"/>
            <w:gridSpan w:val="3"/>
          </w:tcPr>
          <w:p>
            <w:pPr>
              <w:jc w:val="center"/>
              <w:ind w:left="176"/>
              <w:spacing w:after="0"/>
              <w:rPr>
                <w:sz w:val="20"/>
                <w:szCs w:val="20"/>
                <w:color w:val="auto"/>
              </w:rPr>
            </w:pPr>
            <w:r>
              <w:rPr>
                <w:rFonts w:ascii="Arial" w:cs="Arial" w:eastAsia="Arial" w:hAnsi="Arial"/>
                <w:sz w:val="16"/>
                <w:szCs w:val="16"/>
                <w:b w:val="1"/>
                <w:bCs w:val="1"/>
                <w:color w:val="auto"/>
                <w:w w:val="88"/>
              </w:rPr>
              <w:t>in millions, except per share amount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6,545.8</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420" w:type="dxa"/>
            <w:vAlign w:val="bottom"/>
          </w:tcPr>
          <w:p>
            <w:pPr>
              <w:ind w:left="20"/>
              <w:spacing w:after="0" w:line="198" w:lineRule="exact"/>
              <w:rPr>
                <w:sz w:val="20"/>
                <w:szCs w:val="20"/>
                <w:color w:val="auto"/>
              </w:rPr>
            </w:pPr>
            <w:r>
              <w:rPr>
                <w:rFonts w:ascii="Arial" w:cs="Arial" w:eastAsia="Arial" w:hAnsi="Arial"/>
                <w:sz w:val="18"/>
                <w:szCs w:val="18"/>
                <w:color w:val="auto"/>
              </w:rPr>
              <w:t>Net earnings (loss) attributable to Liberty Global shareholders</w:t>
            </w:r>
          </w:p>
        </w:tc>
        <w:tc>
          <w:tcPr>
            <w:tcW w:w="380" w:type="dxa"/>
            <w:vAlign w:val="bottom"/>
            <w:tcBorders>
              <w:bottom w:val="single" w:sz="8" w:color="auto"/>
            </w:tcBorders>
          </w:tcPr>
          <w:p>
            <w:pPr>
              <w:jc w:val="right"/>
              <w:ind w:right="174"/>
              <w:spacing w:after="0" w:line="198"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(579.1)</w:t>
            </w:r>
          </w:p>
        </w:tc>
        <w:tc>
          <w:tcPr>
            <w:tcW w:w="100" w:type="dxa"/>
            <w:vAlign w:val="bottom"/>
          </w:tcPr>
          <w:p>
            <w:pPr>
              <w:spacing w:after="0"/>
              <w:rPr>
                <w:sz w:val="17"/>
                <w:szCs w:val="17"/>
                <w:color w:val="auto"/>
              </w:rPr>
            </w:pPr>
          </w:p>
        </w:tc>
        <w:tc>
          <w:tcPr>
            <w:tcW w:w="1220" w:type="dxa"/>
            <w:vAlign w:val="bottom"/>
            <w:tcBorders>
              <w:bottom w:val="single" w:sz="8" w:color="auto"/>
            </w:tcBorders>
          </w:tcPr>
          <w:p>
            <w:pPr>
              <w:ind w:left="20"/>
              <w:spacing w:after="0" w:line="198"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42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Basic and diluted earnings (loss) attributable to Liberty Global shareholders</w:t>
            </w:r>
          </w:p>
        </w:tc>
        <w:tc>
          <w:tcPr>
            <w:tcW w:w="380" w:type="dxa"/>
            <w:vAlign w:val="bottom"/>
            <w:vMerge w:val="restart"/>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8"/>
        </w:trPr>
        <w:tc>
          <w:tcPr>
            <w:tcW w:w="7420" w:type="dxa"/>
            <w:vAlign w:val="bottom"/>
            <w:tcBorders>
              <w:bottom w:val="single" w:sz="8" w:color="CCEEFF"/>
            </w:tcBorders>
            <w:shd w:val="clear" w:color="auto" w:fill="CCEEFF"/>
          </w:tcPr>
          <w:p>
            <w:pPr>
              <w:ind w:left="180"/>
              <w:spacing w:after="0" w:line="198" w:lineRule="exact"/>
              <w:rPr>
                <w:sz w:val="20"/>
                <w:szCs w:val="20"/>
                <w:color w:val="auto"/>
              </w:rPr>
            </w:pPr>
            <w:r>
              <w:rPr>
                <w:rFonts w:ascii="Arial" w:cs="Arial" w:eastAsia="Arial" w:hAnsi="Arial"/>
                <w:sz w:val="18"/>
                <w:szCs w:val="18"/>
                <w:color w:val="auto"/>
              </w:rPr>
              <w:t>per share</w:t>
            </w: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u w:val="single" w:color="auto"/>
          <w:color w:val="auto"/>
        </w:rPr>
        <w:t>Investments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investments are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Accounting Method</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380" w:type="dxa"/>
            <w:vAlign w:val="bottom"/>
            <w:gridSpan w:val="2"/>
          </w:tcPr>
          <w:p>
            <w:pPr>
              <w:jc w:val="right"/>
              <w:ind w:right="152"/>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6"/>
                <w:szCs w:val="16"/>
                <w:color w:val="auto"/>
              </w:rPr>
            </w:pPr>
          </w:p>
        </w:tc>
        <w:tc>
          <w:tcPr>
            <w:tcW w:w="13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Ownership (a)</w:t>
            </w:r>
          </w:p>
        </w:tc>
        <w:tc>
          <w:tcPr>
            <w:tcW w:w="0" w:type="dxa"/>
            <w:vAlign w:val="bottom"/>
          </w:tcPr>
          <w:p>
            <w:pPr>
              <w:spacing w:after="0"/>
              <w:rPr>
                <w:sz w:val="1"/>
                <w:szCs w:val="1"/>
                <w:color w:val="auto"/>
              </w:rPr>
            </w:pPr>
          </w:p>
        </w:tc>
      </w:tr>
      <w:tr>
        <w:trPr>
          <w:trHeight w:val="210"/>
        </w:trPr>
        <w:tc>
          <w:tcPr>
            <w:tcW w:w="69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(b):</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tcPr>
          <w:p>
            <w:pPr>
              <w:ind w:left="180"/>
              <w:spacing w:after="0"/>
              <w:rPr>
                <w:sz w:val="20"/>
                <w:szCs w:val="20"/>
                <w:color w:val="auto"/>
              </w:rPr>
            </w:pPr>
            <w:r>
              <w:rPr>
                <w:rFonts w:ascii="Arial" w:cs="Arial" w:eastAsia="Arial" w:hAnsi="Arial"/>
                <w:sz w:val="18"/>
                <w:szCs w:val="18"/>
                <w:color w:val="auto"/>
              </w:rPr>
              <w:t>Long-term:</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VMED O2 JV</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5"/>
        </w:trPr>
        <w:tc>
          <w:tcPr>
            <w:tcW w:w="6960" w:type="dxa"/>
            <w:vAlign w:val="bottom"/>
          </w:tcPr>
          <w:p>
            <w:pPr>
              <w:ind w:left="340"/>
              <w:spacing w:after="0"/>
              <w:rPr>
                <w:sz w:val="20"/>
                <w:szCs w:val="20"/>
                <w:color w:val="auto"/>
              </w:rPr>
            </w:pPr>
            <w:r>
              <w:rPr>
                <w:rFonts w:ascii="Arial" w:cs="Arial" w:eastAsia="Arial" w:hAnsi="Arial"/>
                <w:sz w:val="18"/>
                <w:szCs w:val="18"/>
                <w:color w:val="auto"/>
              </w:rPr>
              <w:t>VodafoneZiggo JV (c)</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3,052.3</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6"/>
        </w:trPr>
        <w:tc>
          <w:tcPr>
            <w:tcW w:w="6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All3Media Group (</w:t>
            </w:r>
            <w:r>
              <w:rPr>
                <w:rFonts w:ascii="Arial" w:cs="Arial" w:eastAsia="Arial" w:hAnsi="Arial"/>
                <w:sz w:val="18"/>
                <w:szCs w:val="18"/>
                <w:b w:val="1"/>
                <w:bCs w:val="1"/>
                <w:color w:val="auto"/>
              </w:rPr>
              <w:t>All3Media</w:t>
            </w: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5"/>
        </w:trPr>
        <w:tc>
          <w:tcPr>
            <w:tcW w:w="6960" w:type="dxa"/>
            <w:vAlign w:val="bottom"/>
          </w:tcPr>
          <w:p>
            <w:pPr>
              <w:ind w:left="300"/>
              <w:spacing w:after="0"/>
              <w:rPr>
                <w:sz w:val="20"/>
                <w:szCs w:val="20"/>
                <w:color w:val="auto"/>
              </w:rPr>
            </w:pPr>
            <w:r>
              <w:rPr>
                <w:rFonts w:ascii="Arial" w:cs="Arial" w:eastAsia="Arial" w:hAnsi="Arial"/>
                <w:sz w:val="18"/>
                <w:szCs w:val="18"/>
                <w:color w:val="auto"/>
              </w:rPr>
              <w:t>Formula E Holdings Ltd (</w:t>
            </w:r>
            <w:r>
              <w:rPr>
                <w:rFonts w:ascii="Arial" w:cs="Arial" w:eastAsia="Arial" w:hAnsi="Arial"/>
                <w:sz w:val="18"/>
                <w:szCs w:val="18"/>
                <w:b w:val="1"/>
                <w:bCs w:val="1"/>
                <w:color w:val="auto"/>
              </w:rPr>
              <w:t>Formula E</w:t>
            </w: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105.8</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32.9</w:t>
            </w:r>
          </w:p>
        </w:tc>
        <w:tc>
          <w:tcPr>
            <w:tcW w:w="0" w:type="dxa"/>
            <w:vAlign w:val="bottom"/>
          </w:tcPr>
          <w:p>
            <w:pPr>
              <w:spacing w:after="0"/>
              <w:rPr>
                <w:sz w:val="1"/>
                <w:szCs w:val="1"/>
                <w:color w:val="auto"/>
              </w:rPr>
            </w:pPr>
          </w:p>
        </w:tc>
      </w:tr>
      <w:tr>
        <w:trPr>
          <w:trHeight w:val="225"/>
        </w:trPr>
        <w:tc>
          <w:tcPr>
            <w:tcW w:w="6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60" w:type="dxa"/>
            <w:vAlign w:val="bottom"/>
            <w:tcBorders>
              <w:bottom w:val="single" w:sz="8" w:color="CCEEFF"/>
            </w:tcBorders>
          </w:tcPr>
          <w:p>
            <w:pPr>
              <w:ind w:left="380"/>
              <w:spacing w:after="0" w:line="204" w:lineRule="exact"/>
              <w:rPr>
                <w:sz w:val="20"/>
                <w:szCs w:val="20"/>
                <w:color w:val="auto"/>
              </w:rPr>
            </w:pPr>
            <w:r>
              <w:rPr>
                <w:rFonts w:ascii="Arial" w:cs="Arial" w:eastAsia="Arial" w:hAnsi="Arial"/>
                <w:sz w:val="18"/>
                <w:szCs w:val="18"/>
                <w:color w:val="auto"/>
              </w:rPr>
              <w:t>Total — equity</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17,889.4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3,488.7</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Fair value: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tcPr>
          <w:p>
            <w:pPr>
              <w:ind w:left="180"/>
              <w:spacing w:after="0"/>
              <w:rPr>
                <w:sz w:val="20"/>
                <w:szCs w:val="20"/>
                <w:color w:val="auto"/>
              </w:rPr>
            </w:pPr>
            <w:r>
              <w:rPr>
                <w:rFonts w:ascii="Arial" w:cs="Arial" w:eastAsia="Arial" w:hAnsi="Arial"/>
                <w:sz w:val="18"/>
                <w:szCs w:val="18"/>
                <w:color w:val="auto"/>
              </w:rPr>
              <w:t>Short-term:</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Separately-managed accounts (</w:t>
            </w:r>
            <w:r>
              <w:rPr>
                <w:rFonts w:ascii="Arial" w:cs="Arial" w:eastAsia="Arial" w:hAnsi="Arial"/>
                <w:sz w:val="18"/>
                <w:szCs w:val="18"/>
                <w:b w:val="1"/>
                <w:bCs w:val="1"/>
                <w:color w:val="auto"/>
              </w:rPr>
              <w:t>SMAs</w:t>
            </w:r>
            <w:r>
              <w:rPr>
                <w:rFonts w:ascii="Arial" w:cs="Arial" w:eastAsia="Arial" w:hAnsi="Arial"/>
                <w:sz w:val="18"/>
                <w:szCs w:val="18"/>
                <w:color w:val="auto"/>
              </w:rPr>
              <w:t>) (d)</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tcPr>
          <w:p>
            <w:pPr>
              <w:ind w:left="180"/>
              <w:spacing w:after="0"/>
              <w:rPr>
                <w:sz w:val="20"/>
                <w:szCs w:val="20"/>
                <w:color w:val="auto"/>
              </w:rPr>
            </w:pPr>
            <w:r>
              <w:rPr>
                <w:rFonts w:ascii="Arial" w:cs="Arial" w:eastAsia="Arial" w:hAnsi="Arial"/>
                <w:sz w:val="18"/>
                <w:szCs w:val="18"/>
                <w:color w:val="auto"/>
              </w:rPr>
              <w:t>Long-term:</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ITV plc (</w:t>
            </w:r>
            <w:r>
              <w:rPr>
                <w:rFonts w:ascii="Arial" w:cs="Arial" w:eastAsia="Arial" w:hAnsi="Arial"/>
                <w:sz w:val="18"/>
                <w:szCs w:val="18"/>
                <w:b w:val="1"/>
                <w:bCs w:val="1"/>
                <w:color w:val="auto"/>
              </w:rPr>
              <w:t>ITV</w:t>
            </w:r>
            <w:r>
              <w:rPr>
                <w:rFonts w:ascii="Arial" w:cs="Arial" w:eastAsia="Arial" w:hAnsi="Arial"/>
                <w:sz w:val="18"/>
                <w:szCs w:val="18"/>
                <w:color w:val="auto"/>
              </w:rPr>
              <w:t>) (e)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9.9</w:t>
            </w:r>
          </w:p>
        </w:tc>
        <w:tc>
          <w:tcPr>
            <w:tcW w:w="0" w:type="dxa"/>
            <w:vAlign w:val="bottom"/>
          </w:tcPr>
          <w:p>
            <w:pPr>
              <w:spacing w:after="0"/>
              <w:rPr>
                <w:sz w:val="1"/>
                <w:szCs w:val="1"/>
                <w:color w:val="auto"/>
              </w:rPr>
            </w:pPr>
          </w:p>
        </w:tc>
      </w:tr>
      <w:tr>
        <w:trPr>
          <w:trHeight w:val="225"/>
        </w:trPr>
        <w:tc>
          <w:tcPr>
            <w:tcW w:w="6960" w:type="dxa"/>
            <w:vAlign w:val="bottom"/>
          </w:tcPr>
          <w:p>
            <w:pPr>
              <w:ind w:left="300"/>
              <w:spacing w:after="0"/>
              <w:rPr>
                <w:sz w:val="20"/>
                <w:szCs w:val="20"/>
                <w:color w:val="auto"/>
              </w:rPr>
            </w:pPr>
            <w:r>
              <w:rPr>
                <w:rFonts w:ascii="Arial" w:cs="Arial" w:eastAsia="Arial" w:hAnsi="Arial"/>
                <w:sz w:val="18"/>
                <w:szCs w:val="18"/>
                <w:color w:val="auto"/>
              </w:rPr>
              <w:t>SMAs (d)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365.7</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Univision Holdings Inc. (</w:t>
            </w:r>
            <w:r>
              <w:rPr>
                <w:rFonts w:ascii="Arial" w:cs="Arial" w:eastAsia="Arial" w:hAnsi="Arial"/>
                <w:sz w:val="18"/>
                <w:szCs w:val="18"/>
                <w:b w:val="1"/>
                <w:bCs w:val="1"/>
                <w:color w:val="auto"/>
              </w:rPr>
              <w:t>Univision</w:t>
            </w: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11.6</w:t>
            </w:r>
          </w:p>
        </w:tc>
        <w:tc>
          <w:tcPr>
            <w:tcW w:w="0" w:type="dxa"/>
            <w:vAlign w:val="bottom"/>
          </w:tcPr>
          <w:p>
            <w:pPr>
              <w:spacing w:after="0"/>
              <w:rPr>
                <w:sz w:val="1"/>
                <w:szCs w:val="1"/>
                <w:color w:val="auto"/>
              </w:rPr>
            </w:pPr>
          </w:p>
        </w:tc>
      </w:tr>
      <w:tr>
        <w:trPr>
          <w:trHeight w:val="225"/>
        </w:trPr>
        <w:tc>
          <w:tcPr>
            <w:tcW w:w="6960" w:type="dxa"/>
            <w:vAlign w:val="bottom"/>
          </w:tcPr>
          <w:p>
            <w:pPr>
              <w:ind w:left="300"/>
              <w:spacing w:after="0"/>
              <w:rPr>
                <w:sz w:val="20"/>
                <w:szCs w:val="20"/>
                <w:color w:val="auto"/>
              </w:rPr>
            </w:pPr>
            <w:r>
              <w:rPr>
                <w:rFonts w:ascii="Arial" w:cs="Arial" w:eastAsia="Arial" w:hAnsi="Arial"/>
                <w:sz w:val="18"/>
                <w:szCs w:val="18"/>
                <w:color w:val="auto"/>
              </w:rPr>
              <w:t>Skillz Inc. (</w:t>
            </w:r>
            <w:r>
              <w:rPr>
                <w:rFonts w:ascii="Arial" w:cs="Arial" w:eastAsia="Arial" w:hAnsi="Arial"/>
                <w:sz w:val="18"/>
                <w:szCs w:val="18"/>
                <w:b w:val="1"/>
                <w:bCs w:val="1"/>
                <w:color w:val="auto"/>
              </w:rPr>
              <w:t>Skillz</w:t>
            </w: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225.4</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2.2</w:t>
            </w:r>
          </w:p>
        </w:tc>
        <w:tc>
          <w:tcPr>
            <w:tcW w:w="0" w:type="dxa"/>
            <w:vAlign w:val="bottom"/>
          </w:tcPr>
          <w:p>
            <w:pPr>
              <w:spacing w:after="0"/>
              <w:rPr>
                <w:sz w:val="1"/>
                <w:szCs w:val="1"/>
                <w:color w:val="auto"/>
              </w:rPr>
            </w:pPr>
          </w:p>
        </w:tc>
      </w:tr>
      <w:tr>
        <w:trPr>
          <w:trHeight w:val="225"/>
        </w:trPr>
        <w:tc>
          <w:tcPr>
            <w:tcW w:w="6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Lions Gate Entertainment Corp (</w:t>
            </w:r>
            <w:r>
              <w:rPr>
                <w:rFonts w:ascii="Arial" w:cs="Arial" w:eastAsia="Arial" w:hAnsi="Arial"/>
                <w:sz w:val="18"/>
                <w:szCs w:val="18"/>
                <w:b w:val="1"/>
                <w:bCs w:val="1"/>
                <w:color w:val="auto"/>
              </w:rPr>
              <w:t>Lionsgate</w:t>
            </w: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25"/>
        </w:trPr>
        <w:tc>
          <w:tcPr>
            <w:tcW w:w="6960" w:type="dxa"/>
            <w:vAlign w:val="bottom"/>
          </w:tcPr>
          <w:p>
            <w:pPr>
              <w:ind w:left="300"/>
              <w:spacing w:after="0"/>
              <w:rPr>
                <w:sz w:val="20"/>
                <w:szCs w:val="20"/>
                <w:color w:val="auto"/>
              </w:rPr>
            </w:pPr>
            <w:r>
              <w:rPr>
                <w:rFonts w:ascii="Arial" w:cs="Arial" w:eastAsia="Arial" w:hAnsi="Arial"/>
                <w:sz w:val="18"/>
                <w:szCs w:val="18"/>
                <w:color w:val="auto"/>
              </w:rPr>
              <w:t>Plume Design, Inc. (</w:t>
            </w:r>
            <w:r>
              <w:rPr>
                <w:rFonts w:ascii="Arial" w:cs="Arial" w:eastAsia="Arial" w:hAnsi="Arial"/>
                <w:sz w:val="18"/>
                <w:szCs w:val="18"/>
                <w:b w:val="1"/>
                <w:bCs w:val="1"/>
                <w:color w:val="auto"/>
              </w:rPr>
              <w:t>Plume</w:t>
            </w: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54.9</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12.1</w:t>
            </w:r>
          </w:p>
        </w:tc>
        <w:tc>
          <w:tcPr>
            <w:tcW w:w="0" w:type="dxa"/>
            <w:vAlign w:val="bottom"/>
          </w:tcPr>
          <w:p>
            <w:pPr>
              <w:spacing w:after="0"/>
              <w:rPr>
                <w:sz w:val="1"/>
                <w:szCs w:val="1"/>
                <w:color w:val="auto"/>
              </w:rPr>
            </w:pPr>
          </w:p>
        </w:tc>
      </w:tr>
      <w:tr>
        <w:trPr>
          <w:trHeight w:val="225"/>
        </w:trPr>
        <w:tc>
          <w:tcPr>
            <w:tcW w:w="6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EdgeConneX Inc. (</w:t>
            </w:r>
            <w:r>
              <w:rPr>
                <w:rFonts w:ascii="Arial" w:cs="Arial" w:eastAsia="Arial" w:hAnsi="Arial"/>
                <w:sz w:val="18"/>
                <w:szCs w:val="18"/>
                <w:b w:val="1"/>
                <w:bCs w:val="1"/>
                <w:color w:val="auto"/>
              </w:rPr>
              <w:t>EdgeConneX</w:t>
            </w: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5.2</w:t>
            </w:r>
          </w:p>
        </w:tc>
        <w:tc>
          <w:tcPr>
            <w:tcW w:w="0" w:type="dxa"/>
            <w:vAlign w:val="bottom"/>
          </w:tcPr>
          <w:p>
            <w:pPr>
              <w:spacing w:after="0"/>
              <w:rPr>
                <w:sz w:val="1"/>
                <w:szCs w:val="1"/>
                <w:color w:val="auto"/>
              </w:rPr>
            </w:pPr>
          </w:p>
        </w:tc>
      </w:tr>
      <w:tr>
        <w:trPr>
          <w:trHeight w:val="225"/>
        </w:trPr>
        <w:tc>
          <w:tcPr>
            <w:tcW w:w="6960" w:type="dxa"/>
            <w:vAlign w:val="bottom"/>
          </w:tcPr>
          <w:p>
            <w:pPr>
              <w:ind w:left="300"/>
              <w:spacing w:after="0"/>
              <w:rPr>
                <w:sz w:val="20"/>
                <w:szCs w:val="20"/>
                <w:color w:val="auto"/>
              </w:rPr>
            </w:pPr>
            <w:r>
              <w:rPr>
                <w:rFonts w:ascii="Arial" w:cs="Arial" w:eastAsia="Arial" w:hAnsi="Arial"/>
                <w:sz w:val="18"/>
                <w:szCs w:val="18"/>
                <w:color w:val="auto"/>
              </w:rPr>
              <w:t>CANAL+ Polska S.A.</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92.3</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17.0</w:t>
            </w:r>
          </w:p>
        </w:tc>
        <w:tc>
          <w:tcPr>
            <w:tcW w:w="0" w:type="dxa"/>
            <w:vAlign w:val="bottom"/>
          </w:tcPr>
          <w:p>
            <w:pPr>
              <w:spacing w:after="0"/>
              <w:rPr>
                <w:sz w:val="1"/>
                <w:szCs w:val="1"/>
                <w:color w:val="auto"/>
              </w:rPr>
            </w:pPr>
          </w:p>
        </w:tc>
      </w:tr>
      <w:tr>
        <w:trPr>
          <w:trHeight w:val="226"/>
        </w:trPr>
        <w:tc>
          <w:tcPr>
            <w:tcW w:w="6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Lacework Inc. (</w:t>
            </w:r>
            <w:r>
              <w:rPr>
                <w:rFonts w:ascii="Arial" w:cs="Arial" w:eastAsia="Arial" w:hAnsi="Arial"/>
                <w:sz w:val="18"/>
                <w:szCs w:val="18"/>
                <w:b w:val="1"/>
                <w:bCs w:val="1"/>
                <w:color w:val="auto"/>
              </w:rPr>
              <w:t>Lacework</w:t>
            </w: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0" w:type="dxa"/>
            <w:vAlign w:val="bottom"/>
          </w:tcPr>
          <w:p>
            <w:pPr>
              <w:spacing w:after="0"/>
              <w:rPr>
                <w:sz w:val="1"/>
                <w:szCs w:val="1"/>
                <w:color w:val="auto"/>
              </w:rPr>
            </w:pPr>
          </w:p>
        </w:tc>
      </w:tr>
      <w:tr>
        <w:trPr>
          <w:trHeight w:val="225"/>
        </w:trPr>
        <w:tc>
          <w:tcPr>
            <w:tcW w:w="69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(f)</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color w:val="auto"/>
              </w:rPr>
              <w:t>Total — fair value</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5,197.5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60" w:type="dxa"/>
            <w:vAlign w:val="bottom"/>
          </w:tcPr>
          <w:p>
            <w:pPr>
              <w:ind w:left="460"/>
              <w:spacing w:after="0" w:line="204" w:lineRule="exact"/>
              <w:rPr>
                <w:sz w:val="20"/>
                <w:szCs w:val="20"/>
                <w:color w:val="auto"/>
              </w:rPr>
            </w:pPr>
            <w:r>
              <w:rPr>
                <w:rFonts w:ascii="Arial" w:cs="Arial" w:eastAsia="Arial" w:hAnsi="Arial"/>
                <w:sz w:val="18"/>
                <w:szCs w:val="18"/>
                <w:color w:val="auto"/>
              </w:rPr>
              <w:t>Total investments (g)</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23,086.9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6,954.7</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9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Short-term investments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1,600.2</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20,220.9</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3"/>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5,354.5</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ownership percentages are determined based on our legal ownership as of the most recent balance sheet date or are estimated based on the number of shares we own and the most recent publicly-available information.</w:t>
      </w:r>
    </w:p>
    <w:p>
      <w:pPr>
        <w:spacing w:after="0" w:line="207" w:lineRule="exact"/>
        <w:rPr>
          <w:rFonts w:ascii="Arial" w:cs="Arial" w:eastAsia="Arial" w:hAnsi="Arial"/>
          <w:sz w:val="18"/>
          <w:szCs w:val="18"/>
          <w:color w:val="auto"/>
        </w:rPr>
      </w:pPr>
    </w:p>
    <w:p>
      <w:pPr>
        <w:jc w:val="both"/>
        <w:ind w:left="480" w:hanging="474"/>
        <w:spacing w:after="0" w:line="309" w:lineRule="auto"/>
        <w:tabs>
          <w:tab w:leader="none" w:pos="474"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equity method investments are originally recorded at cost and are adjusted to recognize our share of net earnings or losses of the affiliates as they occur rather than as dividends or other distributions are received, with our recognition of losses generally limited to the extent of our investment in, and advances and commitments to, the investee. Accordingly, the carrying values of our equity method investments may not equal the respective fair values. At June 30, 2021 and December 31, 2020, the aggregate carrying amounts of our equity method investments exceeded our proportionate share of the respective investee’s net assets by $1,154.4 million and $1,198.5 million, respectively, which include amounts associated with the VodafoneZiggo JV Receivables, as defined below, and amounts we are owed under a long-term note receivable from All3Media.</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left="480" w:hanging="474"/>
        <w:spacing w:after="0" w:line="267" w:lineRule="auto"/>
        <w:tabs>
          <w:tab w:leader="none" w:pos="477"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Amounts include certain notes receivable due from a subsidiary of the VodafoneZiggo JV to a subsidiary of Liberty Global comprising (i) a euro-denominated note receivable with a principal amount of $829.4 million and $855.8 million, respectively (the </w:t>
      </w:r>
      <w:r>
        <w:rPr>
          <w:rFonts w:ascii="Arial" w:cs="Arial" w:eastAsia="Arial" w:hAnsi="Arial"/>
          <w:sz w:val="17"/>
          <w:szCs w:val="17"/>
          <w:b w:val="1"/>
          <w:bCs w:val="1"/>
          <w:color w:val="auto"/>
        </w:rPr>
        <w:t>VodafoneZiggo JV Receivable I</w:t>
      </w:r>
      <w:r>
        <w:rPr>
          <w:rFonts w:ascii="Arial" w:cs="Arial" w:eastAsia="Arial" w:hAnsi="Arial"/>
          <w:sz w:val="17"/>
          <w:szCs w:val="17"/>
          <w:color w:val="auto"/>
        </w:rPr>
        <w:t xml:space="preserve">), and (ii) a euro-denominated note receivable with a principal amount of $123.2 million and $127.1 million, respectively (the </w:t>
      </w:r>
      <w:r>
        <w:rPr>
          <w:rFonts w:ascii="Arial" w:cs="Arial" w:eastAsia="Arial" w:hAnsi="Arial"/>
          <w:sz w:val="17"/>
          <w:szCs w:val="17"/>
          <w:b w:val="1"/>
          <w:bCs w:val="1"/>
          <w:color w:val="auto"/>
        </w:rPr>
        <w:t>VodafoneZiggo JV Receivable II</w:t>
      </w:r>
      <w:r>
        <w:rPr>
          <w:rFonts w:ascii="Arial" w:cs="Arial" w:eastAsia="Arial" w:hAnsi="Arial"/>
          <w:sz w:val="17"/>
          <w:szCs w:val="17"/>
          <w:color w:val="auto"/>
        </w:rPr>
        <w:t xml:space="preserve"> and, together with the VodafoneZiggo JV Receivable I, the </w:t>
      </w:r>
      <w:r>
        <w:rPr>
          <w:rFonts w:ascii="Arial" w:cs="Arial" w:eastAsia="Arial" w:hAnsi="Arial"/>
          <w:sz w:val="17"/>
          <w:szCs w:val="17"/>
          <w:b w:val="1"/>
          <w:bCs w:val="1"/>
          <w:color w:val="auto"/>
        </w:rPr>
        <w:t>VodafoneZiggo JV Receivables</w:t>
      </w:r>
      <w:r>
        <w:rPr>
          <w:rFonts w:ascii="Arial" w:cs="Arial" w:eastAsia="Arial" w:hAnsi="Arial"/>
          <w:sz w:val="17"/>
          <w:szCs w:val="17"/>
          <w:color w:val="auto"/>
        </w:rPr>
        <w:t>). The VodafoneZiggo JV Receivables bear interest at 5.55% and have a final maturity date of December 31, 2030. During the six months ended June 30, 2021, interest accrued on the VodafoneZiggo JV Receivables was $27.0 million, all of which has been cash settled.</w:t>
      </w:r>
    </w:p>
    <w:p>
      <w:pPr>
        <w:spacing w:after="0" w:line="205" w:lineRule="exact"/>
        <w:rPr>
          <w:rFonts w:ascii="Arial" w:cs="Arial" w:eastAsia="Arial" w:hAnsi="Arial"/>
          <w:sz w:val="17"/>
          <w:szCs w:val="17"/>
          <w:color w:val="auto"/>
        </w:rPr>
      </w:pPr>
    </w:p>
    <w:p>
      <w:pPr>
        <w:jc w:val="both"/>
        <w:ind w:left="480" w:hanging="474"/>
        <w:spacing w:after="0" w:line="250" w:lineRule="auto"/>
        <w:tabs>
          <w:tab w:leader="none" w:pos="47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As of June 30, 2021, all of our investments held under SMAs were classified as available-for-sale debt securities. At June 30, 2021 and December 31, 2020, interest accrued on our debt securities, which is included in other current assets on our condensed consolidated balance sheets, was $4.8 million and $7.1 million, respectively.</w:t>
      </w:r>
    </w:p>
    <w:p>
      <w:pPr>
        <w:spacing w:after="0" w:line="220" w:lineRule="exact"/>
        <w:rPr>
          <w:rFonts w:ascii="Arial" w:cs="Arial" w:eastAsia="Arial" w:hAnsi="Arial"/>
          <w:sz w:val="18"/>
          <w:szCs w:val="18"/>
          <w:color w:val="auto"/>
        </w:rPr>
      </w:pPr>
    </w:p>
    <w:p>
      <w:pPr>
        <w:ind w:left="480" w:hanging="474"/>
        <w:spacing w:after="0" w:line="294" w:lineRule="auto"/>
        <w:tabs>
          <w:tab w:leader="none" w:pos="477"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 connection with our investment in ITV, we previously entered into (i) the ITV Collar (as defined in note 6) and (ii) a related secured borrowing agreement (the </w:t>
      </w:r>
      <w:r>
        <w:rPr>
          <w:rFonts w:ascii="Arial" w:cs="Arial" w:eastAsia="Arial" w:hAnsi="Arial"/>
          <w:sz w:val="17"/>
          <w:szCs w:val="17"/>
          <w:b w:val="1"/>
          <w:bCs w:val="1"/>
          <w:color w:val="auto"/>
        </w:rPr>
        <w:t>ITV Collar Loan</w:t>
      </w:r>
      <w:r>
        <w:rPr>
          <w:rFonts w:ascii="Arial" w:cs="Arial" w:eastAsia="Arial" w:hAnsi="Arial"/>
          <w:sz w:val="17"/>
          <w:szCs w:val="17"/>
          <w:color w:val="auto"/>
        </w:rPr>
        <w:t>), each of which were fully settled during the second quarter of 2021, as further described in note 6.</w:t>
      </w:r>
    </w:p>
    <w:p>
      <w:pPr>
        <w:spacing w:after="0" w:line="183" w:lineRule="exact"/>
        <w:rPr>
          <w:rFonts w:ascii="Arial" w:cs="Arial" w:eastAsia="Arial" w:hAnsi="Arial"/>
          <w:sz w:val="17"/>
          <w:szCs w:val="17"/>
          <w:color w:val="auto"/>
        </w:rPr>
      </w:pPr>
    </w:p>
    <w:p>
      <w:pPr>
        <w:ind w:left="480" w:hanging="474"/>
        <w:spacing w:after="0" w:line="264" w:lineRule="auto"/>
        <w:tabs>
          <w:tab w:leader="none" w:pos="471"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June 30, 2021 and December 31, 2020, we held a noncontrolling junior interest in receivables we have securitized of $9.8 million and $9.7 million, respectively.</w:t>
      </w:r>
    </w:p>
    <w:p>
      <w:pPr>
        <w:spacing w:after="0" w:line="207"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 and sale of investments are presented on a gross basis in our statement of cash flows, including those made by investment managers acting as agents on our behalf.</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96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Pr>
          <w:p>
            <w:pPr>
              <w:spacing w:after="0"/>
              <w:rPr>
                <w:sz w:val="18"/>
                <w:szCs w:val="18"/>
                <w:color w:val="auto"/>
              </w:rPr>
            </w:pPr>
          </w:p>
        </w:tc>
        <w:tc>
          <w:tcPr>
            <w:tcW w:w="2440" w:type="dxa"/>
            <w:vAlign w:val="bottom"/>
            <w:gridSpan w:val="4"/>
          </w:tcPr>
          <w:p>
            <w:pPr>
              <w:jc w:val="right"/>
              <w:ind w:right="433"/>
              <w:spacing w:after="0"/>
              <w:rPr>
                <w:sz w:val="20"/>
                <w:szCs w:val="20"/>
                <w:color w:val="auto"/>
              </w:rPr>
            </w:pPr>
            <w:r>
              <w:rPr>
                <w:rFonts w:ascii="Arial" w:cs="Arial" w:eastAsia="Arial" w:hAnsi="Arial"/>
                <w:sz w:val="16"/>
                <w:szCs w:val="16"/>
                <w:b w:val="1"/>
                <w:bCs w:val="1"/>
                <w:color w:val="auto"/>
                <w:w w:val="92"/>
              </w:rPr>
              <w:t>Six months ended June 30,</w:t>
            </w:r>
          </w:p>
        </w:tc>
      </w:tr>
      <w:tr>
        <w:trPr>
          <w:trHeight w:val="206"/>
        </w:trPr>
        <w:tc>
          <w:tcPr>
            <w:tcW w:w="54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r>
      <w:tr>
        <w:trPr>
          <w:trHeight w:val="203"/>
        </w:trPr>
        <w:tc>
          <w:tcPr>
            <w:tcW w:w="5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5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All3Media</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VodafoneZiggo JV (a)</w:t>
            </w:r>
          </w:p>
        </w:tc>
        <w:tc>
          <w:tcPr>
            <w:tcW w:w="920" w:type="dxa"/>
            <w:vAlign w:val="bottom"/>
          </w:tcPr>
          <w:p>
            <w:pPr>
              <w:spacing w:after="0"/>
              <w:rPr>
                <w:sz w:val="19"/>
                <w:szCs w:val="19"/>
                <w:color w:val="auto"/>
              </w:rPr>
            </w:pPr>
          </w:p>
        </w:tc>
        <w:tc>
          <w:tcPr>
            <w:tcW w:w="440" w:type="dxa"/>
            <w:vAlign w:val="bottom"/>
          </w:tcPr>
          <w:p>
            <w:pPr>
              <w:jc w:val="center"/>
              <w:ind w:left="12"/>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 E</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VMED O2 JV (b)</w:t>
            </w:r>
          </w:p>
        </w:tc>
        <w:tc>
          <w:tcPr>
            <w:tcW w:w="9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8"/>
        </w:trPr>
        <w:tc>
          <w:tcPr>
            <w:tcW w:w="5420" w:type="dxa"/>
            <w:vAlign w:val="bottom"/>
          </w:tcPr>
          <w:p>
            <w:pPr>
              <w:ind w:left="140"/>
              <w:spacing w:after="0" w:line="204" w:lineRule="exact"/>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(8.1)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r>
      <w:tr>
        <w:trPr>
          <w:trHeight w:val="20"/>
        </w:trPr>
        <w:tc>
          <w:tcPr>
            <w:tcW w:w="5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include the net effect of (i) 100% of the interest income earned on the VodafoneZiggo JV Receivables and (ii) our 50% share of the results of operations of the VodafoneZiggo JV.</w:t>
      </w:r>
    </w:p>
    <w:p>
      <w:pPr>
        <w:spacing w:after="0" w:line="207" w:lineRule="exact"/>
        <w:rPr>
          <w:rFonts w:ascii="Arial" w:cs="Arial" w:eastAsia="Arial" w:hAnsi="Arial"/>
          <w:sz w:val="18"/>
          <w:szCs w:val="18"/>
          <w:color w:val="auto"/>
        </w:rPr>
      </w:pPr>
    </w:p>
    <w:p>
      <w:pPr>
        <w:jc w:val="both"/>
        <w:ind w:left="480" w:hanging="474"/>
        <w:spacing w:after="0" w:line="255" w:lineRule="auto"/>
        <w:tabs>
          <w:tab w:leader="none" w:pos="47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include (i) 100% of the share-based compensation expense associated with Liberty Global awards held by VMED O2 JV employees who were formerly employees of Liberty Global, as these awards remain our responsibility, and (ii) our 50% share of the results of operations of the VMED O2 JV beginning June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ind w:right="100"/>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VMED O2 JV</w:t>
      </w:r>
    </w:p>
    <w:p>
      <w:pPr>
        <w:spacing w:after="0" w:line="238" w:lineRule="exact"/>
        <w:rPr>
          <w:sz w:val="20"/>
          <w:szCs w:val="20"/>
          <w:color w:val="auto"/>
        </w:rPr>
      </w:pPr>
    </w:p>
    <w:p>
      <w:pPr>
        <w:jc w:val="both"/>
        <w:ind w:right="100" w:firstLine="318"/>
        <w:spacing w:after="0" w:line="254" w:lineRule="auto"/>
        <w:rPr>
          <w:sz w:val="20"/>
          <w:szCs w:val="20"/>
          <w:color w:val="auto"/>
        </w:rPr>
      </w:pPr>
      <w:r>
        <w:rPr>
          <w:rFonts w:ascii="Arial" w:cs="Arial" w:eastAsia="Arial" w:hAnsi="Arial"/>
          <w:sz w:val="18"/>
          <w:szCs w:val="18"/>
          <w:color w:val="auto"/>
        </w:rPr>
        <w:t>On June 1, 2021, we completed the U.K. JV Transaction. Each of Liberty Global and Telefónica (each a “</w:t>
      </w:r>
      <w:r>
        <w:rPr>
          <w:rFonts w:ascii="Arial" w:cs="Arial" w:eastAsia="Arial" w:hAnsi="Arial"/>
          <w:sz w:val="18"/>
          <w:szCs w:val="18"/>
          <w:b w:val="1"/>
          <w:bCs w:val="1"/>
          <w:color w:val="auto"/>
        </w:rPr>
        <w:t>Shareholder</w:t>
      </w:r>
      <w:r>
        <w:rPr>
          <w:rFonts w:ascii="Arial" w:cs="Arial" w:eastAsia="Arial" w:hAnsi="Arial"/>
          <w:sz w:val="18"/>
          <w:szCs w:val="18"/>
          <w:color w:val="auto"/>
        </w:rPr>
        <w:t>”) holds 50% of the issued share capital of the VMED O2 JV</w:t>
      </w:r>
      <w:r>
        <w:rPr>
          <w:rFonts w:ascii="Arial" w:cs="Arial" w:eastAsia="Arial" w:hAnsi="Arial"/>
          <w:sz w:val="18"/>
          <w:szCs w:val="18"/>
          <w:i w:val="1"/>
          <w:iCs w:val="1"/>
          <w:color w:val="auto"/>
        </w:rPr>
        <w:t>.</w:t>
      </w:r>
      <w:r>
        <w:rPr>
          <w:rFonts w:ascii="Arial" w:cs="Arial" w:eastAsia="Arial" w:hAnsi="Arial"/>
          <w:sz w:val="18"/>
          <w:szCs w:val="18"/>
          <w:color w:val="auto"/>
        </w:rPr>
        <w:t xml:space="preserve"> The Shareholders intend for the VMED O2 JV to be funded solely from its net cash flow from operations and third-party financing. We account for our 50% interest in the VMED O2 JV as an equity method investment and consider the VMED O2 JV to be a related party. For additional information regarding the U.K. JV Transaction, see note 4.</w:t>
      </w:r>
    </w:p>
    <w:p>
      <w:pPr>
        <w:spacing w:after="0" w:line="210" w:lineRule="exact"/>
        <w:rPr>
          <w:sz w:val="20"/>
          <w:szCs w:val="20"/>
          <w:color w:val="auto"/>
        </w:rPr>
      </w:pPr>
    </w:p>
    <w:p>
      <w:pPr>
        <w:jc w:val="both"/>
        <w:ind w:right="100" w:firstLine="318"/>
        <w:spacing w:after="0" w:line="258" w:lineRule="auto"/>
        <w:rPr>
          <w:sz w:val="20"/>
          <w:szCs w:val="20"/>
          <w:color w:val="auto"/>
        </w:rPr>
      </w:pPr>
      <w:r>
        <w:rPr>
          <w:rFonts w:ascii="Arial" w:cs="Arial" w:eastAsia="Arial" w:hAnsi="Arial"/>
          <w:sz w:val="18"/>
          <w:szCs w:val="18"/>
          <w:color w:val="auto"/>
        </w:rPr>
        <w:t xml:space="preserve">In connection with the formation of the VMED O2 JV, the Shareholders entered into an agreement (the </w:t>
      </w:r>
      <w:r>
        <w:rPr>
          <w:rFonts w:ascii="Arial" w:cs="Arial" w:eastAsia="Arial" w:hAnsi="Arial"/>
          <w:sz w:val="18"/>
          <w:szCs w:val="18"/>
          <w:b w:val="1"/>
          <w:bCs w:val="1"/>
          <w:color w:val="auto"/>
        </w:rPr>
        <w:t>U.K. JV Shareholders Agreement</w:t>
      </w:r>
      <w:r>
        <w:rPr>
          <w:rFonts w:ascii="Arial" w:cs="Arial" w:eastAsia="Arial" w:hAnsi="Arial"/>
          <w:sz w:val="18"/>
          <w:szCs w:val="18"/>
          <w:color w:val="auto"/>
        </w:rPr>
        <w:t>) that contains customary provisions for the governance of a 50:50 joint venture and provides Liberty Global and Telefónica with joint control over decision making with respect to the VMED O2 JV.</w:t>
      </w:r>
    </w:p>
    <w:p>
      <w:pPr>
        <w:spacing w:after="0" w:line="213"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color w:val="auto"/>
        </w:rPr>
        <w:t>The U.K. JV Shareholders Agreement also provides (i) for a dividend policy that requires the VMED O2 JV to distribute all unrestricted cash to the Shareholders on a pro rata basis (subject to the VMED O2 JV maintaining a minimum amount of cash and complying with the terms of its financing arrangements) and (ii) that the VMED O2 JV will be managed with a leverage ratio between 4.0 and 5.0 times EBITDA (as calculated pursuant to its existing financing arrangements) with the VMED O2 JV undertaking periodic recapitalization and/or refinancings accordingly.</w:t>
      </w:r>
    </w:p>
    <w:p>
      <w:pPr>
        <w:spacing w:after="0" w:line="198"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Each Shareholder has the right to initiate an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of the VMED O2 JV after the third anniversary of the closing, with the opportunity for the other Shareholder to sell shares in the IPO on a pro rata basis. Subject to certain exceptions, the U.K. JV Shareholders Agreement prohibits transfers of interests in the VMED O2 JV to third parties until the fifth anniversary of the closing. After the fifth anniversary, each Shareholder will be able to initiate a sale of all of its interest in the VMED O2 JV to a third party and, under certain circumstances, initiate a sale of the entire VMED O2 JV; subject, in each case, to a right of first offer in favor of the other Shareholder.</w:t>
      </w:r>
    </w:p>
    <w:p>
      <w:pPr>
        <w:spacing w:after="0" w:line="212" w:lineRule="exact"/>
        <w:rPr>
          <w:sz w:val="20"/>
          <w:szCs w:val="20"/>
          <w:color w:val="auto"/>
        </w:rPr>
      </w:pPr>
    </w:p>
    <w:p>
      <w:pPr>
        <w:jc w:val="both"/>
        <w:ind w:right="100" w:firstLine="318"/>
        <w:spacing w:after="0" w:line="303" w:lineRule="auto"/>
        <w:rPr>
          <w:sz w:val="20"/>
          <w:szCs w:val="20"/>
          <w:color w:val="auto"/>
        </w:rPr>
      </w:pPr>
      <w:r>
        <w:rPr>
          <w:rFonts w:ascii="Arial" w:cs="Arial" w:eastAsia="Arial" w:hAnsi="Arial"/>
          <w:sz w:val="15"/>
          <w:szCs w:val="15"/>
          <w:color w:val="auto"/>
        </w:rPr>
        <w:t xml:space="preserve">Pursuant to an agreement entered into in connection with the closing of the VMED O2 JV (the </w:t>
      </w:r>
      <w:r>
        <w:rPr>
          <w:rFonts w:ascii="Arial" w:cs="Arial" w:eastAsia="Arial" w:hAnsi="Arial"/>
          <w:sz w:val="15"/>
          <w:szCs w:val="15"/>
          <w:b w:val="1"/>
          <w:bCs w:val="1"/>
          <w:color w:val="auto"/>
        </w:rPr>
        <w:t>U.K. JV Framework Agreement</w:t>
      </w:r>
      <w:r>
        <w:rPr>
          <w:rFonts w:ascii="Arial" w:cs="Arial" w:eastAsia="Arial" w:hAnsi="Arial"/>
          <w:sz w:val="15"/>
          <w:szCs w:val="15"/>
          <w:color w:val="auto"/>
        </w:rPr>
        <w:t xml:space="preserve">), Liberty Global provides certain services to the VMED O2 JV on a transitional or ongoing basis (collectively, the </w:t>
      </w:r>
      <w:r>
        <w:rPr>
          <w:rFonts w:ascii="Arial" w:cs="Arial" w:eastAsia="Arial" w:hAnsi="Arial"/>
          <w:sz w:val="15"/>
          <w:szCs w:val="15"/>
          <w:b w:val="1"/>
          <w:bCs w:val="1"/>
          <w:color w:val="auto"/>
        </w:rPr>
        <w:t>U.K. JV Services</w:t>
      </w:r>
      <w:r>
        <w:rPr>
          <w:rFonts w:ascii="Arial" w:cs="Arial" w:eastAsia="Arial" w:hAnsi="Arial"/>
          <w:sz w:val="15"/>
          <w:szCs w:val="15"/>
          <w:color w:val="auto"/>
        </w:rPr>
        <w:t>). Pursuant to the terms of the U.K. JV Framework Agreement, the ongoing services will be provided for a period of two to six years depending on the type of service, while transitional services will be provided for a period of no less than 12 months after which both parties shall be entitled to terminate based on specified notice periods. The U.K. JV Services provided by Liberty Global consist primarily of (i) technology and other services and (ii) capital-related expenditures for assets that will be used by or will otherwise benefit the VMED O2 JV. Liberty Global charges both fixed and variable fees to the VMED O2 JV for the U.K. JV Services it provides during the term of the U.K. JV Framework Agreement. During the month ended June 30, 2021, we recorded revenue of $24.2 million related to the U.K. JV Services. In addition, at June 30, 2021, $29.9 million was due from the VMED O2 JV, primarily related to (a) services performed under the U.K. JV Framework Agreement and (b) amounts incurred by Liberty Global for certain equipment and licenses purchased on behalf of the VMED O2 JV. Amounts due from the VMED O2 JV will be periodically cash settled and are included in other current assets in our condensed consolidated balance sheet.</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summarized results of operations of the VMED O2 JV for the period June 1, 2021 through June 30, 2021 are set forth below (in millions):</w:t>
      </w:r>
    </w:p>
    <w:p>
      <w:pPr>
        <w:spacing w:after="0" w:line="148" w:lineRule="exact"/>
        <w:rPr>
          <w:sz w:val="20"/>
          <w:szCs w:val="20"/>
          <w:color w:val="auto"/>
        </w:rPr>
      </w:pPr>
    </w:p>
    <w:tbl>
      <w:tblPr>
        <w:tblLayout w:type="fixed"/>
        <w:tblInd w:w="320" w:type="dxa"/>
        <w:tblCellMar>
          <w:top w:w="0" w:type="dxa"/>
          <w:left w:w="0" w:type="dxa"/>
          <w:bottom w:w="0" w:type="dxa"/>
          <w:right w:w="0" w:type="dxa"/>
        </w:tblCellMar>
      </w:tblPr>
      <w:tr>
        <w:trPr>
          <w:trHeight w:val="250"/>
        </w:trPr>
        <w:tc>
          <w:tcPr>
            <w:tcW w:w="9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7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0"/>
        </w:trPr>
        <w:tc>
          <w:tcPr>
            <w:tcW w:w="95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Loss before income taxes</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540" w:type="dxa"/>
            <w:vAlign w:val="bottom"/>
            <w:vMerge w:val="continue"/>
          </w:tcPr>
          <w:p>
            <w:pPr>
              <w:spacing w:after="0"/>
              <w:rPr>
                <w:sz w:val="17"/>
                <w:szCs w:val="17"/>
                <w:color w:val="auto"/>
              </w:rPr>
            </w:pPr>
          </w:p>
        </w:tc>
        <w:tc>
          <w:tcPr>
            <w:tcW w:w="76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95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540" w:type="dxa"/>
            <w:vAlign w:val="bottom"/>
            <w:tcBorders>
              <w:bottom w:val="single" w:sz="8" w:color="CCEEFF"/>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Net loss</w:t>
            </w:r>
          </w:p>
        </w:tc>
        <w:tc>
          <w:tcPr>
            <w:tcW w:w="7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36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VodafoneZiggo JV</w:t>
      </w:r>
    </w:p>
    <w:p>
      <w:pPr>
        <w:spacing w:after="0" w:line="23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 xml:space="preserve">Pursuant to an agreement (the </w:t>
      </w:r>
      <w:r>
        <w:rPr>
          <w:rFonts w:ascii="Arial" w:cs="Arial" w:eastAsia="Arial" w:hAnsi="Arial"/>
          <w:sz w:val="15"/>
          <w:szCs w:val="15"/>
          <w:b w:val="1"/>
          <w:bCs w:val="1"/>
          <w:color w:val="auto"/>
        </w:rPr>
        <w:t>NL JV Framework Agreement</w:t>
      </w:r>
      <w:r>
        <w:rPr>
          <w:rFonts w:ascii="Arial" w:cs="Arial" w:eastAsia="Arial" w:hAnsi="Arial"/>
          <w:sz w:val="15"/>
          <w:szCs w:val="15"/>
          <w:color w:val="auto"/>
        </w:rPr>
        <w:t xml:space="preserve">), Liberty Global provides certain services to the VodafoneZiggo JV (collectively, the </w:t>
      </w:r>
      <w:r>
        <w:rPr>
          <w:rFonts w:ascii="Arial" w:cs="Arial" w:eastAsia="Arial" w:hAnsi="Arial"/>
          <w:sz w:val="15"/>
          <w:szCs w:val="15"/>
          <w:b w:val="1"/>
          <w:bCs w:val="1"/>
          <w:color w:val="auto"/>
        </w:rPr>
        <w:t>NL</w:t>
      </w:r>
      <w:r>
        <w:rPr>
          <w:rFonts w:ascii="Arial" w:cs="Arial" w:eastAsia="Arial" w:hAnsi="Arial"/>
          <w:sz w:val="15"/>
          <w:szCs w:val="15"/>
          <w:color w:val="auto"/>
        </w:rPr>
        <w:t xml:space="preserve"> </w:t>
      </w:r>
      <w:r>
        <w:rPr>
          <w:rFonts w:ascii="Arial" w:cs="Arial" w:eastAsia="Arial" w:hAnsi="Arial"/>
          <w:sz w:val="15"/>
          <w:szCs w:val="15"/>
          <w:b w:val="1"/>
          <w:bCs w:val="1"/>
          <w:color w:val="auto"/>
        </w:rPr>
        <w:t>JV Services</w:t>
      </w:r>
      <w:r>
        <w:rPr>
          <w:rFonts w:ascii="Arial" w:cs="Arial" w:eastAsia="Arial" w:hAnsi="Arial"/>
          <w:sz w:val="15"/>
          <w:szCs w:val="15"/>
          <w:color w:val="auto"/>
        </w:rPr>
        <w:t>). The NL JV Services provided by Liberty Global consist primarily of (i) technology and other services and (ii) capital-related expenditures for</w:t>
      </w:r>
      <w:r>
        <w:rPr>
          <w:rFonts w:ascii="Arial" w:cs="Arial" w:eastAsia="Arial" w:hAnsi="Arial"/>
          <w:sz w:val="15"/>
          <w:szCs w:val="15"/>
          <w:b w:val="1"/>
          <w:bCs w:val="1"/>
          <w:color w:val="auto"/>
        </w:rPr>
        <w:t xml:space="preserve"> </w:t>
      </w:r>
      <w:r>
        <w:rPr>
          <w:rFonts w:ascii="Arial" w:cs="Arial" w:eastAsia="Arial" w:hAnsi="Arial"/>
          <w:sz w:val="15"/>
          <w:szCs w:val="15"/>
          <w:color w:val="auto"/>
        </w:rPr>
        <w:t>assets that will be used by, or will otherwise benefit, the VodafoneZiggo JV. Liberty Global charges both fixed and usage-based fees to the VodafoneZiggo JV for the NL JV Services provided during the term of the NL JV Framework Agreement. We recorded revenue from the VodafoneZiggo JV of $65.1 million and $41.4 million during the three months ended June 30, 2021 and 2020, respectively, and $115.8 million and $88.1 million during the six months ended June 30, 2021 and 2020, respectively, primarily related to (a) the NL JV Services and (b) sales of customer premises equipment at a mark-up. At June 30, 2021 and December 31, 2020, $60.0 million and $27.4 million, respectively, were due from the VodafoneZiggo JV related to the aforementioned transactions. Amounts due from the VodafoneZiggo JV are periodically cash settled and are included in other current assets on our condensed consolidated balance sheets. In addition, during the six months ended June 30, 2021 and 2020, we received dividend distributions from the VodafoneZiggo JV of $136.8 million and nil, respectively, which were accounted for as returns on capital for purposes of our condensed consolidated statements of cash flows.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summarized results of operations of the VodafoneZiggo JV are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Pr>
          <w:p>
            <w:pPr>
              <w:spacing w:after="0"/>
              <w:rPr>
                <w:sz w:val="18"/>
                <w:szCs w:val="18"/>
                <w:color w:val="auto"/>
              </w:rPr>
            </w:pPr>
          </w:p>
        </w:tc>
        <w:tc>
          <w:tcPr>
            <w:tcW w:w="2440" w:type="dxa"/>
            <w:vAlign w:val="bottom"/>
            <w:gridSpan w:val="4"/>
          </w:tcPr>
          <w:p>
            <w:pPr>
              <w:jc w:val="right"/>
              <w:ind w:right="434"/>
              <w:spacing w:after="0"/>
              <w:rPr>
                <w:sz w:val="20"/>
                <w:szCs w:val="20"/>
                <w:color w:val="auto"/>
              </w:rPr>
            </w:pPr>
            <w:r>
              <w:rPr>
                <w:rFonts w:ascii="Arial" w:cs="Arial" w:eastAsia="Arial" w:hAnsi="Arial"/>
                <w:sz w:val="16"/>
                <w:szCs w:val="16"/>
                <w:b w:val="1"/>
                <w:bCs w:val="1"/>
                <w:color w:val="auto"/>
                <w:w w:val="92"/>
              </w:rPr>
              <w:t>Six months ended June 30,</w:t>
            </w:r>
          </w:p>
        </w:tc>
        <w:tc>
          <w:tcPr>
            <w:tcW w:w="0" w:type="dxa"/>
            <w:vAlign w:val="bottom"/>
          </w:tcPr>
          <w:p>
            <w:pPr>
              <w:spacing w:after="0"/>
              <w:rPr>
                <w:sz w:val="1"/>
                <w:szCs w:val="1"/>
                <w:color w:val="auto"/>
              </w:rPr>
            </w:pPr>
          </w:p>
        </w:tc>
      </w:tr>
      <w:tr>
        <w:trPr>
          <w:trHeight w:val="206"/>
        </w:trPr>
        <w:tc>
          <w:tcPr>
            <w:tcW w:w="54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(151.8)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2"/>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(41.0)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4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Fair Value Investments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realized and unrealized gains (losses) due to changes in fair value,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96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Pr>
          <w:p>
            <w:pPr>
              <w:spacing w:after="0"/>
              <w:rPr>
                <w:sz w:val="18"/>
                <w:szCs w:val="18"/>
                <w:color w:val="auto"/>
              </w:rPr>
            </w:pPr>
          </w:p>
        </w:tc>
        <w:tc>
          <w:tcPr>
            <w:tcW w:w="2440" w:type="dxa"/>
            <w:vAlign w:val="bottom"/>
            <w:gridSpan w:val="4"/>
          </w:tcPr>
          <w:p>
            <w:pPr>
              <w:jc w:val="right"/>
              <w:ind w:right="433"/>
              <w:spacing w:after="0"/>
              <w:rPr>
                <w:sz w:val="20"/>
                <w:szCs w:val="20"/>
                <w:color w:val="auto"/>
              </w:rPr>
            </w:pPr>
            <w:r>
              <w:rPr>
                <w:rFonts w:ascii="Arial" w:cs="Arial" w:eastAsia="Arial" w:hAnsi="Arial"/>
                <w:sz w:val="16"/>
                <w:szCs w:val="16"/>
                <w:b w:val="1"/>
                <w:bCs w:val="1"/>
                <w:color w:val="auto"/>
                <w:w w:val="92"/>
              </w:rPr>
              <w:t>Six months ended June 30,</w:t>
            </w:r>
          </w:p>
        </w:tc>
      </w:tr>
      <w:tr>
        <w:trPr>
          <w:trHeight w:val="206"/>
        </w:trPr>
        <w:tc>
          <w:tcPr>
            <w:tcW w:w="54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r>
      <w:tr>
        <w:trPr>
          <w:trHeight w:val="203"/>
        </w:trPr>
        <w:tc>
          <w:tcPr>
            <w:tcW w:w="5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63"/>
        </w:trPr>
        <w:tc>
          <w:tcPr>
            <w:tcW w:w="5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Univision</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ITV</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(429.7)</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Lionsgate</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Plume</w:t>
            </w:r>
          </w:p>
        </w:tc>
        <w:tc>
          <w:tcPr>
            <w:tcW w:w="8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Lacework</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Skillz</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EdgeConneX</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44"/>
        </w:trPr>
        <w:tc>
          <w:tcPr>
            <w:tcW w:w="5420" w:type="dxa"/>
            <w:vAlign w:val="bottom"/>
            <w:tcBorders>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288.1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Debt Securities</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June 30, 2021 and December 31, 2020, all of our SMAs are composed of debt securities, which are summarized in the following tables: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6"/>
                <w:szCs w:val="16"/>
                <w:b w:val="1"/>
                <w:bCs w:val="1"/>
                <w:color w:val="auto"/>
                <w:w w:val="88"/>
              </w:rPr>
              <w:t>June 30, 2021</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220" w:type="dxa"/>
            <w:vAlign w:val="bottom"/>
          </w:tcPr>
          <w:p>
            <w:pPr>
              <w:spacing w:after="0"/>
              <w:rPr>
                <w:sz w:val="13"/>
                <w:szCs w:val="13"/>
                <w:color w:val="auto"/>
              </w:rPr>
            </w:pPr>
          </w:p>
        </w:tc>
        <w:tc>
          <w:tcPr>
            <w:tcW w:w="1340" w:type="dxa"/>
            <w:vAlign w:val="bottom"/>
            <w:gridSpan w:val="4"/>
          </w:tcPr>
          <w:p>
            <w:pPr>
              <w:ind w:left="100"/>
              <w:spacing w:after="0" w:line="155" w:lineRule="exact"/>
              <w:rPr>
                <w:sz w:val="20"/>
                <w:szCs w:val="20"/>
                <w:color w:val="auto"/>
              </w:rPr>
            </w:pPr>
            <w:r>
              <w:rPr>
                <w:rFonts w:ascii="Arial" w:cs="Arial" w:eastAsia="Arial" w:hAnsi="Arial"/>
                <w:sz w:val="16"/>
                <w:szCs w:val="16"/>
                <w:b w:val="1"/>
                <w:bCs w:val="1"/>
                <w:color w:val="auto"/>
              </w:rPr>
              <w:t>Amortized 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200" w:type="dxa"/>
            <w:vAlign w:val="bottom"/>
          </w:tcPr>
          <w:p>
            <w:pPr>
              <w:spacing w:after="0"/>
              <w:rPr>
                <w:sz w:val="13"/>
                <w:szCs w:val="13"/>
                <w:color w:val="auto"/>
              </w:rPr>
            </w:pPr>
          </w:p>
        </w:tc>
        <w:tc>
          <w:tcPr>
            <w:tcW w:w="104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basis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6"/>
                <w:szCs w:val="16"/>
                <w:b w:val="1"/>
                <w:bCs w:val="1"/>
                <w:color w:val="auto"/>
                <w:w w:val="87"/>
              </w:rPr>
              <w:t>unrealized gains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 millions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 securities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0" w:type="dxa"/>
            <w:vAlign w:val="bottom"/>
          </w:tcPr>
          <w:p>
            <w:pPr>
              <w:spacing w:after="0"/>
              <w:rPr>
                <w:sz w:val="1"/>
                <w:szCs w:val="1"/>
                <w:color w:val="auto"/>
              </w:rPr>
            </w:pPr>
          </w:p>
        </w:tc>
      </w:tr>
      <w:tr>
        <w:trPr>
          <w:trHeight w:val="218"/>
        </w:trPr>
        <w:tc>
          <w:tcPr>
            <w:tcW w:w="7220" w:type="dxa"/>
            <w:vAlign w:val="bottom"/>
          </w:tcPr>
          <w:p>
            <w:pPr>
              <w:ind w:left="140"/>
              <w:spacing w:after="0" w:line="204" w:lineRule="exact"/>
              <w:rPr>
                <w:sz w:val="20"/>
                <w:szCs w:val="20"/>
                <w:color w:val="auto"/>
              </w:rPr>
            </w:pPr>
            <w:r>
              <w:rPr>
                <w:rFonts w:ascii="Arial" w:cs="Arial" w:eastAsia="Arial" w:hAnsi="Arial"/>
                <w:sz w:val="18"/>
                <w:szCs w:val="18"/>
                <w:color w:val="auto"/>
              </w:rPr>
              <w:t>Total debt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3,238.4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3,239.5</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7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jc w:val="right"/>
              <w:ind w:right="100"/>
              <w:spacing w:after="0" w:line="155" w:lineRule="exact"/>
              <w:rPr>
                <w:sz w:val="20"/>
                <w:szCs w:val="20"/>
                <w:color w:val="auto"/>
              </w:rPr>
            </w:pPr>
            <w:r>
              <w:rPr>
                <w:rFonts w:ascii="Arial" w:cs="Arial" w:eastAsia="Arial" w:hAnsi="Arial"/>
                <w:sz w:val="16"/>
                <w:szCs w:val="16"/>
                <w:b w:val="1"/>
                <w:bCs w:val="1"/>
                <w:color w:val="auto"/>
                <w:w w:val="95"/>
              </w:rPr>
              <w:t>Amortized 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200" w:type="dxa"/>
            <w:vAlign w:val="bottom"/>
          </w:tcPr>
          <w:p>
            <w:pPr>
              <w:spacing w:after="0"/>
              <w:rPr>
                <w:sz w:val="13"/>
                <w:szCs w:val="13"/>
                <w:color w:val="auto"/>
              </w:rPr>
            </w:pPr>
          </w:p>
        </w:tc>
        <w:tc>
          <w:tcPr>
            <w:tcW w:w="104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basis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7"/>
              </w:rPr>
              <w:t>unrealized gains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in millions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523.7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25"/>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251.0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38"/>
        </w:trPr>
        <w:tc>
          <w:tcPr>
            <w:tcW w:w="7220" w:type="dxa"/>
            <w:vAlign w:val="bottom"/>
            <w:shd w:val="clear" w:color="auto" w:fill="CCEEFF"/>
          </w:tcPr>
          <w:p>
            <w:pPr>
              <w:ind w:left="140"/>
              <w:spacing w:after="0" w:line="205" w:lineRule="exact"/>
              <w:rPr>
                <w:sz w:val="20"/>
                <w:szCs w:val="20"/>
                <w:color w:val="auto"/>
              </w:rPr>
            </w:pPr>
            <w:r>
              <w:rPr>
                <w:rFonts w:ascii="Arial" w:cs="Arial" w:eastAsia="Arial" w:hAnsi="Arial"/>
                <w:sz w:val="18"/>
                <w:szCs w:val="18"/>
                <w:color w:val="auto"/>
              </w:rPr>
              <w:t>Total debt securities</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1,965.9</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received proceeds from the sale of debt securities of $1.4 billion and $1.3 billion during the three months ended June 30, 2021 and 2020, respectively, and $2.9 billion and $2.5 billion, during the six months ended June 30, 2021 and 2020, respectively, the majority of which were reinvested in new debt securities held under SMAs. The sale of debt securities resulted in realized net gains (losses) of ($0.3 million) and $0.7 million during the three months ended June 30, 2021 and 2020, respectively, and ($1.6 million) and $0.7 million, during the six months ended June 30, 2021 and 2020,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40" w:type="dxa"/>
            <w:vAlign w:val="bottom"/>
          </w:tcPr>
          <w:p>
            <w:pPr>
              <w:ind w:left="320"/>
              <w:spacing w:after="0"/>
              <w:rPr>
                <w:sz w:val="20"/>
                <w:szCs w:val="20"/>
                <w:color w:val="auto"/>
              </w:rPr>
            </w:pPr>
            <w:r>
              <w:rPr>
                <w:rFonts w:ascii="Arial" w:cs="Arial" w:eastAsia="Arial" w:hAnsi="Arial"/>
                <w:sz w:val="18"/>
                <w:szCs w:val="18"/>
                <w:color w:val="auto"/>
              </w:rPr>
              <w:t>The fair value of our debt securities as of June 30, 2021 by contractual maturity are shown below (in millions):</w:t>
            </w: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07"/>
        </w:trPr>
        <w:tc>
          <w:tcPr>
            <w:tcW w:w="9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5"/>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2,866.0</w:t>
            </w:r>
          </w:p>
        </w:tc>
      </w:tr>
      <w:tr>
        <w:trPr>
          <w:trHeight w:val="225"/>
        </w:trPr>
        <w:tc>
          <w:tcPr>
            <w:tcW w:w="9940" w:type="dxa"/>
            <w:vAlign w:val="bottom"/>
          </w:tcPr>
          <w:p>
            <w:pPr>
              <w:ind w:left="20"/>
              <w:spacing w:after="0"/>
              <w:rPr>
                <w:sz w:val="20"/>
                <w:szCs w:val="20"/>
                <w:color w:val="auto"/>
              </w:rPr>
            </w:pPr>
            <w:r>
              <w:rPr>
                <w:rFonts w:ascii="Arial" w:cs="Arial" w:eastAsia="Arial" w:hAnsi="Arial"/>
                <w:sz w:val="18"/>
                <w:szCs w:val="18"/>
                <w:color w:val="auto"/>
              </w:rPr>
              <w:t>Due in one to five years</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368.4</w:t>
            </w:r>
          </w:p>
        </w:tc>
      </w:tr>
      <w:tr>
        <w:trPr>
          <w:trHeight w:val="226"/>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five to ten years</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8"/>
        </w:trPr>
        <w:tc>
          <w:tcPr>
            <w:tcW w:w="9940" w:type="dxa"/>
            <w:vAlign w:val="bottom"/>
          </w:tcPr>
          <w:p>
            <w:pPr>
              <w:ind w:left="140"/>
              <w:spacing w:after="0" w:line="204" w:lineRule="exact"/>
              <w:rPr>
                <w:sz w:val="20"/>
                <w:szCs w:val="20"/>
                <w:color w:val="auto"/>
              </w:rPr>
            </w:pPr>
            <w:r>
              <w:rPr>
                <w:rFonts w:ascii="Arial" w:cs="Arial" w:eastAsia="Arial" w:hAnsi="Arial"/>
                <w:sz w:val="18"/>
                <w:szCs w:val="18"/>
                <w:color w:val="auto"/>
              </w:rPr>
              <w:t>Total (a)</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3,239.5</w:t>
            </w:r>
          </w:p>
        </w:tc>
      </w:tr>
      <w:tr>
        <w:trPr>
          <w:trHeight w:val="20"/>
        </w:trPr>
        <w:tc>
          <w:tcPr>
            <w:tcW w:w="9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weighted average life of our total debt securities was 0.5 years as of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380" w:hanging="374"/>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w:t>
      </w:r>
    </w:p>
    <w:p>
      <w:pPr>
        <w:spacing w:after="0" w:line="2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8"/>
          <w:szCs w:val="18"/>
          <w:b w:val="1"/>
          <w:bCs w:val="1"/>
          <w:color w:val="auto"/>
        </w:rPr>
        <w:t>$</w:t>
      </w:r>
      <w:r>
        <w:rPr>
          <w:rFonts w:ascii="Arial" w:cs="Arial" w:eastAsia="Arial" w:hAnsi="Arial"/>
          <w:sz w:val="18"/>
          <w:szCs w:val="18"/>
          <w:color w:val="auto"/>
        </w:rPr>
        <w:t>), the euro (</w:t>
      </w:r>
      <w:r>
        <w:rPr>
          <w:rFonts w:ascii="Arial" w:cs="Arial" w:eastAsia="Arial" w:hAnsi="Arial"/>
          <w:sz w:val="18"/>
          <w:szCs w:val="18"/>
          <w:b w:val="1"/>
          <w:bCs w:val="1"/>
          <w:color w:val="auto"/>
        </w:rPr>
        <w:t>€</w:t>
      </w:r>
      <w:r>
        <w:rPr>
          <w:rFonts w:ascii="Arial" w:cs="Arial" w:eastAsia="Arial" w:hAnsi="Arial"/>
          <w:sz w:val="18"/>
          <w:szCs w:val="18"/>
          <w:color w:val="auto"/>
        </w:rPr>
        <w:t>), the British pound sterling (</w:t>
      </w:r>
      <w:r>
        <w:rPr>
          <w:rFonts w:ascii="Arial" w:cs="Arial" w:eastAsia="Arial" w:hAnsi="Arial"/>
          <w:sz w:val="18"/>
          <w:szCs w:val="18"/>
          <w:b w:val="1"/>
          <w:bCs w:val="1"/>
          <w:color w:val="auto"/>
        </w:rPr>
        <w:t>£</w:t>
      </w:r>
      <w:r>
        <w:rPr>
          <w:rFonts w:ascii="Arial" w:cs="Arial" w:eastAsia="Arial" w:hAnsi="Arial"/>
          <w:sz w:val="18"/>
          <w:szCs w:val="18"/>
          <w:color w:val="auto"/>
        </w:rPr>
        <w:t>), the Swiss franc (</w:t>
      </w:r>
      <w:r>
        <w:rPr>
          <w:rFonts w:ascii="Arial" w:cs="Arial" w:eastAsia="Arial" w:hAnsi="Arial"/>
          <w:sz w:val="18"/>
          <w:szCs w:val="18"/>
          <w:b w:val="1"/>
          <w:bCs w:val="1"/>
          <w:color w:val="auto"/>
        </w:rPr>
        <w:t>CHF</w:t>
      </w:r>
      <w:r>
        <w:rPr>
          <w:rFonts w:ascii="Arial" w:cs="Arial" w:eastAsia="Arial" w:hAnsi="Arial"/>
          <w:sz w:val="18"/>
          <w:szCs w:val="18"/>
          <w:color w:val="auto"/>
        </w:rPr>
        <w:t>) and the Polish zloty (</w:t>
      </w:r>
      <w:r>
        <w:rPr>
          <w:rFonts w:ascii="Arial" w:cs="Arial" w:eastAsia="Arial" w:hAnsi="Arial"/>
          <w:sz w:val="18"/>
          <w:szCs w:val="18"/>
          <w:b w:val="1"/>
          <w:bCs w:val="1"/>
          <w:color w:val="auto"/>
        </w:rPr>
        <w:t>PLN</w:t>
      </w:r>
      <w:r>
        <w:rPr>
          <w:rFonts w:ascii="Arial" w:cs="Arial" w:eastAsia="Arial" w:hAnsi="Arial"/>
          <w:sz w:val="18"/>
          <w:szCs w:val="18"/>
          <w:color w:val="auto"/>
        </w:rPr>
        <w:t>). Generally,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details of the fair values of our derivative instrument assets and liabilities: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8"/>
              </w:rPr>
              <w:t>June 30, 2021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88"/>
              </w:rPr>
              <w:t>December 31, 2020</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06"/>
        </w:trPr>
        <w:tc>
          <w:tcPr>
            <w:tcW w:w="4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Current</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3"/>
              </w:rPr>
              <w:t>Long-term</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Current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3"/>
              </w:rPr>
              <w:t>Long-term</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Total</w:t>
            </w:r>
          </w:p>
        </w:tc>
      </w:tr>
      <w:tr>
        <w:trPr>
          <w:trHeight w:val="203"/>
        </w:trPr>
        <w:tc>
          <w:tcPr>
            <w:tcW w:w="4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4"/>
          </w:tcPr>
          <w:p>
            <w:pPr>
              <w:jc w:val="right"/>
              <w:ind w:right="713"/>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50"/>
        </w:trPr>
        <w:tc>
          <w:tcPr>
            <w:tcW w:w="4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4320" w:type="dxa"/>
            <w:vAlign w:val="bottom"/>
            <w:gridSpan w:val="2"/>
          </w:tcPr>
          <w:p>
            <w:pPr>
              <w:ind w:left="140"/>
              <w:spacing w:after="0"/>
              <w:rPr>
                <w:sz w:val="20"/>
                <w:szCs w:val="20"/>
                <w:color w:val="auto"/>
              </w:rPr>
            </w:pPr>
            <w:r>
              <w:rPr>
                <w:rFonts w:ascii="Arial" w:cs="Arial" w:eastAsia="Arial" w:hAnsi="Arial"/>
                <w:sz w:val="18"/>
                <w:szCs w:val="18"/>
                <w:color w:val="auto"/>
                <w:w w:val="90"/>
              </w:rPr>
              <w:t>Cross-currency and interest rate derivative contracts (b) $</w:t>
            </w:r>
          </w:p>
        </w:tc>
        <w:tc>
          <w:tcPr>
            <w:tcW w:w="92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148.8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418.4</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567.2</w:t>
            </w:r>
          </w:p>
        </w:tc>
      </w:tr>
      <w:tr>
        <w:trPr>
          <w:trHeight w:val="226"/>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Equity-related derivative instruments (c)</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r>
      <w:tr>
        <w:trPr>
          <w:trHeight w:val="225"/>
        </w:trPr>
        <w:tc>
          <w:tcPr>
            <w:tcW w:w="4140" w:type="dxa"/>
            <w:vAlign w:val="bottom"/>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26"/>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192"/>
        </w:trPr>
        <w:tc>
          <w:tcPr>
            <w:tcW w:w="4140" w:type="dxa"/>
            <w:vAlign w:val="bottom"/>
          </w:tcPr>
          <w:p>
            <w:pPr>
              <w:ind w:left="220"/>
              <w:spacing w:after="0" w:line="192" w:lineRule="exact"/>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line="19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2" w:lineRule="exact"/>
              <w:rPr>
                <w:sz w:val="20"/>
                <w:szCs w:val="20"/>
                <w:color w:val="auto"/>
              </w:rPr>
            </w:pPr>
            <w:r>
              <w:rPr>
                <w:rFonts w:ascii="Arial" w:cs="Arial" w:eastAsia="Arial" w:hAnsi="Arial"/>
                <w:sz w:val="18"/>
                <w:szCs w:val="18"/>
                <w:color w:val="auto"/>
              </w:rPr>
              <w:t>111.9</w:t>
            </w:r>
          </w:p>
        </w:tc>
        <w:tc>
          <w:tcPr>
            <w:tcW w:w="100" w:type="dxa"/>
            <w:vAlign w:val="bottom"/>
          </w:tcPr>
          <w:p>
            <w:pPr>
              <w:spacing w:after="0"/>
              <w:rPr>
                <w:sz w:val="16"/>
                <w:szCs w:val="16"/>
                <w:color w:val="auto"/>
              </w:rPr>
            </w:pPr>
          </w:p>
        </w:tc>
        <w:tc>
          <w:tcPr>
            <w:tcW w:w="140" w:type="dxa"/>
            <w:vAlign w:val="bottom"/>
          </w:tcPr>
          <w:p>
            <w:pPr>
              <w:jc w:val="right"/>
              <w:spacing w:after="0" w:line="19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92" w:lineRule="exact"/>
              <w:rPr>
                <w:sz w:val="20"/>
                <w:szCs w:val="20"/>
                <w:color w:val="auto"/>
              </w:rPr>
            </w:pPr>
            <w:r>
              <w:rPr>
                <w:rFonts w:ascii="Arial" w:cs="Arial" w:eastAsia="Arial" w:hAnsi="Arial"/>
                <w:sz w:val="18"/>
                <w:szCs w:val="18"/>
                <w:color w:val="auto"/>
              </w:rPr>
              <w:t>312.7</w:t>
            </w:r>
          </w:p>
        </w:tc>
        <w:tc>
          <w:tcPr>
            <w:tcW w:w="100" w:type="dxa"/>
            <w:vAlign w:val="bottom"/>
          </w:tcPr>
          <w:p>
            <w:pPr>
              <w:spacing w:after="0"/>
              <w:rPr>
                <w:sz w:val="16"/>
                <w:szCs w:val="16"/>
                <w:color w:val="auto"/>
              </w:rPr>
            </w:pPr>
          </w:p>
        </w:tc>
        <w:tc>
          <w:tcPr>
            <w:tcW w:w="240" w:type="dxa"/>
            <w:vAlign w:val="bottom"/>
          </w:tcPr>
          <w:p>
            <w:pPr>
              <w:jc w:val="right"/>
              <w:ind w:right="52"/>
              <w:spacing w:after="0" w:line="19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2" w:lineRule="exact"/>
              <w:rPr>
                <w:sz w:val="20"/>
                <w:szCs w:val="20"/>
                <w:color w:val="auto"/>
              </w:rPr>
            </w:pPr>
            <w:r>
              <w:rPr>
                <w:rFonts w:ascii="Arial" w:cs="Arial" w:eastAsia="Arial" w:hAnsi="Arial"/>
                <w:sz w:val="18"/>
                <w:szCs w:val="18"/>
                <w:color w:val="auto"/>
              </w:rPr>
              <w:t>424.6</w:t>
            </w:r>
          </w:p>
        </w:tc>
        <w:tc>
          <w:tcPr>
            <w:tcW w:w="120" w:type="dxa"/>
            <w:vAlign w:val="bottom"/>
          </w:tcPr>
          <w:p>
            <w:pPr>
              <w:spacing w:after="0"/>
              <w:rPr>
                <w:sz w:val="16"/>
                <w:szCs w:val="16"/>
                <w:color w:val="auto"/>
              </w:rPr>
            </w:pPr>
          </w:p>
        </w:tc>
        <w:tc>
          <w:tcPr>
            <w:tcW w:w="180" w:type="dxa"/>
            <w:vAlign w:val="bottom"/>
          </w:tcPr>
          <w:p>
            <w:pPr>
              <w:jc w:val="right"/>
              <w:spacing w:after="0" w:line="19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2" w:lineRule="exact"/>
              <w:rPr>
                <w:sz w:val="20"/>
                <w:szCs w:val="20"/>
                <w:color w:val="auto"/>
              </w:rPr>
            </w:pPr>
            <w:r>
              <w:rPr>
                <w:rFonts w:ascii="Arial" w:cs="Arial" w:eastAsia="Arial" w:hAnsi="Arial"/>
                <w:sz w:val="18"/>
                <w:szCs w:val="18"/>
                <w:color w:val="auto"/>
              </w:rPr>
              <w:t>234.6</w:t>
            </w:r>
          </w:p>
        </w:tc>
        <w:tc>
          <w:tcPr>
            <w:tcW w:w="240" w:type="dxa"/>
            <w:vAlign w:val="bottom"/>
            <w:gridSpan w:val="2"/>
          </w:tcPr>
          <w:p>
            <w:pPr>
              <w:jc w:val="right"/>
              <w:ind w:right="40"/>
              <w:spacing w:after="0" w:line="19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2" w:lineRule="exact"/>
              <w:rPr>
                <w:sz w:val="20"/>
                <w:szCs w:val="20"/>
                <w:color w:val="auto"/>
              </w:rPr>
            </w:pPr>
            <w:r>
              <w:rPr>
                <w:rFonts w:ascii="Arial" w:cs="Arial" w:eastAsia="Arial" w:hAnsi="Arial"/>
                <w:sz w:val="18"/>
                <w:szCs w:val="18"/>
                <w:color w:val="auto"/>
              </w:rPr>
              <w:t>650.2</w:t>
            </w:r>
          </w:p>
        </w:tc>
        <w:tc>
          <w:tcPr>
            <w:tcW w:w="100" w:type="dxa"/>
            <w:vAlign w:val="bottom"/>
          </w:tcPr>
          <w:p>
            <w:pPr>
              <w:spacing w:after="0"/>
              <w:rPr>
                <w:sz w:val="16"/>
                <w:szCs w:val="16"/>
                <w:color w:val="auto"/>
              </w:rPr>
            </w:pPr>
          </w:p>
        </w:tc>
        <w:tc>
          <w:tcPr>
            <w:tcW w:w="240" w:type="dxa"/>
            <w:vAlign w:val="bottom"/>
          </w:tcPr>
          <w:p>
            <w:pPr>
              <w:jc w:val="right"/>
              <w:ind w:right="52"/>
              <w:spacing w:after="0" w:line="19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2" w:lineRule="exact"/>
              <w:rPr>
                <w:sz w:val="20"/>
                <w:szCs w:val="20"/>
                <w:color w:val="auto"/>
              </w:rPr>
            </w:pPr>
            <w:r>
              <w:rPr>
                <w:rFonts w:ascii="Arial" w:cs="Arial" w:eastAsia="Arial" w:hAnsi="Arial"/>
                <w:sz w:val="18"/>
                <w:szCs w:val="18"/>
                <w:color w:val="auto"/>
              </w:rPr>
              <w:t>884.8</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414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Liabilities (a):</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5"/>
        </w:trPr>
        <w:tc>
          <w:tcPr>
            <w:tcW w:w="4320" w:type="dxa"/>
            <w:vAlign w:val="bottom"/>
            <w:gridSpan w:val="2"/>
          </w:tcPr>
          <w:p>
            <w:pPr>
              <w:ind w:left="140"/>
              <w:spacing w:after="0"/>
              <w:rPr>
                <w:sz w:val="20"/>
                <w:szCs w:val="20"/>
                <w:color w:val="auto"/>
              </w:rPr>
            </w:pPr>
            <w:r>
              <w:rPr>
                <w:rFonts w:ascii="Arial" w:cs="Arial" w:eastAsia="Arial" w:hAnsi="Arial"/>
                <w:sz w:val="18"/>
                <w:szCs w:val="18"/>
                <w:color w:val="auto"/>
                <w:w w:val="90"/>
              </w:rPr>
              <w:t>Cross-currency and interest rate derivative contracts (b) $</w:t>
            </w:r>
          </w:p>
        </w:tc>
        <w:tc>
          <w:tcPr>
            <w:tcW w:w="920" w:type="dxa"/>
            <w:vAlign w:val="bottom"/>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666.1</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859.6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1,364.1</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1,535.3</w:t>
            </w:r>
          </w:p>
        </w:tc>
      </w:tr>
      <w:tr>
        <w:trPr>
          <w:trHeight w:val="226"/>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25"/>
        </w:trPr>
        <w:tc>
          <w:tcPr>
            <w:tcW w:w="4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414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1,616.8</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derivative assets, long-term derivative assets and long-term derivative liabilities are included in other current assets, other assets, net, and other long-term liabilities, respectively, on our condensed consolidated balance sheets.</w:t>
      </w:r>
    </w:p>
    <w:p>
      <w:pPr>
        <w:spacing w:after="0" w:line="207" w:lineRule="exact"/>
        <w:rPr>
          <w:rFonts w:ascii="Arial" w:cs="Arial" w:eastAsia="Arial" w:hAnsi="Arial"/>
          <w:sz w:val="18"/>
          <w:szCs w:val="18"/>
          <w:color w:val="auto"/>
        </w:rPr>
      </w:pPr>
    </w:p>
    <w:p>
      <w:pPr>
        <w:jc w:val="both"/>
        <w:ind w:left="480" w:hanging="474"/>
        <w:spacing w:after="0" w:line="248" w:lineRule="auto"/>
        <w:tabs>
          <w:tab w:leader="none" w:pos="47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net gains of $38.2 million and $5.4 million during the three months ended June 30, 2021 and 2020, respectively, and a net gain (loss) of ($0.8 million) and $71.7 million during the six months ended June 30, 2021 and 2020, respectively. These amounts are included in realized and unrealized gains (losses) on derivative instruments, net, in our condensed consolidated statements of operations. For further information regarding our fair value measurements, see note 7.</w:t>
      </w:r>
    </w:p>
    <w:p>
      <w:pPr>
        <w:spacing w:after="0" w:line="219" w:lineRule="exact"/>
        <w:rPr>
          <w:rFonts w:ascii="Arial" w:cs="Arial" w:eastAsia="Arial" w:hAnsi="Arial"/>
          <w:sz w:val="18"/>
          <w:szCs w:val="18"/>
          <w:color w:val="auto"/>
        </w:rPr>
      </w:pPr>
    </w:p>
    <w:p>
      <w:pPr>
        <w:jc w:val="both"/>
        <w:ind w:left="480" w:hanging="474"/>
        <w:spacing w:after="0" w:line="281" w:lineRule="auto"/>
        <w:tabs>
          <w:tab w:leader="none" w:pos="477"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Our equity-related derivative instruments at December 31, 2020 include a share collar (the </w:t>
      </w:r>
      <w:r>
        <w:rPr>
          <w:rFonts w:ascii="Arial" w:cs="Arial" w:eastAsia="Arial" w:hAnsi="Arial"/>
          <w:sz w:val="17"/>
          <w:szCs w:val="17"/>
          <w:b w:val="1"/>
          <w:bCs w:val="1"/>
          <w:color w:val="auto"/>
        </w:rPr>
        <w:t>ITV Collar</w:t>
      </w:r>
      <w:r>
        <w:rPr>
          <w:rFonts w:ascii="Arial" w:cs="Arial" w:eastAsia="Arial" w:hAnsi="Arial"/>
          <w:sz w:val="17"/>
          <w:szCs w:val="17"/>
          <w:color w:val="auto"/>
        </w:rPr>
        <w:t>) with respect to certain of the shares of ITV held by our company. During the second quarter of 2021, we completed the unwind of the ITV Collar and cash settled all remaining amounts under the ITV Collar Loan. Accordingly, as of June 30, 2021, the ITV Collar and ITV Collar Loan had been fully settled.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realized and unrealized gains (losses) on derivative instruments, net,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400" w:type="dxa"/>
            <w:vAlign w:val="bottom"/>
          </w:tcPr>
          <w:p>
            <w:pPr>
              <w:spacing w:after="0"/>
              <w:rPr>
                <w:sz w:val="18"/>
                <w:szCs w:val="18"/>
                <w:color w:val="auto"/>
              </w:rPr>
            </w:pPr>
          </w:p>
        </w:tc>
        <w:tc>
          <w:tcPr>
            <w:tcW w:w="2380" w:type="dxa"/>
            <w:vAlign w:val="bottom"/>
            <w:gridSpan w:val="4"/>
          </w:tcPr>
          <w:p>
            <w:pPr>
              <w:jc w:val="right"/>
              <w:ind w:right="393"/>
              <w:spacing w:after="0"/>
              <w:rPr>
                <w:sz w:val="20"/>
                <w:szCs w:val="20"/>
                <w:color w:val="auto"/>
              </w:rPr>
            </w:pPr>
            <w:r>
              <w:rPr>
                <w:rFonts w:ascii="Arial" w:cs="Arial" w:eastAsia="Arial" w:hAnsi="Arial"/>
                <w:sz w:val="16"/>
                <w:szCs w:val="16"/>
                <w:b w:val="1"/>
                <w:bCs w:val="1"/>
                <w:color w:val="auto"/>
                <w:w w:val="91"/>
              </w:rPr>
              <w:t>Six months ended June 30,</w:t>
            </w:r>
          </w:p>
        </w:tc>
      </w:tr>
      <w:tr>
        <w:trPr>
          <w:trHeight w:val="206"/>
        </w:trPr>
        <w:tc>
          <w:tcPr>
            <w:tcW w:w="55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03"/>
        </w:trPr>
        <w:tc>
          <w:tcPr>
            <w:tcW w:w="5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63"/>
        </w:trPr>
        <w:tc>
          <w:tcPr>
            <w:tcW w:w="5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and interest rate derivative contracts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w:t>
            </w:r>
          </w:p>
        </w:tc>
      </w:tr>
      <w:tr>
        <w:trPr>
          <w:trHeight w:val="205"/>
        </w:trPr>
        <w:tc>
          <w:tcPr>
            <w:tcW w:w="5580" w:type="dxa"/>
            <w:vAlign w:val="bottom"/>
          </w:tcPr>
          <w:p>
            <w:pPr>
              <w:ind w:left="20"/>
              <w:spacing w:after="0" w:line="204" w:lineRule="exact"/>
              <w:rPr>
                <w:sz w:val="20"/>
                <w:szCs w:val="20"/>
                <w:color w:val="auto"/>
              </w:rPr>
            </w:pPr>
            <w:r>
              <w:rPr>
                <w:rFonts w:ascii="Arial" w:cs="Arial" w:eastAsia="Arial" w:hAnsi="Arial"/>
                <w:sz w:val="18"/>
                <w:szCs w:val="18"/>
                <w:color w:val="auto"/>
              </w:rPr>
              <w:t>Equity-related derivative instruments: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6"/>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ITV Collar</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r>
      <w:tr>
        <w:trPr>
          <w:trHeight w:val="225"/>
        </w:trPr>
        <w:tc>
          <w:tcPr>
            <w:tcW w:w="5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19"/>
        </w:trPr>
        <w:tc>
          <w:tcPr>
            <w:tcW w:w="558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equity-related derivative instruments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w:t>
            </w:r>
          </w:p>
        </w:tc>
      </w:tr>
      <w:tr>
        <w:trPr>
          <w:trHeight w:val="218"/>
        </w:trPr>
        <w:tc>
          <w:tcPr>
            <w:tcW w:w="558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Foreign currency forward and option contracts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19"/>
        </w:trPr>
        <w:tc>
          <w:tcPr>
            <w:tcW w:w="55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8"/>
        </w:trPr>
        <w:tc>
          <w:tcPr>
            <w:tcW w:w="558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w:t>
            </w: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For derivative contracts that are terminated prior to maturity, the cash paid or received upon termination that relates to future periods is classified as a financing activity. The following table sets forth the classification of the net cash inflows (outflows) of our derivative instruments:</w:t>
      </w:r>
    </w:p>
    <w:p>
      <w:pPr>
        <w:spacing w:after="0" w:line="89" w:lineRule="exact"/>
        <w:rPr>
          <w:sz w:val="20"/>
          <w:szCs w:val="20"/>
          <w:color w:val="auto"/>
        </w:rPr>
      </w:pPr>
    </w:p>
    <w:p>
      <w:pPr>
        <w:jc w:val="center"/>
        <w:ind w:left="8760"/>
        <w:spacing w:after="0"/>
        <w:rPr>
          <w:sz w:val="20"/>
          <w:szCs w:val="20"/>
          <w:color w:val="auto"/>
        </w:rPr>
      </w:pPr>
      <w:r>
        <w:rPr>
          <w:rFonts w:ascii="Arial" w:cs="Arial" w:eastAsia="Arial" w:hAnsi="Arial"/>
          <w:sz w:val="16"/>
          <w:szCs w:val="16"/>
          <w:b w:val="1"/>
          <w:bCs w:val="1"/>
          <w:color w:val="auto"/>
        </w:rPr>
        <w:t>Six months ended</w:t>
      </w:r>
    </w:p>
    <w:p>
      <w:pPr>
        <w:jc w:val="center"/>
        <w:ind w:left="8760"/>
        <w:spacing w:after="0"/>
        <w:rPr>
          <w:sz w:val="20"/>
          <w:szCs w:val="20"/>
          <w:color w:val="auto"/>
        </w:rPr>
      </w:pPr>
      <w:r>
        <w:rPr>
          <w:rFonts w:ascii="Arial" w:cs="Arial" w:eastAsia="Arial" w:hAnsi="Arial"/>
          <w:sz w:val="16"/>
          <w:szCs w:val="16"/>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r>
      <w:tr>
        <w:trPr>
          <w:trHeight w:val="202"/>
        </w:trPr>
        <w:tc>
          <w:tcPr>
            <w:tcW w:w="8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r>
      <w:tr>
        <w:trPr>
          <w:trHeight w:val="163"/>
        </w:trPr>
        <w:tc>
          <w:tcPr>
            <w:tcW w:w="8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5"/>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5"/>
        </w:trPr>
        <w:tc>
          <w:tcPr>
            <w:tcW w:w="87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18"/>
        </w:trPr>
        <w:tc>
          <w:tcPr>
            <w:tcW w:w="878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r>
      <w:tr>
        <w:trPr>
          <w:trHeight w:val="20"/>
        </w:trPr>
        <w:tc>
          <w:tcPr>
            <w:tcW w:w="8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Collateral is generally not posted by either party under our derivative instruments. At June 30, 2021, our exposure to counterparty credit risk included derivative assets with an aggregate fair value of $81.0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Derivative Instruments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Cross-currency Derivative Contracts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June 30, 2021,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June 30, 2021: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60" w:type="dxa"/>
            <w:vAlign w:val="bottom"/>
          </w:tcPr>
          <w:p>
            <w:pPr>
              <w:jc w:val="right"/>
              <w:ind w:right="654"/>
              <w:spacing w:after="0"/>
              <w:rPr>
                <w:sz w:val="20"/>
                <w:szCs w:val="20"/>
                <w:color w:val="auto"/>
              </w:rPr>
            </w:pPr>
            <w:r>
              <w:rPr>
                <w:rFonts w:ascii="Arial" w:cs="Arial" w:eastAsia="Arial" w:hAnsi="Arial"/>
                <w:sz w:val="16"/>
                <w:szCs w:val="16"/>
                <w:b w:val="1"/>
                <w:bCs w:val="1"/>
                <w:color w:val="auto"/>
                <w:w w:val="95"/>
              </w:rPr>
              <w:t>Notional amount</w:t>
            </w:r>
          </w:p>
        </w:tc>
        <w:tc>
          <w:tcPr>
            <w:tcW w:w="440" w:type="dxa"/>
            <w:vAlign w:val="bottom"/>
          </w:tcPr>
          <w:p>
            <w:pPr>
              <w:spacing w:after="0"/>
              <w:rPr>
                <w:sz w:val="16"/>
                <w:szCs w:val="16"/>
                <w:color w:val="auto"/>
              </w:rPr>
            </w:pPr>
          </w:p>
        </w:tc>
        <w:tc>
          <w:tcPr>
            <w:tcW w:w="2140" w:type="dxa"/>
            <w:vAlign w:val="bottom"/>
            <w:gridSpan w:val="3"/>
          </w:tcPr>
          <w:p>
            <w:pPr>
              <w:jc w:val="center"/>
              <w:ind w:right="660"/>
              <w:spacing w:after="0"/>
              <w:rPr>
                <w:sz w:val="20"/>
                <w:szCs w:val="20"/>
                <w:color w:val="auto"/>
              </w:rPr>
            </w:pPr>
            <w:r>
              <w:rPr>
                <w:rFonts w:ascii="Arial" w:cs="Arial" w:eastAsia="Arial" w:hAnsi="Arial"/>
                <w:sz w:val="16"/>
                <w:szCs w:val="16"/>
                <w:b w:val="1"/>
                <w:bCs w:val="1"/>
                <w:color w:val="auto"/>
                <w:w w:val="91"/>
              </w:rPr>
              <w:t>Notional amount</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Weighted average</w:t>
            </w:r>
          </w:p>
        </w:tc>
      </w:tr>
      <w:tr>
        <w:trPr>
          <w:trHeight w:val="210"/>
        </w:trPr>
        <w:tc>
          <w:tcPr>
            <w:tcW w:w="4540" w:type="dxa"/>
            <w:vAlign w:val="bottom"/>
          </w:tcPr>
          <w:p>
            <w:pPr>
              <w:spacing w:after="0"/>
              <w:rPr>
                <w:sz w:val="18"/>
                <w:szCs w:val="18"/>
                <w:color w:val="auto"/>
              </w:rPr>
            </w:pPr>
          </w:p>
        </w:tc>
        <w:tc>
          <w:tcPr>
            <w:tcW w:w="2420" w:type="dxa"/>
            <w:vAlign w:val="bottom"/>
            <w:gridSpan w:val="2"/>
          </w:tcPr>
          <w:p>
            <w:pPr>
              <w:jc w:val="right"/>
              <w:ind w:right="434"/>
              <w:spacing w:after="0"/>
              <w:rPr>
                <w:sz w:val="20"/>
                <w:szCs w:val="20"/>
                <w:color w:val="auto"/>
              </w:rPr>
            </w:pPr>
            <w:r>
              <w:rPr>
                <w:rFonts w:ascii="Arial" w:cs="Arial" w:eastAsia="Arial" w:hAnsi="Arial"/>
                <w:sz w:val="16"/>
                <w:szCs w:val="16"/>
                <w:b w:val="1"/>
                <w:bCs w:val="1"/>
                <w:color w:val="auto"/>
              </w:rPr>
              <w:t>due from counterparty</w:t>
            </w:r>
          </w:p>
        </w:tc>
        <w:tc>
          <w:tcPr>
            <w:tcW w:w="440" w:type="dxa"/>
            <w:vAlign w:val="bottom"/>
          </w:tcPr>
          <w:p>
            <w:pPr>
              <w:spacing w:after="0"/>
              <w:rPr>
                <w:sz w:val="18"/>
                <w:szCs w:val="18"/>
                <w:color w:val="auto"/>
              </w:rPr>
            </w:pPr>
          </w:p>
        </w:tc>
        <w:tc>
          <w:tcPr>
            <w:tcW w:w="2140" w:type="dxa"/>
            <w:vAlign w:val="bottom"/>
            <w:gridSpan w:val="3"/>
          </w:tcPr>
          <w:p>
            <w:pPr>
              <w:jc w:val="center"/>
              <w:ind w:right="620"/>
              <w:spacing w:after="0"/>
              <w:rPr>
                <w:sz w:val="20"/>
                <w:szCs w:val="20"/>
                <w:color w:val="auto"/>
              </w:rPr>
            </w:pPr>
            <w:r>
              <w:rPr>
                <w:rFonts w:ascii="Arial" w:cs="Arial" w:eastAsia="Arial" w:hAnsi="Arial"/>
                <w:sz w:val="16"/>
                <w:szCs w:val="16"/>
                <w:b w:val="1"/>
                <w:bCs w:val="1"/>
                <w:color w:val="auto"/>
                <w:w w:val="90"/>
              </w:rPr>
              <w:t>due to counterparty</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 life</w:t>
            </w:r>
          </w:p>
        </w:tc>
      </w:tr>
      <w:tr>
        <w:trPr>
          <w:trHeight w:val="203"/>
        </w:trPr>
        <w:tc>
          <w:tcPr>
            <w:tcW w:w="45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03"/>
        </w:trPr>
        <w:tc>
          <w:tcPr>
            <w:tcW w:w="4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360.0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4.3</w:t>
            </w:r>
          </w:p>
        </w:tc>
      </w:tr>
      <w:tr>
        <w:trPr>
          <w:trHeight w:val="225"/>
        </w:trPr>
        <w:tc>
          <w:tcPr>
            <w:tcW w:w="454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74"/>
              <w:spacing w:after="0"/>
              <w:rPr>
                <w:sz w:val="20"/>
                <w:szCs w:val="20"/>
                <w:color w:val="auto"/>
              </w:rPr>
            </w:pPr>
            <w:r>
              <w:rPr>
                <w:rFonts w:ascii="Arial" w:cs="Arial" w:eastAsia="Arial" w:hAnsi="Arial"/>
                <w:sz w:val="18"/>
                <w:szCs w:val="18"/>
                <w:color w:val="auto"/>
              </w:rPr>
              <w:t>4,750.0</w:t>
            </w:r>
          </w:p>
        </w:tc>
        <w:tc>
          <w:tcPr>
            <w:tcW w:w="440" w:type="dxa"/>
            <w:vAlign w:val="bottom"/>
          </w:tcPr>
          <w:p>
            <w:pPr>
              <w:spacing w:after="0"/>
              <w:rPr>
                <w:sz w:val="20"/>
                <w:szCs w:val="20"/>
                <w:color w:val="auto"/>
              </w:rPr>
            </w:pPr>
            <w:r>
              <w:rPr>
                <w:rFonts w:ascii="Arial" w:cs="Arial" w:eastAsia="Arial" w:hAnsi="Arial"/>
                <w:sz w:val="18"/>
                <w:szCs w:val="18"/>
                <w:color w:val="auto"/>
              </w:rPr>
              <w:t>CHF</w:t>
            </w:r>
          </w:p>
        </w:tc>
        <w:tc>
          <w:tcPr>
            <w:tcW w:w="1240" w:type="dxa"/>
            <w:vAlign w:val="bottom"/>
          </w:tcPr>
          <w:p>
            <w:pPr>
              <w:jc w:val="right"/>
              <w:spacing w:after="0"/>
              <w:rPr>
                <w:sz w:val="20"/>
                <w:szCs w:val="20"/>
                <w:color w:val="auto"/>
              </w:rPr>
            </w:pPr>
            <w:r>
              <w:rPr>
                <w:rFonts w:ascii="Arial" w:cs="Arial" w:eastAsia="Arial" w:hAnsi="Arial"/>
                <w:sz w:val="18"/>
                <w:szCs w:val="18"/>
                <w:color w:val="auto"/>
              </w:rPr>
              <w:t>4,349.7</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(a)(b)</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6.7</w:t>
            </w:r>
          </w:p>
        </w:tc>
      </w:tr>
      <w:tr>
        <w:trPr>
          <w:trHeight w:val="226"/>
        </w:trPr>
        <w:tc>
          <w:tcPr>
            <w:tcW w:w="454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2,650.0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CHF</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2,970.1</w:t>
            </w: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w:t>
            </w:r>
          </w:p>
        </w:tc>
      </w:tr>
      <w:tr>
        <w:trPr>
          <w:trHeight w:val="225"/>
        </w:trPr>
        <w:tc>
          <w:tcPr>
            <w:tcW w:w="454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74"/>
              <w:spacing w:after="0"/>
              <w:rPr>
                <w:sz w:val="20"/>
                <w:szCs w:val="20"/>
                <w:color w:val="auto"/>
              </w:rPr>
            </w:pPr>
            <w:r>
              <w:rPr>
                <w:rFonts w:ascii="Arial" w:cs="Arial" w:eastAsia="Arial" w:hAnsi="Arial"/>
                <w:sz w:val="18"/>
                <w:szCs w:val="18"/>
                <w:color w:val="auto"/>
              </w:rPr>
              <w:t>777.0</w:t>
            </w:r>
          </w:p>
        </w:tc>
        <w:tc>
          <w:tcPr>
            <w:tcW w:w="440" w:type="dxa"/>
            <w:vAlign w:val="bottom"/>
          </w:tcPr>
          <w:p>
            <w:pPr>
              <w:spacing w:after="0"/>
              <w:rPr>
                <w:sz w:val="20"/>
                <w:szCs w:val="20"/>
                <w:color w:val="auto"/>
              </w:rPr>
            </w:pPr>
            <w:r>
              <w:rPr>
                <w:rFonts w:ascii="Arial" w:cs="Arial" w:eastAsia="Arial" w:hAnsi="Arial"/>
                <w:sz w:val="18"/>
                <w:szCs w:val="18"/>
                <w:color w:val="auto"/>
              </w:rPr>
              <w:t>PLN</w:t>
            </w:r>
          </w:p>
        </w:tc>
        <w:tc>
          <w:tcPr>
            <w:tcW w:w="1240" w:type="dxa"/>
            <w:vAlign w:val="bottom"/>
          </w:tcPr>
          <w:p>
            <w:pPr>
              <w:jc w:val="right"/>
              <w:spacing w:after="0"/>
              <w:rPr>
                <w:sz w:val="20"/>
                <w:szCs w:val="20"/>
                <w:color w:val="auto"/>
              </w:rPr>
            </w:pPr>
            <w:r>
              <w:rPr>
                <w:rFonts w:ascii="Arial" w:cs="Arial" w:eastAsia="Arial" w:hAnsi="Arial"/>
                <w:sz w:val="18"/>
                <w:szCs w:val="18"/>
                <w:color w:val="auto"/>
              </w:rPr>
              <w:t>3,302.9</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(a)</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4.5</w:t>
            </w:r>
          </w:p>
        </w:tc>
      </w:tr>
      <w:tr>
        <w:trPr>
          <w:trHeight w:val="226"/>
        </w:trPr>
        <w:tc>
          <w:tcPr>
            <w:tcW w:w="454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9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740.0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w:t>
            </w:r>
          </w:p>
        </w:tc>
      </w:tr>
      <w:tr>
        <w:trPr>
          <w:trHeight w:val="199"/>
        </w:trPr>
        <w:tc>
          <w:tcPr>
            <w:tcW w:w="4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3,940.0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3,489.6</w:t>
            </w: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5.6</w:t>
            </w:r>
          </w:p>
        </w:tc>
      </w:tr>
      <w:tr>
        <w:trPr>
          <w:trHeight w:val="224"/>
        </w:trPr>
        <w:tc>
          <w:tcPr>
            <w:tcW w:w="454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74"/>
              <w:spacing w:after="0"/>
              <w:rPr>
                <w:sz w:val="20"/>
                <w:szCs w:val="20"/>
                <w:color w:val="auto"/>
              </w:rPr>
            </w:pPr>
            <w:r>
              <w:rPr>
                <w:rFonts w:ascii="Arial" w:cs="Arial" w:eastAsia="Arial" w:hAnsi="Arial"/>
                <w:sz w:val="18"/>
                <w:szCs w:val="18"/>
                <w:color w:val="auto"/>
              </w:rPr>
              <w:t>45.2</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(c)</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3.6</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certain derivative instruments that are “forward-starting,” such that the initial exchange occurs at a date subsequent to June 30, 2021. These instruments are typically entered into in order to extend existing hedges without the need to amend existing contracts.</w:t>
      </w:r>
    </w:p>
    <w:p>
      <w:pPr>
        <w:spacing w:after="0" w:line="207" w:lineRule="exact"/>
        <w:rPr>
          <w:rFonts w:ascii="Arial" w:cs="Arial" w:eastAsia="Arial" w:hAnsi="Arial"/>
          <w:sz w:val="18"/>
          <w:szCs w:val="18"/>
          <w:color w:val="auto"/>
        </w:rPr>
      </w:pPr>
    </w:p>
    <w:p>
      <w:pPr>
        <w:ind w:left="480" w:hanging="474"/>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amounts subject to a 0.0% floor.</w:t>
      </w:r>
    </w:p>
    <w:p>
      <w:pPr>
        <w:spacing w:after="0" w:line="243" w:lineRule="exact"/>
        <w:rPr>
          <w:rFonts w:ascii="Arial" w:cs="Arial" w:eastAsia="Arial" w:hAnsi="Arial"/>
          <w:sz w:val="18"/>
          <w:szCs w:val="18"/>
          <w:color w:val="auto"/>
        </w:rPr>
      </w:pPr>
    </w:p>
    <w:p>
      <w:pPr>
        <w:jc w:val="both"/>
        <w:ind w:left="480" w:hanging="474"/>
        <w:spacing w:after="0" w:line="255" w:lineRule="auto"/>
        <w:tabs>
          <w:tab w:leader="none" w:pos="4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 At June 30, 2021, the total U.S. dollar equivalent of the notional amount of these derivative instruments was $53.5 million.</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24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following table sets forth the total U.S. dollar equivalents of the notional amounts and the related weighted average remaining contractual lives of our interest rate swap contracts at June 30, 2021: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gridSpan w:val="5"/>
          </w:tcPr>
          <w:p>
            <w:pPr>
              <w:ind w:left="1080"/>
              <w:spacing w:after="0"/>
              <w:rPr>
                <w:sz w:val="20"/>
                <w:szCs w:val="20"/>
                <w:color w:val="auto"/>
              </w:rPr>
            </w:pPr>
            <w:r>
              <w:rPr>
                <w:rFonts w:ascii="Arial" w:cs="Arial" w:eastAsia="Arial" w:hAnsi="Arial"/>
                <w:sz w:val="16"/>
                <w:szCs w:val="16"/>
                <w:b w:val="1"/>
                <w:bCs w:val="1"/>
                <w:color w:val="auto"/>
              </w:rPr>
              <w:t>Pays fixed rate</w:t>
            </w:r>
          </w:p>
        </w:tc>
        <w:tc>
          <w:tcPr>
            <w:tcW w:w="360" w:type="dxa"/>
            <w:vAlign w:val="bottom"/>
          </w:tcPr>
          <w:p>
            <w:pPr>
              <w:spacing w:after="0"/>
              <w:rPr>
                <w:sz w:val="18"/>
                <w:szCs w:val="18"/>
                <w:color w:val="auto"/>
              </w:rPr>
            </w:pPr>
          </w:p>
        </w:tc>
        <w:tc>
          <w:tcPr>
            <w:tcW w:w="3520" w:type="dxa"/>
            <w:vAlign w:val="bottom"/>
            <w:gridSpan w:val="3"/>
          </w:tcPr>
          <w:p>
            <w:pPr>
              <w:ind w:left="940"/>
              <w:spacing w:after="0"/>
              <w:rPr>
                <w:sz w:val="20"/>
                <w:szCs w:val="20"/>
                <w:color w:val="auto"/>
              </w:rPr>
            </w:pPr>
            <w:r>
              <w:rPr>
                <w:rFonts w:ascii="Arial" w:cs="Arial" w:eastAsia="Arial" w:hAnsi="Arial"/>
                <w:sz w:val="16"/>
                <w:szCs w:val="16"/>
                <w:b w:val="1"/>
                <w:bCs w:val="1"/>
                <w:color w:val="auto"/>
              </w:rPr>
              <w:t>Receives fixed rate</w:t>
            </w:r>
          </w:p>
        </w:tc>
      </w:tr>
      <w:tr>
        <w:trPr>
          <w:trHeight w:val="155"/>
        </w:trPr>
        <w:tc>
          <w:tcPr>
            <w:tcW w:w="33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0"/>
              </w:rPr>
              <w:t>Notional</w:t>
            </w: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89"/>
              </w:rPr>
              <w:t>Weighted average</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3"/>
              </w:rPr>
              <w:t>Notional</w:t>
            </w:r>
          </w:p>
        </w:tc>
        <w:tc>
          <w:tcPr>
            <w:tcW w:w="18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89"/>
              </w:rPr>
              <w:t>Weighted average</w:t>
            </w:r>
          </w:p>
        </w:tc>
      </w:t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amount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remaining life</w:t>
            </w:r>
          </w:p>
        </w:tc>
        <w:tc>
          <w:tcPr>
            <w:tcW w:w="36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amount</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 life</w:t>
            </w:r>
          </w:p>
        </w:tc>
      </w:tr>
      <w:tr>
        <w:trPr>
          <w:trHeight w:val="203"/>
        </w:trPr>
        <w:tc>
          <w:tcPr>
            <w:tcW w:w="33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in millions</w:t>
            </w: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ind w:right="278"/>
              <w:spacing w:after="0"/>
              <w:rPr>
                <w:sz w:val="20"/>
                <w:szCs w:val="20"/>
                <w:color w:val="auto"/>
              </w:rPr>
            </w:pPr>
            <w:r>
              <w:rPr>
                <w:rFonts w:ascii="Arial" w:cs="Arial" w:eastAsia="Arial" w:hAnsi="Arial"/>
                <w:sz w:val="16"/>
                <w:szCs w:val="16"/>
                <w:b w:val="1"/>
                <w:bCs w:val="1"/>
                <w:color w:val="auto"/>
                <w:w w:val="90"/>
              </w:rPr>
              <w:t>in millions</w:t>
            </w:r>
          </w:p>
        </w:tc>
        <w:tc>
          <w:tcPr>
            <w:tcW w:w="100" w:type="dxa"/>
            <w:vAlign w:val="bottom"/>
          </w:tcPr>
          <w:p>
            <w:pPr>
              <w:spacing w:after="0"/>
              <w:rPr>
                <w:sz w:val="17"/>
                <w:szCs w:val="17"/>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57"/>
        </w:trPr>
        <w:tc>
          <w:tcPr>
            <w:tcW w:w="3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r>
      <w:tr>
        <w:trPr>
          <w:trHeight w:val="225"/>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7,244.3</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4,592.7 (b)</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4.8</w:t>
            </w:r>
          </w:p>
        </w:tc>
      </w:tr>
      <w:tr>
        <w:trPr>
          <w:trHeight w:val="199"/>
        </w:trPr>
        <w:tc>
          <w:tcPr>
            <w:tcW w:w="3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25"/>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3,417.5</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1,690.9</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w:t>
            </w:r>
          </w:p>
        </w:tc>
      </w:tr>
      <w:tr>
        <w:trPr>
          <w:trHeight w:val="304"/>
        </w:trPr>
        <w:tc>
          <w:tcPr>
            <w:tcW w:w="3340" w:type="dxa"/>
            <w:vAlign w:val="bottom"/>
          </w:tcPr>
          <w:p>
            <w:pPr>
              <w:spacing w:after="0"/>
              <w:rPr>
                <w:sz w:val="20"/>
                <w:szCs w:val="20"/>
                <w:color w:val="auto"/>
              </w:rPr>
            </w:pPr>
            <w:r>
              <w:rPr>
                <w:rFonts w:ascii="Arial" w:cs="Arial" w:eastAsia="Arial" w:hAnsi="Arial"/>
                <w:sz w:val="18"/>
                <w:szCs w:val="18"/>
                <w:color w:val="auto"/>
              </w:rPr>
              <w:t>_______________</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27" w:lineRule="exact"/>
        <w:rPr>
          <w:sz w:val="20"/>
          <w:szCs w:val="20"/>
          <w:color w:val="auto"/>
        </w:rPr>
      </w:pPr>
    </w:p>
    <w:p>
      <w:pPr>
        <w:ind w:left="480" w:hanging="474"/>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amounts subject to a 0.0% floor.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Swap Options</w:t>
      </w:r>
    </w:p>
    <w:p>
      <w:pPr>
        <w:spacing w:after="0" w:line="238"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From time to time, we enter into interest rate swap options (</w:t>
      </w:r>
      <w:r>
        <w:rPr>
          <w:rFonts w:ascii="Arial" w:cs="Arial" w:eastAsia="Arial" w:hAnsi="Arial"/>
          <w:sz w:val="18"/>
          <w:szCs w:val="18"/>
          <w:b w:val="1"/>
          <w:bCs w:val="1"/>
          <w:color w:val="auto"/>
        </w:rPr>
        <w:t>swaptions</w:t>
      </w:r>
      <w:r>
        <w:rPr>
          <w:rFonts w:ascii="Arial" w:cs="Arial" w:eastAsia="Arial" w:hAnsi="Arial"/>
          <w:sz w:val="18"/>
          <w:szCs w:val="18"/>
          <w:color w:val="auto"/>
        </w:rPr>
        <w:t>), which give us the right, but not the obligation, to enter into certain interest rate swap contracts at set dates in the future. Such contracts typically have a life of no more than three years. At June 30, 2021, the option expiration period on each of our swaptions had expired.</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Swaps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June 30, 2021: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9"/>
              </w:rPr>
              <w:t>Notional amount due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Weighted average</w:t>
            </w:r>
          </w:p>
        </w:tc>
      </w:tr>
      <w:tr>
        <w:trPr>
          <w:trHeight w:val="210"/>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1"/>
              </w:rPr>
              <w:t>from counterparty</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 life</w:t>
            </w:r>
          </w:p>
        </w:tc>
      </w:tr>
      <w:tr>
        <w:trPr>
          <w:trHeight w:val="203"/>
        </w:trPr>
        <w:tc>
          <w:tcPr>
            <w:tcW w:w="7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center"/>
              <w:ind w:right="37"/>
              <w:spacing w:after="0"/>
              <w:rPr>
                <w:sz w:val="20"/>
                <w:szCs w:val="20"/>
                <w:color w:val="auto"/>
              </w:rPr>
            </w:pPr>
            <w:r>
              <w:rPr>
                <w:rFonts w:ascii="Arial" w:cs="Arial" w:eastAsia="Arial" w:hAnsi="Arial"/>
                <w:sz w:val="16"/>
                <w:szCs w:val="16"/>
                <w:b w:val="1"/>
                <w:bCs w:val="1"/>
                <w:color w:val="auto"/>
                <w:w w:val="88"/>
              </w:rPr>
              <w:t>in millions</w:t>
            </w:r>
          </w:p>
        </w:tc>
        <w:tc>
          <w:tcPr>
            <w:tcW w:w="38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03"/>
        </w:trPr>
        <w:tc>
          <w:tcPr>
            <w:tcW w:w="7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4,550.0 (a)</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r>
      <w:tr>
        <w:trPr>
          <w:trHeight w:val="159"/>
        </w:trPr>
        <w:tc>
          <w:tcPr>
            <w:tcW w:w="7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2,295.0 (a)</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r>
      <w:tr>
        <w:trPr>
          <w:trHeight w:val="383"/>
        </w:trPr>
        <w:tc>
          <w:tcPr>
            <w:tcW w:w="7540" w:type="dxa"/>
            <w:vAlign w:val="bottom"/>
          </w:tcPr>
          <w:p>
            <w:pPr>
              <w:spacing w:after="0"/>
              <w:rPr>
                <w:sz w:val="20"/>
                <w:szCs w:val="20"/>
                <w:color w:val="auto"/>
              </w:rPr>
            </w:pPr>
            <w:r>
              <w:rPr>
                <w:rFonts w:ascii="Arial" w:cs="Arial" w:eastAsia="Arial" w:hAnsi="Arial"/>
                <w:sz w:val="18"/>
                <w:szCs w:val="18"/>
                <w:color w:val="auto"/>
              </w:rPr>
              <w:t>______________</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27" w:lineRule="exact"/>
        <w:rPr>
          <w:sz w:val="20"/>
          <w:szCs w:val="20"/>
          <w:color w:val="auto"/>
        </w:rPr>
      </w:pPr>
    </w:p>
    <w:p>
      <w:pPr>
        <w:ind w:left="480" w:hanging="474"/>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amounts subject to a 0.0% floor.</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Caps, Floors and Collars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June 30, 2021, we had no interest rate collar agreements, and the total U.S. dollar equivalents of the notional amounts of our purchased interest rate caps and floors were $1.5 billion and $7.9 billion, respectively.</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of Derivative Instruments on Borrowing Costs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impact of the derivative instruments that mitigate our foreign currency and interest rate risk, as described above, on our borrowing costs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Increase to</w:t>
            </w:r>
          </w:p>
        </w:tc>
        <w:tc>
          <w:tcPr>
            <w:tcW w:w="540" w:type="dxa"/>
            <w:vAlign w:val="bottom"/>
          </w:tcPr>
          <w:p>
            <w:pPr>
              <w:spacing w:after="0"/>
              <w:rPr>
                <w:sz w:val="16"/>
                <w:szCs w:val="16"/>
                <w:color w:val="auto"/>
              </w:rPr>
            </w:pPr>
          </w:p>
        </w:tc>
      </w:tr>
      <w:tr>
        <w:trPr>
          <w:trHeight w:val="159"/>
        </w:trPr>
        <w:tc>
          <w:tcPr>
            <w:tcW w:w="9340" w:type="dxa"/>
            <w:vAlign w:val="bottom"/>
          </w:tcPr>
          <w:p>
            <w:pPr>
              <w:spacing w:after="0"/>
              <w:rPr>
                <w:sz w:val="13"/>
                <w:szCs w:val="13"/>
                <w:color w:val="auto"/>
              </w:rPr>
            </w:pPr>
          </w:p>
        </w:tc>
        <w:tc>
          <w:tcPr>
            <w:tcW w:w="1840" w:type="dxa"/>
            <w:vAlign w:val="bottom"/>
            <w:gridSpan w:val="2"/>
          </w:tcPr>
          <w:p>
            <w:pPr>
              <w:ind w:left="280"/>
              <w:spacing w:after="0" w:line="159" w:lineRule="exact"/>
              <w:rPr>
                <w:sz w:val="20"/>
                <w:szCs w:val="20"/>
                <w:color w:val="auto"/>
              </w:rPr>
            </w:pPr>
            <w:r>
              <w:rPr>
                <w:rFonts w:ascii="Arial" w:cs="Arial" w:eastAsia="Arial" w:hAnsi="Arial"/>
                <w:sz w:val="16"/>
                <w:szCs w:val="16"/>
                <w:b w:val="1"/>
                <w:bCs w:val="1"/>
                <w:color w:val="auto"/>
              </w:rPr>
              <w:t>borrowing costs at</w:t>
            </w:r>
          </w:p>
        </w:tc>
      </w:tr>
      <w:tr>
        <w:trPr>
          <w:trHeight w:val="210"/>
        </w:trPr>
        <w:tc>
          <w:tcPr>
            <w:tcW w:w="93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w:t>
            </w:r>
          </w:p>
        </w:tc>
      </w:tr>
      <w:tr>
        <w:trPr>
          <w:trHeight w:val="194"/>
        </w:trPr>
        <w:tc>
          <w:tcPr>
            <w:tcW w:w="9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25"/>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0.09 %</w:t>
            </w:r>
          </w:p>
        </w:tc>
      </w:tr>
      <w:tr>
        <w:trPr>
          <w:trHeight w:val="225"/>
        </w:trPr>
        <w:tc>
          <w:tcPr>
            <w:tcW w:w="9340" w:type="dxa"/>
            <w:vAlign w:val="bottom"/>
          </w:tcPr>
          <w:p>
            <w:pPr>
              <w:ind w:left="20"/>
              <w:spacing w:after="0"/>
              <w:rPr>
                <w:sz w:val="20"/>
                <w:szCs w:val="20"/>
                <w:color w:val="auto"/>
              </w:rPr>
            </w:pPr>
            <w:r>
              <w:rPr>
                <w:rFonts w:ascii="Arial" w:cs="Arial" w:eastAsia="Arial" w:hAnsi="Arial"/>
                <w:sz w:val="18"/>
                <w:szCs w:val="18"/>
                <w:color w:val="auto"/>
              </w:rPr>
              <w:t>Telenet</w:t>
            </w:r>
          </w:p>
        </w:tc>
        <w:tc>
          <w:tcPr>
            <w:tcW w:w="130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w w:val="89"/>
              </w:rPr>
              <w:t>0.24 %</w:t>
            </w:r>
          </w:p>
        </w:tc>
      </w:tr>
      <w:tr>
        <w:trPr>
          <w:trHeight w:val="226"/>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 Ireland</w:t>
            </w:r>
          </w:p>
        </w:tc>
        <w:tc>
          <w:tcPr>
            <w:tcW w:w="13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9"/>
              </w:rPr>
              <w:t>0.42 %</w:t>
            </w:r>
          </w:p>
        </w:tc>
      </w:tr>
      <w:tr>
        <w:trPr>
          <w:trHeight w:val="218"/>
        </w:trPr>
        <w:tc>
          <w:tcPr>
            <w:tcW w:w="9340" w:type="dxa"/>
            <w:vAlign w:val="bottom"/>
          </w:tcPr>
          <w:p>
            <w:pPr>
              <w:ind w:left="120"/>
              <w:spacing w:after="0" w:line="204" w:lineRule="exact"/>
              <w:rPr>
                <w:sz w:val="20"/>
                <w:szCs w:val="20"/>
                <w:color w:val="auto"/>
              </w:rPr>
            </w:pPr>
            <w:r>
              <w:rPr>
                <w:rFonts w:ascii="Arial" w:cs="Arial" w:eastAsia="Arial" w:hAnsi="Arial"/>
                <w:sz w:val="18"/>
                <w:szCs w:val="18"/>
                <w:color w:val="auto"/>
              </w:rPr>
              <w:t>Total increase to borrowing costs</w:t>
            </w:r>
          </w:p>
        </w:tc>
        <w:tc>
          <w:tcPr>
            <w:tcW w:w="130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w w:val="89"/>
              </w:rPr>
              <w:t>0.17 %</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effect of derivative instruments in effect at June 30, 2021 and does not include forward-starting derivative instruments.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Forwards and Options</w:t>
      </w:r>
    </w:p>
    <w:p>
      <w:pPr>
        <w:spacing w:after="0" w:line="244"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Certain of our subsidiaries enter into foreign currency forward and option contracts with respect to non-functional currency exposure. As of June 30, 2021, the total U.S. dollar equivalent of the notional amounts of our foreign currency forward and option contracts was $2.0 billion.</w:t>
      </w:r>
    </w:p>
    <w:p>
      <w:pPr>
        <w:spacing w:after="0" w:line="178" w:lineRule="exact"/>
        <w:rPr>
          <w:sz w:val="20"/>
          <w:szCs w:val="20"/>
          <w:color w:val="auto"/>
        </w:rPr>
      </w:pPr>
    </w:p>
    <w:p>
      <w:pPr>
        <w:ind w:left="380" w:hanging="374"/>
        <w:spacing w:after="0"/>
        <w:tabs>
          <w:tab w:leader="none" w:pos="3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the fair value method to account for (i) certain of our investments, (ii) our derivative instruments and (iii) certain instruments that we classify as debt. The reported fair values of these investments and instruments as of June 30, 2021 are unlikely to represent the value that will be paid or received upon the ultimate settlement or disposition of these assets and liabilities.</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swaps are quantified and further explained in note 6.</w:t>
      </w:r>
    </w:p>
    <w:p>
      <w:pPr>
        <w:spacing w:after="0" w:line="215"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Fair value measurements are also used in connection with nonrecurring valuations performed in connection with acquisition accounting, impairment assessments and the accounting for our initial investment in the VMED O2 JV. These nonrecurring valuations include the valuation of reporting units, customer relationship and other intangible assets, property and equipment, the implied value of goodwill and the valuation of our initial investment in the VMED O2 JV. The valuation of reporting units and our initial investment in the VMED O2 JV is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the six months ended June 30, 2021, we performed a nonrecurring valuation for the purpose of determining the fair value of our initial investment in the VMED O2 JV. The weighted average cost of capital used to value our initial investment was 6.9%. During the six months ended June 30, 2020, we did not perform any significant nonrecurring fair value measurements. For information regarding our investment in the VMED O2 JV, see note 5.</w:t>
      </w: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additional information concerning our fair value measurements, see note 9 to the consolidated financial statements included in our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assets and liabilities that are measured at fair value on a recurring basis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6"/>
          </w:tcPr>
          <w:p>
            <w:pPr>
              <w:jc w:val="center"/>
              <w:ind w:left="895"/>
              <w:spacing w:after="0"/>
              <w:rPr>
                <w:sz w:val="20"/>
                <w:szCs w:val="20"/>
                <w:color w:val="auto"/>
              </w:rPr>
            </w:pPr>
            <w:r>
              <w:rPr>
                <w:rFonts w:ascii="Arial" w:cs="Arial" w:eastAsia="Arial" w:hAnsi="Arial"/>
                <w:sz w:val="16"/>
                <w:szCs w:val="16"/>
                <w:b w:val="1"/>
                <w:bCs w:val="1"/>
                <w:color w:val="auto"/>
                <w:w w:val="89"/>
              </w:rPr>
              <w:t>Fair value measurements at</w:t>
            </w: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June 30, 2021 using:</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2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35"/>
              <w:spacing w:after="0" w:line="155" w:lineRule="exact"/>
              <w:rPr>
                <w:sz w:val="20"/>
                <w:szCs w:val="20"/>
                <w:color w:val="auto"/>
              </w:rPr>
            </w:pPr>
            <w:r>
              <w:rPr>
                <w:rFonts w:ascii="Arial" w:cs="Arial" w:eastAsia="Arial" w:hAnsi="Arial"/>
                <w:sz w:val="16"/>
                <w:szCs w:val="16"/>
                <w:b w:val="1"/>
                <w:bCs w:val="1"/>
                <w:color w:val="auto"/>
                <w:w w:val="89"/>
              </w:rPr>
              <w:t>Quoted prices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w w:val="87"/>
              </w:rPr>
              <w:t>Significant</w:t>
            </w:r>
          </w:p>
        </w:tc>
        <w:tc>
          <w:tcPr>
            <w:tcW w:w="18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59"/>
        </w:trPr>
        <w:tc>
          <w:tcPr>
            <w:tcW w:w="12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35"/>
              <w:spacing w:after="0" w:line="159" w:lineRule="exact"/>
              <w:rPr>
                <w:sz w:val="20"/>
                <w:szCs w:val="20"/>
                <w:color w:val="auto"/>
              </w:rPr>
            </w:pPr>
            <w:r>
              <w:rPr>
                <w:rFonts w:ascii="Arial" w:cs="Arial" w:eastAsia="Arial" w:hAnsi="Arial"/>
                <w:sz w:val="16"/>
                <w:szCs w:val="16"/>
                <w:b w:val="1"/>
                <w:bCs w:val="1"/>
                <w:color w:val="auto"/>
                <w:w w:val="87"/>
              </w:rPr>
              <w:t>in active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other</w:t>
            </w:r>
          </w:p>
        </w:tc>
        <w:tc>
          <w:tcPr>
            <w:tcW w:w="1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3"/>
                <w:szCs w:val="13"/>
                <w:color w:val="auto"/>
              </w:rPr>
            </w:pPr>
          </w:p>
        </w:tc>
        <w:tc>
          <w:tcPr>
            <w:tcW w:w="1200" w:type="dxa"/>
            <w:vAlign w:val="bottom"/>
          </w:tcPr>
          <w:p>
            <w:pPr>
              <w:jc w:val="center"/>
              <w:ind w:right="35"/>
              <w:spacing w:after="0" w:line="159" w:lineRule="exact"/>
              <w:rPr>
                <w:sz w:val="20"/>
                <w:szCs w:val="20"/>
                <w:color w:val="auto"/>
              </w:rPr>
            </w:pPr>
            <w:r>
              <w:rPr>
                <w:rFonts w:ascii="Arial" w:cs="Arial" w:eastAsia="Arial" w:hAnsi="Arial"/>
                <w:sz w:val="16"/>
                <w:szCs w:val="16"/>
                <w:b w:val="1"/>
                <w:bCs w:val="1"/>
                <w:color w:val="auto"/>
                <w:w w:val="91"/>
              </w:rPr>
              <w:t>markets for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5"/>
              </w:rPr>
              <w:t>observable</w:t>
            </w:r>
          </w:p>
        </w:tc>
        <w:tc>
          <w:tcPr>
            <w:tcW w:w="180" w:type="dxa"/>
            <w:vAlign w:val="bottom"/>
          </w:tcPr>
          <w:p>
            <w:pPr>
              <w:spacing w:after="0"/>
              <w:rPr>
                <w:sz w:val="13"/>
                <w:szCs w:val="13"/>
                <w:color w:val="auto"/>
              </w:rPr>
            </w:pPr>
          </w:p>
        </w:tc>
        <w:tc>
          <w:tcPr>
            <w:tcW w:w="122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6"/>
              </w:rPr>
              <w:t>unobservable</w:t>
            </w:r>
          </w:p>
        </w:tc>
        <w:tc>
          <w:tcPr>
            <w:tcW w:w="0" w:type="dxa"/>
            <w:vAlign w:val="bottom"/>
          </w:tcPr>
          <w:p>
            <w:pPr>
              <w:spacing w:after="0"/>
              <w:rPr>
                <w:sz w:val="1"/>
                <w:szCs w:val="1"/>
                <w:color w:val="auto"/>
              </w:rPr>
            </w:pPr>
          </w:p>
        </w:tc>
      </w:tr>
      <w:tr>
        <w:trPr>
          <w:trHeight w:val="159"/>
        </w:trPr>
        <w:tc>
          <w:tcPr>
            <w:tcW w:w="55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2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35"/>
              <w:spacing w:after="0" w:line="159" w:lineRule="exact"/>
              <w:rPr>
                <w:sz w:val="20"/>
                <w:szCs w:val="20"/>
                <w:color w:val="auto"/>
              </w:rPr>
            </w:pPr>
            <w:r>
              <w:rPr>
                <w:rFonts w:ascii="Arial" w:cs="Arial" w:eastAsia="Arial" w:hAnsi="Arial"/>
                <w:sz w:val="16"/>
                <w:szCs w:val="16"/>
                <w:b w:val="1"/>
                <w:bCs w:val="1"/>
                <w:color w:val="auto"/>
                <w:w w:val="83"/>
              </w:rPr>
              <w:t>identical assets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inputs</w:t>
            </w:r>
          </w:p>
        </w:tc>
        <w:tc>
          <w:tcPr>
            <w:tcW w:w="180" w:type="dxa"/>
            <w:vAlign w:val="bottom"/>
          </w:tcPr>
          <w:p>
            <w:pPr>
              <w:spacing w:after="0"/>
              <w:rPr>
                <w:sz w:val="13"/>
                <w:szCs w:val="13"/>
                <w:color w:val="auto"/>
              </w:rPr>
            </w:pPr>
          </w:p>
        </w:tc>
        <w:tc>
          <w:tcPr>
            <w:tcW w:w="122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7"/>
              </w:rPr>
              <w:t>inputs</w:t>
            </w:r>
          </w:p>
        </w:tc>
        <w:tc>
          <w:tcPr>
            <w:tcW w:w="0" w:type="dxa"/>
            <w:vAlign w:val="bottom"/>
          </w:tcPr>
          <w:p>
            <w:pPr>
              <w:spacing w:after="0"/>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35"/>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3"/>
        </w:trPr>
        <w:tc>
          <w:tcPr>
            <w:tcW w:w="1200" w:type="dxa"/>
            <w:vAlign w:val="bottom"/>
            <w:tcBorders>
              <w:top w:val="single" w:sz="8" w:color="auto"/>
            </w:tcBorders>
          </w:tcPr>
          <w:p>
            <w:pPr>
              <w:spacing w:after="0"/>
              <w:rPr>
                <w:sz w:val="17"/>
                <w:szCs w:val="17"/>
                <w:color w:val="auto"/>
              </w:rPr>
            </w:pPr>
          </w:p>
        </w:tc>
        <w:tc>
          <w:tcPr>
            <w:tcW w:w="43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5"/>
          </w:tcPr>
          <w:p>
            <w:pPr>
              <w:ind w:left="9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Equity-related derivative instruments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520" w:type="dxa"/>
            <w:vAlign w:val="bottom"/>
            <w:tcBorders>
              <w:top w:val="single" w:sz="8" w:color="CCEEFF"/>
            </w:tcBorders>
            <w:gridSpan w:val="2"/>
            <w:shd w:val="clear" w:color="auto" w:fill="CCEEFF"/>
          </w:tcPr>
          <w:p>
            <w:pPr>
              <w:ind w:left="380"/>
              <w:spacing w:after="0" w:line="205" w:lineRule="exact"/>
              <w:rPr>
                <w:sz w:val="20"/>
                <w:szCs w:val="20"/>
                <w:color w:val="auto"/>
              </w:rPr>
            </w:pPr>
            <w:r>
              <w:rPr>
                <w:rFonts w:ascii="Arial" w:cs="Arial" w:eastAsia="Arial" w:hAnsi="Arial"/>
                <w:sz w:val="18"/>
                <w:szCs w:val="18"/>
                <w:color w:val="auto"/>
              </w:rPr>
              <w:t>Total derivative instruments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520" w:type="dxa"/>
            <w:vAlign w:val="bottom"/>
            <w:gridSpan w:val="2"/>
          </w:tcPr>
          <w:p>
            <w:pPr>
              <w:ind w:left="140"/>
              <w:spacing w:after="0" w:line="204" w:lineRule="exact"/>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SMAs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investments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20" w:type="dxa"/>
            <w:vAlign w:val="bottom"/>
            <w:gridSpan w:val="2"/>
            <w:shd w:val="clear" w:color="auto" w:fill="CCEEFF"/>
          </w:tcPr>
          <w:p>
            <w:pPr>
              <w:ind w:left="420"/>
              <w:spacing w:after="0" w:line="205" w:lineRule="exact"/>
              <w:rPr>
                <w:sz w:val="20"/>
                <w:szCs w:val="20"/>
                <w:color w:val="auto"/>
              </w:rPr>
            </w:pPr>
            <w:r>
              <w:rPr>
                <w:rFonts w:ascii="Arial" w:cs="Arial" w:eastAsia="Arial" w:hAnsi="Arial"/>
                <w:sz w:val="18"/>
                <w:szCs w:val="18"/>
                <w:color w:val="auto"/>
              </w:rPr>
              <w:t>Total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520" w:type="dxa"/>
            <w:vAlign w:val="bottom"/>
            <w:gridSpan w:val="2"/>
          </w:tcPr>
          <w:p>
            <w:pPr>
              <w:ind w:left="540"/>
              <w:spacing w:after="0" w:line="204" w:lineRule="exact"/>
              <w:rPr>
                <w:sz w:val="20"/>
                <w:szCs w:val="20"/>
                <w:color w:val="auto"/>
              </w:rPr>
            </w:pPr>
            <w:r>
              <w:rPr>
                <w:rFonts w:ascii="Arial" w:cs="Arial" w:eastAsia="Arial" w:hAnsi="Arial"/>
                <w:sz w:val="18"/>
                <w:szCs w:val="18"/>
                <w:color w:val="auto"/>
              </w:rPr>
              <w:t>Total assets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5,622.1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2,166.5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2,526.3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20" w:type="dxa"/>
            <w:vAlign w:val="bottom"/>
            <w:gridSpan w:val="2"/>
          </w:tcPr>
          <w:p>
            <w:pPr>
              <w:ind w:left="300"/>
              <w:spacing w:after="0"/>
              <w:rPr>
                <w:sz w:val="20"/>
                <w:szCs w:val="20"/>
                <w:color w:val="auto"/>
              </w:rPr>
            </w:pPr>
            <w:r>
              <w:rPr>
                <w:rFonts w:ascii="Arial" w:cs="Arial" w:eastAsia="Arial" w:hAnsi="Arial"/>
                <w:sz w:val="18"/>
                <w:szCs w:val="18"/>
                <w:color w:val="auto"/>
              </w:rPr>
              <w:t>Cross-currency and interest rate derivative contracts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Foreign currency forward and option contracts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2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520" w:type="dxa"/>
            <w:vAlign w:val="bottom"/>
            <w:gridSpan w:val="2"/>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7"/>
        </w:trPr>
        <w:tc>
          <w:tcPr>
            <w:tcW w:w="12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23</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200" w:type="dxa"/>
            <w:vAlign w:val="bottom"/>
            <w:tcBorders>
              <w:bottom w:val="single" w:sz="8" w:color="9A9A9A"/>
            </w:tcBorders>
          </w:tcPr>
          <w:p>
            <w:pPr>
              <w:spacing w:after="0"/>
              <w:rPr>
                <w:sz w:val="9"/>
                <w:szCs w:val="9"/>
                <w:color w:val="auto"/>
              </w:rPr>
            </w:pPr>
          </w:p>
        </w:tc>
        <w:tc>
          <w:tcPr>
            <w:tcW w:w="43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6"/>
          </w:tcPr>
          <w:p>
            <w:pPr>
              <w:jc w:val="right"/>
              <w:spacing w:after="0"/>
              <w:rPr>
                <w:sz w:val="20"/>
                <w:szCs w:val="20"/>
                <w:color w:val="auto"/>
              </w:rPr>
            </w:pPr>
            <w:r>
              <w:rPr>
                <w:rFonts w:ascii="Arial" w:cs="Arial" w:eastAsia="Arial" w:hAnsi="Arial"/>
                <w:sz w:val="16"/>
                <w:szCs w:val="16"/>
                <w:b w:val="1"/>
                <w:bCs w:val="1"/>
                <w:color w:val="auto"/>
              </w:rPr>
              <w:t>Fair value measurements at</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center"/>
              <w:ind w:left="955"/>
              <w:spacing w:after="0"/>
              <w:rPr>
                <w:sz w:val="20"/>
                <w:szCs w:val="20"/>
                <w:color w:val="auto"/>
              </w:rPr>
            </w:pPr>
            <w:r>
              <w:rPr>
                <w:rFonts w:ascii="Arial" w:cs="Arial" w:eastAsia="Arial" w:hAnsi="Arial"/>
                <w:sz w:val="16"/>
                <w:szCs w:val="16"/>
                <w:b w:val="1"/>
                <w:bCs w:val="1"/>
                <w:color w:val="auto"/>
                <w:w w:val="88"/>
              </w:rPr>
              <w:t>December 31, 2020 using:</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9"/>
              </w:rPr>
              <w:t>Quoted prices</w:t>
            </w:r>
          </w:p>
        </w:tc>
        <w:tc>
          <w:tcPr>
            <w:tcW w:w="300" w:type="dxa"/>
            <w:vAlign w:val="bottom"/>
          </w:tcPr>
          <w:p>
            <w:pPr>
              <w:spacing w:after="0"/>
              <w:rPr>
                <w:sz w:val="13"/>
                <w:szCs w:val="13"/>
                <w:color w:val="auto"/>
              </w:rPr>
            </w:pPr>
          </w:p>
        </w:tc>
        <w:tc>
          <w:tcPr>
            <w:tcW w:w="1140" w:type="dxa"/>
            <w:vAlign w:val="bottom"/>
            <w:gridSpan w:val="2"/>
          </w:tcPr>
          <w:p>
            <w:pPr>
              <w:jc w:val="center"/>
              <w:ind w:right="420"/>
              <w:spacing w:after="0" w:line="155" w:lineRule="exact"/>
              <w:rPr>
                <w:sz w:val="20"/>
                <w:szCs w:val="20"/>
                <w:color w:val="auto"/>
              </w:rPr>
            </w:pPr>
            <w:r>
              <w:rPr>
                <w:rFonts w:ascii="Arial" w:cs="Arial" w:eastAsia="Arial" w:hAnsi="Arial"/>
                <w:sz w:val="16"/>
                <w:szCs w:val="16"/>
                <w:b w:val="1"/>
                <w:bCs w:val="1"/>
                <w:color w:val="auto"/>
                <w:w w:val="87"/>
              </w:rPr>
              <w:t>Significant</w:t>
            </w:r>
          </w:p>
        </w:tc>
        <w:tc>
          <w:tcPr>
            <w:tcW w:w="180" w:type="dxa"/>
            <w:vAlign w:val="bottom"/>
          </w:tcPr>
          <w:p>
            <w:pPr>
              <w:spacing w:after="0"/>
              <w:rPr>
                <w:sz w:val="13"/>
                <w:szCs w:val="13"/>
                <w:color w:val="auto"/>
              </w:rPr>
            </w:pPr>
          </w:p>
        </w:tc>
        <w:tc>
          <w:tcPr>
            <w:tcW w:w="1160" w:type="dxa"/>
            <w:vAlign w:val="bottom"/>
            <w:vMerge w:val="restart"/>
          </w:tcPr>
          <w:p>
            <w:pPr>
              <w:jc w:val="center"/>
              <w:ind w:right="94"/>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7"/>
              </w:rPr>
              <w:t>in active</w:t>
            </w:r>
          </w:p>
        </w:tc>
        <w:tc>
          <w:tcPr>
            <w:tcW w:w="300" w:type="dxa"/>
            <w:vAlign w:val="bottom"/>
          </w:tcPr>
          <w:p>
            <w:pPr>
              <w:spacing w:after="0"/>
              <w:rPr>
                <w:sz w:val="13"/>
                <w:szCs w:val="13"/>
                <w:color w:val="auto"/>
              </w:rPr>
            </w:pPr>
          </w:p>
        </w:tc>
        <w:tc>
          <w:tcPr>
            <w:tcW w:w="1140" w:type="dxa"/>
            <w:vAlign w:val="bottom"/>
            <w:gridSpan w:val="2"/>
          </w:tcPr>
          <w:p>
            <w:pPr>
              <w:jc w:val="center"/>
              <w:ind w:right="420"/>
              <w:spacing w:after="0" w:line="159" w:lineRule="exact"/>
              <w:rPr>
                <w:sz w:val="20"/>
                <w:szCs w:val="20"/>
                <w:color w:val="auto"/>
              </w:rPr>
            </w:pPr>
            <w:r>
              <w:rPr>
                <w:rFonts w:ascii="Arial" w:cs="Arial" w:eastAsia="Arial" w:hAnsi="Arial"/>
                <w:sz w:val="16"/>
                <w:szCs w:val="16"/>
                <w:b w:val="1"/>
                <w:bCs w:val="1"/>
                <w:color w:val="auto"/>
                <w:w w:val="89"/>
              </w:rPr>
              <w:t>other</w:t>
            </w:r>
          </w:p>
        </w:tc>
        <w:tc>
          <w:tcPr>
            <w:tcW w:w="1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1"/>
              </w:rPr>
              <w:t>markets for</w:t>
            </w:r>
          </w:p>
        </w:tc>
        <w:tc>
          <w:tcPr>
            <w:tcW w:w="300" w:type="dxa"/>
            <w:vAlign w:val="bottom"/>
          </w:tcPr>
          <w:p>
            <w:pPr>
              <w:spacing w:after="0"/>
              <w:rPr>
                <w:sz w:val="13"/>
                <w:szCs w:val="13"/>
                <w:color w:val="auto"/>
              </w:rPr>
            </w:pPr>
          </w:p>
        </w:tc>
        <w:tc>
          <w:tcPr>
            <w:tcW w:w="1140" w:type="dxa"/>
            <w:vAlign w:val="bottom"/>
            <w:gridSpan w:val="2"/>
          </w:tcPr>
          <w:p>
            <w:pPr>
              <w:jc w:val="center"/>
              <w:ind w:right="420"/>
              <w:spacing w:after="0" w:line="159" w:lineRule="exact"/>
              <w:rPr>
                <w:sz w:val="20"/>
                <w:szCs w:val="20"/>
                <w:color w:val="auto"/>
              </w:rPr>
            </w:pPr>
            <w:r>
              <w:rPr>
                <w:rFonts w:ascii="Arial" w:cs="Arial" w:eastAsia="Arial" w:hAnsi="Arial"/>
                <w:sz w:val="16"/>
                <w:szCs w:val="16"/>
                <w:b w:val="1"/>
                <w:bCs w:val="1"/>
                <w:color w:val="auto"/>
                <w:w w:val="85"/>
              </w:rPr>
              <w:t>observable</w:t>
            </w:r>
          </w:p>
        </w:tc>
        <w:tc>
          <w:tcPr>
            <w:tcW w:w="180" w:type="dxa"/>
            <w:vAlign w:val="bottom"/>
          </w:tcPr>
          <w:p>
            <w:pPr>
              <w:spacing w:after="0"/>
              <w:rPr>
                <w:sz w:val="13"/>
                <w:szCs w:val="13"/>
                <w:color w:val="auto"/>
              </w:rPr>
            </w:pPr>
          </w:p>
        </w:tc>
        <w:tc>
          <w:tcPr>
            <w:tcW w:w="1160" w:type="dxa"/>
            <w:vAlign w:val="bottom"/>
          </w:tcPr>
          <w:p>
            <w:pPr>
              <w:jc w:val="center"/>
              <w:ind w:right="94"/>
              <w:spacing w:after="0" w:line="159" w:lineRule="exact"/>
              <w:rPr>
                <w:sz w:val="20"/>
                <w:szCs w:val="20"/>
                <w:color w:val="auto"/>
              </w:rPr>
            </w:pPr>
            <w:r>
              <w:rPr>
                <w:rFonts w:ascii="Arial" w:cs="Arial" w:eastAsia="Arial" w:hAnsi="Arial"/>
                <w:sz w:val="16"/>
                <w:szCs w:val="16"/>
                <w:b w:val="1"/>
                <w:bCs w:val="1"/>
                <w:color w:val="auto"/>
                <w:w w:val="86"/>
              </w:rPr>
              <w:t>unobservable</w:t>
            </w:r>
          </w:p>
        </w:tc>
        <w:tc>
          <w:tcPr>
            <w:tcW w:w="0" w:type="dxa"/>
            <w:vAlign w:val="bottom"/>
          </w:tcPr>
          <w:p>
            <w:pPr>
              <w:spacing w:after="0"/>
              <w:rPr>
                <w:sz w:val="1"/>
                <w:szCs w:val="1"/>
                <w:color w:val="auto"/>
              </w:rPr>
            </w:pPr>
          </w:p>
        </w:tc>
      </w:tr>
      <w:tr>
        <w:trPr>
          <w:trHeight w:val="159"/>
        </w:trPr>
        <w:tc>
          <w:tcPr>
            <w:tcW w:w="55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4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5"/>
              </w:rPr>
              <w:t>December 31, 2020</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3"/>
              </w:rPr>
              <w:t>identical assets</w:t>
            </w:r>
          </w:p>
        </w:tc>
        <w:tc>
          <w:tcPr>
            <w:tcW w:w="300" w:type="dxa"/>
            <w:vAlign w:val="bottom"/>
          </w:tcPr>
          <w:p>
            <w:pPr>
              <w:spacing w:after="0"/>
              <w:rPr>
                <w:sz w:val="13"/>
                <w:szCs w:val="13"/>
                <w:color w:val="auto"/>
              </w:rPr>
            </w:pPr>
          </w:p>
        </w:tc>
        <w:tc>
          <w:tcPr>
            <w:tcW w:w="1140" w:type="dxa"/>
            <w:vAlign w:val="bottom"/>
            <w:gridSpan w:val="2"/>
          </w:tcPr>
          <w:p>
            <w:pPr>
              <w:jc w:val="center"/>
              <w:ind w:right="400"/>
              <w:spacing w:after="0" w:line="159" w:lineRule="exact"/>
              <w:rPr>
                <w:sz w:val="20"/>
                <w:szCs w:val="20"/>
                <w:color w:val="auto"/>
              </w:rPr>
            </w:pPr>
            <w:r>
              <w:rPr>
                <w:rFonts w:ascii="Arial" w:cs="Arial" w:eastAsia="Arial" w:hAnsi="Arial"/>
                <w:sz w:val="16"/>
                <w:szCs w:val="16"/>
                <w:b w:val="1"/>
                <w:bCs w:val="1"/>
                <w:color w:val="auto"/>
                <w:w w:val="87"/>
              </w:rPr>
              <w:t>inputs</w:t>
            </w:r>
          </w:p>
        </w:tc>
        <w:tc>
          <w:tcPr>
            <w:tcW w:w="180" w:type="dxa"/>
            <w:vAlign w:val="bottom"/>
          </w:tcPr>
          <w:p>
            <w:pPr>
              <w:spacing w:after="0"/>
              <w:rPr>
                <w:sz w:val="13"/>
                <w:szCs w:val="13"/>
                <w:color w:val="auto"/>
              </w:rPr>
            </w:pPr>
          </w:p>
        </w:tc>
        <w:tc>
          <w:tcPr>
            <w:tcW w:w="1160" w:type="dxa"/>
            <w:vAlign w:val="bottom"/>
          </w:tcPr>
          <w:p>
            <w:pPr>
              <w:jc w:val="center"/>
              <w:ind w:right="94"/>
              <w:spacing w:after="0" w:line="159" w:lineRule="exact"/>
              <w:rPr>
                <w:sz w:val="20"/>
                <w:szCs w:val="20"/>
                <w:color w:val="auto"/>
              </w:rPr>
            </w:pPr>
            <w:r>
              <w:rPr>
                <w:rFonts w:ascii="Arial" w:cs="Arial" w:eastAsia="Arial" w:hAnsi="Arial"/>
                <w:sz w:val="16"/>
                <w:szCs w:val="16"/>
                <w:b w:val="1"/>
                <w:bCs w:val="1"/>
                <w:color w:val="auto"/>
                <w:w w:val="87"/>
              </w:rPr>
              <w:t>inputs</w:t>
            </w:r>
          </w:p>
        </w:tc>
        <w:tc>
          <w:tcPr>
            <w:tcW w:w="0" w:type="dxa"/>
            <w:vAlign w:val="bottom"/>
          </w:tcPr>
          <w:p>
            <w:pPr>
              <w:spacing w:after="0"/>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3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tcPr>
          <w:p>
            <w:pPr>
              <w:spacing w:after="0"/>
              <w:rPr>
                <w:sz w:val="18"/>
                <w:szCs w:val="18"/>
                <w:color w:val="auto"/>
              </w:rPr>
            </w:pPr>
          </w:p>
        </w:tc>
        <w:tc>
          <w:tcPr>
            <w:tcW w:w="1160" w:type="dxa"/>
            <w:vAlign w:val="bottom"/>
          </w:tcPr>
          <w:p>
            <w:pPr>
              <w:jc w:val="center"/>
              <w:ind w:right="114"/>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3"/>
        </w:trPr>
        <w:tc>
          <w:tcPr>
            <w:tcW w:w="1220" w:type="dxa"/>
            <w:vAlign w:val="bottom"/>
            <w:tcBorders>
              <w:top w:val="single" w:sz="8" w:color="auto"/>
            </w:tcBorders>
          </w:tcPr>
          <w:p>
            <w:pPr>
              <w:spacing w:after="0"/>
              <w:rPr>
                <w:sz w:val="17"/>
                <w:szCs w:val="17"/>
                <w:color w:val="auto"/>
              </w:rPr>
            </w:pPr>
          </w:p>
        </w:tc>
        <w:tc>
          <w:tcPr>
            <w:tcW w:w="43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2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4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Equity-related derivative instruments</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26"/>
        </w:trPr>
        <w:tc>
          <w:tcPr>
            <w:tcW w:w="5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540" w:type="dxa"/>
            <w:vAlign w:val="bottom"/>
            <w:gridSpan w:val="2"/>
            <w:shd w:val="clear" w:color="auto" w:fill="CCEEFF"/>
          </w:tcPr>
          <w:p>
            <w:pPr>
              <w:ind w:left="380"/>
              <w:spacing w:after="0" w:line="205" w:lineRule="exact"/>
              <w:rPr>
                <w:sz w:val="20"/>
                <w:szCs w:val="20"/>
                <w:color w:val="auto"/>
              </w:rPr>
            </w:pPr>
            <w:r>
              <w:rPr>
                <w:rFonts w:ascii="Arial" w:cs="Arial" w:eastAsia="Arial" w:hAnsi="Arial"/>
                <w:sz w:val="18"/>
                <w:szCs w:val="18"/>
                <w:color w:val="auto"/>
              </w:rPr>
              <w:t>Total derivative instruments</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25"/>
        </w:trPr>
        <w:tc>
          <w:tcPr>
            <w:tcW w:w="5540" w:type="dxa"/>
            <w:vAlign w:val="bottom"/>
            <w:gridSpan w:val="2"/>
          </w:tcPr>
          <w:p>
            <w:pPr>
              <w:ind w:left="140"/>
              <w:spacing w:after="0"/>
              <w:rPr>
                <w:sz w:val="20"/>
                <w:szCs w:val="20"/>
                <w:color w:val="auto"/>
              </w:rPr>
            </w:pPr>
            <w:r>
              <w:rPr>
                <w:rFonts w:ascii="Arial" w:cs="Arial" w:eastAsia="Arial" w:hAnsi="Arial"/>
                <w:sz w:val="18"/>
                <w:szCs w:val="18"/>
                <w:color w:val="auto"/>
              </w:rPr>
              <w:t>Investments:</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SMAs</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investments</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19"/>
        </w:trPr>
        <w:tc>
          <w:tcPr>
            <w:tcW w:w="5540" w:type="dxa"/>
            <w:vAlign w:val="bottom"/>
            <w:gridSpan w:val="2"/>
            <w:shd w:val="clear" w:color="auto" w:fill="CCEEFF"/>
          </w:tcPr>
          <w:p>
            <w:pPr>
              <w:ind w:left="380"/>
              <w:spacing w:after="0" w:line="205" w:lineRule="exact"/>
              <w:rPr>
                <w:sz w:val="20"/>
                <w:szCs w:val="20"/>
                <w:color w:val="auto"/>
              </w:rPr>
            </w:pPr>
            <w:r>
              <w:rPr>
                <w:rFonts w:ascii="Arial" w:cs="Arial" w:eastAsia="Arial" w:hAnsi="Arial"/>
                <w:sz w:val="18"/>
                <w:szCs w:val="18"/>
                <w:color w:val="auto"/>
              </w:rPr>
              <w:t>Total investments</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18"/>
        </w:trPr>
        <w:tc>
          <w:tcPr>
            <w:tcW w:w="5540" w:type="dxa"/>
            <w:vAlign w:val="bottom"/>
            <w:gridSpan w:val="2"/>
          </w:tcPr>
          <w:p>
            <w:pPr>
              <w:ind w:left="420"/>
              <w:spacing w:after="0" w:line="204" w:lineRule="exact"/>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800.5</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2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40" w:type="dxa"/>
            <w:vAlign w:val="bottom"/>
            <w:gridSpan w:val="2"/>
          </w:tcPr>
          <w:p>
            <w:pPr>
              <w:ind w:left="300"/>
              <w:spacing w:after="0"/>
              <w:rPr>
                <w:sz w:val="20"/>
                <w:szCs w:val="20"/>
                <w:color w:val="auto"/>
              </w:rPr>
            </w:pPr>
            <w:r>
              <w:rPr>
                <w:rFonts w:ascii="Arial" w:cs="Arial" w:eastAsia="Arial" w:hAnsi="Arial"/>
                <w:sz w:val="18"/>
                <w:szCs w:val="18"/>
                <w:color w:val="auto"/>
              </w:rPr>
              <w:t>Cross-currency and interest rate derivative contracts</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1,535.3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Foreign currency forward and option contracts</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540" w:type="dxa"/>
            <w:vAlign w:val="bottom"/>
            <w:gridSpan w:val="2"/>
          </w:tcPr>
          <w:p>
            <w:pPr>
              <w:ind w:left="460"/>
              <w:spacing w:after="0" w:line="204" w:lineRule="exact"/>
              <w:rPr>
                <w:sz w:val="20"/>
                <w:szCs w:val="20"/>
                <w:color w:val="auto"/>
              </w:rPr>
            </w:pPr>
            <w:r>
              <w:rPr>
                <w:rFonts w:ascii="Arial" w:cs="Arial" w:eastAsia="Arial" w:hAnsi="Arial"/>
                <w:sz w:val="18"/>
                <w:szCs w:val="18"/>
                <w:color w:val="auto"/>
              </w:rPr>
              <w:t>Total liabilities</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1,616.8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A reconciliation of the beginning and ending balances of our assets and liabilities measured at fair value on a recurring basis using significant unobservable, or Level 3, inputs is as follows:</w:t>
      </w:r>
    </w:p>
    <w:tbl>
      <w:tblPr>
        <w:tblLayout w:type="fixed"/>
        <w:tblInd w:w="0" w:type="dxa"/>
        <w:tblCellMar>
          <w:top w:w="0" w:type="dxa"/>
          <w:left w:w="0" w:type="dxa"/>
          <w:bottom w:w="0" w:type="dxa"/>
          <w:right w:w="0" w:type="dxa"/>
        </w:tblCellMar>
      </w:tblPr>
      <w:tr>
        <w:trPr>
          <w:trHeight w:val="167"/>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tcPr>
          <w:p>
            <w:pPr>
              <w:jc w:val="center"/>
              <w:ind w:right="100"/>
              <w:spacing w:after="0" w:line="167" w:lineRule="exact"/>
              <w:rPr>
                <w:sz w:val="20"/>
                <w:szCs w:val="20"/>
                <w:color w:val="auto"/>
              </w:rPr>
            </w:pPr>
            <w:r>
              <w:rPr>
                <w:rFonts w:ascii="Arial" w:cs="Arial" w:eastAsia="Arial" w:hAnsi="Arial"/>
                <w:sz w:val="16"/>
                <w:szCs w:val="16"/>
                <w:b w:val="1"/>
                <w:bCs w:val="1"/>
                <w:color w:val="auto"/>
                <w:w w:val="87"/>
              </w:rPr>
              <w:t>Cross-currency, interest</w:t>
            </w:r>
          </w:p>
        </w:tc>
        <w:tc>
          <w:tcPr>
            <w:tcW w:w="180" w:type="dxa"/>
            <w:vAlign w:val="bottom"/>
          </w:tcPr>
          <w:p>
            <w:pPr>
              <w:spacing w:after="0"/>
              <w:rPr>
                <w:sz w:val="14"/>
                <w:szCs w:val="14"/>
                <w:color w:val="auto"/>
              </w:rPr>
            </w:pPr>
          </w:p>
        </w:tc>
        <w:tc>
          <w:tcPr>
            <w:tcW w:w="1380" w:type="dxa"/>
            <w:vAlign w:val="bottom"/>
            <w:gridSpan w:val="2"/>
          </w:tcPr>
          <w:p>
            <w:pPr>
              <w:jc w:val="center"/>
              <w:ind w:right="280"/>
              <w:spacing w:after="0" w:line="167" w:lineRule="exact"/>
              <w:rPr>
                <w:sz w:val="20"/>
                <w:szCs w:val="20"/>
                <w:color w:val="auto"/>
              </w:rPr>
            </w:pPr>
            <w:r>
              <w:rPr>
                <w:rFonts w:ascii="Arial" w:cs="Arial" w:eastAsia="Arial" w:hAnsi="Arial"/>
                <w:sz w:val="16"/>
                <w:szCs w:val="16"/>
                <w:b w:val="1"/>
                <w:bCs w:val="1"/>
                <w:color w:val="auto"/>
                <w:w w:val="91"/>
              </w:rPr>
              <w:t>Equity-related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Investments</w:t>
            </w:r>
          </w:p>
        </w:tc>
        <w:tc>
          <w:tcPr>
            <w:tcW w:w="1920" w:type="dxa"/>
            <w:vAlign w:val="bottom"/>
            <w:gridSpan w:val="3"/>
          </w:tcPr>
          <w:p>
            <w:pPr>
              <w:ind w:left="40"/>
              <w:spacing w:after="0" w:line="159" w:lineRule="exact"/>
              <w:rPr>
                <w:sz w:val="20"/>
                <w:szCs w:val="20"/>
                <w:color w:val="auto"/>
              </w:rPr>
            </w:pPr>
            <w:r>
              <w:rPr>
                <w:rFonts w:ascii="Arial" w:cs="Arial" w:eastAsia="Arial" w:hAnsi="Arial"/>
                <w:sz w:val="16"/>
                <w:szCs w:val="16"/>
                <w:b w:val="1"/>
                <w:bCs w:val="1"/>
                <w:color w:val="auto"/>
                <w:w w:val="96"/>
              </w:rPr>
              <w:t>rate and foreign currency</w:t>
            </w:r>
          </w:p>
        </w:tc>
        <w:tc>
          <w:tcPr>
            <w:tcW w:w="180" w:type="dxa"/>
            <w:vAlign w:val="bottom"/>
          </w:tcPr>
          <w:p>
            <w:pPr>
              <w:spacing w:after="0"/>
              <w:rPr>
                <w:sz w:val="13"/>
                <w:szCs w:val="13"/>
                <w:color w:val="auto"/>
              </w:rPr>
            </w:pPr>
          </w:p>
        </w:tc>
        <w:tc>
          <w:tcPr>
            <w:tcW w:w="138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90"/>
              </w:rPr>
              <w:t>derivative</w:t>
            </w:r>
          </w:p>
        </w:tc>
        <w:tc>
          <w:tcPr>
            <w:tcW w:w="260" w:type="dxa"/>
            <w:vAlign w:val="bottom"/>
          </w:tcPr>
          <w:p>
            <w:pPr>
              <w:spacing w:after="0"/>
              <w:rPr>
                <w:sz w:val="13"/>
                <w:szCs w:val="13"/>
                <w:color w:val="auto"/>
              </w:rPr>
            </w:pPr>
          </w:p>
        </w:tc>
        <w:tc>
          <w:tcPr>
            <w:tcW w:w="900" w:type="dxa"/>
            <w:vAlign w:val="bottom"/>
            <w:vMerge w:val="restart"/>
          </w:tcPr>
          <w:p>
            <w:pPr>
              <w:jc w:val="right"/>
              <w:ind w:right="31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8"/>
              </w:rPr>
              <w:t>derivative contracts</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9"/>
              </w:rPr>
              <w:t>instruments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of net assets at January 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0" w:type="dxa"/>
            <w:vAlign w:val="bottom"/>
          </w:tcPr>
          <w:p>
            <w:pPr>
              <w:spacing w:after="0"/>
              <w:rPr>
                <w:sz w:val="1"/>
                <w:szCs w:val="1"/>
                <w:color w:val="auto"/>
              </w:rPr>
            </w:pPr>
          </w:p>
        </w:tc>
      </w:tr>
      <w:tr>
        <w:trPr>
          <w:trHeight w:val="225"/>
        </w:trPr>
        <w:tc>
          <w:tcPr>
            <w:tcW w:w="5260" w:type="dxa"/>
            <w:vAlign w:val="bottom"/>
          </w:tcPr>
          <w:p>
            <w:pPr>
              <w:ind w:left="140"/>
              <w:spacing w:after="0"/>
              <w:rPr>
                <w:sz w:val="20"/>
                <w:szCs w:val="20"/>
                <w:color w:val="auto"/>
              </w:rPr>
            </w:pPr>
            <w:r>
              <w:rPr>
                <w:rFonts w:ascii="Arial" w:cs="Arial" w:eastAsia="Arial" w:hAnsi="Arial"/>
                <w:sz w:val="18"/>
                <w:szCs w:val="18"/>
                <w:color w:val="auto"/>
              </w:rPr>
              <w:t>Gains included in earnings (a):</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Realized and unrealized gains on derivative instruments, net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173"/>
        </w:trPr>
        <w:tc>
          <w:tcPr>
            <w:tcW w:w="5260" w:type="dxa"/>
            <w:vAlign w:val="bottom"/>
          </w:tcPr>
          <w:p>
            <w:pPr>
              <w:ind w:left="220"/>
              <w:spacing w:after="0" w:line="173" w:lineRule="exact"/>
              <w:rPr>
                <w:sz w:val="20"/>
                <w:szCs w:val="20"/>
                <w:color w:val="auto"/>
              </w:rPr>
            </w:pPr>
            <w:r>
              <w:rPr>
                <w:rFonts w:ascii="Arial" w:cs="Arial" w:eastAsia="Arial" w:hAnsi="Arial"/>
                <w:sz w:val="18"/>
                <w:szCs w:val="18"/>
                <w:color w:val="auto"/>
                <w:w w:val="90"/>
              </w:rPr>
              <w:t>Realized and unrealized gains due to changes in fair values of certain</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487.3</w:t>
            </w:r>
          </w:p>
        </w:tc>
        <w:tc>
          <w:tcPr>
            <w:tcW w:w="0" w:type="dxa"/>
            <w:vAlign w:val="bottom"/>
          </w:tcPr>
          <w:p>
            <w:pPr>
              <w:spacing w:after="0"/>
              <w:rPr>
                <w:sz w:val="1"/>
                <w:szCs w:val="1"/>
                <w:color w:val="auto"/>
              </w:rPr>
            </w:pPr>
          </w:p>
        </w:tc>
      </w:tr>
      <w:tr>
        <w:trPr>
          <w:trHeight w:val="224"/>
        </w:trPr>
        <w:tc>
          <w:tcPr>
            <w:tcW w:w="5260" w:type="dxa"/>
            <w:vAlign w:val="bottom"/>
          </w:tcPr>
          <w:p>
            <w:pPr>
              <w:ind w:left="380"/>
              <w:spacing w:after="0"/>
              <w:rPr>
                <w:sz w:val="20"/>
                <w:szCs w:val="20"/>
                <w:color w:val="auto"/>
              </w:rPr>
            </w:pPr>
            <w:r>
              <w:rPr>
                <w:rFonts w:ascii="Arial" w:cs="Arial" w:eastAsia="Arial" w:hAnsi="Arial"/>
                <w:sz w:val="18"/>
                <w:szCs w:val="18"/>
                <w:color w:val="auto"/>
              </w:rPr>
              <w:t>investments and debt, net</w:t>
            </w: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of ITV Collar</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25"/>
        </w:trPr>
        <w:tc>
          <w:tcPr>
            <w:tcW w:w="526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174"/>
        </w:trPr>
        <w:tc>
          <w:tcPr>
            <w:tcW w:w="526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3"/>
              </w:rPr>
              <w:t>Derivative instruments contributed to the VMED O2 JV in connection</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24"/>
        </w:trPr>
        <w:tc>
          <w:tcPr>
            <w:tcW w:w="5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with the U.K. JV Transaction</w:t>
            </w: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 adjustments and other, net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9"/>
        </w:trPr>
        <w:tc>
          <w:tcPr>
            <w:tcW w:w="52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of net assets at June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Most of these net gains relate to assets and liabilities that we continue to carry on our condensed consolidated balance sheet as of June 30, 2021.</w:t>
      </w:r>
    </w:p>
    <w:p>
      <w:pPr>
        <w:spacing w:after="0" w:line="27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u w:val="single" w:color="auto"/>
          <w:color w:val="auto"/>
        </w:rPr>
        <w:t>Long-lived Assets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property and equipment and the related accumulated depreciation are set forth below:</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6"/>
                <w:szCs w:val="16"/>
                <w:color w:val="auto"/>
              </w:rPr>
            </w:pPr>
          </w:p>
        </w:tc>
        <w:tc>
          <w:tcPr>
            <w:tcW w:w="1240" w:type="dxa"/>
            <w:vAlign w:val="bottom"/>
          </w:tcPr>
          <w:p>
            <w:pPr>
              <w:jc w:val="right"/>
              <w:ind w:right="154"/>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2020</w:t>
            </w:r>
          </w:p>
        </w:tc>
      </w:tr>
      <w:tr>
        <w:trPr>
          <w:trHeight w:val="203"/>
        </w:trPr>
        <w:tc>
          <w:tcPr>
            <w:tcW w:w="8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gridSpan w:val="4"/>
          </w:tcPr>
          <w:p>
            <w:pPr>
              <w:jc w:val="right"/>
              <w:ind w:right="1034"/>
              <w:spacing w:after="0"/>
              <w:rPr>
                <w:sz w:val="20"/>
                <w:szCs w:val="20"/>
                <w:color w:val="auto"/>
              </w:rPr>
            </w:pPr>
            <w:r>
              <w:rPr>
                <w:rFonts w:ascii="Arial" w:cs="Arial" w:eastAsia="Arial" w:hAnsi="Arial"/>
                <w:sz w:val="16"/>
                <w:szCs w:val="16"/>
                <w:b w:val="1"/>
                <w:bCs w:val="1"/>
                <w:color w:val="auto"/>
              </w:rPr>
              <w:t>in millions</w:t>
            </w:r>
          </w:p>
        </w:tc>
      </w:tr>
      <w:tr>
        <w:trPr>
          <w:trHeight w:val="163"/>
        </w:trPr>
        <w:tc>
          <w:tcPr>
            <w:tcW w:w="8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systems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10,264.0</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Customer premises equipment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1,800.4</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Support equipment, buildings and land</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4,491.9</w:t>
            </w:r>
          </w:p>
        </w:tc>
      </w:tr>
      <w:tr>
        <w:trPr>
          <w:trHeight w:val="218"/>
        </w:trPr>
        <w:tc>
          <w:tcPr>
            <w:tcW w:w="8280" w:type="dxa"/>
            <w:vAlign w:val="bottom"/>
          </w:tcPr>
          <w:p>
            <w:pPr>
              <w:ind w:left="220"/>
              <w:spacing w:after="0" w:line="204" w:lineRule="exact"/>
              <w:rPr>
                <w:sz w:val="20"/>
                <w:szCs w:val="20"/>
                <w:color w:val="auto"/>
              </w:rPr>
            </w:pPr>
            <w:r>
              <w:rPr>
                <w:rFonts w:ascii="Arial" w:cs="Arial" w:eastAsia="Arial" w:hAnsi="Arial"/>
                <w:sz w:val="18"/>
                <w:szCs w:val="18"/>
                <w:color w:val="auto"/>
              </w:rPr>
              <w:t>Total property and equipment, gross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16,085.9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16,556.3</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(8,502.2)</w:t>
            </w:r>
          </w:p>
        </w:tc>
      </w:tr>
      <w:tr>
        <w:trPr>
          <w:trHeight w:val="218"/>
        </w:trPr>
        <w:tc>
          <w:tcPr>
            <w:tcW w:w="8280" w:type="dxa"/>
            <w:vAlign w:val="bottom"/>
          </w:tcPr>
          <w:p>
            <w:pPr>
              <w:ind w:left="460"/>
              <w:spacing w:after="0" w:line="204" w:lineRule="exact"/>
              <w:rPr>
                <w:sz w:val="20"/>
                <w:szCs w:val="20"/>
                <w:color w:val="auto"/>
              </w:rPr>
            </w:pPr>
            <w:r>
              <w:rPr>
                <w:rFonts w:ascii="Arial" w:cs="Arial" w:eastAsia="Arial" w:hAnsi="Arial"/>
                <w:sz w:val="18"/>
                <w:szCs w:val="18"/>
                <w:color w:val="auto"/>
              </w:rPr>
              <w:t>Total property and equipment, net</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7,585.2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8,054.1</w:t>
            </w: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six months ended June 30, 2021 and 2020, we recorded non-cash increases to our property and equipment related to vendor financing arrangements (including amounts related to the U.K. JV Entities through the closing of the U.K. JV Transaction) of $560.1 million and $702.9 million, respectively, which exclude related value-added taxes (</w:t>
      </w:r>
      <w:r>
        <w:rPr>
          <w:rFonts w:ascii="Arial" w:cs="Arial" w:eastAsia="Arial" w:hAnsi="Arial"/>
          <w:sz w:val="18"/>
          <w:szCs w:val="18"/>
          <w:b w:val="1"/>
          <w:bCs w:val="1"/>
          <w:color w:val="auto"/>
        </w:rPr>
        <w:t>VAT</w:t>
      </w:r>
      <w:r>
        <w:rPr>
          <w:rFonts w:ascii="Arial" w:cs="Arial" w:eastAsia="Arial" w:hAnsi="Arial"/>
          <w:sz w:val="18"/>
          <w:szCs w:val="18"/>
          <w:color w:val="auto"/>
        </w:rPr>
        <w:t>) of $74.4 million and $118.7 million, respectively, that were also financed under these arrangements.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carrying amount of our goodwill during the six months ended June 30, 2021 are set forth below:</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center"/>
              <w:ind w:left="197"/>
              <w:spacing w:after="0"/>
              <w:rPr>
                <w:sz w:val="20"/>
                <w:szCs w:val="20"/>
                <w:color w:val="auto"/>
              </w:rPr>
            </w:pPr>
            <w:r>
              <w:rPr>
                <w:rFonts w:ascii="Arial" w:cs="Arial" w:eastAsia="Arial" w:hAnsi="Arial"/>
                <w:sz w:val="16"/>
                <w:szCs w:val="16"/>
                <w:b w:val="1"/>
                <w:bCs w:val="1"/>
                <w:color w:val="auto"/>
                <w:w w:val="87"/>
              </w:rPr>
              <w:t>Acquisitions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91"/>
              </w:rPr>
              <w:t>currency</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90"/>
              </w:rPr>
              <w:t>translation</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January 1, 2021</w:t>
            </w:r>
          </w:p>
        </w:tc>
        <w:tc>
          <w:tcPr>
            <w:tcW w:w="1160" w:type="dxa"/>
            <w:vAlign w:val="bottom"/>
          </w:tcPr>
          <w:p>
            <w:pPr>
              <w:jc w:val="center"/>
              <w:ind w:left="217"/>
              <w:spacing w:after="0" w:line="159" w:lineRule="exact"/>
              <w:rPr>
                <w:sz w:val="20"/>
                <w:szCs w:val="20"/>
                <w:color w:val="auto"/>
              </w:rPr>
            </w:pPr>
            <w:r>
              <w:rPr>
                <w:rFonts w:ascii="Arial" w:cs="Arial" w:eastAsia="Arial" w:hAnsi="Arial"/>
                <w:sz w:val="16"/>
                <w:szCs w:val="16"/>
                <w:b w:val="1"/>
                <w:bCs w:val="1"/>
                <w:color w:val="auto"/>
                <w:w w:val="91"/>
              </w:rPr>
              <w:t>and related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9"/>
              </w:rPr>
              <w:t>adjustments and</w:t>
            </w:r>
          </w:p>
        </w:tc>
        <w:tc>
          <w:tcPr>
            <w:tcW w:w="180" w:type="dxa"/>
            <w:vAlign w:val="bottom"/>
          </w:tcPr>
          <w:p>
            <w:pPr>
              <w:spacing w:after="0"/>
              <w:rPr>
                <w:sz w:val="13"/>
                <w:szCs w:val="13"/>
                <w:color w:val="auto"/>
              </w:rPr>
            </w:pPr>
          </w:p>
        </w:tc>
        <w:tc>
          <w:tcPr>
            <w:tcW w:w="128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w w:val="94"/>
              </w:rPr>
              <w:t>June 30, 2021</w:t>
            </w: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1160" w:type="dxa"/>
            <w:vAlign w:val="bottom"/>
            <w:tcBorders>
              <w:bottom w:val="single" w:sz="8" w:color="auto"/>
            </w:tcBorders>
          </w:tcPr>
          <w:p>
            <w:pPr>
              <w:jc w:val="center"/>
              <w:ind w:left="217"/>
              <w:spacing w:after="0"/>
              <w:rPr>
                <w:sz w:val="20"/>
                <w:szCs w:val="20"/>
                <w:color w:val="auto"/>
              </w:rPr>
            </w:pPr>
            <w:r>
              <w:rPr>
                <w:rFonts w:ascii="Arial" w:cs="Arial" w:eastAsia="Arial" w:hAnsi="Arial"/>
                <w:sz w:val="16"/>
                <w:szCs w:val="16"/>
                <w:b w:val="1"/>
                <w:bCs w:val="1"/>
                <w:color w:val="auto"/>
                <w:w w:val="86"/>
              </w:rPr>
              <w:t>adjustments</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4"/>
              </w:rPr>
              <w:t>other</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gridSpan w:val="5"/>
          </w:tcPr>
          <w:p>
            <w:pPr>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7"/>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6,522.8</w:t>
            </w:r>
          </w:p>
        </w:tc>
        <w:tc>
          <w:tcPr>
            <w:tcW w:w="0" w:type="dxa"/>
            <w:vAlign w:val="bottom"/>
          </w:tcPr>
          <w:p>
            <w:pPr>
              <w:spacing w:after="0"/>
              <w:rPr>
                <w:sz w:val="1"/>
                <w:szCs w:val="1"/>
                <w:color w:val="auto"/>
              </w:rPr>
            </w:pPr>
          </w:p>
        </w:tc>
      </w:tr>
      <w:tr>
        <w:trPr>
          <w:trHeight w:val="225"/>
        </w:trPr>
        <w:tc>
          <w:tcPr>
            <w:tcW w:w="5060" w:type="dxa"/>
            <w:vAlign w:val="bottom"/>
          </w:tcPr>
          <w:p>
            <w:pPr>
              <w:ind w:left="20"/>
              <w:spacing w:after="0"/>
              <w:rPr>
                <w:sz w:val="20"/>
                <w:szCs w:val="20"/>
                <w:color w:val="auto"/>
              </w:rPr>
            </w:pPr>
            <w:r>
              <w:rPr>
                <w:rFonts w:ascii="Arial" w:cs="Arial" w:eastAsia="Arial" w:hAnsi="Arial"/>
                <w:sz w:val="18"/>
                <w:szCs w:val="18"/>
                <w:color w:val="auto"/>
              </w:rPr>
              <w:t>Belgium</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2,783.7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2,697.8</w:t>
            </w: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Eastern Europe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25"/>
        </w:trPr>
        <w:tc>
          <w:tcPr>
            <w:tcW w:w="5060" w:type="dxa"/>
            <w:vAlign w:val="bottom"/>
          </w:tcPr>
          <w:p>
            <w:pPr>
              <w:ind w:left="20"/>
              <w:spacing w:after="0"/>
              <w:rPr>
                <w:sz w:val="20"/>
                <w:szCs w:val="20"/>
                <w:color w:val="auto"/>
              </w:rPr>
            </w:pPr>
            <w:r>
              <w:rPr>
                <w:rFonts w:ascii="Arial" w:cs="Arial" w:eastAsia="Arial" w:hAnsi="Arial"/>
                <w:sz w:val="18"/>
                <w:szCs w:val="18"/>
                <w:color w:val="auto"/>
              </w:rPr>
              <w:t>Ireland</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296.2</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Corporate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8"/>
        </w:trPr>
        <w:tc>
          <w:tcPr>
            <w:tcW w:w="506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10,466.7</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977"/>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10,066.1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Intangible Assets Subject to Amortization,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intangible assets subject to amortization are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December 31, 2020</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55"/>
        </w:trPr>
        <w:tc>
          <w:tcPr>
            <w:tcW w:w="3460" w:type="dxa"/>
            <w:vAlign w:val="bottom"/>
          </w:tcPr>
          <w:p>
            <w:pPr>
              <w:spacing w:after="0"/>
              <w:rPr>
                <w:sz w:val="13"/>
                <w:szCs w:val="13"/>
                <w:color w:val="auto"/>
              </w:rPr>
            </w:pPr>
          </w:p>
        </w:tc>
        <w:tc>
          <w:tcPr>
            <w:tcW w:w="1280" w:type="dxa"/>
            <w:vAlign w:val="bottom"/>
            <w:gridSpan w:val="3"/>
          </w:tcPr>
          <w:p>
            <w:pPr>
              <w:jc w:val="right"/>
              <w:ind w:right="180"/>
              <w:spacing w:after="0" w:line="155" w:lineRule="exact"/>
              <w:rPr>
                <w:sz w:val="20"/>
                <w:szCs w:val="20"/>
                <w:color w:val="auto"/>
              </w:rPr>
            </w:pPr>
            <w:r>
              <w:rPr>
                <w:rFonts w:ascii="Arial" w:cs="Arial" w:eastAsia="Arial" w:hAnsi="Arial"/>
                <w:sz w:val="16"/>
                <w:szCs w:val="16"/>
                <w:b w:val="1"/>
                <w:bCs w:val="1"/>
                <w:color w:val="auto"/>
                <w:w w:val="94"/>
              </w:rPr>
              <w:t>Gross carrying</w:t>
            </w:r>
          </w:p>
        </w:tc>
        <w:tc>
          <w:tcPr>
            <w:tcW w:w="140" w:type="dxa"/>
            <w:vAlign w:val="bottom"/>
          </w:tcPr>
          <w:p>
            <w:pPr>
              <w:spacing w:after="0"/>
              <w:rPr>
                <w:sz w:val="13"/>
                <w:szCs w:val="13"/>
                <w:color w:val="auto"/>
              </w:rPr>
            </w:pPr>
          </w:p>
        </w:tc>
        <w:tc>
          <w:tcPr>
            <w:tcW w:w="120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3"/>
                <w:szCs w:val="13"/>
                <w:color w:val="auto"/>
              </w:rPr>
            </w:pPr>
          </w:p>
        </w:tc>
        <w:tc>
          <w:tcPr>
            <w:tcW w:w="1040" w:type="dxa"/>
            <w:vAlign w:val="bottom"/>
          </w:tcPr>
          <w:p>
            <w:pPr>
              <w:jc w:val="center"/>
              <w:ind w:right="56"/>
              <w:spacing w:after="0" w:line="155" w:lineRule="exact"/>
              <w:rPr>
                <w:sz w:val="20"/>
                <w:szCs w:val="20"/>
                <w:color w:val="auto"/>
              </w:rPr>
            </w:pPr>
            <w:r>
              <w:rPr>
                <w:rFonts w:ascii="Arial" w:cs="Arial" w:eastAsia="Arial" w:hAnsi="Arial"/>
                <w:sz w:val="16"/>
                <w:szCs w:val="16"/>
                <w:b w:val="1"/>
                <w:bCs w:val="1"/>
                <w:color w:val="auto"/>
                <w:w w:val="92"/>
              </w:rPr>
              <w:t>Net carrying</w:t>
            </w:r>
          </w:p>
        </w:tc>
        <w:tc>
          <w:tcPr>
            <w:tcW w:w="120" w:type="dxa"/>
            <w:vAlign w:val="bottom"/>
          </w:tcPr>
          <w:p>
            <w:pPr>
              <w:spacing w:after="0"/>
              <w:rPr>
                <w:sz w:val="13"/>
                <w:szCs w:val="13"/>
                <w:color w:val="auto"/>
              </w:rPr>
            </w:pPr>
          </w:p>
        </w:tc>
        <w:tc>
          <w:tcPr>
            <w:tcW w:w="118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40" w:type="dxa"/>
            <w:vAlign w:val="bottom"/>
          </w:tcPr>
          <w:p>
            <w:pPr>
              <w:spacing w:after="0"/>
              <w:rPr>
                <w:sz w:val="13"/>
                <w:szCs w:val="13"/>
                <w:color w:val="auto"/>
              </w:rPr>
            </w:pPr>
          </w:p>
        </w:tc>
        <w:tc>
          <w:tcPr>
            <w:tcW w:w="1040" w:type="dxa"/>
            <w:vAlign w:val="bottom"/>
          </w:tcPr>
          <w:p>
            <w:pPr>
              <w:jc w:val="right"/>
              <w:ind w:right="55"/>
              <w:spacing w:after="0" w:line="155" w:lineRule="exact"/>
              <w:rPr>
                <w:sz w:val="20"/>
                <w:szCs w:val="20"/>
                <w:color w:val="auto"/>
              </w:rPr>
            </w:pPr>
            <w:r>
              <w:rPr>
                <w:rFonts w:ascii="Arial" w:cs="Arial" w:eastAsia="Arial" w:hAnsi="Arial"/>
                <w:sz w:val="16"/>
                <w:szCs w:val="16"/>
                <w:b w:val="1"/>
                <w:bCs w:val="1"/>
                <w:color w:val="auto"/>
                <w:w w:val="94"/>
              </w:rPr>
              <w:t>Net carrying</w:t>
            </w:r>
          </w:p>
        </w:tc>
      </w:tr>
      <w:tr>
        <w:trPr>
          <w:trHeight w:val="210"/>
        </w:trPr>
        <w:tc>
          <w:tcPr>
            <w:tcW w:w="3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amount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w w:val="86"/>
              </w:rPr>
              <w:t>amount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amortization</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amount</w:t>
            </w:r>
          </w:p>
        </w:tc>
      </w:tr>
      <w:tr>
        <w:trPr>
          <w:trHeight w:val="203"/>
        </w:trPr>
        <w:tc>
          <w:tcPr>
            <w:tcW w:w="3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50"/>
        </w:trPr>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5"/>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2,180.2</w:t>
            </w:r>
          </w:p>
        </w:tc>
      </w:tr>
      <w:tr>
        <w:trPr>
          <w:trHeight w:val="225"/>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705.8</w:t>
            </w:r>
          </w:p>
        </w:tc>
      </w:tr>
      <w:tr>
        <w:trPr>
          <w:trHeight w:val="238"/>
        </w:trPr>
        <w:tc>
          <w:tcPr>
            <w:tcW w:w="346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2,886.0</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380" w:hanging="374"/>
        <w:spacing w:after="0"/>
        <w:tabs>
          <w:tab w:leader="none" w:pos="3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U.S. dollar equivalents of the components of our debt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6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254"/>
              <w:spacing w:after="0"/>
              <w:rPr>
                <w:sz w:val="20"/>
                <w:szCs w:val="20"/>
                <w:color w:val="auto"/>
              </w:rPr>
            </w:pPr>
            <w:r>
              <w:rPr>
                <w:rFonts w:ascii="Arial" w:cs="Arial" w:eastAsia="Arial" w:hAnsi="Arial"/>
                <w:sz w:val="16"/>
                <w:szCs w:val="16"/>
                <w:b w:val="1"/>
                <w:bCs w:val="1"/>
                <w:color w:val="auto"/>
                <w:w w:val="96"/>
              </w:rPr>
              <w:t>June 30, 2021</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gridSpan w:val="3"/>
          </w:tcPr>
          <w:p>
            <w:pPr>
              <w:jc w:val="right"/>
              <w:ind w:right="594"/>
              <w:spacing w:after="0" w:line="155" w:lineRule="exact"/>
              <w:rPr>
                <w:sz w:val="20"/>
                <w:szCs w:val="20"/>
                <w:color w:val="auto"/>
              </w:rPr>
            </w:pPr>
            <w:r>
              <w:rPr>
                <w:rFonts w:ascii="Arial" w:cs="Arial" w:eastAsia="Arial" w:hAnsi="Arial"/>
                <w:sz w:val="16"/>
                <w:szCs w:val="16"/>
                <w:b w:val="1"/>
                <w:bCs w:val="1"/>
                <w:color w:val="auto"/>
              </w:rPr>
              <w:t>Unused borrowing</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426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40" w:type="dxa"/>
            <w:vAlign w:val="bottom"/>
            <w:gridSpan w:val="3"/>
            <w:vMerge w:val="restart"/>
          </w:tcPr>
          <w:p>
            <w:pPr>
              <w:jc w:val="right"/>
              <w:ind w:right="834"/>
              <w:spacing w:after="0"/>
              <w:rPr>
                <w:sz w:val="20"/>
                <w:szCs w:val="20"/>
                <w:color w:val="auto"/>
              </w:rPr>
            </w:pPr>
            <w:r>
              <w:rPr>
                <w:rFonts w:ascii="Arial" w:cs="Arial" w:eastAsia="Arial" w:hAnsi="Arial"/>
                <w:sz w:val="16"/>
                <w:szCs w:val="16"/>
                <w:b w:val="1"/>
                <w:bCs w:val="1"/>
                <w:color w:val="auto"/>
              </w:rPr>
              <w:t>capacity (b)</w:t>
            </w:r>
          </w:p>
        </w:tc>
        <w:tc>
          <w:tcPr>
            <w:tcW w:w="10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2340" w:type="dxa"/>
            <w:vAlign w:val="bottom"/>
            <w:gridSpan w:val="4"/>
            <w:vMerge w:val="restart"/>
          </w:tcPr>
          <w:p>
            <w:pPr>
              <w:jc w:val="right"/>
              <w:ind w:right="673"/>
              <w:spacing w:after="0"/>
              <w:rPr>
                <w:sz w:val="20"/>
                <w:szCs w:val="20"/>
                <w:color w:val="auto"/>
              </w:rPr>
            </w:pPr>
            <w:r>
              <w:rPr>
                <w:rFonts w:ascii="Arial" w:cs="Arial" w:eastAsia="Arial" w:hAnsi="Arial"/>
                <w:sz w:val="16"/>
                <w:szCs w:val="16"/>
                <w:b w:val="1"/>
                <w:bCs w:val="1"/>
                <w:color w:val="auto"/>
              </w:rPr>
              <w:t>Principal amount</w:t>
            </w: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1400" w:type="dxa"/>
            <w:vAlign w:val="bottom"/>
            <w:vMerge w:val="restart"/>
          </w:tcPr>
          <w:p>
            <w:pPr>
              <w:jc w:val="center"/>
              <w:spacing w:after="0" w:line="159" w:lineRule="exact"/>
              <w:rPr>
                <w:sz w:val="20"/>
                <w:szCs w:val="20"/>
                <w:color w:val="auto"/>
              </w:rPr>
            </w:pPr>
            <w:r>
              <w:rPr>
                <w:rFonts w:ascii="Arial" w:cs="Arial" w:eastAsia="Arial" w:hAnsi="Arial"/>
                <w:sz w:val="16"/>
                <w:szCs w:val="16"/>
                <w:b w:val="1"/>
                <w:bCs w:val="1"/>
                <w:color w:val="auto"/>
                <w:w w:val="85"/>
              </w:rPr>
              <w:t>average</w:t>
            </w: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260" w:type="dxa"/>
            <w:vAlign w:val="bottom"/>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vMerge w:val="restart"/>
          </w:tcPr>
          <w:p>
            <w:pPr>
              <w:jc w:val="right"/>
              <w:ind w:right="274"/>
              <w:spacing w:after="0" w:line="181" w:lineRule="exact"/>
              <w:rPr>
                <w:sz w:val="20"/>
                <w:szCs w:val="20"/>
                <w:color w:val="auto"/>
              </w:rPr>
            </w:pPr>
            <w:r>
              <w:rPr>
                <w:rFonts w:ascii="Arial" w:cs="Arial" w:eastAsia="Arial" w:hAnsi="Arial"/>
                <w:sz w:val="16"/>
                <w:szCs w:val="16"/>
                <w:b w:val="1"/>
                <w:bCs w:val="1"/>
                <w:color w:val="auto"/>
                <w:w w:val="99"/>
              </w:rPr>
              <w:t>Borrowing</w:t>
            </w:r>
          </w:p>
        </w:tc>
        <w:tc>
          <w:tcPr>
            <w:tcW w:w="200" w:type="dxa"/>
            <w:vAlign w:val="bottom"/>
          </w:tcPr>
          <w:p>
            <w:pPr>
              <w:spacing w:after="0" w:line="20" w:lineRule="exact"/>
              <w:rPr>
                <w:sz w:val="1"/>
                <w:szCs w:val="1"/>
                <w:color w:val="auto"/>
              </w:rPr>
            </w:pPr>
          </w:p>
        </w:tc>
        <w:tc>
          <w:tcPr>
            <w:tcW w:w="1160" w:type="dxa"/>
            <w:vAlign w:val="bottom"/>
            <w:gridSpan w:val="2"/>
            <w:vMerge w:val="restart"/>
          </w:tcPr>
          <w:p>
            <w:pPr>
              <w:jc w:val="center"/>
              <w:ind w:right="300"/>
              <w:spacing w:after="0" w:line="181" w:lineRule="exact"/>
              <w:rPr>
                <w:sz w:val="20"/>
                <w:szCs w:val="20"/>
                <w:color w:val="auto"/>
              </w:rPr>
            </w:pPr>
            <w:r>
              <w:rPr>
                <w:rFonts w:ascii="Arial" w:cs="Arial" w:eastAsia="Arial" w:hAnsi="Arial"/>
                <w:sz w:val="16"/>
                <w:szCs w:val="16"/>
                <w:b w:val="1"/>
                <w:bCs w:val="1"/>
                <w:color w:val="auto"/>
                <w:w w:val="94"/>
              </w:rPr>
              <w:t>U.S. $</w:t>
            </w:r>
          </w:p>
        </w:tc>
        <w:tc>
          <w:tcPr>
            <w:tcW w:w="380" w:type="dxa"/>
            <w:vAlign w:val="bottom"/>
          </w:tcPr>
          <w:p>
            <w:pPr>
              <w:spacing w:after="0" w:line="20" w:lineRule="exact"/>
              <w:rPr>
                <w:sz w:val="1"/>
                <w:szCs w:val="1"/>
                <w:color w:val="auto"/>
              </w:rPr>
            </w:pPr>
          </w:p>
        </w:tc>
        <w:tc>
          <w:tcPr>
            <w:tcW w:w="1060" w:type="dxa"/>
            <w:vAlign w:val="bottom"/>
            <w:gridSpan w:val="2"/>
            <w:vMerge w:val="restart"/>
          </w:tcPr>
          <w:p>
            <w:pPr>
              <w:spacing w:after="0" w:line="181" w:lineRule="exact"/>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line="20" w:lineRule="exact"/>
              <w:rPr>
                <w:sz w:val="1"/>
                <w:szCs w:val="1"/>
                <w:color w:val="auto"/>
              </w:rPr>
            </w:pPr>
          </w:p>
        </w:tc>
        <w:tc>
          <w:tcPr>
            <w:tcW w:w="1140" w:type="dxa"/>
            <w:vAlign w:val="bottom"/>
            <w:vMerge w:val="restart"/>
          </w:tcPr>
          <w:p>
            <w:pPr>
              <w:jc w:val="right"/>
              <w:ind w:right="93"/>
              <w:spacing w:after="0" w:line="181"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line="20" w:lineRule="exact"/>
              <w:rPr>
                <w:sz w:val="1"/>
                <w:szCs w:val="1"/>
                <w:color w:val="auto"/>
              </w:rPr>
            </w:pPr>
          </w:p>
        </w:tc>
      </w:tr>
      <w:tr>
        <w:trPr>
          <w:trHeight w:val="159"/>
        </w:trPr>
        <w:tc>
          <w:tcPr>
            <w:tcW w:w="4260" w:type="dxa"/>
            <w:vAlign w:val="bottom"/>
          </w:tcPr>
          <w:p>
            <w:pPr>
              <w:spacing w:after="0"/>
              <w:rPr>
                <w:sz w:val="13"/>
                <w:szCs w:val="13"/>
                <w:color w:val="auto"/>
              </w:rPr>
            </w:pPr>
          </w:p>
        </w:tc>
        <w:tc>
          <w:tcPr>
            <w:tcW w:w="14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interest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rate (a)</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currency</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8"/>
              </w:rPr>
              <w:t>equivalent</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 Bank Facility (c)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716.6</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4,767.1</w:t>
            </w:r>
          </w:p>
        </w:tc>
        <w:tc>
          <w:tcPr>
            <w:tcW w:w="0" w:type="dxa"/>
            <w:vAlign w:val="bottom"/>
          </w:tcPr>
          <w:p>
            <w:pPr>
              <w:spacing w:after="0"/>
              <w:rPr>
                <w:sz w:val="1"/>
                <w:szCs w:val="1"/>
                <w:color w:val="auto"/>
              </w:rPr>
            </w:pPr>
          </w:p>
        </w:tc>
      </w:tr>
      <w:tr>
        <w:trPr>
          <w:trHeight w:val="225"/>
        </w:trPr>
        <w:tc>
          <w:tcPr>
            <w:tcW w:w="4260" w:type="dxa"/>
            <w:vAlign w:val="bottom"/>
          </w:tcPr>
          <w:p>
            <w:pPr>
              <w:ind w:left="20"/>
              <w:spacing w:after="0"/>
              <w:rPr>
                <w:sz w:val="20"/>
                <w:szCs w:val="20"/>
                <w:color w:val="auto"/>
              </w:rPr>
            </w:pPr>
            <w:r>
              <w:rPr>
                <w:rFonts w:ascii="Arial" w:cs="Arial" w:eastAsia="Arial" w:hAnsi="Arial"/>
                <w:sz w:val="18"/>
                <w:szCs w:val="18"/>
                <w:color w:val="auto"/>
              </w:rPr>
              <w:t>UPCB SPE Notes</w:t>
            </w:r>
          </w:p>
        </w:tc>
        <w:tc>
          <w:tcPr>
            <w:tcW w:w="1400" w:type="dxa"/>
            <w:vAlign w:val="bottom"/>
          </w:tcPr>
          <w:p>
            <w:pPr>
              <w:jc w:val="right"/>
              <w:spacing w:after="0"/>
              <w:rPr>
                <w:sz w:val="20"/>
                <w:szCs w:val="20"/>
                <w:color w:val="auto"/>
              </w:rPr>
            </w:pPr>
            <w:r>
              <w:rPr>
                <w:rFonts w:ascii="Arial" w:cs="Arial" w:eastAsia="Arial" w:hAnsi="Arial"/>
                <w:sz w:val="18"/>
                <w:szCs w:val="18"/>
                <w:color w:val="auto"/>
              </w:rPr>
              <w:t>4.42 %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1,393.7</w:t>
            </w:r>
          </w:p>
        </w:tc>
        <w:tc>
          <w:tcPr>
            <w:tcW w:w="0" w:type="dxa"/>
            <w:vAlign w:val="bottom"/>
          </w:tcPr>
          <w:p>
            <w:pPr>
              <w:spacing w:after="0"/>
              <w:rPr>
                <w:sz w:val="1"/>
                <w:szCs w:val="1"/>
                <w:color w:val="auto"/>
              </w:rPr>
            </w:pPr>
          </w:p>
        </w:tc>
      </w:tr>
      <w:tr>
        <w:trPr>
          <w:trHeight w:val="225"/>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 Senior Notes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225"/>
        </w:trPr>
        <w:tc>
          <w:tcPr>
            <w:tcW w:w="4260" w:type="dxa"/>
            <w:vAlign w:val="bottom"/>
          </w:tcPr>
          <w:p>
            <w:pPr>
              <w:ind w:left="20"/>
              <w:spacing w:after="0"/>
              <w:rPr>
                <w:sz w:val="20"/>
                <w:szCs w:val="20"/>
                <w:color w:val="auto"/>
              </w:rPr>
            </w:pPr>
            <w:r>
              <w:rPr>
                <w:rFonts w:ascii="Arial" w:cs="Arial" w:eastAsia="Arial" w:hAnsi="Arial"/>
                <w:sz w:val="18"/>
                <w:szCs w:val="18"/>
                <w:color w:val="auto"/>
              </w:rPr>
              <w:t>Telenet Credit Facility (d)</w:t>
            </w:r>
          </w:p>
        </w:tc>
        <w:tc>
          <w:tcPr>
            <w:tcW w:w="1400" w:type="dxa"/>
            <w:vAlign w:val="bottom"/>
          </w:tcPr>
          <w:p>
            <w:pPr>
              <w:jc w:val="right"/>
              <w:spacing w:after="0"/>
              <w:rPr>
                <w:sz w:val="20"/>
                <w:szCs w:val="20"/>
                <w:color w:val="auto"/>
              </w:rPr>
            </w:pPr>
            <w:r>
              <w:rPr>
                <w:rFonts w:ascii="Arial" w:cs="Arial" w:eastAsia="Arial" w:hAnsi="Arial"/>
                <w:sz w:val="18"/>
                <w:szCs w:val="18"/>
                <w:color w:val="auto"/>
              </w:rPr>
              <w:t>2.14 %</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555.0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3,652.0</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 Senior Secured Notes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1,660.2</w:t>
            </w:r>
          </w:p>
        </w:tc>
        <w:tc>
          <w:tcPr>
            <w:tcW w:w="0" w:type="dxa"/>
            <w:vAlign w:val="bottom"/>
          </w:tcPr>
          <w:p>
            <w:pPr>
              <w:spacing w:after="0"/>
              <w:rPr>
                <w:sz w:val="1"/>
                <w:szCs w:val="1"/>
                <w:color w:val="auto"/>
              </w:rPr>
            </w:pPr>
          </w:p>
        </w:tc>
      </w:tr>
      <w:tr>
        <w:trPr>
          <w:trHeight w:val="225"/>
        </w:trPr>
        <w:tc>
          <w:tcPr>
            <w:tcW w:w="4260" w:type="dxa"/>
            <w:vAlign w:val="bottom"/>
          </w:tcPr>
          <w:p>
            <w:pPr>
              <w:ind w:left="20"/>
              <w:spacing w:after="0"/>
              <w:rPr>
                <w:sz w:val="20"/>
                <w:szCs w:val="20"/>
                <w:color w:val="auto"/>
              </w:rPr>
            </w:pPr>
            <w:r>
              <w:rPr>
                <w:rFonts w:ascii="Arial" w:cs="Arial" w:eastAsia="Arial" w:hAnsi="Arial"/>
                <w:sz w:val="18"/>
                <w:szCs w:val="18"/>
                <w:color w:val="auto"/>
              </w:rPr>
              <w:t>VM Ireland Credit Facility (e)</w:t>
            </w:r>
          </w:p>
        </w:tc>
        <w:tc>
          <w:tcPr>
            <w:tcW w:w="140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Vendor financing (f)</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1,142.9</w:t>
            </w:r>
          </w:p>
        </w:tc>
        <w:tc>
          <w:tcPr>
            <w:tcW w:w="0" w:type="dxa"/>
            <w:vAlign w:val="bottom"/>
          </w:tcPr>
          <w:p>
            <w:pPr>
              <w:spacing w:after="0"/>
              <w:rPr>
                <w:sz w:val="1"/>
                <w:szCs w:val="1"/>
                <w:color w:val="auto"/>
              </w:rPr>
            </w:pPr>
          </w:p>
        </w:tc>
      </w:tr>
      <w:tr>
        <w:trPr>
          <w:trHeight w:val="225"/>
        </w:trPr>
        <w:tc>
          <w:tcPr>
            <w:tcW w:w="4260" w:type="dxa"/>
            <w:vAlign w:val="bottom"/>
          </w:tcPr>
          <w:p>
            <w:pPr>
              <w:ind w:left="20"/>
              <w:spacing w:after="0"/>
              <w:rPr>
                <w:sz w:val="20"/>
                <w:szCs w:val="20"/>
                <w:color w:val="auto"/>
              </w:rPr>
            </w:pPr>
            <w:r>
              <w:rPr>
                <w:rFonts w:ascii="Arial" w:cs="Arial" w:eastAsia="Arial" w:hAnsi="Arial"/>
                <w:sz w:val="18"/>
                <w:szCs w:val="18"/>
                <w:color w:val="auto"/>
              </w:rPr>
              <w:t>ITV Collar Loan (g)</w:t>
            </w:r>
          </w:p>
        </w:tc>
        <w:tc>
          <w:tcPr>
            <w:tcW w:w="1400" w:type="dxa"/>
            <w:vAlign w:val="bottom"/>
          </w:tcPr>
          <w:p>
            <w:pPr>
              <w:jc w:val="right"/>
              <w:ind w:right="134"/>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25"/>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153"/>
        </w:trPr>
        <w:tc>
          <w:tcPr>
            <w:tcW w:w="4260" w:type="dxa"/>
            <w:vAlign w:val="bottom"/>
          </w:tcPr>
          <w:p>
            <w:pPr>
              <w:ind w:left="220"/>
              <w:spacing w:after="0" w:line="154" w:lineRule="exact"/>
              <w:rPr>
                <w:sz w:val="20"/>
                <w:szCs w:val="20"/>
                <w:color w:val="auto"/>
              </w:rPr>
            </w:pPr>
            <w:r>
              <w:rPr>
                <w:rFonts w:ascii="Arial" w:cs="Arial" w:eastAsia="Arial" w:hAnsi="Arial"/>
                <w:sz w:val="17"/>
                <w:szCs w:val="17"/>
                <w:color w:val="auto"/>
                <w:w w:val="93"/>
              </w:rPr>
              <w:t>Total debt before deferred financing costs, discounts and</w:t>
            </w: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3.28 %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1,625.2</w:t>
            </w:r>
          </w:p>
        </w:tc>
        <w:tc>
          <w:tcPr>
            <w:tcW w:w="100" w:type="dxa"/>
            <w:vAlign w:val="bottom"/>
          </w:tcPr>
          <w:p>
            <w:pPr>
              <w:spacing w:after="0"/>
              <w:rPr>
                <w:sz w:val="13"/>
                <w:szCs w:val="13"/>
                <w:color w:val="auto"/>
              </w:rPr>
            </w:pPr>
          </w:p>
        </w:tc>
        <w:tc>
          <w:tcPr>
            <w:tcW w:w="380" w:type="dxa"/>
            <w:vAlign w:val="bottom"/>
            <w:tcBorders>
              <w:top w:val="single" w:sz="8" w:color="auto"/>
            </w:tcBorders>
            <w:vMerge w:val="restart"/>
          </w:tcPr>
          <w:p>
            <w:pPr>
              <w:jc w:val="right"/>
              <w:ind w:right="17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14,797.3</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14,559.6</w:t>
            </w:r>
          </w:p>
        </w:tc>
        <w:tc>
          <w:tcPr>
            <w:tcW w:w="0" w:type="dxa"/>
            <w:vAlign w:val="bottom"/>
          </w:tcPr>
          <w:p>
            <w:pPr>
              <w:spacing w:after="0"/>
              <w:rPr>
                <w:sz w:val="1"/>
                <w:szCs w:val="1"/>
                <w:color w:val="auto"/>
              </w:rPr>
            </w:pPr>
          </w:p>
        </w:tc>
      </w:tr>
      <w:tr>
        <w:trPr>
          <w:trHeight w:val="203"/>
        </w:trPr>
        <w:tc>
          <w:tcPr>
            <w:tcW w:w="4260" w:type="dxa"/>
            <w:vAlign w:val="bottom"/>
          </w:tcPr>
          <w:p>
            <w:pPr>
              <w:ind w:left="380"/>
              <w:spacing w:after="0" w:line="198" w:lineRule="exact"/>
              <w:rPr>
                <w:sz w:val="20"/>
                <w:szCs w:val="20"/>
                <w:color w:val="auto"/>
              </w:rPr>
            </w:pPr>
            <w:r>
              <w:rPr>
                <w:rFonts w:ascii="Arial" w:cs="Arial" w:eastAsia="Arial" w:hAnsi="Arial"/>
                <w:sz w:val="18"/>
                <w:szCs w:val="18"/>
                <w:color w:val="auto"/>
              </w:rPr>
              <w:t>premiums (h)</w:t>
            </w:r>
          </w:p>
        </w:tc>
        <w:tc>
          <w:tcPr>
            <w:tcW w:w="14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provides a reconciliation of total debt before deferred financing costs, discounts and premiums to total debt and finance lease obligations: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1140" w:type="dxa"/>
            <w:vAlign w:val="bottom"/>
          </w:tcPr>
          <w:p>
            <w:pPr>
              <w:jc w:val="right"/>
              <w:ind w:right="94"/>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2020</w:t>
            </w:r>
          </w:p>
        </w:tc>
      </w:tr>
      <w:tr>
        <w:trPr>
          <w:trHeight w:val="203"/>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4"/>
          </w:tcPr>
          <w:p>
            <w:pPr>
              <w:jc w:val="right"/>
              <w:ind w:right="914"/>
              <w:spacing w:after="0"/>
              <w:rPr>
                <w:sz w:val="20"/>
                <w:szCs w:val="20"/>
                <w:color w:val="auto"/>
              </w:rPr>
            </w:pPr>
            <w:r>
              <w:rPr>
                <w:rFonts w:ascii="Arial" w:cs="Arial" w:eastAsia="Arial" w:hAnsi="Arial"/>
                <w:sz w:val="16"/>
                <w:szCs w:val="16"/>
                <w:b w:val="1"/>
                <w:bCs w:val="1"/>
                <w:color w:val="auto"/>
              </w:rPr>
              <w:t>in millions</w:t>
            </w:r>
          </w:p>
        </w:tc>
      </w:tr>
      <w:tr>
        <w:trPr>
          <w:trHeight w:val="163"/>
        </w:trPr>
        <w:tc>
          <w:tcPr>
            <w:tcW w:w="8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before deferred financing costs, discounts and premiums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14,559.6</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r>
      <w:tr>
        <w:trPr>
          <w:trHeight w:val="21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carrying amount of debt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14,441.2</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obligations (note 10)</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w:t>
            </w:r>
          </w:p>
        </w:tc>
      </w:tr>
      <w:tr>
        <w:trPr>
          <w:trHeight w:val="219"/>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debt and finance lease obligations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14,997.7</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maturities of debt and finance lease obligations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(1,130.4)</w:t>
            </w:r>
          </w:p>
        </w:tc>
      </w:tr>
      <w:tr>
        <w:trPr>
          <w:trHeight w:val="244"/>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13,867.3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49" w:lineRule="auto"/>
        <w:tabs>
          <w:tab w:leader="none" w:pos="4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weighted average interest rate in effect at June 30, 2021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the weighted average interest rate on our aggregate variable- and fixed-rate indebtedness was 3.54% at June 30, 2021. For information regarding our derivative instruments, see note 6.</w:t>
      </w:r>
    </w:p>
    <w:p>
      <w:pPr>
        <w:spacing w:after="0" w:line="222" w:lineRule="exact"/>
        <w:rPr>
          <w:rFonts w:ascii="Arial" w:cs="Arial" w:eastAsia="Arial" w:hAnsi="Arial"/>
          <w:sz w:val="18"/>
          <w:szCs w:val="18"/>
          <w:color w:val="auto"/>
        </w:rPr>
      </w:pPr>
    </w:p>
    <w:p>
      <w:pPr>
        <w:jc w:val="both"/>
        <w:ind w:left="480" w:hanging="474"/>
        <w:spacing w:after="0" w:line="252" w:lineRule="auto"/>
        <w:tabs>
          <w:tab w:leader="none" w:pos="474"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Unused borrowing capacity represents the maximum availability under the applicable facility at June 30, 2021 without regard to covenant compliance calculations or other conditions precedent to borrowing. At June 30, 2021, based on the most restrictive applicable leverage covenants, the full amount of unused borrowing capacity under the UPC Holding Bank Facility and the Telenet Credit Facility was available to be borrowed, and based on the most restrictive applicable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left="480"/>
        <w:spacing w:after="0" w:line="265" w:lineRule="auto"/>
        <w:rPr>
          <w:sz w:val="20"/>
          <w:szCs w:val="20"/>
          <w:color w:val="auto"/>
        </w:rPr>
      </w:pPr>
      <w:r>
        <w:rPr>
          <w:rFonts w:ascii="Arial" w:cs="Arial" w:eastAsia="Arial" w:hAnsi="Arial"/>
          <w:sz w:val="17"/>
          <w:szCs w:val="17"/>
          <w:color w:val="auto"/>
        </w:rPr>
        <w:t>leverage-based restricted payment tests, there were no additional restrictions on the respective subsidiary's ability to make loans or distributions from this availability to Liberty Global or its subsidiaries or other equity holders. With respect to the VM Ireland Credit Facility (as defined below), the full unused capacity is currently unavailable to borrow or upstream. Upon completion of the relevant June 30, 2021 compliance reporting requirements, we expect the full amount of unused borrowing capacity will continue to be available under the UPC Holding Bank Facility and the Telenet Credit Facility, with no additional restriction to loan or distribute. With respect to the VM Ireland Credit Facility, we expect the full unused capacity will remain unavailable to borrow or upstream. Our above expectations do not consider any actual or potential changes to our borrowing levels or any amounts loaned or distributed subsequent to June 30, 2021, or the impact of additional amounts that may be available to borrow, loan or distribute under certain defined baskets within each respective facility.</w:t>
      </w:r>
    </w:p>
    <w:p>
      <w:pPr>
        <w:spacing w:after="0" w:line="208" w:lineRule="exact"/>
        <w:rPr>
          <w:sz w:val="20"/>
          <w:szCs w:val="20"/>
          <w:color w:val="auto"/>
        </w:rPr>
      </w:pPr>
    </w:p>
    <w:p>
      <w:pPr>
        <w:jc w:val="both"/>
        <w:ind w:left="480" w:hanging="474"/>
        <w:spacing w:after="0" w:line="248" w:lineRule="auto"/>
        <w:tabs>
          <w:tab w:leader="none" w:pos="4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Unused borrowing capacity under the UPC Holding Bank Facility relates to an equivalent €716.6 million ($849.1 million) under the UPC Revolving Facility, part of which has been made available as an ancillary facility. During the second quarter of 2021, the UPC Revolving Facility was amended to provide for maximum borrowing capacity of €736.4 million ($872.5 million), including €23.0 million ($27.3 million) under the related ancillary facility. With the exception of €19.8 million ($23.4 million) of borrowings under the ancillary facility, the UPC Revolving Facility was undrawn at June 30, 2021.</w:t>
      </w:r>
    </w:p>
    <w:p>
      <w:pPr>
        <w:spacing w:after="0" w:line="1" w:lineRule="exact"/>
        <w:rPr>
          <w:rFonts w:ascii="Arial" w:cs="Arial" w:eastAsia="Arial" w:hAnsi="Arial"/>
          <w:sz w:val="18"/>
          <w:szCs w:val="18"/>
          <w:color w:val="auto"/>
        </w:rPr>
      </w:pPr>
    </w:p>
    <w:p>
      <w:pPr>
        <w:jc w:val="both"/>
        <w:ind w:left="480" w:hanging="474"/>
        <w:spacing w:after="0" w:line="248" w:lineRule="auto"/>
        <w:tabs>
          <w:tab w:leader="none" w:pos="474"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Unused borrowing capacity under the Telenet Credit Facility comprises (i) €510.0 million ($604.3 million) under the Telenet Revolving Facility I, (ii) €25.0 million ($29.6 million) under the Telenet Overdraft Facility and (iii) €20.0 million ($23.7 million) under the Telenet Revolving Facility, each of which were undrawn at June 30, 2021.</w:t>
      </w:r>
    </w:p>
    <w:p>
      <w:pPr>
        <w:spacing w:after="0" w:line="221" w:lineRule="exact"/>
        <w:rPr>
          <w:rFonts w:ascii="Arial" w:cs="Arial" w:eastAsia="Arial" w:hAnsi="Arial"/>
          <w:sz w:val="18"/>
          <w:szCs w:val="18"/>
          <w:color w:val="auto"/>
        </w:rPr>
      </w:pPr>
    </w:p>
    <w:p>
      <w:pPr>
        <w:ind w:left="480" w:hanging="474"/>
        <w:spacing w:after="0" w:line="264" w:lineRule="auto"/>
        <w:tabs>
          <w:tab w:leader="none" w:pos="4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Unused borrowing capacity under the VM Ireland Credit Facility relates to €100.0 million ($118.5 million) under the VM Ireland Revolving Facility (as defined below). The VM Ireland Revolving Facility was undrawn at June 30, 2021.</w:t>
      </w:r>
    </w:p>
    <w:p>
      <w:pPr>
        <w:spacing w:after="0" w:line="207" w:lineRule="exact"/>
        <w:rPr>
          <w:rFonts w:ascii="Arial" w:cs="Arial" w:eastAsia="Arial" w:hAnsi="Arial"/>
          <w:sz w:val="18"/>
          <w:szCs w:val="18"/>
          <w:color w:val="auto"/>
        </w:rPr>
      </w:pPr>
    </w:p>
    <w:p>
      <w:pPr>
        <w:jc w:val="both"/>
        <w:ind w:left="480" w:hanging="474"/>
        <w:spacing w:after="0" w:line="267" w:lineRule="auto"/>
        <w:tabs>
          <w:tab w:leader="none" w:pos="471"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on our condensed consolidated balance sheet. These obligations are generally due within one year and include VAT that was also financed under these arrangements. Repayments of vendor financing obligations are included in repayments and repurchases of debt and finance lease obligations in our condensed consolidated statements of cash flows.</w:t>
      </w:r>
    </w:p>
    <w:p>
      <w:pPr>
        <w:spacing w:after="0" w:line="205" w:lineRule="exact"/>
        <w:rPr>
          <w:rFonts w:ascii="Arial" w:cs="Arial" w:eastAsia="Arial" w:hAnsi="Arial"/>
          <w:sz w:val="17"/>
          <w:szCs w:val="17"/>
          <w:color w:val="auto"/>
        </w:rPr>
      </w:pPr>
    </w:p>
    <w:p>
      <w:pPr>
        <w:ind w:left="480" w:hanging="474"/>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described in note 5, the ITV Collar Loan was fully repaid during the second quarter of 2021.</w:t>
      </w:r>
    </w:p>
    <w:p>
      <w:pPr>
        <w:spacing w:after="0" w:line="243" w:lineRule="exact"/>
        <w:rPr>
          <w:rFonts w:ascii="Arial" w:cs="Arial" w:eastAsia="Arial" w:hAnsi="Arial"/>
          <w:sz w:val="18"/>
          <w:szCs w:val="18"/>
          <w:color w:val="auto"/>
        </w:rPr>
      </w:pPr>
    </w:p>
    <w:p>
      <w:pPr>
        <w:jc w:val="both"/>
        <w:ind w:left="480" w:hanging="474"/>
        <w:spacing w:after="0" w:line="255" w:lineRule="auto"/>
        <w:tabs>
          <w:tab w:leader="none" w:pos="47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June 30, 2021 and December 31, 2020, our debt had an estimated fair value of $14.9 billion and $14.7 billion, respectively. The estimated fair values of our debt instruments are generally determined using the average of applicable bid and ask prices (mostly Level 1 of the fair value hierarchy). For additional information regarding fair value hierarchies, see note 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 - General Information</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At June 30, 2021, most of our outstanding debt had been incurred by one of our three subsidiary “borrowing groups.” References to these borrowing groups, which comprise UPC Holding, Telenet and VM Ireland, include their respective restricted parent and subsidiary entities. Below we provide summary descriptions of certain financing transactions completed during the first six months of 2021. A portion of our financing transactions may include non-cash borrowings and repayments. During the six months ended June 30, 2021 and 2020, non-cash borrowings and repayments aggregated $2.9 billion and $3.5 billion, respectively. Unless otherwise noted, the terms and conditions of any new notes and/or credit facilities are largely consistent with those of existing notes and credit facilities of the corresponding borrowing group with regard to covenants, events of default and change of control provisions, among other items. For information regarding the general terms and conditions of our debt and capitalized terms not defined herein, see note 11 to the consolidated financial statements included in our 10-K.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UPC Holding Financing Transactions</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During the second quarter of 2021, UPC Holding completed a number of financing transactions that generally resulted in lower interest rates and extended maturities, including the issuance of certain senior secured notes and the entrance into certain accession agreements under the UPC Holding Bank Facility. In connection with these transactions, UPC Holding recognized an aggregate loss on debt extinguishment of $90.6 million related to (i) the write-off of $77.7 million of unamortized deferred financing costs and discounts and (ii) the payment of $12.9 million of redemption premiums.</w:t>
      </w:r>
    </w:p>
    <w:p>
      <w:pPr>
        <w:spacing w:after="0" w:line="17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tables summarize our outstanding indebtedness as of June 30, 2021 with respect to (i) the UPC Holding Bank Facility and (ii) the UPCB SPE Notes, after completion of the aforementioned financing transactions.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174"/>
              <w:spacing w:after="0"/>
              <w:rPr>
                <w:sz w:val="20"/>
                <w:szCs w:val="20"/>
                <w:color w:val="auto"/>
              </w:rPr>
            </w:pPr>
            <w:r>
              <w:rPr>
                <w:rFonts w:ascii="Arial" w:cs="Arial" w:eastAsia="Arial" w:hAnsi="Arial"/>
                <w:sz w:val="16"/>
                <w:szCs w:val="16"/>
                <w:b w:val="1"/>
                <w:bCs w:val="1"/>
                <w:color w:val="auto"/>
                <w:w w:val="90"/>
              </w:rPr>
              <w:t>Facility</w:t>
            </w:r>
          </w:p>
        </w:tc>
        <w:tc>
          <w:tcPr>
            <w:tcW w:w="120" w:type="dxa"/>
            <w:vAlign w:val="bottom"/>
          </w:tcPr>
          <w:p>
            <w:pPr>
              <w:spacing w:after="0"/>
              <w:rPr>
                <w:sz w:val="16"/>
                <w:szCs w:val="16"/>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5"/>
              </w:rPr>
              <w:t>Unused</w:t>
            </w:r>
          </w:p>
        </w:tc>
        <w:tc>
          <w:tcPr>
            <w:tcW w:w="118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89"/>
              </w:rPr>
              <w:t>Outstanding</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UPC Holding Bank</w:t>
            </w: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154"/>
              <w:spacing w:after="0" w:line="159" w:lineRule="exact"/>
              <w:rPr>
                <w:sz w:val="20"/>
                <w:szCs w:val="20"/>
                <w:color w:val="auto"/>
              </w:rPr>
            </w:pPr>
            <w:r>
              <w:rPr>
                <w:rFonts w:ascii="Arial" w:cs="Arial" w:eastAsia="Arial" w:hAnsi="Arial"/>
                <w:sz w:val="16"/>
                <w:szCs w:val="16"/>
                <w:b w:val="1"/>
                <w:bCs w:val="1"/>
                <w:color w:val="auto"/>
                <w:w w:val="89"/>
              </w:rPr>
              <w:t>amount</w:t>
            </w: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w w:val="97"/>
              </w:rPr>
              <w:t>Carrying</w:t>
            </w:r>
          </w:p>
        </w:tc>
        <w:tc>
          <w:tcPr>
            <w:tcW w:w="0" w:type="dxa"/>
            <w:vAlign w:val="bottom"/>
          </w:tcPr>
          <w:p>
            <w:pPr>
              <w:spacing w:after="0"/>
              <w:rPr>
                <w:sz w:val="1"/>
                <w:szCs w:val="1"/>
                <w:color w:val="auto"/>
              </w:rPr>
            </w:pPr>
          </w:p>
        </w:tc>
      </w:tr>
      <w:tr>
        <w:trPr>
          <w:trHeight w:val="159"/>
        </w:trPr>
        <w:tc>
          <w:tcPr>
            <w:tcW w:w="1840" w:type="dxa"/>
            <w:vAlign w:val="bottom"/>
            <w:gridSpan w:val="2"/>
            <w:vMerge w:val="continue"/>
          </w:tcPr>
          <w:p>
            <w:pPr>
              <w:spacing w:after="0"/>
              <w:rPr>
                <w:sz w:val="13"/>
                <w:szCs w:val="13"/>
                <w:color w:val="auto"/>
              </w:rPr>
            </w:pPr>
          </w:p>
        </w:tc>
        <w:tc>
          <w:tcPr>
            <w:tcW w:w="13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9"/>
              </w:rPr>
              <w:t>Maturity</w:t>
            </w: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1"/>
              </w:rPr>
              <w:t>Interest rate</w:t>
            </w:r>
          </w:p>
        </w:tc>
        <w:tc>
          <w:tcPr>
            <w:tcW w:w="140" w:type="dxa"/>
            <w:vAlign w:val="bottom"/>
          </w:tcPr>
          <w:p>
            <w:pPr>
              <w:spacing w:after="0"/>
              <w:rPr>
                <w:sz w:val="13"/>
                <w:szCs w:val="13"/>
                <w:color w:val="auto"/>
              </w:rPr>
            </w:pPr>
          </w:p>
        </w:tc>
        <w:tc>
          <w:tcPr>
            <w:tcW w:w="1040" w:type="dxa"/>
            <w:vAlign w:val="bottom"/>
          </w:tcPr>
          <w:p>
            <w:pPr>
              <w:jc w:val="center"/>
              <w:ind w:right="154"/>
              <w:spacing w:after="0" w:line="159" w:lineRule="exact"/>
              <w:rPr>
                <w:sz w:val="20"/>
                <w:szCs w:val="20"/>
                <w:color w:val="auto"/>
              </w:rPr>
            </w:pPr>
            <w:r>
              <w:rPr>
                <w:rFonts w:ascii="Arial" w:cs="Arial" w:eastAsia="Arial" w:hAnsi="Arial"/>
                <w:sz w:val="16"/>
                <w:szCs w:val="16"/>
                <w:b w:val="1"/>
                <w:bCs w:val="1"/>
                <w:color w:val="auto"/>
                <w:w w:val="90"/>
              </w:rPr>
              <w:t>(borrowing</w:t>
            </w:r>
          </w:p>
        </w:tc>
        <w:tc>
          <w:tcPr>
            <w:tcW w:w="120" w:type="dxa"/>
            <w:vAlign w:val="bottom"/>
          </w:tcPr>
          <w:p>
            <w:pPr>
              <w:spacing w:after="0"/>
              <w:rPr>
                <w:sz w:val="13"/>
                <w:szCs w:val="13"/>
                <w:color w:val="auto"/>
              </w:rPr>
            </w:pPr>
          </w:p>
        </w:tc>
        <w:tc>
          <w:tcPr>
            <w:tcW w:w="9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9"/>
              </w:rPr>
              <w:t>borrowing</w:t>
            </w:r>
          </w:p>
        </w:tc>
        <w:tc>
          <w:tcPr>
            <w:tcW w:w="160" w:type="dxa"/>
            <w:vAlign w:val="bottom"/>
          </w:tcPr>
          <w:p>
            <w:pPr>
              <w:spacing w:after="0"/>
              <w:rPr>
                <w:sz w:val="13"/>
                <w:szCs w:val="13"/>
                <w:color w:val="auto"/>
              </w:rPr>
            </w:pPr>
          </w:p>
        </w:tc>
        <w:tc>
          <w:tcPr>
            <w:tcW w:w="102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92"/>
              </w:rPr>
              <w:t>principal</w:t>
            </w: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840" w:type="dxa"/>
            <w:vAlign w:val="bottom"/>
            <w:gridSpan w:val="2"/>
          </w:tcPr>
          <w:p>
            <w:pPr>
              <w:ind w:left="20"/>
              <w:spacing w:after="0"/>
              <w:rPr>
                <w:sz w:val="20"/>
                <w:szCs w:val="20"/>
                <w:color w:val="auto"/>
              </w:rPr>
            </w:pPr>
            <w:r>
              <w:rPr>
                <w:rFonts w:ascii="Arial" w:cs="Arial" w:eastAsia="Arial" w:hAnsi="Arial"/>
                <w:sz w:val="16"/>
                <w:szCs w:val="16"/>
                <w:b w:val="1"/>
                <w:bCs w:val="1"/>
                <w:color w:val="auto"/>
              </w:rPr>
              <w:t>Facility</w:t>
            </w:r>
          </w:p>
        </w:tc>
        <w:tc>
          <w:tcPr>
            <w:tcW w:w="1320" w:type="dxa"/>
            <w:vAlign w:val="bottom"/>
            <w:gridSpan w:val="2"/>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180" w:type="dxa"/>
            <w:vAlign w:val="bottom"/>
            <w:gridSpan w:val="2"/>
          </w:tcPr>
          <w:p>
            <w:pPr>
              <w:jc w:val="center"/>
              <w:ind w:right="14"/>
              <w:spacing w:after="0"/>
              <w:rPr>
                <w:sz w:val="20"/>
                <w:szCs w:val="20"/>
                <w:color w:val="auto"/>
              </w:rPr>
            </w:pPr>
            <w:r>
              <w:rPr>
                <w:rFonts w:ascii="Arial" w:cs="Arial" w:eastAsia="Arial" w:hAnsi="Arial"/>
                <w:sz w:val="16"/>
                <w:szCs w:val="16"/>
                <w:b w:val="1"/>
                <w:bCs w:val="1"/>
                <w:color w:val="auto"/>
                <w:w w:val="90"/>
              </w:rPr>
              <w:t>currency) (a)</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capacity</w:t>
            </w:r>
          </w:p>
        </w:tc>
        <w:tc>
          <w:tcPr>
            <w:tcW w:w="16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amount</w:t>
            </w:r>
          </w:p>
        </w:tc>
        <w:tc>
          <w:tcPr>
            <w:tcW w:w="120" w:type="dxa"/>
            <w:vAlign w:val="bottom"/>
          </w:tcPr>
          <w:p>
            <w:pPr>
              <w:spacing w:after="0"/>
              <w:rPr>
                <w:sz w:val="18"/>
                <w:szCs w:val="18"/>
                <w:color w:val="auto"/>
              </w:rPr>
            </w:pPr>
          </w:p>
        </w:tc>
        <w:tc>
          <w:tcPr>
            <w:tcW w:w="820" w:type="dxa"/>
            <w:vAlign w:val="bottom"/>
          </w:tcPr>
          <w:p>
            <w:pPr>
              <w:jc w:val="right"/>
              <w:ind w:right="73"/>
              <w:spacing w:after="0"/>
              <w:rPr>
                <w:sz w:val="20"/>
                <w:szCs w:val="20"/>
                <w:color w:val="auto"/>
              </w:rPr>
            </w:pPr>
            <w:r>
              <w:rPr>
                <w:rFonts w:ascii="Arial" w:cs="Arial" w:eastAsia="Arial" w:hAnsi="Arial"/>
                <w:sz w:val="16"/>
                <w:szCs w:val="16"/>
                <w:b w:val="1"/>
                <w:bCs w:val="1"/>
                <w:color w:val="auto"/>
                <w:w w:val="97"/>
              </w:rPr>
              <w:t>value (b)</w:t>
            </w:r>
          </w:p>
        </w:tc>
        <w:tc>
          <w:tcPr>
            <w:tcW w:w="0" w:type="dxa"/>
            <w:vAlign w:val="bottom"/>
          </w:tcPr>
          <w:p>
            <w:pPr>
              <w:spacing w:after="0"/>
              <w:rPr>
                <w:sz w:val="1"/>
                <w:szCs w:val="1"/>
                <w:color w:val="auto"/>
              </w:rPr>
            </w:pPr>
          </w:p>
        </w:tc>
      </w:tr>
      <w:tr>
        <w:trPr>
          <w:trHeight w:val="242"/>
        </w:trPr>
        <w:tc>
          <w:tcPr>
            <w:tcW w:w="1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AQ (c)</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June 15, 2029</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710.9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0" w:type="dxa"/>
            <w:vAlign w:val="bottom"/>
          </w:tcPr>
          <w:p>
            <w:pPr>
              <w:spacing w:after="0"/>
              <w:rPr>
                <w:sz w:val="1"/>
                <w:szCs w:val="1"/>
                <w:color w:val="auto"/>
              </w:rPr>
            </w:pPr>
          </w:p>
        </w:tc>
      </w:tr>
      <w:tr>
        <w:trPr>
          <w:trHeight w:val="264"/>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AT (d)</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April 30, 2028</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LIBOR + 2.25%</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3"/>
                <w:szCs w:val="23"/>
                <w:color w:val="auto"/>
              </w:rPr>
            </w:pPr>
          </w:p>
        </w:tc>
        <w:tc>
          <w:tcPr>
            <w:tcW w:w="9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696.7</w:t>
            </w:r>
          </w:p>
        </w:tc>
        <w:tc>
          <w:tcPr>
            <w:tcW w:w="0" w:type="dxa"/>
            <w:vAlign w:val="bottom"/>
          </w:tcPr>
          <w:p>
            <w:pPr>
              <w:spacing w:after="0"/>
              <w:rPr>
                <w:sz w:val="1"/>
                <w:szCs w:val="1"/>
                <w:color w:val="auto"/>
              </w:rPr>
            </w:pPr>
          </w:p>
        </w:tc>
      </w:tr>
      <w:tr>
        <w:trPr>
          <w:trHeight w:val="266"/>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 (e)</w:t>
            </w:r>
          </w:p>
        </w:tc>
        <w:tc>
          <w:tcPr>
            <w:tcW w:w="2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8"/>
              </w:rPr>
              <w:t>April 30, 2029   EURIBOR + 2.5%</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473.9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0" w:type="dxa"/>
            <w:vAlign w:val="bottom"/>
          </w:tcPr>
          <w:p>
            <w:pPr>
              <w:spacing w:after="0"/>
              <w:rPr>
                <w:sz w:val="1"/>
                <w:szCs w:val="1"/>
                <w:color w:val="auto"/>
              </w:rPr>
            </w:pPr>
          </w:p>
        </w:tc>
      </w:tr>
      <w:tr>
        <w:trPr>
          <w:trHeight w:val="173"/>
        </w:trPr>
        <w:tc>
          <w:tcPr>
            <w:tcW w:w="184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AX (d)</w:t>
            </w:r>
          </w:p>
        </w:tc>
        <w:tc>
          <w:tcPr>
            <w:tcW w:w="1320" w:type="dxa"/>
            <w:vAlign w:val="bottom"/>
            <w:gridSpan w:val="2"/>
          </w:tcPr>
          <w:p>
            <w:pPr>
              <w:jc w:val="center"/>
              <w:ind w:right="120"/>
              <w:spacing w:after="0" w:line="173" w:lineRule="exact"/>
              <w:rPr>
                <w:sz w:val="20"/>
                <w:szCs w:val="20"/>
                <w:color w:val="auto"/>
              </w:rPr>
            </w:pPr>
            <w:r>
              <w:rPr>
                <w:rFonts w:ascii="Arial" w:cs="Arial" w:eastAsia="Arial" w:hAnsi="Arial"/>
                <w:sz w:val="18"/>
                <w:szCs w:val="18"/>
                <w:color w:val="auto"/>
                <w:w w:val="85"/>
              </w:rPr>
              <w:t>January 31,</w:t>
            </w: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LIBOR + 3.0%</w:t>
            </w: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14"/>
              <w:spacing w:after="0"/>
              <w:rPr>
                <w:sz w:val="20"/>
                <w:szCs w:val="20"/>
                <w:color w:val="auto"/>
              </w:rPr>
            </w:pPr>
            <w:r>
              <w:rPr>
                <w:rFonts w:ascii="Arial" w:cs="Arial" w:eastAsia="Arial" w:hAnsi="Arial"/>
                <w:sz w:val="18"/>
                <w:szCs w:val="18"/>
                <w:color w:val="auto"/>
              </w:rPr>
              <w:t>1,925.0</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ind w:right="13"/>
              <w:spacing w:after="0"/>
              <w:rPr>
                <w:sz w:val="20"/>
                <w:szCs w:val="20"/>
                <w:color w:val="auto"/>
              </w:rPr>
            </w:pPr>
            <w:r>
              <w:rPr>
                <w:rFonts w:ascii="Arial" w:cs="Arial" w:eastAsia="Arial" w:hAnsi="Arial"/>
                <w:sz w:val="18"/>
                <w:szCs w:val="18"/>
                <w:color w:val="auto"/>
              </w:rPr>
              <w:t>1,925.0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1,909.2</w:t>
            </w: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1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AY (e)</w:t>
            </w:r>
          </w:p>
        </w:tc>
        <w:tc>
          <w:tcPr>
            <w:tcW w:w="1320" w:type="dxa"/>
            <w:vAlign w:val="bottom"/>
            <w:gridSpan w:val="2"/>
            <w:shd w:val="clear" w:color="auto" w:fill="CCEEFF"/>
          </w:tcPr>
          <w:p>
            <w:pPr>
              <w:jc w:val="center"/>
              <w:ind w:right="120"/>
              <w:spacing w:after="0" w:line="174" w:lineRule="exact"/>
              <w:rPr>
                <w:sz w:val="20"/>
                <w:szCs w:val="20"/>
                <w:color w:val="auto"/>
              </w:rPr>
            </w:pPr>
            <w:r>
              <w:rPr>
                <w:rFonts w:ascii="Arial" w:cs="Arial" w:eastAsia="Arial" w:hAnsi="Arial"/>
                <w:sz w:val="18"/>
                <w:szCs w:val="18"/>
                <w:color w:val="auto"/>
                <w:w w:val="85"/>
              </w:rPr>
              <w:t>January 31,</w:t>
            </w:r>
          </w:p>
        </w:tc>
        <w:tc>
          <w:tcPr>
            <w:tcW w:w="15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3"/>
              </w:rPr>
              <w:t>EURIBOR + 3.0%</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color w:val="auto"/>
              </w:rPr>
              <w:t>862.5</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1,022.0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1,016.2</w:t>
            </w:r>
          </w:p>
        </w:tc>
        <w:tc>
          <w:tcPr>
            <w:tcW w:w="0" w:type="dxa"/>
            <w:vAlign w:val="bottom"/>
          </w:tcPr>
          <w:p>
            <w:pPr>
              <w:spacing w:after="0"/>
              <w:rPr>
                <w:sz w:val="1"/>
                <w:szCs w:val="1"/>
                <w:color w:val="auto"/>
              </w:rPr>
            </w:pPr>
          </w:p>
        </w:tc>
      </w:tr>
      <w:tr>
        <w:trPr>
          <w:trHeight w:val="224"/>
        </w:trPr>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c>
          <w:tcPr>
            <w:tcW w:w="14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AZ (c)</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July 15, 2031</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4.875%</w:t>
            </w:r>
          </w:p>
        </w:tc>
        <w:tc>
          <w:tcPr>
            <w:tcW w:w="12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1,250.0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1,248.8</w:t>
            </w:r>
          </w:p>
        </w:tc>
        <w:tc>
          <w:tcPr>
            <w:tcW w:w="0" w:type="dxa"/>
            <w:vAlign w:val="bottom"/>
          </w:tcPr>
          <w:p>
            <w:pPr>
              <w:spacing w:after="0"/>
              <w:rPr>
                <w:sz w:val="1"/>
                <w:szCs w:val="1"/>
                <w:color w:val="auto"/>
              </w:rPr>
            </w:pPr>
          </w:p>
        </w:tc>
      </w:tr>
      <w:tr>
        <w:trPr>
          <w:trHeight w:val="174"/>
        </w:trPr>
        <w:tc>
          <w:tcPr>
            <w:tcW w:w="184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w w:val="98"/>
              </w:rPr>
              <w:t>UPC Revolving Facility</w:t>
            </w:r>
          </w:p>
        </w:tc>
        <w:tc>
          <w:tcPr>
            <w:tcW w:w="282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9"/>
              </w:rPr>
              <w:t>May 31, 2026   EURIBOR + 2.5%</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color w:val="auto"/>
              </w:rPr>
              <w:t>736.4</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2820" w:type="dxa"/>
            <w:vAlign w:val="bottom"/>
            <w:gridSpan w:val="4"/>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660" w:type="dxa"/>
            <w:vAlign w:val="bottom"/>
            <w:gridSpan w:val="6"/>
          </w:tcPr>
          <w:p>
            <w:pPr>
              <w:ind w:left="20"/>
              <w:spacing w:after="0"/>
              <w:rPr>
                <w:sz w:val="20"/>
                <w:szCs w:val="20"/>
                <w:color w:val="auto"/>
              </w:rPr>
            </w:pPr>
            <w:r>
              <w:rPr>
                <w:rFonts w:ascii="Arial" w:cs="Arial" w:eastAsia="Arial" w:hAnsi="Arial"/>
                <w:sz w:val="18"/>
                <w:szCs w:val="18"/>
                <w:color w:val="auto"/>
              </w:rPr>
              <w:t>Elimination of Facilities AQ and AZ in consolidation (c)</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(1,960.9)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(1,955.4)</w:t>
            </w:r>
          </w:p>
        </w:tc>
        <w:tc>
          <w:tcPr>
            <w:tcW w:w="0" w:type="dxa"/>
            <w:vAlign w:val="bottom"/>
          </w:tcPr>
          <w:p>
            <w:pPr>
              <w:spacing w:after="0"/>
              <w:rPr>
                <w:sz w:val="1"/>
                <w:szCs w:val="1"/>
                <w:color w:val="auto"/>
              </w:rPr>
            </w:pPr>
          </w:p>
        </w:tc>
      </w:tr>
      <w:tr>
        <w:trPr>
          <w:trHeight w:val="243"/>
        </w:trPr>
        <w:tc>
          <w:tcPr>
            <w:tcW w:w="1840" w:type="dxa"/>
            <w:vAlign w:val="bottom"/>
            <w:tcBorders>
              <w:top w:val="single" w:sz="8" w:color="CCEEFF"/>
              <w:bottom w:val="single" w:sz="8" w:color="CCEEFF"/>
            </w:tcBorders>
            <w:gridSpan w:val="2"/>
            <w:shd w:val="clear" w:color="auto" w:fill="CCEEFF"/>
          </w:tcPr>
          <w:p>
            <w:pPr>
              <w:ind w:left="140"/>
              <w:spacing w:after="0" w:line="205" w:lineRule="exact"/>
              <w:rPr>
                <w:sz w:val="20"/>
                <w:szCs w:val="20"/>
                <w:color w:val="auto"/>
              </w:rPr>
            </w:pPr>
            <w:r>
              <w:rPr>
                <w:rFonts w:ascii="Arial" w:cs="Arial" w:eastAsia="Arial" w:hAnsi="Arial"/>
                <w:sz w:val="18"/>
                <w:szCs w:val="18"/>
                <w:color w:val="auto"/>
              </w:rPr>
              <w:t>Total</w:t>
            </w: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4,120.9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4,093.7</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described in (c) below, amounts represent total third-party facility amounts at June 30, 2021.</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are net of deferred financing costs and discounts, where applicable.</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amounts outstanding under UPC Facilities AQ and AZ are eliminated in our condensed consolidated financial statements.</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UPC Facilities AT and AX are each subject to a LIBOR floor of 0.0%.</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UPC Facilities AU and AY are each subject to a EURIBOR floor of 0.0%.</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UPC Revolving Facility has a fee on unused commitments of 1.0%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jc w:val="center"/>
        <w:ind w:right="-99"/>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2"/>
          </w:tcPr>
          <w:p>
            <w:pPr>
              <w:jc w:val="right"/>
              <w:ind w:right="395"/>
              <w:spacing w:after="0"/>
              <w:rPr>
                <w:sz w:val="20"/>
                <w:szCs w:val="20"/>
                <w:color w:val="auto"/>
              </w:rPr>
            </w:pPr>
            <w:r>
              <w:rPr>
                <w:rFonts w:ascii="Arial" w:cs="Arial" w:eastAsia="Arial" w:hAnsi="Arial"/>
                <w:sz w:val="16"/>
                <w:szCs w:val="16"/>
                <w:b w:val="1"/>
                <w:bCs w:val="1"/>
                <w:color w:val="auto"/>
              </w:rPr>
              <w:t>Outstanding principal</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tcBorders>
              <w:bottom w:val="single" w:sz="8" w:color="auto"/>
            </w:tcBorders>
            <w:gridSpan w:val="2"/>
          </w:tcPr>
          <w:p>
            <w:pPr>
              <w:jc w:val="right"/>
              <w:ind w:right="815"/>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PCB SPE Notes</w:t>
            </w: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Maturity</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Interest rate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w w:val="88"/>
              </w:rPr>
              <w:t>Original issue</w:t>
            </w:r>
          </w:p>
        </w:tc>
        <w:tc>
          <w:tcPr>
            <w:tcW w:w="160" w:type="dxa"/>
            <w:vAlign w:val="bottom"/>
          </w:tcPr>
          <w:p>
            <w:pPr>
              <w:spacing w:after="0"/>
              <w:rPr>
                <w:sz w:val="16"/>
                <w:szCs w:val="16"/>
                <w:color w:val="auto"/>
              </w:rPr>
            </w:pPr>
          </w:p>
        </w:tc>
        <w:tc>
          <w:tcPr>
            <w:tcW w:w="1200" w:type="dxa"/>
            <w:vAlign w:val="bottom"/>
          </w:tcPr>
          <w:p>
            <w:pPr>
              <w:jc w:val="right"/>
              <w:ind w:right="297"/>
              <w:spacing w:after="0"/>
              <w:rPr>
                <w:sz w:val="20"/>
                <w:szCs w:val="20"/>
                <w:color w:val="auto"/>
              </w:rPr>
            </w:pPr>
            <w:r>
              <w:rPr>
                <w:rFonts w:ascii="Arial" w:cs="Arial" w:eastAsia="Arial" w:hAnsi="Arial"/>
                <w:sz w:val="16"/>
                <w:szCs w:val="16"/>
                <w:b w:val="1"/>
                <w:bCs w:val="1"/>
                <w:color w:val="auto"/>
                <w:w w:val="99"/>
              </w:rPr>
              <w:t>Borrowing</w:t>
            </w:r>
          </w:p>
        </w:tc>
        <w:tc>
          <w:tcPr>
            <w:tcW w:w="1100" w:type="dxa"/>
            <w:vAlign w:val="bottom"/>
          </w:tcPr>
          <w:p>
            <w:pPr>
              <w:jc w:val="right"/>
              <w:ind w:right="355"/>
              <w:spacing w:after="0"/>
              <w:rPr>
                <w:sz w:val="20"/>
                <w:szCs w:val="20"/>
                <w:color w:val="auto"/>
              </w:rPr>
            </w:pPr>
            <w:r>
              <w:rPr>
                <w:rFonts w:ascii="Arial" w:cs="Arial" w:eastAsia="Arial" w:hAnsi="Arial"/>
                <w:sz w:val="16"/>
                <w:szCs w:val="16"/>
                <w:b w:val="1"/>
                <w:bCs w:val="1"/>
                <w:color w:val="auto"/>
              </w:rPr>
              <w:t>U.S. $</w:t>
            </w:r>
          </w:p>
        </w:tc>
        <w:tc>
          <w:tcPr>
            <w:tcW w:w="100" w:type="dxa"/>
            <w:vAlign w:val="bottom"/>
          </w:tcPr>
          <w:p>
            <w:pPr>
              <w:spacing w:after="0"/>
              <w:rPr>
                <w:sz w:val="16"/>
                <w:szCs w:val="16"/>
                <w:color w:val="auto"/>
              </w:rPr>
            </w:pPr>
          </w:p>
        </w:tc>
        <w:tc>
          <w:tcPr>
            <w:tcW w:w="1100" w:type="dxa"/>
            <w:vAlign w:val="bottom"/>
          </w:tcPr>
          <w:p>
            <w:pPr>
              <w:jc w:val="right"/>
              <w:ind w:right="235"/>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0"/>
        </w:trPr>
        <w:tc>
          <w:tcPr>
            <w:tcW w:w="3620" w:type="dxa"/>
            <w:vAlign w:val="bottom"/>
            <w:gridSpan w:val="3"/>
            <w:vMerge w:val="continue"/>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jc w:val="right"/>
              <w:ind w:right="161"/>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1200" w:type="dxa"/>
            <w:vAlign w:val="bottom"/>
          </w:tcPr>
          <w:p>
            <w:pPr>
              <w:jc w:val="right"/>
              <w:ind w:right="277"/>
              <w:spacing w:after="0"/>
              <w:rPr>
                <w:sz w:val="20"/>
                <w:szCs w:val="20"/>
                <w:color w:val="auto"/>
              </w:rPr>
            </w:pPr>
            <w:r>
              <w:rPr>
                <w:rFonts w:ascii="Arial" w:cs="Arial" w:eastAsia="Arial" w:hAnsi="Arial"/>
                <w:sz w:val="16"/>
                <w:szCs w:val="16"/>
                <w:b w:val="1"/>
                <w:bCs w:val="1"/>
                <w:color w:val="auto"/>
              </w:rPr>
              <w:t>currency</w:t>
            </w:r>
          </w:p>
        </w:tc>
        <w:tc>
          <w:tcPr>
            <w:tcW w:w="1100" w:type="dxa"/>
            <w:vAlign w:val="bottom"/>
          </w:tcPr>
          <w:p>
            <w:pPr>
              <w:jc w:val="right"/>
              <w:ind w:right="115"/>
              <w:spacing w:after="0"/>
              <w:rPr>
                <w:sz w:val="20"/>
                <w:szCs w:val="20"/>
                <w:color w:val="auto"/>
              </w:rPr>
            </w:pPr>
            <w:r>
              <w:rPr>
                <w:rFonts w:ascii="Arial" w:cs="Arial" w:eastAsia="Arial" w:hAnsi="Arial"/>
                <w:sz w:val="16"/>
                <w:szCs w:val="16"/>
                <w:b w:val="1"/>
                <w:bCs w:val="1"/>
                <w:color w:val="auto"/>
              </w:rPr>
              <w:t>equivalent</w:t>
            </w:r>
          </w:p>
        </w:tc>
        <w:tc>
          <w:tcPr>
            <w:tcW w:w="100" w:type="dxa"/>
            <w:vAlign w:val="bottom"/>
          </w:tcPr>
          <w:p>
            <w:pPr>
              <w:spacing w:after="0"/>
              <w:rPr>
                <w:sz w:val="18"/>
                <w:szCs w:val="18"/>
                <w:color w:val="auto"/>
              </w:rPr>
            </w:pPr>
          </w:p>
        </w:tc>
        <w:tc>
          <w:tcPr>
            <w:tcW w:w="1100" w:type="dxa"/>
            <w:vAlign w:val="bottom"/>
          </w:tcPr>
          <w:p>
            <w:pPr>
              <w:jc w:val="right"/>
              <w:ind w:right="175"/>
              <w:spacing w:after="0"/>
              <w:rPr>
                <w:sz w:val="20"/>
                <w:szCs w:val="20"/>
                <w:color w:val="auto"/>
              </w:rPr>
            </w:pPr>
            <w:r>
              <w:rPr>
                <w:rFonts w:ascii="Arial" w:cs="Arial" w:eastAsia="Arial" w:hAnsi="Arial"/>
                <w:sz w:val="16"/>
                <w:szCs w:val="16"/>
                <w:b w:val="1"/>
                <w:bCs w:val="1"/>
                <w:color w:val="auto"/>
              </w:rPr>
              <w:t>value (a)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2"/>
          </w:tcPr>
          <w:p>
            <w:pPr>
              <w:jc w:val="right"/>
              <w:ind w:right="795"/>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5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PCB Finance VII Euro Notes</w:t>
            </w:r>
          </w:p>
        </w:tc>
        <w:tc>
          <w:tcPr>
            <w:tcW w:w="17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5"/>
              </w:rPr>
              <w:t>June 15, 2029</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3.625%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600.0 $</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100" w:type="dxa"/>
            <w:vAlign w:val="bottom"/>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0" w:type="dxa"/>
            <w:vAlign w:val="bottom"/>
          </w:tcPr>
          <w:p>
            <w:pPr>
              <w:spacing w:after="0"/>
              <w:rPr>
                <w:sz w:val="1"/>
                <w:szCs w:val="1"/>
                <w:color w:val="auto"/>
              </w:rPr>
            </w:pPr>
          </w:p>
        </w:tc>
      </w:tr>
      <w:tr>
        <w:trPr>
          <w:trHeight w:val="225"/>
        </w:trPr>
        <w:tc>
          <w:tcPr>
            <w:tcW w:w="3620" w:type="dxa"/>
            <w:vAlign w:val="bottom"/>
            <w:gridSpan w:val="3"/>
          </w:tcPr>
          <w:p>
            <w:pPr>
              <w:spacing w:after="0"/>
              <w:rPr>
                <w:sz w:val="20"/>
                <w:szCs w:val="20"/>
                <w:color w:val="auto"/>
              </w:rPr>
            </w:pPr>
            <w:r>
              <w:rPr>
                <w:rFonts w:ascii="Arial" w:cs="Arial" w:eastAsia="Arial" w:hAnsi="Arial"/>
                <w:sz w:val="18"/>
                <w:szCs w:val="18"/>
                <w:color w:val="auto"/>
              </w:rPr>
              <w:t>031 UPC Senior Secured Notes</w:t>
            </w: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July 15, 2031</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4.875%</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1,250.0</w:t>
            </w:r>
          </w:p>
        </w:tc>
        <w:tc>
          <w:tcPr>
            <w:tcW w:w="1100" w:type="dxa"/>
            <w:vAlign w:val="bottom"/>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1,960.9</w:t>
            </w:r>
          </w:p>
        </w:tc>
        <w:tc>
          <w:tcPr>
            <w:tcW w:w="100" w:type="dxa"/>
            <w:vAlign w:val="bottom"/>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580" w:hanging="474"/>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are net of deferred financing costs and discounts, where applicable.</w:t>
      </w:r>
    </w:p>
    <w:p>
      <w:pPr>
        <w:spacing w:after="0" w:line="2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VM Ireland Financing Transactions</w:t>
      </w:r>
    </w:p>
    <w:p>
      <w:pPr>
        <w:spacing w:after="0" w:line="238" w:lineRule="exact"/>
        <w:rPr>
          <w:sz w:val="20"/>
          <w:szCs w:val="20"/>
          <w:color w:val="auto"/>
        </w:rPr>
      </w:pPr>
    </w:p>
    <w:p>
      <w:pPr>
        <w:jc w:val="both"/>
        <w:ind w:left="100" w:firstLine="318"/>
        <w:spacing w:after="0" w:line="252" w:lineRule="auto"/>
        <w:rPr>
          <w:sz w:val="20"/>
          <w:szCs w:val="20"/>
          <w:color w:val="auto"/>
        </w:rPr>
      </w:pPr>
      <w:r>
        <w:rPr>
          <w:rFonts w:ascii="Arial" w:cs="Arial" w:eastAsia="Arial" w:hAnsi="Arial"/>
          <w:sz w:val="18"/>
          <w:szCs w:val="18"/>
          <w:color w:val="auto"/>
        </w:rPr>
        <w:t xml:space="preserve">In June 2021, VM Ireland entered into a credit facility (the </w:t>
      </w:r>
      <w:r>
        <w:rPr>
          <w:rFonts w:ascii="Arial" w:cs="Arial" w:eastAsia="Arial" w:hAnsi="Arial"/>
          <w:sz w:val="18"/>
          <w:szCs w:val="18"/>
          <w:b w:val="1"/>
          <w:bCs w:val="1"/>
          <w:color w:val="auto"/>
        </w:rPr>
        <w:t>VM Ireland Credit Facility</w:t>
      </w:r>
      <w:r>
        <w:rPr>
          <w:rFonts w:ascii="Arial" w:cs="Arial" w:eastAsia="Arial" w:hAnsi="Arial"/>
          <w:sz w:val="18"/>
          <w:szCs w:val="18"/>
          <w:color w:val="auto"/>
        </w:rPr>
        <w:t>), comprising (i) a €900.0 million ($1,066.4 million) term loan facility (</w:t>
      </w:r>
      <w:r>
        <w:rPr>
          <w:rFonts w:ascii="Arial" w:cs="Arial" w:eastAsia="Arial" w:hAnsi="Arial"/>
          <w:sz w:val="18"/>
          <w:szCs w:val="18"/>
          <w:b w:val="1"/>
          <w:bCs w:val="1"/>
          <w:color w:val="auto"/>
        </w:rPr>
        <w:t>VM Ireland Facility B1</w:t>
      </w:r>
      <w:r>
        <w:rPr>
          <w:rFonts w:ascii="Arial" w:cs="Arial" w:eastAsia="Arial" w:hAnsi="Arial"/>
          <w:sz w:val="18"/>
          <w:szCs w:val="18"/>
          <w:color w:val="auto"/>
        </w:rPr>
        <w:t xml:space="preserve">) and (ii) a €100.0 million ($118.5 million) revolving facility (the </w:t>
      </w:r>
      <w:r>
        <w:rPr>
          <w:rFonts w:ascii="Arial" w:cs="Arial" w:eastAsia="Arial" w:hAnsi="Arial"/>
          <w:sz w:val="18"/>
          <w:szCs w:val="18"/>
          <w:b w:val="1"/>
          <w:bCs w:val="1"/>
          <w:color w:val="auto"/>
        </w:rPr>
        <w:t>VM Ireland Revolving Facility</w:t>
      </w:r>
      <w:r>
        <w:rPr>
          <w:rFonts w:ascii="Arial" w:cs="Arial" w:eastAsia="Arial" w:hAnsi="Arial"/>
          <w:sz w:val="18"/>
          <w:szCs w:val="18"/>
          <w:color w:val="auto"/>
        </w:rPr>
        <w:t>). VM Ireland Facility B1 was issued at 99.5% of par, matures on July 15, 2029 and bears interest at a rate of EURIBOR + 3.5%, subject to a EURIBOR floor of 0.0%. The VM Ireland Revolving Facility matures on September 15, 2027 and bears interest at a rate of EURIBOR + 2.75%. The proceeds from VM Ireland Facility B1 and the VM Ireland Revolving Facility can be used for general corporate purposes.</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Maturities of Debt</w:t>
      </w:r>
    </w:p>
    <w:p>
      <w:pPr>
        <w:spacing w:after="0" w:line="244" w:lineRule="exact"/>
        <w:rPr>
          <w:sz w:val="20"/>
          <w:szCs w:val="20"/>
          <w:color w:val="auto"/>
        </w:rPr>
      </w:pPr>
    </w:p>
    <w:p>
      <w:pPr>
        <w:jc w:val="both"/>
        <w:ind w:left="100" w:firstLine="318"/>
        <w:spacing w:after="0" w:line="264" w:lineRule="auto"/>
        <w:rPr>
          <w:sz w:val="20"/>
          <w:szCs w:val="20"/>
          <w:color w:val="auto"/>
        </w:rPr>
      </w:pPr>
      <w:r>
        <w:rPr>
          <w:rFonts w:ascii="Arial" w:cs="Arial" w:eastAsia="Arial" w:hAnsi="Arial"/>
          <w:sz w:val="18"/>
          <w:szCs w:val="18"/>
          <w:color w:val="auto"/>
        </w:rPr>
        <w:t>Maturities of our debt as of June 30, 2021 are presented below for the named entity and its subsidiaries, unless otherwise noted, and represent U.S. dollar equivalents based on June 30, 2021 exchange rates.</w:t>
      </w:r>
    </w:p>
    <w:p>
      <w:pPr>
        <w:spacing w:after="0" w:line="75"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UPC</w:t>
            </w:r>
          </w:p>
        </w:tc>
        <w:tc>
          <w:tcPr>
            <w:tcW w:w="200" w:type="dxa"/>
            <w:vAlign w:val="bottom"/>
          </w:tcPr>
          <w:p>
            <w:pPr>
              <w:spacing w:after="0"/>
              <w:rPr>
                <w:sz w:val="16"/>
                <w:szCs w:val="16"/>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Telenet</w:t>
            </w:r>
          </w:p>
        </w:tc>
        <w:tc>
          <w:tcPr>
            <w:tcW w:w="120" w:type="dxa"/>
            <w:vAlign w:val="bottom"/>
          </w:tcPr>
          <w:p>
            <w:pPr>
              <w:spacing w:after="0"/>
              <w:rPr>
                <w:sz w:val="16"/>
                <w:szCs w:val="16"/>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VM Ireland</w:t>
            </w:r>
          </w:p>
        </w:tc>
        <w:tc>
          <w:tcPr>
            <w:tcW w:w="240" w:type="dxa"/>
            <w:vAlign w:val="bottom"/>
          </w:tcPr>
          <w:p>
            <w:pPr>
              <w:spacing w:after="0"/>
              <w:rPr>
                <w:sz w:val="16"/>
                <w:szCs w:val="16"/>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6"/>
                <w:szCs w:val="16"/>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3"/>
              </w:rPr>
              <w:t>Holding (a)</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in millions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40" w:type="dxa"/>
            <w:vAlign w:val="bottom"/>
          </w:tcPr>
          <w:p>
            <w:pPr>
              <w:ind w:left="140"/>
              <w:spacing w:after="0"/>
              <w:rPr>
                <w:sz w:val="20"/>
                <w:szCs w:val="20"/>
                <w:color w:val="auto"/>
              </w:rPr>
            </w:pPr>
            <w:r>
              <w:rPr>
                <w:rFonts w:ascii="Arial" w:cs="Arial" w:eastAsia="Arial" w:hAnsi="Arial"/>
                <w:sz w:val="18"/>
                <w:szCs w:val="18"/>
                <w:color w:val="auto"/>
              </w:rPr>
              <w:t>2021 (remainder of year)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0" w:type="dxa"/>
            <w:vAlign w:val="bottom"/>
          </w:tcPr>
          <w:p>
            <w:pPr>
              <w:spacing w:after="0"/>
              <w:rPr>
                <w:sz w:val="1"/>
                <w:szCs w:val="1"/>
                <w:color w:val="auto"/>
              </w:rPr>
            </w:pPr>
          </w:p>
        </w:tc>
      </w:tr>
      <w:tr>
        <w:trPr>
          <w:trHeight w:val="225"/>
        </w:trPr>
        <w:tc>
          <w:tcPr>
            <w:tcW w:w="5240" w:type="dxa"/>
            <w:vAlign w:val="bottom"/>
          </w:tcPr>
          <w:p>
            <w:pPr>
              <w:ind w:left="14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5"/>
        </w:trPr>
        <w:tc>
          <w:tcPr>
            <w:tcW w:w="5240" w:type="dxa"/>
            <w:vAlign w:val="bottom"/>
          </w:tcPr>
          <w:p>
            <w:pPr>
              <w:ind w:left="140"/>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5"/>
        </w:trPr>
        <w:tc>
          <w:tcPr>
            <w:tcW w:w="524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7,320.9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5,341.3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13,728.6</w:t>
            </w:r>
          </w:p>
        </w:tc>
        <w:tc>
          <w:tcPr>
            <w:tcW w:w="0" w:type="dxa"/>
            <w:vAlign w:val="bottom"/>
          </w:tcPr>
          <w:p>
            <w:pPr>
              <w:spacing w:after="0"/>
              <w:rPr>
                <w:sz w:val="1"/>
                <w:szCs w:val="1"/>
                <w:color w:val="auto"/>
              </w:rPr>
            </w:pPr>
          </w:p>
        </w:tc>
      </w:tr>
      <w:tr>
        <w:trPr>
          <w:trHeight w:val="219"/>
        </w:trPr>
        <w:tc>
          <w:tcPr>
            <w:tcW w:w="5240" w:type="dxa"/>
            <w:vAlign w:val="bottom"/>
            <w:tcBorders>
              <w:top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debt maturities (b)</w:t>
            </w: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5,812.7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14,797.3</w:t>
            </w:r>
          </w:p>
        </w:tc>
        <w:tc>
          <w:tcPr>
            <w:tcW w:w="0" w:type="dxa"/>
            <w:vAlign w:val="bottom"/>
          </w:tcPr>
          <w:p>
            <w:pPr>
              <w:spacing w:after="0"/>
              <w:rPr>
                <w:sz w:val="1"/>
                <w:szCs w:val="1"/>
                <w:color w:val="auto"/>
              </w:rPr>
            </w:pPr>
          </w:p>
        </w:tc>
      </w:tr>
      <w:tr>
        <w:trPr>
          <w:trHeight w:val="225"/>
        </w:trPr>
        <w:tc>
          <w:tcPr>
            <w:tcW w:w="5240" w:type="dxa"/>
            <w:vAlign w:val="bottom"/>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43"/>
        </w:trPr>
        <w:tc>
          <w:tcPr>
            <w:tcW w:w="5240" w:type="dxa"/>
            <w:vAlign w:val="bottom"/>
            <w:tcBorders>
              <w:top w:val="single" w:sz="8" w:color="CCEEFF"/>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debt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14,734.6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portion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240" w:type="dxa"/>
            <w:vAlign w:val="bottom"/>
            <w:vMerge w:val="continue"/>
          </w:tcPr>
          <w:p>
            <w:pPr>
              <w:spacing w:after="0"/>
              <w:rPr>
                <w:sz w:val="17"/>
                <w:szCs w:val="17"/>
                <w:color w:val="auto"/>
              </w:rPr>
            </w:pPr>
          </w:p>
        </w:tc>
        <w:tc>
          <w:tcPr>
            <w:tcW w:w="14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8" w:lineRule="exact"/>
              <w:rPr>
                <w:sz w:val="20"/>
                <w:szCs w:val="20"/>
                <w:color w:val="auto"/>
              </w:rPr>
            </w:pPr>
            <w:r>
              <w:rPr>
                <w:rFonts w:ascii="Arial" w:cs="Arial" w:eastAsia="Arial" w:hAnsi="Arial"/>
                <w:sz w:val="18"/>
                <w:szCs w:val="18"/>
                <w:color w:val="auto"/>
              </w:rPr>
              <w:t>407.9</w:t>
            </w:r>
          </w:p>
        </w:tc>
        <w:tc>
          <w:tcPr>
            <w:tcW w:w="100" w:type="dxa"/>
            <w:vAlign w:val="bottom"/>
          </w:tcPr>
          <w:p>
            <w:pPr>
              <w:spacing w:after="0"/>
              <w:rPr>
                <w:sz w:val="17"/>
                <w:szCs w:val="17"/>
                <w:color w:val="auto"/>
              </w:rPr>
            </w:pPr>
          </w:p>
        </w:tc>
        <w:tc>
          <w:tcPr>
            <w:tcW w:w="200" w:type="dxa"/>
            <w:vAlign w:val="bottom"/>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8" w:lineRule="exact"/>
              <w:rPr>
                <w:sz w:val="20"/>
                <w:szCs w:val="20"/>
                <w:color w:val="auto"/>
              </w:rPr>
            </w:pPr>
            <w:r>
              <w:rPr>
                <w:rFonts w:ascii="Arial" w:cs="Arial" w:eastAsia="Arial" w:hAnsi="Arial"/>
                <w:sz w:val="18"/>
                <w:szCs w:val="18"/>
                <w:color w:val="auto"/>
              </w:rPr>
              <w:t>424.2</w:t>
            </w:r>
          </w:p>
        </w:tc>
        <w:tc>
          <w:tcPr>
            <w:tcW w:w="10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8" w:lineRule="exact"/>
              <w:rPr>
                <w:sz w:val="20"/>
                <w:szCs w:val="20"/>
                <w:color w:val="auto"/>
              </w:rPr>
            </w:pPr>
            <w:r>
              <w:rPr>
                <w:rFonts w:ascii="Arial" w:cs="Arial" w:eastAsia="Arial" w:hAnsi="Arial"/>
                <w:sz w:val="18"/>
                <w:szCs w:val="18"/>
                <w:color w:val="auto"/>
              </w:rPr>
              <w:t>77.8</w:t>
            </w:r>
          </w:p>
        </w:tc>
        <w:tc>
          <w:tcPr>
            <w:tcW w:w="100" w:type="dxa"/>
            <w:vAlign w:val="bottom"/>
          </w:tcPr>
          <w:p>
            <w:pPr>
              <w:spacing w:after="0"/>
              <w:rPr>
                <w:sz w:val="17"/>
                <w:szCs w:val="17"/>
                <w:color w:val="auto"/>
              </w:rPr>
            </w:pPr>
          </w:p>
        </w:tc>
        <w:tc>
          <w:tcPr>
            <w:tcW w:w="240" w:type="dxa"/>
            <w:vAlign w:val="bottom"/>
          </w:tcPr>
          <w:p>
            <w:pPr>
              <w:jc w:val="right"/>
              <w:ind w:right="5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8" w:lineRule="exact"/>
              <w:rPr>
                <w:sz w:val="20"/>
                <w:szCs w:val="20"/>
                <w:color w:val="auto"/>
              </w:rPr>
            </w:pPr>
            <w:r>
              <w:rPr>
                <w:rFonts w:ascii="Arial" w:cs="Arial" w:eastAsia="Arial" w:hAnsi="Arial"/>
                <w:sz w:val="18"/>
                <w:szCs w:val="18"/>
                <w:color w:val="auto"/>
              </w:rPr>
              <w:t>909.9</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Noncurrent portion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13,824.7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580" w:hanging="474"/>
        <w:spacing w:after="0"/>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Amounts include certain senior secured notes issued by special purpose financing entities that are consolidated by UPC Holding and Liberty Global.</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61" w:lineRule="exact"/>
        <w:rPr>
          <w:rFonts w:ascii="Arial" w:cs="Arial" w:eastAsia="Arial" w:hAnsi="Arial"/>
          <w:sz w:val="15"/>
          <w:szCs w:val="15"/>
          <w:color w:val="auto"/>
        </w:rPr>
      </w:pPr>
    </w:p>
    <w:p>
      <w:pPr>
        <w:ind w:left="5640"/>
        <w:spacing w:after="0"/>
        <w:rPr>
          <w:rFonts w:ascii="Arial" w:cs="Arial" w:eastAsia="Arial" w:hAnsi="Arial"/>
          <w:sz w:val="15"/>
          <w:szCs w:val="15"/>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360"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480" w:hanging="474"/>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include vendor financing obligations of $1,009.2 million, as set forth below:</w:t>
      </w:r>
    </w:p>
    <w:p>
      <w:pPr>
        <w:spacing w:after="0" w:line="112"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UPC</w:t>
            </w:r>
          </w:p>
        </w:tc>
        <w:tc>
          <w:tcPr>
            <w:tcW w:w="200" w:type="dxa"/>
            <w:vAlign w:val="bottom"/>
          </w:tcPr>
          <w:p>
            <w:pPr>
              <w:spacing w:after="0"/>
              <w:rPr>
                <w:sz w:val="16"/>
                <w:szCs w:val="16"/>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Telenet</w:t>
            </w:r>
          </w:p>
        </w:tc>
        <w:tc>
          <w:tcPr>
            <w:tcW w:w="300" w:type="dxa"/>
            <w:vAlign w:val="bottom"/>
          </w:tcPr>
          <w:p>
            <w:pPr>
              <w:spacing w:after="0"/>
              <w:rPr>
                <w:sz w:val="16"/>
                <w:szCs w:val="1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6"/>
                <w:szCs w:val="16"/>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0"/>
              </w:rPr>
              <w:t>Holding</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140"/>
              <w:spacing w:after="0"/>
              <w:rPr>
                <w:sz w:val="20"/>
                <w:szCs w:val="20"/>
                <w:color w:val="auto"/>
              </w:rPr>
            </w:pPr>
            <w:r>
              <w:rPr>
                <w:rFonts w:ascii="Arial" w:cs="Arial" w:eastAsia="Arial" w:hAnsi="Arial"/>
                <w:sz w:val="18"/>
                <w:szCs w:val="18"/>
                <w:color w:val="auto"/>
              </w:rPr>
              <w:t>2021 (remainder of year)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220.5</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0" w:type="dxa"/>
            <w:vAlign w:val="bottom"/>
          </w:tcPr>
          <w:p>
            <w:pPr>
              <w:spacing w:after="0"/>
              <w:rPr>
                <w:sz w:val="1"/>
                <w:szCs w:val="1"/>
                <w:color w:val="auto"/>
              </w:rPr>
            </w:pPr>
          </w:p>
        </w:tc>
      </w:tr>
      <w:tr>
        <w:trPr>
          <w:trHeight w:val="225"/>
        </w:trPr>
        <w:tc>
          <w:tcPr>
            <w:tcW w:w="5600" w:type="dxa"/>
            <w:vAlign w:val="bottom"/>
          </w:tcPr>
          <w:p>
            <w:pPr>
              <w:ind w:left="14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5"/>
        </w:trPr>
        <w:tc>
          <w:tcPr>
            <w:tcW w:w="5600" w:type="dxa"/>
            <w:vAlign w:val="bottom"/>
          </w:tcPr>
          <w:p>
            <w:pPr>
              <w:ind w:left="14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vendor financing maturities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00" w:type="dxa"/>
            <w:vAlign w:val="bottom"/>
          </w:tcPr>
          <w:p>
            <w:pPr>
              <w:ind w:left="20"/>
              <w:spacing w:after="0" w:line="198" w:lineRule="exact"/>
              <w:rPr>
                <w:sz w:val="20"/>
                <w:szCs w:val="20"/>
                <w:color w:val="auto"/>
              </w:rPr>
            </w:pPr>
            <w:r>
              <w:rPr>
                <w:rFonts w:ascii="Arial" w:cs="Arial" w:eastAsia="Arial" w:hAnsi="Arial"/>
                <w:sz w:val="18"/>
                <w:szCs w:val="18"/>
                <w:color w:val="auto"/>
              </w:rPr>
              <w:t>Current portion</w:t>
            </w:r>
          </w:p>
        </w:tc>
        <w:tc>
          <w:tcPr>
            <w:tcW w:w="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407.9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411.9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77.8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2"/>
              <w:spacing w:after="0" w:line="198"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897.6</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portion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340" w:hanging="334"/>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enter into operating and finance leases for network equipment, real estate, mobile site sharing and vehicles. We provide residual value guarantees on certain of our vehicle leases.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Lease Balances</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right-of-use (</w:t>
      </w:r>
      <w:r>
        <w:rPr>
          <w:rFonts w:ascii="Arial" w:cs="Arial" w:eastAsia="Arial" w:hAnsi="Arial"/>
          <w:sz w:val="18"/>
          <w:szCs w:val="18"/>
          <w:b w:val="1"/>
          <w:bCs w:val="1"/>
          <w:color w:val="auto"/>
        </w:rPr>
        <w:t>ROU</w:t>
      </w:r>
      <w:r>
        <w:rPr>
          <w:rFonts w:ascii="Arial" w:cs="Arial" w:eastAsia="Arial" w:hAnsi="Arial"/>
          <w:sz w:val="18"/>
          <w:szCs w:val="18"/>
          <w:color w:val="auto"/>
        </w:rPr>
        <w:t>) assets and lease liabilities is set forth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1160" w:type="dxa"/>
            <w:vAlign w:val="bottom"/>
          </w:tcPr>
          <w:p>
            <w:pPr>
              <w:jc w:val="right"/>
              <w:ind w:right="114"/>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r>
      <w:tr>
        <w:trPr>
          <w:trHeight w:val="203"/>
        </w:trPr>
        <w:tc>
          <w:tcPr>
            <w:tcW w:w="8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4"/>
          </w:tcPr>
          <w:p>
            <w:pPr>
              <w:jc w:val="right"/>
              <w:ind w:right="914"/>
              <w:spacing w:after="0"/>
              <w:rPr>
                <w:sz w:val="20"/>
                <w:szCs w:val="20"/>
                <w:color w:val="auto"/>
              </w:rPr>
            </w:pPr>
            <w:r>
              <w:rPr>
                <w:rFonts w:ascii="Arial" w:cs="Arial" w:eastAsia="Arial" w:hAnsi="Arial"/>
                <w:sz w:val="16"/>
                <w:szCs w:val="16"/>
                <w:b w:val="1"/>
                <w:bCs w:val="1"/>
                <w:color w:val="auto"/>
              </w:rPr>
              <w:t>in millions</w:t>
            </w:r>
          </w:p>
        </w:tc>
      </w:tr>
      <w:tr>
        <w:trPr>
          <w:trHeight w:val="150"/>
        </w:trPr>
        <w:tc>
          <w:tcPr>
            <w:tcW w:w="8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Finance leases (a)</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466.6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477.8</w:t>
            </w:r>
          </w:p>
        </w:tc>
      </w:tr>
      <w:tr>
        <w:trPr>
          <w:trHeight w:val="226"/>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 (b)</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1,454.7</w:t>
            </w:r>
          </w:p>
        </w:tc>
      </w:tr>
      <w:tr>
        <w:trPr>
          <w:trHeight w:val="218"/>
        </w:trPr>
        <w:tc>
          <w:tcPr>
            <w:tcW w:w="8520" w:type="dxa"/>
            <w:vAlign w:val="bottom"/>
          </w:tcPr>
          <w:p>
            <w:pPr>
              <w:ind w:left="220"/>
              <w:spacing w:after="0" w:line="204" w:lineRule="exact"/>
              <w:rPr>
                <w:sz w:val="20"/>
                <w:szCs w:val="20"/>
                <w:color w:val="auto"/>
              </w:rPr>
            </w:pPr>
            <w:r>
              <w:rPr>
                <w:rFonts w:ascii="Arial" w:cs="Arial" w:eastAsia="Arial" w:hAnsi="Arial"/>
                <w:sz w:val="18"/>
                <w:szCs w:val="18"/>
                <w:color w:val="auto"/>
              </w:rPr>
              <w:t>Total ROU assets</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1,932.5</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2"/>
        </w:trPr>
        <w:tc>
          <w:tcPr>
            <w:tcW w:w="8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6"/>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 (c)</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w:t>
            </w:r>
          </w:p>
        </w:tc>
      </w:tr>
      <w:tr>
        <w:trPr>
          <w:trHeight w:val="225"/>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leases (d)</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1,447.7</w:t>
            </w:r>
          </w:p>
        </w:tc>
      </w:tr>
      <w:tr>
        <w:trPr>
          <w:trHeight w:val="244"/>
        </w:trPr>
        <w:tc>
          <w:tcPr>
            <w:tcW w:w="852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lease liabilities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2,004.2</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71" w:lineRule="auto"/>
        <w:tabs>
          <w:tab w:leader="none" w:pos="477"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finance lease ROU assets are included in property and equipment, net, on our condensed consolidated balance sheets. At June 30, 2021, the weighted average remaining lease term for finance leases was 22.6 years and the weighted average discount rate was 6.0%. During the six months ended June 30, 2021 and 2020, we recorded non-cash additions to our finance lease ROU assets (including amounts related to the U.K. JV Entities through the closing of the U.K. JV Transaction) of $19.6 million and $17.2 million, respectively.</w:t>
      </w:r>
    </w:p>
    <w:p>
      <w:pPr>
        <w:spacing w:after="0" w:line="203" w:lineRule="exact"/>
        <w:rPr>
          <w:rFonts w:ascii="Arial" w:cs="Arial" w:eastAsia="Arial" w:hAnsi="Arial"/>
          <w:sz w:val="17"/>
          <w:szCs w:val="17"/>
          <w:color w:val="auto"/>
        </w:rPr>
      </w:pPr>
    </w:p>
    <w:p>
      <w:pPr>
        <w:jc w:val="both"/>
        <w:ind w:left="480" w:hanging="474"/>
        <w:spacing w:after="0" w:line="255" w:lineRule="auto"/>
        <w:tabs>
          <w:tab w:leader="none" w:pos="474"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operating lease ROU assets are included in other assets, net, on our condensed consolidated balance sheets. At June 30, 2021, the weighted average remaining lease term for operating leases was 12.4 years and the weighted average discount rate was 5.8%. During the six months ended June 30, 2021 and 2020, we recorded non-cash additions to our</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480"/>
        <w:spacing w:after="0" w:line="264" w:lineRule="auto"/>
        <w:rPr>
          <w:sz w:val="20"/>
          <w:szCs w:val="20"/>
          <w:color w:val="auto"/>
        </w:rPr>
      </w:pPr>
      <w:r>
        <w:rPr>
          <w:rFonts w:ascii="Arial" w:cs="Arial" w:eastAsia="Arial" w:hAnsi="Arial"/>
          <w:sz w:val="18"/>
          <w:szCs w:val="18"/>
          <w:color w:val="auto"/>
        </w:rPr>
        <w:t>operating lease ROU assets (including amounts related to the U.K. JV Entities through the closing of the U.K. JV Transaction) of $60.4 million and $53.2 million, respectively.</w:t>
      </w:r>
    </w:p>
    <w:p>
      <w:pPr>
        <w:spacing w:after="0" w:line="207" w:lineRule="exact"/>
        <w:rPr>
          <w:sz w:val="20"/>
          <w:szCs w:val="20"/>
          <w:color w:val="auto"/>
        </w:rPr>
      </w:pPr>
    </w:p>
    <w:p>
      <w:pPr>
        <w:ind w:left="480" w:hanging="474"/>
        <w:spacing w:after="0" w:line="264" w:lineRule="auto"/>
        <w:tabs>
          <w:tab w:leader="none" w:pos="47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current and long-term portions of our finance lease liabilities are included within current portion of debt and finance lease liabilities and long-term debt and finance lease liabilities, respectively, on our condensed consolidated balance sheets.</w:t>
      </w:r>
    </w:p>
    <w:p>
      <w:pPr>
        <w:spacing w:after="0" w:line="207"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current and long-term portions of our operating lease liabilities are included within other accrued and current liabilities and other long-term liabilities, respectively, on our condensed consolidated balance sheets.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aggregate lease expense is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2280" w:type="dxa"/>
            <w:vAlign w:val="bottom"/>
            <w:gridSpan w:val="4"/>
          </w:tcPr>
          <w:p>
            <w:pPr>
              <w:jc w:val="right"/>
              <w:ind w:right="135"/>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20" w:type="dxa"/>
            <w:vAlign w:val="bottom"/>
            <w:gridSpan w:val="4"/>
          </w:tcPr>
          <w:p>
            <w:pPr>
              <w:jc w:val="right"/>
              <w:ind w:right="673"/>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6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6"/>
                <w:szCs w:val="16"/>
                <w:b w:val="1"/>
                <w:bCs w:val="1"/>
                <w:color w:val="auto"/>
              </w:rPr>
              <w:t>June 30,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r>
      <w:tr>
        <w:trPr>
          <w:trHeight w:val="205"/>
        </w:trPr>
        <w:tc>
          <w:tcPr>
            <w:tcW w:w="568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03"/>
        </w:trPr>
        <w:tc>
          <w:tcPr>
            <w:tcW w:w="5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63"/>
        </w:trPr>
        <w:tc>
          <w:tcPr>
            <w:tcW w:w="5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expense:</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56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19.5</w:t>
            </w:r>
          </w:p>
        </w:tc>
        <w:tc>
          <w:tcPr>
            <w:tcW w:w="120" w:type="dxa"/>
            <w:vAlign w:val="bottom"/>
          </w:tcPr>
          <w:p>
            <w:pPr>
              <w:spacing w:after="0"/>
              <w:rPr>
                <w:sz w:val="19"/>
                <w:szCs w:val="19"/>
                <w:color w:val="auto"/>
              </w:rPr>
            </w:pP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26"/>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18"/>
        </w:trPr>
        <w:tc>
          <w:tcPr>
            <w:tcW w:w="5680" w:type="dxa"/>
            <w:vAlign w:val="bottom"/>
            <w:tcBorders>
              <w:bottom w:val="single" w:sz="8" w:color="CCEEFF"/>
            </w:tcBorders>
          </w:tcPr>
          <w:p>
            <w:pPr>
              <w:ind w:left="260"/>
              <w:spacing w:after="0" w:line="204" w:lineRule="exact"/>
              <w:rPr>
                <w:sz w:val="20"/>
                <w:szCs w:val="20"/>
                <w:color w:val="auto"/>
              </w:rPr>
            </w:pPr>
            <w:r>
              <w:rPr>
                <w:rFonts w:ascii="Arial" w:cs="Arial" w:eastAsia="Arial" w:hAnsi="Arial"/>
                <w:sz w:val="18"/>
                <w:szCs w:val="18"/>
                <w:color w:val="auto"/>
              </w:rPr>
              <w:t>Total finance lease expense</w:t>
            </w: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27.8</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r>
      <w:tr>
        <w:trPr>
          <w:trHeight w:val="219"/>
        </w:trPr>
        <w:tc>
          <w:tcPr>
            <w:tcW w:w="56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lease expense (a)</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63.8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Short-term lease expense (a)</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 (b)</w:t>
            </w: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8"/>
        </w:trPr>
        <w:tc>
          <w:tcPr>
            <w:tcW w:w="5680" w:type="dxa"/>
            <w:vAlign w:val="bottom"/>
          </w:tcPr>
          <w:p>
            <w:pPr>
              <w:ind w:left="380"/>
              <w:spacing w:after="0" w:line="204" w:lineRule="exact"/>
              <w:rPr>
                <w:sz w:val="20"/>
                <w:szCs w:val="20"/>
                <w:color w:val="auto"/>
              </w:rPr>
            </w:pPr>
            <w:r>
              <w:rPr>
                <w:rFonts w:ascii="Arial" w:cs="Arial" w:eastAsia="Arial" w:hAnsi="Arial"/>
                <w:sz w:val="18"/>
                <w:szCs w:val="18"/>
                <w:color w:val="auto"/>
              </w:rPr>
              <w:t>Total lease expense</w:t>
            </w: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94.2</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r>
      <w:tr>
        <w:trPr>
          <w:trHeight w:val="20"/>
        </w:trPr>
        <w:tc>
          <w:tcPr>
            <w:tcW w:w="5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94" w:lineRule="auto"/>
        <w:tabs>
          <w:tab w:leader="none" w:pos="477"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operating lease expense and short-term lease expense are included in programming and other direct costs of services, other operating expenses, SG&amp;A expenses and impairment, restructuring and other operating items in our condensed consolidated statements of operations.</w:t>
      </w:r>
    </w:p>
    <w:p>
      <w:pPr>
        <w:spacing w:after="0" w:line="183" w:lineRule="exact"/>
        <w:rPr>
          <w:rFonts w:ascii="Arial" w:cs="Arial" w:eastAsia="Arial" w:hAnsi="Arial"/>
          <w:sz w:val="17"/>
          <w:szCs w:val="17"/>
          <w:color w:val="auto"/>
        </w:rPr>
      </w:pPr>
    </w:p>
    <w:p>
      <w:pPr>
        <w:jc w:val="both"/>
        <w:ind w:left="480" w:hanging="474"/>
        <w:spacing w:after="0" w:line="255" w:lineRule="auto"/>
        <w:tabs>
          <w:tab w:leader="none" w:pos="474"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condensed consolidated statements of operations.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cash outflows from operating and finance leases is set forth below:</w:t>
      </w:r>
    </w:p>
    <w:p>
      <w:pPr>
        <w:spacing w:after="0" w:line="129"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Six months ended</w:t>
      </w:r>
    </w:p>
    <w:p>
      <w:pPr>
        <w:jc w:val="center"/>
        <w:ind w:left="8500"/>
        <w:spacing w:after="0"/>
        <w:rPr>
          <w:sz w:val="20"/>
          <w:szCs w:val="20"/>
          <w:color w:val="auto"/>
        </w:rPr>
      </w:pPr>
      <w:r>
        <w:rPr>
          <w:rFonts w:ascii="Arial" w:cs="Arial" w:eastAsia="Arial" w:hAnsi="Arial"/>
          <w:sz w:val="16"/>
          <w:szCs w:val="16"/>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02"/>
        </w:trPr>
        <w:tc>
          <w:tcPr>
            <w:tcW w:w="8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r>
      <w:tr>
        <w:trPr>
          <w:trHeight w:val="163"/>
        </w:trPr>
        <w:tc>
          <w:tcPr>
            <w:tcW w:w="8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Operating cash outflows from operating leases</w:t>
            </w:r>
          </w:p>
        </w:tc>
        <w:tc>
          <w:tcPr>
            <w:tcW w:w="820" w:type="dxa"/>
            <w:vAlign w:val="bottom"/>
          </w:tcPr>
          <w:p>
            <w:pPr>
              <w:jc w:val="right"/>
              <w:ind w:right="63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134.3</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6"/>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outflows from finance leases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25"/>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cash outflows from finance leases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r>
      <w:tr>
        <w:trPr>
          <w:trHeight w:val="243"/>
        </w:trPr>
        <w:tc>
          <w:tcPr>
            <w:tcW w:w="852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cash outflows from operating and finance leases</w:t>
            </w: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189.3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Maturities of our operating and finance lease liabilities as of June 30, 2021 are presented below. Amounts represent U.S. dollar equivalents based 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June 30, 2021 exchange rates: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20" w:type="dxa"/>
            <w:vAlign w:val="bottom"/>
          </w:tcPr>
          <w:p>
            <w:pPr>
              <w:spacing w:after="0"/>
              <w:rPr>
                <w:sz w:val="16"/>
                <w:szCs w:val="16"/>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Operating leases</w:t>
            </w:r>
          </w:p>
        </w:tc>
        <w:tc>
          <w:tcPr>
            <w:tcW w:w="320" w:type="dxa"/>
            <w:vAlign w:val="bottom"/>
          </w:tcPr>
          <w:p>
            <w:pPr>
              <w:spacing w:after="0"/>
              <w:rPr>
                <w:sz w:val="16"/>
                <w:szCs w:val="16"/>
                <w:color w:val="auto"/>
              </w:rPr>
            </w:pPr>
          </w:p>
        </w:tc>
        <w:tc>
          <w:tcPr>
            <w:tcW w:w="980" w:type="dxa"/>
            <w:vAlign w:val="bottom"/>
          </w:tcPr>
          <w:p>
            <w:pPr>
              <w:jc w:val="right"/>
              <w:ind w:right="313"/>
              <w:spacing w:after="0"/>
              <w:rPr>
                <w:sz w:val="20"/>
                <w:szCs w:val="20"/>
                <w:color w:val="auto"/>
              </w:rPr>
            </w:pPr>
            <w:r>
              <w:rPr>
                <w:rFonts w:ascii="Arial" w:cs="Arial" w:eastAsia="Arial" w:hAnsi="Arial"/>
                <w:sz w:val="16"/>
                <w:szCs w:val="16"/>
                <w:b w:val="1"/>
                <w:bCs w:val="1"/>
                <w:color w:val="auto"/>
                <w:w w:val="92"/>
              </w:rPr>
              <w:t>Finance</w:t>
            </w:r>
          </w:p>
        </w:tc>
        <w:tc>
          <w:tcPr>
            <w:tcW w:w="0" w:type="dxa"/>
            <w:vAlign w:val="bottom"/>
          </w:tcPr>
          <w:p>
            <w:pPr>
              <w:spacing w:after="0"/>
              <w:rPr>
                <w:sz w:val="1"/>
                <w:szCs w:val="1"/>
                <w:color w:val="auto"/>
              </w:rPr>
            </w:pPr>
          </w:p>
        </w:tc>
      </w:tr>
      <w:tr>
        <w:trPr>
          <w:trHeight w:val="210"/>
        </w:trPr>
        <w:tc>
          <w:tcPr>
            <w:tcW w:w="8520" w:type="dxa"/>
            <w:vAlign w:val="bottom"/>
          </w:tcPr>
          <w:p>
            <w:pPr>
              <w:spacing w:after="0"/>
              <w:rPr>
                <w:sz w:val="18"/>
                <w:szCs w:val="18"/>
                <w:color w:val="auto"/>
              </w:rPr>
            </w:pPr>
          </w:p>
        </w:tc>
        <w:tc>
          <w:tcPr>
            <w:tcW w:w="1420" w:type="dxa"/>
            <w:vAlign w:val="bottom"/>
            <w:tcBorders>
              <w:bottom w:val="single" w:sz="8" w:color="auto"/>
            </w:tcBorders>
            <w:gridSpan w:val="3"/>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leases</w:t>
            </w:r>
          </w:p>
        </w:tc>
        <w:tc>
          <w:tcPr>
            <w:tcW w:w="0" w:type="dxa"/>
            <w:vAlign w:val="bottom"/>
          </w:tcPr>
          <w:p>
            <w:pPr>
              <w:spacing w:after="0"/>
              <w:rPr>
                <w:sz w:val="1"/>
                <w:szCs w:val="1"/>
                <w:color w:val="auto"/>
              </w:rPr>
            </w:pPr>
          </w:p>
        </w:tc>
      </w:tr>
      <w:tr>
        <w:trPr>
          <w:trHeight w:val="203"/>
        </w:trPr>
        <w:tc>
          <w:tcPr>
            <w:tcW w:w="8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2021 (remainder of year)</w:t>
            </w:r>
          </w:p>
        </w:tc>
        <w:tc>
          <w:tcPr>
            <w:tcW w:w="400" w:type="dxa"/>
            <w:vAlign w:val="bottom"/>
          </w:tcPr>
          <w:p>
            <w:pPr>
              <w:jc w:val="right"/>
              <w:ind w:right="21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6"/>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26"/>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6"/>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5"/>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payments</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w:t>
            </w:r>
          </w:p>
        </w:tc>
        <w:tc>
          <w:tcPr>
            <w:tcW w:w="0" w:type="dxa"/>
            <w:vAlign w:val="bottom"/>
          </w:tcPr>
          <w:p>
            <w:pPr>
              <w:spacing w:after="0"/>
              <w:rPr>
                <w:sz w:val="1"/>
                <w:szCs w:val="1"/>
                <w:color w:val="auto"/>
              </w:rPr>
            </w:pPr>
          </w:p>
        </w:tc>
      </w:tr>
      <w:tr>
        <w:trPr>
          <w:trHeight w:val="225"/>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Present value of lease payments</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portion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52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213"/>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185.1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5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Noncurrent portion</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460" w:hanging="454"/>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Income tax benefit (expense) attributable to our earnings (loss) before income taxes differs from the amounts computed using the applicable income tax rate as a result of the following factors:</w:t>
      </w:r>
    </w:p>
    <w:tbl>
      <w:tblPr>
        <w:tblLayout w:type="fixed"/>
        <w:tblInd w:w="0"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ind w:left="200"/>
              <w:spacing w:after="0" w:line="167" w:lineRule="exact"/>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4"/>
                <w:szCs w:val="14"/>
                <w:color w:val="auto"/>
              </w:rPr>
            </w:pPr>
          </w:p>
        </w:tc>
        <w:tc>
          <w:tcPr>
            <w:tcW w:w="2140" w:type="dxa"/>
            <w:vAlign w:val="bottom"/>
            <w:gridSpan w:val="4"/>
          </w:tcPr>
          <w:p>
            <w:pPr>
              <w:jc w:val="right"/>
              <w:ind w:right="612"/>
              <w:spacing w:after="0" w:line="167" w:lineRule="exact"/>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6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“expected” tax benefit (expense)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5"/>
        </w:trPr>
        <w:tc>
          <w:tcPr>
            <w:tcW w:w="6240" w:type="dxa"/>
            <w:vAlign w:val="bottom"/>
          </w:tcPr>
          <w:p>
            <w:pPr>
              <w:ind w:left="20"/>
              <w:spacing w:after="0"/>
              <w:rPr>
                <w:sz w:val="20"/>
                <w:szCs w:val="20"/>
                <w:color w:val="auto"/>
              </w:rPr>
            </w:pPr>
            <w:r>
              <w:rPr>
                <w:rFonts w:ascii="Arial" w:cs="Arial" w:eastAsia="Arial" w:hAnsi="Arial"/>
                <w:sz w:val="18"/>
                <w:szCs w:val="18"/>
                <w:color w:val="auto"/>
              </w:rPr>
              <w:t>Non-taxable gain associated with the U.K. JV Transaction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5"/>
        </w:trPr>
        <w:tc>
          <w:tcPr>
            <w:tcW w:w="6240" w:type="dxa"/>
            <w:vAlign w:val="bottom"/>
          </w:tcPr>
          <w:p>
            <w:pPr>
              <w:ind w:left="20"/>
              <w:spacing w:after="0"/>
              <w:rPr>
                <w:sz w:val="20"/>
                <w:szCs w:val="20"/>
                <w:color w:val="auto"/>
              </w:rPr>
            </w:pPr>
            <w:r>
              <w:rPr>
                <w:rFonts w:ascii="Arial" w:cs="Arial" w:eastAsia="Arial" w:hAnsi="Arial"/>
                <w:sz w:val="18"/>
                <w:szCs w:val="18"/>
                <w:color w:val="auto"/>
              </w:rPr>
              <w:t>Non-deductible or non-taxable foreign currency exchange results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rate differences (b)</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5"/>
        </w:trPr>
        <w:tc>
          <w:tcPr>
            <w:tcW w:w="6240" w:type="dxa"/>
            <w:vAlign w:val="bottom"/>
          </w:tcPr>
          <w:p>
            <w:pPr>
              <w:ind w:left="20"/>
              <w:spacing w:after="0"/>
              <w:rPr>
                <w:sz w:val="20"/>
                <w:szCs w:val="20"/>
                <w:color w:val="auto"/>
              </w:rPr>
            </w:pPr>
            <w:r>
              <w:rPr>
                <w:rFonts w:ascii="Arial" w:cs="Arial" w:eastAsia="Arial" w:hAnsi="Arial"/>
                <w:sz w:val="18"/>
                <w:szCs w:val="18"/>
                <w:color w:val="auto"/>
              </w:rPr>
              <w:t>Non-deductible or non-taxable interest and other items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174"/>
        </w:trPr>
        <w:tc>
          <w:tcPr>
            <w:tcW w:w="62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3"/>
              </w:rPr>
              <w:t>Basis and other differences in the treatment of items associated with investments in</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4"/>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subsidiaries and affiliates (c)</w:t>
            </w: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40" w:type="dxa"/>
            <w:vAlign w:val="bottom"/>
          </w:tcPr>
          <w:p>
            <w:pPr>
              <w:ind w:left="20"/>
              <w:spacing w:after="0"/>
              <w:rPr>
                <w:sz w:val="20"/>
                <w:szCs w:val="20"/>
                <w:color w:val="auto"/>
              </w:rPr>
            </w:pPr>
            <w:r>
              <w:rPr>
                <w:rFonts w:ascii="Arial" w:cs="Arial" w:eastAsia="Arial" w:hAnsi="Arial"/>
                <w:sz w:val="18"/>
                <w:szCs w:val="18"/>
                <w:color w:val="auto"/>
              </w:rPr>
              <w:t>Recognition of previously unrecognized tax benefits</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2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associated with technology innovation (d)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5"/>
        </w:trPr>
        <w:tc>
          <w:tcPr>
            <w:tcW w:w="6240" w:type="dxa"/>
            <w:vAlign w:val="bottom"/>
          </w:tcPr>
          <w:p>
            <w:pPr>
              <w:ind w:left="20"/>
              <w:spacing w:after="0"/>
              <w:rPr>
                <w:sz w:val="20"/>
                <w:szCs w:val="20"/>
                <w:color w:val="auto"/>
              </w:rPr>
            </w:pPr>
            <w:r>
              <w:rPr>
                <w:rFonts w:ascii="Arial" w:cs="Arial" w:eastAsia="Arial" w:hAnsi="Arial"/>
                <w:sz w:val="18"/>
                <w:szCs w:val="18"/>
                <w:color w:val="auto"/>
              </w:rPr>
              <w:t>Enacted tax law and rate changes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8"/>
        </w:trPr>
        <w:tc>
          <w:tcPr>
            <w:tcW w:w="6240" w:type="dxa"/>
            <w:vAlign w:val="bottom"/>
          </w:tcPr>
          <w:p>
            <w:pPr>
              <w:ind w:left="340"/>
              <w:spacing w:after="0" w:line="204" w:lineRule="exact"/>
              <w:rPr>
                <w:sz w:val="20"/>
                <w:szCs w:val="20"/>
                <w:color w:val="auto"/>
              </w:rPr>
            </w:pPr>
            <w:r>
              <w:rPr>
                <w:rFonts w:ascii="Arial" w:cs="Arial" w:eastAsia="Arial" w:hAnsi="Arial"/>
                <w:sz w:val="18"/>
                <w:szCs w:val="18"/>
                <w:color w:val="auto"/>
              </w:rPr>
              <w:t>Total income tax benefit (expense)</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2" w:lineRule="auto"/>
        <w:tabs>
          <w:tab w:leader="none" w:pos="47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statutory or “expected” tax rates are the U.K. rates of 19.0% for the 2021 period and 17.5% for the 2020 period. The statutory rate for the 2020 period represents the blended rate in effect for the year ended December 31, 2020 based on the 19.0% statutory rate that was in effect for the first quarter of 2020 and the 17.0% statutory rate that was expected to be in effect for the remainder of 2020. On July 22, 2020, legislation was enacted in the U.K. to maintain the corporate income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left="480"/>
        <w:spacing w:after="0" w:line="330" w:lineRule="auto"/>
        <w:rPr>
          <w:sz w:val="20"/>
          <w:szCs w:val="20"/>
          <w:color w:val="auto"/>
        </w:rPr>
      </w:pPr>
      <w:r>
        <w:rPr>
          <w:rFonts w:ascii="Arial" w:cs="Arial" w:eastAsia="Arial" w:hAnsi="Arial"/>
          <w:sz w:val="15"/>
          <w:szCs w:val="15"/>
          <w:color w:val="auto"/>
        </w:rPr>
        <w:t>tax rate at 19.0%, reversing previous legislation that had reduced the U.K. rate to 17.0% from April 1, 2020. The impact of this rate change on our deferred balances was recorded during the third quarter of 2020. On June 10, 2021, legislation was enacted in the U.K. to increase the U.K. corporate income tax rate to 25.0% from April 1, 2023. The impact of this rate change on our deferred balances was recorded during the second quarter of 2021.</w:t>
      </w:r>
    </w:p>
    <w:p>
      <w:pPr>
        <w:spacing w:after="0" w:line="163" w:lineRule="exact"/>
        <w:rPr>
          <w:sz w:val="20"/>
          <w:szCs w:val="20"/>
          <w:color w:val="auto"/>
        </w:rPr>
      </w:pPr>
    </w:p>
    <w:p>
      <w:pPr>
        <w:ind w:left="480" w:hanging="474"/>
        <w:spacing w:after="0" w:line="264" w:lineRule="auto"/>
        <w:tabs>
          <w:tab w:leader="none" w:pos="47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reflect adjustments (either a benefit or expense) to the “expected” tax benefit (expense) for statutory rates in jurisdictions in which we operate outside of the U.K.</w:t>
      </w:r>
    </w:p>
    <w:p>
      <w:pPr>
        <w:spacing w:after="0" w:line="207" w:lineRule="exact"/>
        <w:rPr>
          <w:rFonts w:ascii="Arial" w:cs="Arial" w:eastAsia="Arial" w:hAnsi="Arial"/>
          <w:sz w:val="18"/>
          <w:szCs w:val="18"/>
          <w:color w:val="auto"/>
        </w:rPr>
      </w:pPr>
    </w:p>
    <w:p>
      <w:pPr>
        <w:ind w:left="480" w:hanging="474"/>
        <w:spacing w:after="0" w:line="264" w:lineRule="auto"/>
        <w:tabs>
          <w:tab w:leader="none" w:pos="47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reflect the net impact of differences in the treatment of income and loss items between financial reporting and tax accounting related to investments in subsidiaries and affiliates, including the effects of foreign earnings.</w:t>
      </w:r>
    </w:p>
    <w:p>
      <w:pPr>
        <w:spacing w:after="0" w:line="207" w:lineRule="exact"/>
        <w:rPr>
          <w:rFonts w:ascii="Arial" w:cs="Arial" w:eastAsia="Arial" w:hAnsi="Arial"/>
          <w:sz w:val="18"/>
          <w:szCs w:val="18"/>
          <w:color w:val="auto"/>
        </w:rPr>
      </w:pPr>
    </w:p>
    <w:p>
      <w:pPr>
        <w:ind w:left="480" w:hanging="474"/>
        <w:spacing w:after="0"/>
        <w:tabs>
          <w:tab w:leader="none" w:pos="4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Amounts reflect the recognition of the innovation income tax deduction in Belgium. The amount for the six months ended June 30, 2020 includes the</w:t>
      </w:r>
    </w:p>
    <w:p>
      <w:pPr>
        <w:spacing w:after="0" w:line="5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one-time effect of deductions related to prior periods.</w:t>
      </w:r>
    </w:p>
    <w:p>
      <w:pPr>
        <w:spacing w:after="0" w:line="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of June 30, 2021, our unrecognized tax benefits of $513.9 million included $391.2 million of unrecognized tax benefits that would have a favorable impact on our effective income tax rate if ultimately recognized, after considering amounts that we would expect to be offset by valuation allowances and other factors.</w:t>
      </w:r>
    </w:p>
    <w:p>
      <w:pPr>
        <w:spacing w:after="0" w:line="22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During the next 12 months, it is reasonably possible that the resolution of ongoing examinations by tax authorities, as well as the expiration of statutes of limitation and other items, could result in reductions to our unrecognized tax benefits related to tax positions taken as of June 30, 2021. The amount of any such reductions could range up to $85.0 million, substantially all of which would not have a positive impact on our effective tax rate. Other than the potential impacts of these ongoing examinations and the expected expiration of certain statutes of limitation, we do not expect any material changes to our unrecognized tax benefits during the next 12 months. No assurance can be given as to the nature or impact of any changes in our unrecognized tax positions during the next 12 months.</w:t>
      </w:r>
    </w:p>
    <w:p>
      <w:pPr>
        <w:spacing w:after="0" w:line="22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Certain of our subsidiaries are currently involved in income tax examinations in various jurisdictions in which we operate, including Belgium, the Netherlands, Poland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211" w:lineRule="exact"/>
        <w:rPr>
          <w:sz w:val="20"/>
          <w:szCs w:val="20"/>
          <w:color w:val="auto"/>
        </w:rPr>
      </w:pPr>
    </w:p>
    <w:p>
      <w:pPr>
        <w:ind w:left="480" w:hanging="474"/>
        <w:spacing w:after="0"/>
        <w:tabs>
          <w:tab w:leader="none" w:pos="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23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5"/>
          <w:szCs w:val="15"/>
          <w:i w:val="1"/>
          <w:iCs w:val="1"/>
          <w:color w:val="auto"/>
        </w:rPr>
        <w:t xml:space="preserve">Share Repurchases. </w:t>
      </w:r>
      <w:r>
        <w:rPr>
          <w:rFonts w:ascii="Arial" w:cs="Arial" w:eastAsia="Arial" w:hAnsi="Arial"/>
          <w:sz w:val="15"/>
          <w:szCs w:val="15"/>
          <w:color w:val="auto"/>
        </w:rPr>
        <w:t>During the six months ended June 30, 2021, we repurchased (i) 5,845,800 shares of our class A ordinary shares at an average price</w:t>
      </w:r>
      <w:r>
        <w:rPr>
          <w:rFonts w:ascii="Arial" w:cs="Arial" w:eastAsia="Arial" w:hAnsi="Arial"/>
          <w:sz w:val="15"/>
          <w:szCs w:val="15"/>
          <w:i w:val="1"/>
          <w:iCs w:val="1"/>
          <w:color w:val="auto"/>
        </w:rPr>
        <w:t xml:space="preserve"> </w:t>
      </w:r>
      <w:r>
        <w:rPr>
          <w:rFonts w:ascii="Arial" w:cs="Arial" w:eastAsia="Arial" w:hAnsi="Arial"/>
          <w:sz w:val="15"/>
          <w:szCs w:val="15"/>
          <w:color w:val="auto"/>
        </w:rPr>
        <w:t>per share of $27.11 and (ii) 19,814,500 shares of our class C ordinary shares at an average price per share of $25.74, for an aggregate purchase price of $668.6 million, including direct acquisition costs. At June 30, 2021, the remaining amount authorized for share repurchases under our existing repurchase program was $334.8 million. In July 2021, our board of directors authorized a new share repurchase program whereby we are committing to repurchase a minimum of 10% of our equity market capitalization annually for the next three years. Under the program, Liberty Global may acquire from time to time its Class A ordinary shares, Class C ordinary shares, or any combination of Class A and Class C ordinary shares. The program may be effected through open market transactions and/or privately negotiated transactions, which may include derivative transactions. The timing of the repurchase of shares pursuant to the program will depend on a variety of factors, including market conditions and applicable law. The program may be implemented in conjunction with brokers for the Company and other financial institutions with whom the Company has relationships within certain preset parameters and purchases may continue during closed periods in accordance with applicable restrictions. The program may be suspended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480" w:hanging="474"/>
        <w:spacing w:after="0"/>
        <w:tabs>
          <w:tab w:leader="none" w:pos="4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32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6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6"/>
                <w:szCs w:val="16"/>
                <w:b w:val="1"/>
                <w:bCs w:val="1"/>
                <w:color w:val="auto"/>
              </w:rPr>
              <w:t>June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140"/>
              <w:spacing w:after="0"/>
              <w:rPr>
                <w:sz w:val="20"/>
                <w:szCs w:val="20"/>
                <w:color w:val="auto"/>
              </w:rPr>
            </w:pPr>
            <w:r>
              <w:rPr>
                <w:rFonts w:ascii="Arial" w:cs="Arial" w:eastAsia="Arial" w:hAnsi="Arial"/>
                <w:sz w:val="18"/>
                <w:szCs w:val="18"/>
                <w:color w:val="auto"/>
              </w:rPr>
              <w:t>Performance-based incentive awards (a)</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21.6</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Non-performance based incentive awards (b)</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Liberty Global</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(d)</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80"/>
              <w:spacing w:after="0" w:line="205" w:lineRule="exact"/>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83.8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Included in: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60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SG&amp;A expense</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82.2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80"/>
              <w:spacing w:after="0" w:line="205" w:lineRule="exact"/>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83.8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8" w:lineRule="exact"/>
        <w:rPr>
          <w:sz w:val="20"/>
          <w:szCs w:val="20"/>
          <w:color w:val="auto"/>
        </w:rPr>
      </w:pPr>
    </w:p>
    <w:p>
      <w:pPr>
        <w:ind w:left="480" w:right="20" w:hanging="474"/>
        <w:spacing w:after="0" w:line="271" w:lineRule="auto"/>
        <w:tabs>
          <w:tab w:leader="none" w:pos="477"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performance-based restricted share units (</w:t>
      </w:r>
      <w:r>
        <w:rPr>
          <w:rFonts w:ascii="Arial" w:cs="Arial" w:eastAsia="Arial" w:hAnsi="Arial"/>
          <w:sz w:val="18"/>
          <w:szCs w:val="18"/>
          <w:b w:val="1"/>
          <w:bCs w:val="1"/>
          <w:color w:val="auto"/>
        </w:rPr>
        <w:t>PSUs</w:t>
      </w:r>
      <w:r>
        <w:rPr>
          <w:rFonts w:ascii="Arial" w:cs="Arial" w:eastAsia="Arial" w:hAnsi="Arial"/>
          <w:sz w:val="18"/>
          <w:szCs w:val="18"/>
          <w:color w:val="auto"/>
        </w:rPr>
        <w:t>), (ii) our 2019 CEO Performance Award and (iii) our 2019 Challenge Performance Awards.</w:t>
      </w:r>
    </w:p>
    <w:p>
      <w:pPr>
        <w:spacing w:after="0" w:line="201" w:lineRule="exact"/>
        <w:rPr>
          <w:rFonts w:ascii="Arial" w:cs="Arial" w:eastAsia="Arial" w:hAnsi="Arial"/>
          <w:sz w:val="18"/>
          <w:szCs w:val="18"/>
          <w:color w:val="auto"/>
        </w:rPr>
      </w:pPr>
    </w:p>
    <w:p>
      <w:pPr>
        <w:jc w:val="both"/>
        <w:ind w:left="480" w:hanging="474"/>
        <w:spacing w:after="0" w:line="318" w:lineRule="auto"/>
        <w:tabs>
          <w:tab w:leader="none" w:pos="474"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 April 2021 with respect to 2014 and 2015 grants and April 2020 with respect to 2013 grants, the compensation committee of our board of directors approved the extension of the expiration dates of outstanding share appreciation rights (</w:t>
      </w:r>
      <w:r>
        <w:rPr>
          <w:rFonts w:ascii="Arial" w:cs="Arial" w:eastAsia="Arial" w:hAnsi="Arial"/>
          <w:sz w:val="15"/>
          <w:szCs w:val="15"/>
          <w:b w:val="1"/>
          <w:bCs w:val="1"/>
          <w:color w:val="auto"/>
        </w:rPr>
        <w:t>SARs</w:t>
      </w:r>
      <w:r>
        <w:rPr>
          <w:rFonts w:ascii="Arial" w:cs="Arial" w:eastAsia="Arial" w:hAnsi="Arial"/>
          <w:sz w:val="15"/>
          <w:szCs w:val="15"/>
          <w:color w:val="auto"/>
        </w:rPr>
        <w:t>) and director options from a seven-year term to a ten-year term. Accordingly, the Black-Scholes fair values of the respective outstanding awards increased, resulting in the recognition of aggregate incremental share-based compensation expense of $22.7 million and $18.9 million during the second quarters of 2021 and 2020, respectively.</w:t>
      </w:r>
    </w:p>
    <w:p>
      <w:pPr>
        <w:spacing w:after="0" w:line="172" w:lineRule="exact"/>
        <w:rPr>
          <w:rFonts w:ascii="Arial" w:cs="Arial" w:eastAsia="Arial" w:hAnsi="Arial"/>
          <w:sz w:val="15"/>
          <w:szCs w:val="15"/>
          <w:color w:val="auto"/>
        </w:rPr>
      </w:pPr>
    </w:p>
    <w:p>
      <w:pPr>
        <w:jc w:val="both"/>
        <w:ind w:left="480" w:hanging="474"/>
        <w:spacing w:after="0" w:line="268" w:lineRule="auto"/>
        <w:tabs>
          <w:tab w:leader="none" w:pos="477"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 In addition, the 2021 amounts include compensation expense related to the 2021 Ventures Incentive Plan, as defined and described below.</w:t>
      </w:r>
    </w:p>
    <w:p>
      <w:pPr>
        <w:spacing w:after="0" w:line="207" w:lineRule="exact"/>
        <w:rPr>
          <w:rFonts w:ascii="Arial" w:cs="Arial" w:eastAsia="Arial" w:hAnsi="Arial"/>
          <w:sz w:val="17"/>
          <w:szCs w:val="17"/>
          <w:color w:val="auto"/>
        </w:rPr>
      </w:pPr>
    </w:p>
    <w:p>
      <w:pPr>
        <w:ind w:left="480" w:hanging="474"/>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primarily relate to share-based compensation expense associated with Telenet’s share-based incentive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color w:val="auto"/>
        </w:rPr>
        <w:t>The following table provides the aggregate number of options, SARs and performance-based share appreciation rights (</w:t>
      </w:r>
      <w:r>
        <w:rPr>
          <w:rFonts w:ascii="Arial" w:cs="Arial" w:eastAsia="Arial" w:hAnsi="Arial"/>
          <w:sz w:val="18"/>
          <w:szCs w:val="18"/>
          <w:b w:val="1"/>
          <w:bCs w:val="1"/>
          <w:color w:val="auto"/>
        </w:rPr>
        <w:t>PSARs</w:t>
      </w:r>
      <w:r>
        <w:rPr>
          <w:rFonts w:ascii="Arial" w:cs="Arial" w:eastAsia="Arial" w:hAnsi="Arial"/>
          <w:sz w:val="18"/>
          <w:szCs w:val="18"/>
          <w:color w:val="auto"/>
        </w:rPr>
        <w:t>) with respect to awards issued by Liberty Global that were (i) outstanding and (ii) exercisable as of June 30, 2021: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860" w:type="dxa"/>
            <w:vAlign w:val="bottom"/>
            <w:tcBorders>
              <w:bottom w:val="single" w:sz="8" w:color="auto"/>
            </w:tcBorders>
            <w:gridSpan w:val="4"/>
          </w:tcPr>
          <w:p>
            <w:pPr>
              <w:jc w:val="right"/>
              <w:ind w:right="1095"/>
              <w:spacing w:after="0"/>
              <w:rPr>
                <w:sz w:val="20"/>
                <w:szCs w:val="20"/>
                <w:color w:val="auto"/>
              </w:rPr>
            </w:pPr>
            <w:r>
              <w:rPr>
                <w:rFonts w:ascii="Arial" w:cs="Arial" w:eastAsia="Arial" w:hAnsi="Arial"/>
                <w:sz w:val="16"/>
                <w:szCs w:val="16"/>
                <w:b w:val="1"/>
                <w:bCs w:val="1"/>
                <w:color w:val="auto"/>
              </w:rPr>
              <w:t>Class A</w:t>
            </w:r>
          </w:p>
        </w:tc>
        <w:tc>
          <w:tcPr>
            <w:tcW w:w="100" w:type="dxa"/>
            <w:vAlign w:val="bottom"/>
          </w:tcPr>
          <w:p>
            <w:pPr>
              <w:spacing w:after="0"/>
              <w:rPr>
                <w:sz w:val="18"/>
                <w:szCs w:val="18"/>
                <w:color w:val="auto"/>
              </w:rPr>
            </w:pPr>
          </w:p>
        </w:tc>
        <w:tc>
          <w:tcPr>
            <w:tcW w:w="2860" w:type="dxa"/>
            <w:vAlign w:val="bottom"/>
            <w:tcBorders>
              <w:bottom w:val="single" w:sz="8" w:color="auto"/>
            </w:tcBorders>
            <w:gridSpan w:val="4"/>
          </w:tcPr>
          <w:p>
            <w:pPr>
              <w:jc w:val="right"/>
              <w:ind w:right="1095"/>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54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88"/>
              </w:rPr>
              <w:t>Gross number of</w:t>
            </w: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7"/>
              </w:rPr>
              <w:t>Weighted Average</w:t>
            </w:r>
          </w:p>
        </w:tc>
        <w:tc>
          <w:tcPr>
            <w:tcW w:w="156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89"/>
              </w:rPr>
              <w:t>Gross number of</w:t>
            </w: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59"/>
        </w:trPr>
        <w:tc>
          <w:tcPr>
            <w:tcW w:w="5420" w:type="dxa"/>
            <w:vAlign w:val="bottom"/>
          </w:tcPr>
          <w:p>
            <w:pPr>
              <w:spacing w:after="0"/>
              <w:rPr>
                <w:sz w:val="13"/>
                <w:szCs w:val="13"/>
                <w:color w:val="auto"/>
              </w:rPr>
            </w:pPr>
          </w:p>
        </w:tc>
        <w:tc>
          <w:tcPr>
            <w:tcW w:w="154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8"/>
              </w:rPr>
              <w:t>shares underlying</w:t>
            </w:r>
          </w:p>
        </w:tc>
        <w:tc>
          <w:tcPr>
            <w:tcW w:w="1420" w:type="dxa"/>
            <w:vAlign w:val="bottom"/>
            <w:gridSpan w:val="3"/>
            <w:vMerge w:val="continue"/>
          </w:tcPr>
          <w:p>
            <w:pPr>
              <w:spacing w:after="0"/>
              <w:rPr>
                <w:sz w:val="13"/>
                <w:szCs w:val="13"/>
                <w:color w:val="auto"/>
              </w:rPr>
            </w:pPr>
          </w:p>
        </w:tc>
        <w:tc>
          <w:tcPr>
            <w:tcW w:w="156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7"/>
              </w:rPr>
              <w:t>shares underlying</w:t>
            </w: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420" w:type="dxa"/>
            <w:vAlign w:val="bottom"/>
          </w:tcPr>
          <w:p>
            <w:pPr>
              <w:spacing w:after="0"/>
              <w:rPr>
                <w:sz w:val="13"/>
                <w:szCs w:val="13"/>
                <w:color w:val="auto"/>
              </w:rPr>
            </w:pPr>
          </w:p>
        </w:tc>
        <w:tc>
          <w:tcPr>
            <w:tcW w:w="154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option, SAR and</w:t>
            </w: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86"/>
              </w:rPr>
              <w:t>exercise or base</w:t>
            </w:r>
          </w:p>
        </w:tc>
        <w:tc>
          <w:tcPr>
            <w:tcW w:w="156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9"/>
              </w:rPr>
              <w:t>option, SAR and</w:t>
            </w:r>
          </w:p>
        </w:tc>
        <w:tc>
          <w:tcPr>
            <w:tcW w:w="100" w:type="dxa"/>
            <w:vAlign w:val="bottom"/>
          </w:tcPr>
          <w:p>
            <w:pPr>
              <w:spacing w:after="0"/>
              <w:rPr>
                <w:sz w:val="13"/>
                <w:szCs w:val="13"/>
                <w:color w:val="auto"/>
              </w:rPr>
            </w:pPr>
          </w:p>
        </w:tc>
        <w:tc>
          <w:tcPr>
            <w:tcW w:w="1200" w:type="dxa"/>
            <w:vAlign w:val="bottom"/>
          </w:tcPr>
          <w:p>
            <w:pPr>
              <w:jc w:val="right"/>
              <w:ind w:right="35"/>
              <w:spacing w:after="0" w:line="159" w:lineRule="exact"/>
              <w:rPr>
                <w:sz w:val="20"/>
                <w:szCs w:val="20"/>
                <w:color w:val="auto"/>
              </w:rPr>
            </w:pPr>
            <w:r>
              <w:rPr>
                <w:rFonts w:ascii="Arial" w:cs="Arial" w:eastAsia="Arial" w:hAnsi="Arial"/>
                <w:sz w:val="16"/>
                <w:szCs w:val="16"/>
                <w:b w:val="1"/>
                <w:bCs w:val="1"/>
                <w:color w:val="auto"/>
                <w:w w:val="84"/>
              </w:rPr>
              <w:t>exercise or base</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PSAR awards (a)</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price</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PSAR awards (a)</w:t>
            </w:r>
          </w:p>
        </w:tc>
        <w:tc>
          <w:tcPr>
            <w:tcW w:w="100" w:type="dxa"/>
            <w:vAlign w:val="bottom"/>
          </w:tcPr>
          <w:p>
            <w:pPr>
              <w:spacing w:after="0"/>
              <w:rPr>
                <w:sz w:val="18"/>
                <w:szCs w:val="18"/>
                <w:color w:val="auto"/>
              </w:rPr>
            </w:pPr>
          </w:p>
        </w:tc>
        <w:tc>
          <w:tcPr>
            <w:tcW w:w="1200" w:type="dxa"/>
            <w:vAlign w:val="bottom"/>
          </w:tcPr>
          <w:p>
            <w:pPr>
              <w:jc w:val="right"/>
              <w:ind w:right="395"/>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141"/>
        </w:trPr>
        <w:tc>
          <w:tcPr>
            <w:tcW w:w="542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Liberty Global employees: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26,772,874</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62,376,768</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42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Exercisable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13,006,002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28,857,049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former Liberty Global employees (b):</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1,622,724</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4,607,264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42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Exercisable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1,460,882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4,283,590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318" w:lineRule="auto"/>
        <w:tabs>
          <w:tab w:leader="none" w:pos="477" w:val="left"/>
        </w:tabs>
        <w:numPr>
          <w:ilvl w:val="0"/>
          <w:numId w:val="36"/>
        </w:numPr>
        <w:rPr>
          <w:rFonts w:ascii="Arial" w:cs="Arial" w:eastAsia="Arial" w:hAnsi="Arial"/>
          <w:sz w:val="15"/>
          <w:szCs w:val="15"/>
          <w:color w:val="auto"/>
        </w:rPr>
      </w:pPr>
      <w:r>
        <w:rPr>
          <w:rFonts w:ascii="Arial" w:cs="Arial" w:eastAsia="Arial" w:hAnsi="Arial"/>
          <w:sz w:val="15"/>
          <w:szCs w:val="15"/>
          <w:color w:val="auto"/>
        </w:rPr>
        <w:t>Amounts represent the gross number of shares associated with option, SAR and PSAR awards issued to our current and former employees and our directors.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w:t>
      </w:r>
    </w:p>
    <w:p>
      <w:pPr>
        <w:spacing w:after="0" w:line="172" w:lineRule="exact"/>
        <w:rPr>
          <w:rFonts w:ascii="Arial" w:cs="Arial" w:eastAsia="Arial" w:hAnsi="Arial"/>
          <w:sz w:val="15"/>
          <w:szCs w:val="15"/>
          <w:color w:val="auto"/>
        </w:rPr>
      </w:pPr>
    </w:p>
    <w:p>
      <w:pPr>
        <w:jc w:val="both"/>
        <w:ind w:left="480" w:hanging="474"/>
        <w:spacing w:after="0" w:line="255" w:lineRule="auto"/>
        <w:tabs>
          <w:tab w:leader="none" w:pos="47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represent certain share-based awards that continue to be held by former employees of Liberty Global subsequent to certain split-off or disposal transactions. Although future exercises of these awards by former employees will not result in the recognition of share-based compensation expense, such exercises will increase the number of our outstanding ordinary shares.</w:t>
      </w:r>
    </w:p>
    <w:p>
      <w:pPr>
        <w:spacing w:after="0" w:line="209" w:lineRule="exact"/>
        <w:rPr>
          <w:sz w:val="20"/>
          <w:szCs w:val="20"/>
          <w:color w:val="auto"/>
        </w:rPr>
      </w:pPr>
    </w:p>
    <w:p>
      <w:pPr>
        <w:ind w:firstLine="318"/>
        <w:spacing w:after="0" w:line="301" w:lineRule="auto"/>
        <w:rPr>
          <w:sz w:val="20"/>
          <w:szCs w:val="20"/>
          <w:color w:val="auto"/>
        </w:rPr>
      </w:pPr>
      <w:r>
        <w:rPr>
          <w:rFonts w:ascii="Arial" w:cs="Arial" w:eastAsia="Arial" w:hAnsi="Arial"/>
          <w:sz w:val="17"/>
          <w:szCs w:val="17"/>
          <w:color w:val="auto"/>
        </w:rPr>
        <w:t>The following table provides the aggregate number of restricted share units (</w:t>
      </w:r>
      <w:r>
        <w:rPr>
          <w:rFonts w:ascii="Arial" w:cs="Arial" w:eastAsia="Arial" w:hAnsi="Arial"/>
          <w:sz w:val="17"/>
          <w:szCs w:val="17"/>
          <w:b w:val="1"/>
          <w:bCs w:val="1"/>
          <w:color w:val="auto"/>
        </w:rPr>
        <w:t>RSUs</w:t>
      </w:r>
      <w:r>
        <w:rPr>
          <w:rFonts w:ascii="Arial" w:cs="Arial" w:eastAsia="Arial" w:hAnsi="Arial"/>
          <w:sz w:val="17"/>
          <w:szCs w:val="17"/>
          <w:color w:val="auto"/>
        </w:rPr>
        <w:t>) and PSUs that were outstanding as of June 30, 2021. The number of shares to be issued on the vesting date of these awards will be reduced by the amount of the employee’s required income tax withholding.</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1460" w:type="dxa"/>
            <w:vAlign w:val="bottom"/>
            <w:gridSpan w:val="2"/>
          </w:tcPr>
          <w:p>
            <w:pPr>
              <w:ind w:left="420"/>
              <w:spacing w:after="0"/>
              <w:rPr>
                <w:sz w:val="20"/>
                <w:szCs w:val="20"/>
                <w:color w:val="auto"/>
              </w:rPr>
            </w:pPr>
            <w:r>
              <w:rPr>
                <w:rFonts w:ascii="Arial" w:cs="Arial" w:eastAsia="Arial" w:hAnsi="Arial"/>
                <w:sz w:val="16"/>
                <w:szCs w:val="16"/>
                <w:b w:val="1"/>
                <w:bCs w:val="1"/>
                <w:color w:val="auto"/>
              </w:rPr>
              <w:t>Class A</w:t>
            </w:r>
          </w:p>
        </w:tc>
        <w:tc>
          <w:tcPr>
            <w:tcW w:w="1300" w:type="dxa"/>
            <w:vAlign w:val="bottom"/>
          </w:tcPr>
          <w:p>
            <w:pPr>
              <w:jc w:val="right"/>
              <w:ind w:right="313"/>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Liberty Global employees:</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80" w:type="dxa"/>
            <w:vAlign w:val="bottom"/>
          </w:tcPr>
          <w:p>
            <w:pPr>
              <w:ind w:left="140"/>
              <w:spacing w:after="0"/>
              <w:rPr>
                <w:sz w:val="20"/>
                <w:szCs w:val="20"/>
                <w:color w:val="auto"/>
              </w:rPr>
            </w:pPr>
            <w:r>
              <w:rPr>
                <w:rFonts w:ascii="Arial" w:cs="Arial" w:eastAsia="Arial" w:hAnsi="Arial"/>
                <w:sz w:val="18"/>
                <w:szCs w:val="18"/>
                <w:color w:val="auto"/>
              </w:rPr>
              <w:t>RSUs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2,831,051</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5,661,300</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48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PSUs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1,348,606</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2,697,150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Held by former Liberty Global employees (a):</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48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RSUs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95,684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PSUs</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48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18,172</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36,340</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represent certain share-based awards that continue to be held by former employees of Liberty Global subsequent to certain split-off or disposal transactions. Although we do not recognize share-based compensation expense with respect to these awards, the future vesting of these RSUs and PSUs will increase the number of our outstanding ordinary shares.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2021 Ventures Incentive Plan</w:t>
      </w:r>
    </w:p>
    <w:p>
      <w:pPr>
        <w:spacing w:after="0" w:line="2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April 2021, the compensation committee of our board of directors approved a new incentive plan, referred to herein as the “</w:t>
      </w:r>
      <w:r>
        <w:rPr>
          <w:rFonts w:ascii="Arial" w:cs="Arial" w:eastAsia="Arial" w:hAnsi="Arial"/>
          <w:sz w:val="17"/>
          <w:szCs w:val="17"/>
          <w:b w:val="1"/>
          <w:bCs w:val="1"/>
          <w:color w:val="auto"/>
        </w:rPr>
        <w:t>2021 Ventures Incentive</w:t>
      </w:r>
      <w:r>
        <w:rPr>
          <w:rFonts w:ascii="Arial" w:cs="Arial" w:eastAsia="Arial" w:hAnsi="Arial"/>
          <w:sz w:val="17"/>
          <w:szCs w:val="17"/>
          <w:color w:val="auto"/>
        </w:rPr>
        <w:t xml:space="preserve"> </w:t>
      </w:r>
      <w:r>
        <w:rPr>
          <w:rFonts w:ascii="Arial" w:cs="Arial" w:eastAsia="Arial" w:hAnsi="Arial"/>
          <w:sz w:val="17"/>
          <w:szCs w:val="17"/>
          <w:b w:val="1"/>
          <w:bCs w:val="1"/>
          <w:color w:val="auto"/>
        </w:rPr>
        <w:t>Plan</w:t>
      </w:r>
      <w:r>
        <w:rPr>
          <w:rFonts w:ascii="Arial" w:cs="Arial" w:eastAsia="Arial" w:hAnsi="Arial"/>
          <w:sz w:val="17"/>
          <w:szCs w:val="17"/>
          <w:color w:val="auto"/>
        </w:rPr>
        <w:t>”. The 2021 Ventures Incentive Plan was provided to executive officers and other key employees and is based on the performance of the Liberty Global</w:t>
      </w:r>
      <w:r>
        <w:rPr>
          <w:rFonts w:ascii="Arial" w:cs="Arial" w:eastAsia="Arial" w:hAnsi="Arial"/>
          <w:sz w:val="17"/>
          <w:szCs w:val="17"/>
          <w:b w:val="1"/>
          <w:bCs w:val="1"/>
          <w:color w:val="auto"/>
        </w:rPr>
        <w:t xml:space="preserve"> </w:t>
      </w:r>
      <w:r>
        <w:rPr>
          <w:rFonts w:ascii="Arial" w:cs="Arial" w:eastAsia="Arial" w:hAnsi="Arial"/>
          <w:sz w:val="17"/>
          <w:szCs w:val="17"/>
          <w:color w:val="auto"/>
        </w:rPr>
        <w:t>Ventures Portfolio (the “</w:t>
      </w:r>
      <w:r>
        <w:rPr>
          <w:rFonts w:ascii="Arial" w:cs="Arial" w:eastAsia="Arial" w:hAnsi="Arial"/>
          <w:sz w:val="17"/>
          <w:szCs w:val="17"/>
          <w:b w:val="1"/>
          <w:bCs w:val="1"/>
          <w:color w:val="auto"/>
        </w:rPr>
        <w:t>Portfolio</w:t>
      </w:r>
      <w:r>
        <w:rPr>
          <w:rFonts w:ascii="Arial" w:cs="Arial" w:eastAsia="Arial" w:hAnsi="Arial"/>
          <w:sz w:val="17"/>
          <w:szCs w:val="17"/>
          <w:color w:val="auto"/>
        </w:rPr>
        <w:t>”), which is measured by assessing the fair value of the Portfolio quarterly over a three-year period beginning December 31, 2020 and ending on December 31, 2023. Payout is denominated in a fixed-cash amount and is assessed at the end of the three-year period using eligible participants’ initial contribution between 10% and 100% of their 2021 annual target equity value (which contributed amount is in lieu of their normal annual equity grant). The compensation committee has the discretion to settle the final payout amount in (i) cash or (ii) Liberty Global Class A and Class C ordinary shares based on the change in the Portfolio’s value. Subject to forfeitures, 100% of each participant’s payout will vest on March 31, 2024. In order to retain the payout, participants are required to remain employed through the final vesting date. As the final payout under this plan may be settled in cash, we use the liability method to account for the 2021 Ventures Incentive Plan. At June 30, 2021, the estimated fair value of the 2021 Ventures Incentive Plan was $20.7 million.</w:t>
      </w:r>
    </w:p>
    <w:p>
      <w:pPr>
        <w:spacing w:after="0" w:line="21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An initial fair value assessment was performed for the Portfolio as of December 31, 2020 by an independent third-party valuation specialist. We recognize share-based compensation expense related to the 2021 Ventures Incentive Plan as a charge to operations on a straight-line basis, including any changes in expense related to the change in the fair value of the Portfolio each assessment date, from the date of grant through the vesting date of March 31, 2024. Our share of payroll taxes incurred in connection with the vesting of the 2021 Ventures Incentive Plan is recorded as a component of share-based compensation expense in our condensed consolidated statement of operations.</w:t>
      </w:r>
    </w:p>
    <w:p>
      <w:pPr>
        <w:spacing w:after="0" w:line="201" w:lineRule="exact"/>
        <w:rPr>
          <w:sz w:val="20"/>
          <w:szCs w:val="20"/>
          <w:color w:val="auto"/>
        </w:rPr>
      </w:pPr>
    </w:p>
    <w:p>
      <w:pPr>
        <w:ind w:left="480" w:hanging="474"/>
        <w:spacing w:after="0"/>
        <w:tabs>
          <w:tab w:leader="none" w:pos="4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or Loss per Share</w:t>
      </w:r>
    </w:p>
    <w:p>
      <w:pPr>
        <w:spacing w:after="0" w:line="244"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Basic earnings or loss per share (</w:t>
      </w:r>
      <w:r>
        <w:rPr>
          <w:rFonts w:ascii="Arial" w:cs="Arial" w:eastAsia="Arial" w:hAnsi="Arial"/>
          <w:sz w:val="18"/>
          <w:szCs w:val="18"/>
          <w:b w:val="1"/>
          <w:bCs w:val="1"/>
          <w:color w:val="auto"/>
        </w:rPr>
        <w:t>EPS</w:t>
      </w:r>
      <w:r>
        <w:rPr>
          <w:rFonts w:ascii="Arial" w:cs="Arial" w:eastAsia="Arial" w:hAnsi="Arial"/>
          <w:sz w:val="18"/>
          <w:szCs w:val="18"/>
          <w:color w:val="auto"/>
        </w:rPr>
        <w:t>) is computed by dividing net earnings or loss by the weighted average number of shares outstanding for the period. Diluted EPS presents the dilutive effect, if any, on a per share basis of potential shares (e.g., options, SARs, RSUs, PSARs and PSUs) as if they had been exercised, vested or converted at the beginning of the periods presented.</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basic and diluted weighted average ordinary shares outstanding are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580" w:type="dxa"/>
            <w:vAlign w:val="bottom"/>
          </w:tcPr>
          <w:p>
            <w:pPr>
              <w:spacing w:after="0"/>
              <w:rPr>
                <w:sz w:val="18"/>
                <w:szCs w:val="18"/>
                <w:color w:val="auto"/>
              </w:rPr>
            </w:pPr>
          </w:p>
        </w:tc>
        <w:tc>
          <w:tcPr>
            <w:tcW w:w="288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8"/>
              </w:rPr>
              <w:t>Three months ended</w:t>
            </w:r>
          </w:p>
        </w:tc>
        <w:tc>
          <w:tcPr>
            <w:tcW w:w="27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7"/>
              </w:rPr>
              <w:t>Six months ended</w:t>
            </w:r>
          </w:p>
        </w:tc>
        <w:tc>
          <w:tcPr>
            <w:tcW w:w="0" w:type="dxa"/>
            <w:vAlign w:val="bottom"/>
          </w:tcPr>
          <w:p>
            <w:pPr>
              <w:spacing w:after="0"/>
              <w:rPr>
                <w:sz w:val="1"/>
                <w:szCs w:val="1"/>
                <w:color w:val="auto"/>
              </w:rPr>
            </w:pPr>
          </w:p>
        </w:tc>
      </w:tr>
      <w:tr>
        <w:trPr>
          <w:trHeight w:val="215"/>
        </w:trPr>
        <w:tc>
          <w:tcPr>
            <w:tcW w:w="5580" w:type="dxa"/>
            <w:vAlign w:val="bottom"/>
          </w:tcPr>
          <w:p>
            <w:pPr>
              <w:spacing w:after="0"/>
              <w:rPr>
                <w:sz w:val="18"/>
                <w:szCs w:val="18"/>
                <w:color w:val="auto"/>
              </w:rPr>
            </w:pPr>
          </w:p>
        </w:tc>
        <w:tc>
          <w:tcPr>
            <w:tcW w:w="1740" w:type="dxa"/>
            <w:vAlign w:val="bottom"/>
            <w:tcBorders>
              <w:bottom w:val="single" w:sz="8" w:color="auto"/>
            </w:tcBorders>
            <w:gridSpan w:val="3"/>
          </w:tcPr>
          <w:p>
            <w:pPr>
              <w:jc w:val="center"/>
              <w:ind w:left="936"/>
              <w:spacing w:after="0"/>
              <w:rPr>
                <w:sz w:val="20"/>
                <w:szCs w:val="20"/>
                <w:color w:val="auto"/>
              </w:rPr>
            </w:pPr>
            <w:r>
              <w:rPr>
                <w:rFonts w:ascii="Arial" w:cs="Arial" w:eastAsia="Arial" w:hAnsi="Arial"/>
                <w:sz w:val="16"/>
                <w:szCs w:val="16"/>
                <w:b w:val="1"/>
                <w:bCs w:val="1"/>
                <w:color w:val="auto"/>
                <w:w w:val="87"/>
              </w:rPr>
              <w:t>June 30,</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bottom w:val="single" w:sz="8" w:color="auto"/>
            </w:tcBorders>
            <w:gridSpan w:val="3"/>
          </w:tcPr>
          <w:p>
            <w:pPr>
              <w:jc w:val="center"/>
              <w:ind w:left="936"/>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80" w:type="dxa"/>
            <w:vAlign w:val="bottom"/>
          </w:tcPr>
          <w:p>
            <w:pPr>
              <w:spacing w:after="0"/>
              <w:rPr>
                <w:sz w:val="17"/>
                <w:szCs w:val="17"/>
                <w:color w:val="auto"/>
              </w:rPr>
            </w:pPr>
          </w:p>
        </w:tc>
        <w:tc>
          <w:tcPr>
            <w:tcW w:w="132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41"/>
        </w:trPr>
        <w:tc>
          <w:tcPr>
            <w:tcW w:w="5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Weighted average ordinary shares outstanding (basic EPS computation)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557,051,920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612,681,648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566,033,344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617,828,982</w:t>
            </w:r>
          </w:p>
        </w:tc>
        <w:tc>
          <w:tcPr>
            <w:tcW w:w="0" w:type="dxa"/>
            <w:vAlign w:val="bottom"/>
          </w:tcPr>
          <w:p>
            <w:pPr>
              <w:spacing w:after="0"/>
              <w:rPr>
                <w:sz w:val="1"/>
                <w:szCs w:val="1"/>
                <w:color w:val="auto"/>
              </w:rPr>
            </w:pPr>
          </w:p>
        </w:tc>
      </w:tr>
      <w:tr>
        <w:trPr>
          <w:trHeight w:val="173"/>
        </w:trPr>
        <w:tc>
          <w:tcPr>
            <w:tcW w:w="5580" w:type="dxa"/>
            <w:vAlign w:val="bottom"/>
          </w:tcPr>
          <w:p>
            <w:pPr>
              <w:ind w:left="20"/>
              <w:spacing w:after="0" w:line="173" w:lineRule="exact"/>
              <w:rPr>
                <w:sz w:val="20"/>
                <w:szCs w:val="20"/>
                <w:color w:val="auto"/>
              </w:rPr>
            </w:pPr>
            <w:r>
              <w:rPr>
                <w:rFonts w:ascii="Arial" w:cs="Arial" w:eastAsia="Arial" w:hAnsi="Arial"/>
                <w:sz w:val="18"/>
                <w:szCs w:val="18"/>
                <w:color w:val="auto"/>
                <w:w w:val="88"/>
              </w:rPr>
              <w:t>Incremental shares attributable to the assumed exercise of outstanding options</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580" w:type="dxa"/>
            <w:vAlign w:val="bottom"/>
          </w:tcPr>
          <w:p>
            <w:pPr>
              <w:ind w:left="100"/>
              <w:spacing w:after="0" w:line="172" w:lineRule="exact"/>
              <w:rPr>
                <w:sz w:val="20"/>
                <w:szCs w:val="20"/>
                <w:color w:val="auto"/>
              </w:rPr>
            </w:pPr>
            <w:r>
              <w:rPr>
                <w:rFonts w:ascii="Arial" w:cs="Arial" w:eastAsia="Arial" w:hAnsi="Arial"/>
                <w:sz w:val="18"/>
                <w:szCs w:val="18"/>
                <w:color w:val="auto"/>
                <w:w w:val="91"/>
              </w:rPr>
              <w:t>and SARs and the release of RSUs and PSUs upon vesting (treasury stock</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12,048,780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11,021,844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7,322,907</w:t>
            </w:r>
          </w:p>
        </w:tc>
        <w:tc>
          <w:tcPr>
            <w:tcW w:w="0" w:type="dxa"/>
            <w:vAlign w:val="bottom"/>
          </w:tcPr>
          <w:p>
            <w:pPr>
              <w:spacing w:after="0"/>
              <w:rPr>
                <w:sz w:val="1"/>
                <w:szCs w:val="1"/>
                <w:color w:val="auto"/>
              </w:rPr>
            </w:pPr>
          </w:p>
        </w:tc>
      </w:tr>
      <w:tr>
        <w:trPr>
          <w:trHeight w:val="224"/>
        </w:trPr>
        <w:tc>
          <w:tcPr>
            <w:tcW w:w="5580" w:type="dxa"/>
            <w:vAlign w:val="bottom"/>
          </w:tcPr>
          <w:p>
            <w:pPr>
              <w:ind w:left="100"/>
              <w:spacing w:after="0"/>
              <w:rPr>
                <w:sz w:val="20"/>
                <w:szCs w:val="20"/>
                <w:color w:val="auto"/>
              </w:rPr>
            </w:pPr>
            <w:r>
              <w:rPr>
                <w:rFonts w:ascii="Arial" w:cs="Arial" w:eastAsia="Arial" w:hAnsi="Arial"/>
                <w:sz w:val="18"/>
                <w:szCs w:val="18"/>
                <w:color w:val="auto"/>
              </w:rPr>
              <w:t>method)</w:t>
            </w: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Weighted average ordinary shares outstanding (diluted EPS computation)</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569,100,700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612,681,648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577,055,188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625,151,889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calculation of diluted earnings per share excludes (i) for the three months ended June 30, 2021, a total of 57.9 million options, SARs and RSUs and a total of 13.8 million PSARs and PSUs, (ii) for the six months ended June 30, 2021, a total of 74.0 million options, SARs and RSUs and a total of 13.8 million PSARs and PSUs and (iii) for the six months ended June 30, 2020, a total of 58.1 million options, SARs and RSUs and 15.2 million PSARs and PSUs because their effect would have been anti-dilutive or, in the case of the PSARs and PSUs, because such awards had not yet met the applicable performance criteria.</w:t>
      </w:r>
    </w:p>
    <w:p>
      <w:pPr>
        <w:spacing w:after="0" w:line="17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reported net losses attributable to Liberty Global shareholders for the three months ended June 30, 2020. Therefore, the potentially diluted effect at June 30, 2020 of the following items was not included in the computation of diluted net loss attributable to Liberty Global shareholders per share because their inclusion would have been anti-dilutive to the computation or, in the case of certain PSARs and PSUs, because such awards had not yet met the applicable performance criteria: (i) the aggregate number of shares issuable pursuant to outstanding options, SARs and RSUs of 77.2 million and (ii) the aggregate number of shares issuable pursuant to PSARs and PSUs of 20.3 million.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480" w:hanging="474"/>
        <w:spacing w:after="0"/>
        <w:tabs>
          <w:tab w:leader="none" w:pos="4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Commitments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the normal course of business, we have entered into agreements that commit our company to make cash payments in future periods with respect to network and connectivity commitments, programming contracts, purchases of customer premises and other equipment and services and other items. The following table sets forth the U.S. dollar equivalents of such commitments as of June 30, 2021. The commitments included in this table do not reflect any liabilities that are included on our June 30, 2021 condensed consolidated balance sheet.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Payments due during:</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Remainder</w:t>
            </w:r>
          </w:p>
        </w:tc>
        <w:tc>
          <w:tcPr>
            <w:tcW w:w="200" w:type="dxa"/>
            <w:vAlign w:val="bottom"/>
          </w:tcPr>
          <w:p>
            <w:pPr>
              <w:spacing w:after="0"/>
              <w:rPr>
                <w:sz w:val="22"/>
                <w:szCs w:val="22"/>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22"/>
                <w:szCs w:val="22"/>
                <w:color w:val="auto"/>
              </w:rPr>
            </w:pPr>
          </w:p>
        </w:tc>
        <w:tc>
          <w:tcPr>
            <w:tcW w:w="86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6"/>
              </w:rPr>
              <w:t>of 2021</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5"/>
          </w:tcPr>
          <w:p>
            <w:pPr>
              <w:ind w:left="5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rPr>
              <w:t>Network and connectivity</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703.5</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1,132.0</w:t>
            </w:r>
          </w:p>
        </w:tc>
        <w:tc>
          <w:tcPr>
            <w:tcW w:w="0" w:type="dxa"/>
            <w:vAlign w:val="bottom"/>
          </w:tcPr>
          <w:p>
            <w:pPr>
              <w:spacing w:after="0"/>
              <w:rPr>
                <w:sz w:val="1"/>
                <w:szCs w:val="1"/>
                <w:color w:val="auto"/>
              </w:rPr>
            </w:pPr>
          </w:p>
        </w:tc>
      </w:tr>
      <w:tr>
        <w:trPr>
          <w:trHeight w:val="224"/>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commitments</w:t>
            </w: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620" w:type="dxa"/>
            <w:vAlign w:val="bottom"/>
          </w:tcPr>
          <w:p>
            <w:pPr>
              <w:ind w:left="20"/>
              <w:spacing w:after="0"/>
              <w:rPr>
                <w:sz w:val="20"/>
                <w:szCs w:val="20"/>
                <w:color w:val="auto"/>
              </w:rPr>
            </w:pPr>
            <w:r>
              <w:rPr>
                <w:rFonts w:ascii="Arial" w:cs="Arial" w:eastAsia="Arial" w:hAnsi="Arial"/>
                <w:sz w:val="18"/>
                <w:szCs w:val="18"/>
                <w:color w:val="auto"/>
              </w:rPr>
              <w:t>Programming commitments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2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commitments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25"/>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commitments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43"/>
        </w:trPr>
        <w:tc>
          <w:tcPr>
            <w:tcW w:w="262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Network and connectivity commitments include Telenet’s commitments for certain operating costs associated with its leased network.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w:t>
      </w:r>
    </w:p>
    <w:p>
      <w:pPr>
        <w:spacing w:after="0" w:line="1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(including amounts related to the U.K. JV Entities through the closing of the U.K. JV Transaction) aggregated $868.3 million and $832.6 million during the six months ended June 30, 2021 and 2020, respectively.</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Programming costs include (i) agreements to distribute channels to our customers, (ii) exhibition rights of programming content and (iii) sports rights.</w:t>
      </w:r>
    </w:p>
    <w:p>
      <w:pPr>
        <w:spacing w:after="0" w:line="27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Channel Distribution Agreements</w:t>
      </w:r>
      <w:r>
        <w:rPr>
          <w:rFonts w:ascii="Arial" w:cs="Arial" w:eastAsia="Arial" w:hAnsi="Arial"/>
          <w:sz w:val="18"/>
          <w:szCs w:val="18"/>
          <w:color w:val="auto"/>
        </w:rPr>
        <w:t>. Our channel distribution agreements are generally multi-year contracts for which we are charged either (i)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rates based upon the number of subscribers or (ii) on a flat fee basis. Certain of our variable rate contracts require minimum guarantees. Programming costs under such arrangements are recorded in operating costs and expenses in our condensed consolidated statement of operations when the programming is available for viewing.</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Exhibition Rights</w:t>
      </w:r>
      <w:r>
        <w:rPr>
          <w:rFonts w:ascii="Arial" w:cs="Arial" w:eastAsia="Arial" w:hAnsi="Arial"/>
          <w:sz w:val="18"/>
          <w:szCs w:val="18"/>
          <w:color w:val="auto"/>
        </w:rPr>
        <w:t>. Our agreements for exhibition rights are generally multi-year license agreements for which we are typically charged either (i)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the revenue earned per program or (ii) a flat fee per program. The current and long-term portions of our exhibition rights acquired under licenses are recorded as other current assets and other assets, net, respectively, on our condensed consolidated balance sheet when the license period begins and the program is available for its first showing. Capitalized exhibition rights are amortized based on the projected future showings of the content using a straight-line or accelerated method of amortization, as appropriate. Exhibition rights are regularly reviewed for impairment and held at the lower of unamortized cost or estimated net realizable value.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Sports Rights</w:t>
      </w:r>
      <w:r>
        <w:rPr>
          <w:rFonts w:ascii="Arial" w:cs="Arial" w:eastAsia="Arial" w:hAnsi="Arial"/>
          <w:sz w:val="15"/>
          <w:szCs w:val="15"/>
          <w:color w:val="auto"/>
        </w:rPr>
        <w:t>. Our sports rights agreements are generally multi-year contracts for which we are typically charged a flat fee per season. We typically pay</w:t>
      </w:r>
      <w:r>
        <w:rPr>
          <w:rFonts w:ascii="Arial" w:cs="Arial" w:eastAsia="Arial" w:hAnsi="Arial"/>
          <w:sz w:val="15"/>
          <w:szCs w:val="15"/>
          <w:i w:val="1"/>
          <w:iCs w:val="1"/>
          <w:color w:val="auto"/>
        </w:rPr>
        <w:t xml:space="preserve"> </w:t>
      </w:r>
      <w:r>
        <w:rPr>
          <w:rFonts w:ascii="Arial" w:cs="Arial" w:eastAsia="Arial" w:hAnsi="Arial"/>
          <w:sz w:val="15"/>
          <w:szCs w:val="15"/>
          <w:color w:val="auto"/>
        </w:rPr>
        <w:t>for sports rights in advance of the respective season. The current and long-term portions of any payments made in advance of the respective season are recorded as other current assets and other assets, net, respectively, on our condensed consolidated balance sheet and are amortized on a straight-line basis over the respective sporting season. Sports rights are regularly reviewed for impairment and held at the lower of unamortized cost or estimated net realizable value.</w:t>
      </w:r>
    </w:p>
    <w:p>
      <w:pPr>
        <w:spacing w:after="0" w:line="17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Purchase commitments include unconditional and legally binding obligations related to (i) the purchase of customer premises and other equipment and (ii) certain service-related commitments, including call center, information technology and maintenance services.</w:t>
      </w:r>
    </w:p>
    <w:p>
      <w:pPr>
        <w:spacing w:after="0" w:line="20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six months ended June 30, 2021 and 2020, see note 6.</w:t>
      </w:r>
    </w:p>
    <w:p>
      <w:pPr>
        <w:spacing w:after="0" w:line="16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Guarantees and Other Credit Enhancements</w:t>
      </w:r>
    </w:p>
    <w:p>
      <w:pPr>
        <w:spacing w:after="0" w:line="2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Legal and Regulatory Proceedings and Other Contingencies</w:t>
      </w:r>
    </w:p>
    <w:p>
      <w:pPr>
        <w:spacing w:after="0" w:line="24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i w:val="1"/>
          <w:iCs w:val="1"/>
          <w:color w:val="auto"/>
        </w:rPr>
        <w:t xml:space="preserve">Interkabel Acquisition. </w:t>
      </w:r>
      <w:r>
        <w:rPr>
          <w:rFonts w:ascii="Arial" w:cs="Arial" w:eastAsia="Arial" w:hAnsi="Arial"/>
          <w:sz w:val="15"/>
          <w:szCs w:val="15"/>
          <w:color w:val="auto"/>
        </w:rPr>
        <w:t>On November 26, 2007, Telenet and four associations of municipalities in Belgium, which we refer to as the pure</w:t>
      </w:r>
      <w:r>
        <w:rPr>
          <w:rFonts w:ascii="Arial" w:cs="Arial" w:eastAsia="Arial" w:hAnsi="Arial"/>
          <w:sz w:val="15"/>
          <w:szCs w:val="15"/>
          <w:i w:val="1"/>
          <w:iCs w:val="1"/>
          <w:color w:val="auto"/>
        </w:rPr>
        <w:t xml:space="preserve"> </w:t>
      </w:r>
      <w:r>
        <w:rPr>
          <w:rFonts w:ascii="Arial" w:cs="Arial" w:eastAsia="Arial" w:hAnsi="Arial"/>
          <w:sz w:val="15"/>
          <w:szCs w:val="15"/>
          <w:color w:val="auto"/>
        </w:rPr>
        <w:t>intercommunales or the “</w:t>
      </w:r>
      <w:r>
        <w:rPr>
          <w:rFonts w:ascii="Arial" w:cs="Arial" w:eastAsia="Arial" w:hAnsi="Arial"/>
          <w:sz w:val="15"/>
          <w:szCs w:val="15"/>
          <w:b w:val="1"/>
          <w:bCs w:val="1"/>
          <w:color w:val="auto"/>
        </w:rPr>
        <w:t>PICs</w:t>
      </w:r>
      <w:r>
        <w:rPr>
          <w:rFonts w:ascii="Arial" w:cs="Arial" w:eastAsia="Arial" w:hAnsi="Arial"/>
          <w:sz w:val="15"/>
          <w:szCs w:val="15"/>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5"/>
          <w:szCs w:val="15"/>
          <w:b w:val="1"/>
          <w:bCs w:val="1"/>
          <w:color w:val="auto"/>
        </w:rPr>
        <w:t>2008 PICs Agreement</w:t>
      </w:r>
      <w:r>
        <w:rPr>
          <w:rFonts w:ascii="Arial" w:cs="Arial" w:eastAsia="Arial" w:hAnsi="Arial"/>
          <w:sz w:val="15"/>
          <w:szCs w:val="15"/>
          <w:color w:val="auto"/>
        </w:rPr>
        <w:t>), which closed effective October 1, 2008. Beginning in December 2007, Proximus NV/SA (</w:t>
      </w:r>
      <w:r>
        <w:rPr>
          <w:rFonts w:ascii="Arial" w:cs="Arial" w:eastAsia="Arial" w:hAnsi="Arial"/>
          <w:sz w:val="15"/>
          <w:szCs w:val="15"/>
          <w:b w:val="1"/>
          <w:bCs w:val="1"/>
          <w:color w:val="auto"/>
        </w:rPr>
        <w:t>Proximus</w:t>
      </w:r>
      <w:r>
        <w:rPr>
          <w:rFonts w:ascii="Arial" w:cs="Arial" w:eastAsia="Arial" w:hAnsi="Arial"/>
          <w:sz w:val="15"/>
          <w:szCs w:val="15"/>
          <w:color w:val="auto"/>
        </w:rPr>
        <w:t xml:space="preserve">),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this appeal judgment before the Cour de Cassation (the </w:t>
      </w:r>
      <w:r>
        <w:rPr>
          <w:rFonts w:ascii="Arial" w:cs="Arial" w:eastAsia="Arial" w:hAnsi="Arial"/>
          <w:sz w:val="15"/>
          <w:szCs w:val="15"/>
          <w:b w:val="1"/>
          <w:bCs w:val="1"/>
          <w:color w:val="auto"/>
        </w:rPr>
        <w:t>Belgian Supreme Court</w:t>
      </w:r>
      <w:r>
        <w:rPr>
          <w:rFonts w:ascii="Arial" w:cs="Arial" w:eastAsia="Arial" w:hAnsi="Arial"/>
          <w:sz w:val="15"/>
          <w:szCs w:val="15"/>
          <w:color w:val="auto"/>
        </w:rPr>
        <w:t>), which confirmed the appeal judgment in September 2010. On April 6, 2009, the Court of First Instance of Antwerp ruled in favor of the PICs and Telenet in the civil procedure on the merits, dismissing Proximus’s request for the rescission of the agreement-in-principle and the 2008 PICs Agreement. On June 12, 2009, Proximus appealed this judgment with the Court of Appeal of Antwerp. In this appeal, Proximus is now also seeking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($1.7 billion).</w:t>
      </w:r>
    </w:p>
    <w:p>
      <w:pPr>
        <w:spacing w:after="0" w:line="40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December 2017, the Court of Appeals of Antwerp issued a judgment rejecting Proximus’ claims. In June 2019, Proximus filed an appeal of the Court of Appeals of Antwerp’s judgment with the Belgian Supreme Court. In January 2021, the Belgian Supreme Court partially annulled the Court of Appeals of Antwerp’s judgment. The case will be referred to the Court of Appeals of Brussels, which will need to make a new decision on the matter within the boundaries of the annulment by the Belgian Supreme Court. A decision on the matter is likely to take several years. No assurance can be given as to the outcome 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192"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i w:val="1"/>
          <w:iCs w:val="1"/>
          <w:color w:val="auto"/>
        </w:rPr>
        <w:t xml:space="preserve">Telekom Deutschland Litigation. </w:t>
      </w:r>
      <w:r>
        <w:rPr>
          <w:rFonts w:ascii="Arial" w:cs="Arial" w:eastAsia="Arial" w:hAnsi="Arial"/>
          <w:sz w:val="15"/>
          <w:szCs w:val="15"/>
          <w:color w:val="auto"/>
        </w:rPr>
        <w:t>On December 28, 2012, Unitymedia GmbH (</w:t>
      </w:r>
      <w:r>
        <w:rPr>
          <w:rFonts w:ascii="Arial" w:cs="Arial" w:eastAsia="Arial" w:hAnsi="Arial"/>
          <w:sz w:val="15"/>
          <w:szCs w:val="15"/>
          <w:b w:val="1"/>
          <w:bCs w:val="1"/>
          <w:color w:val="auto"/>
        </w:rPr>
        <w:t>Unitymedia</w:t>
      </w:r>
      <w:r>
        <w:rPr>
          <w:rFonts w:ascii="Arial" w:cs="Arial" w:eastAsia="Arial" w:hAnsi="Arial"/>
          <w:sz w:val="15"/>
          <w:szCs w:val="15"/>
          <w:color w:val="auto"/>
        </w:rPr>
        <w:t>) filed a lawsuit against Telekom Deutschland GmbH</w:t>
      </w:r>
      <w:r>
        <w:rPr>
          <w:rFonts w:ascii="Arial" w:cs="Arial" w:eastAsia="Arial" w:hAnsi="Arial"/>
          <w:sz w:val="15"/>
          <w:szCs w:val="15"/>
          <w:i w:val="1"/>
          <w:i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Telekom Deutschland</w:t>
      </w:r>
      <w:r>
        <w:rPr>
          <w:rFonts w:ascii="Arial" w:cs="Arial" w:eastAsia="Arial" w:hAnsi="Arial"/>
          <w:sz w:val="15"/>
          <w:szCs w:val="15"/>
          <w:color w:val="auto"/>
        </w:rPr>
        <w:t xml:space="preserve">) in which Unitymedia asserts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is seeking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and did not grant permission to appeal further to the Federal Court of Justice. Unitymedia has filed a motion with the Federal Court of Justice to grant permission to appeal. The resolution of this matter may take several years and no assurance can be given that Unitymedia’s claims will be successful. In connection with our sale of our former operations in Germany, Romania, Hungary and the Czech Republic to Vodafone (the </w:t>
      </w:r>
      <w:r>
        <w:rPr>
          <w:rFonts w:ascii="Arial" w:cs="Arial" w:eastAsia="Arial" w:hAnsi="Arial"/>
          <w:sz w:val="15"/>
          <w:szCs w:val="15"/>
          <w:b w:val="1"/>
          <w:bCs w:val="1"/>
          <w:color w:val="auto"/>
        </w:rPr>
        <w:t>Vodafone Disposal Group</w:t>
      </w:r>
      <w:r>
        <w:rPr>
          <w:rFonts w:ascii="Arial" w:cs="Arial" w:eastAsia="Arial" w:hAnsi="Arial"/>
          <w:sz w:val="15"/>
          <w:szCs w:val="15"/>
          <w:color w:val="auto"/>
        </w:rPr>
        <w:t>),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200" w:lineRule="exact"/>
        <w:rPr>
          <w:sz w:val="20"/>
          <w:szCs w:val="20"/>
          <w:color w:val="auto"/>
        </w:rPr>
      </w:pPr>
    </w:p>
    <w:p>
      <w:pPr>
        <w:spacing w:after="0" w:line="20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i w:val="1"/>
          <w:iCs w:val="1"/>
          <w:color w:val="auto"/>
        </w:rPr>
        <w:t xml:space="preserve">Belgium Regulatory Developments. </w:t>
      </w:r>
      <w:r>
        <w:rPr>
          <w:rFonts w:ascii="Arial" w:cs="Arial" w:eastAsia="Arial" w:hAnsi="Arial"/>
          <w:sz w:val="17"/>
          <w:szCs w:val="17"/>
          <w:color w:val="auto"/>
        </w:rPr>
        <w:t>In June 2018, the Belgisch Instituut voor Post en Telecommunicatie and the regional regulators for the media sectors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(together, the </w:t>
      </w:r>
      <w:r>
        <w:rPr>
          <w:rFonts w:ascii="Arial" w:cs="Arial" w:eastAsia="Arial" w:hAnsi="Arial"/>
          <w:sz w:val="17"/>
          <w:szCs w:val="17"/>
          <w:b w:val="1"/>
          <w:bCs w:val="1"/>
          <w:color w:val="auto"/>
        </w:rPr>
        <w:t>Belgium Regulatory Authorities</w:t>
      </w:r>
      <w:r>
        <w:rPr>
          <w:rFonts w:ascii="Arial" w:cs="Arial" w:eastAsia="Arial" w:hAnsi="Arial"/>
          <w:sz w:val="17"/>
          <w:szCs w:val="17"/>
          <w:color w:val="auto"/>
        </w:rPr>
        <w:t xml:space="preserve">) adopted a new decision finding that Telenet has significant market power in the wholesale broadband market (the </w:t>
      </w:r>
      <w:r>
        <w:rPr>
          <w:rFonts w:ascii="Arial" w:cs="Arial" w:eastAsia="Arial" w:hAnsi="Arial"/>
          <w:sz w:val="17"/>
          <w:szCs w:val="17"/>
          <w:b w:val="1"/>
          <w:bCs w:val="1"/>
          <w:color w:val="auto"/>
        </w:rPr>
        <w:t>2018 Decision</w:t>
      </w:r>
      <w:r>
        <w:rPr>
          <w:rFonts w:ascii="Arial" w:cs="Arial" w:eastAsia="Arial" w:hAnsi="Arial"/>
          <w:sz w:val="17"/>
          <w:szCs w:val="17"/>
          <w:color w:val="auto"/>
        </w:rPr>
        <w:t>). The 2018 Decision 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Unlike prior decisions, the 2018 Decision no longer applies “retail minus” pricing on Telenet; however, as of August 1, 2018, this decision imposed a 17% interim price reduction in monthly wholesale cable access prices. On May 26, 2020, the Belgium Regulatory Authorities adopted a final decision regarding the “reasonable access tariffs” to replace the interim prices, which represents an estimated decrease of 11.5%, as compared to the initial August 1, 2018 interim rates, and is applicable as of July 1, 2020. These rates are expected to evolve over time due to, among other reasons, broadband capacity usage.</w:t>
      </w:r>
    </w:p>
    <w:p>
      <w:pPr>
        <w:spacing w:after="0" w:line="2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2018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 Telenet appealed the 2018 Decision, which was rejected in September 2019.</w:t>
      </w:r>
    </w:p>
    <w:p>
      <w:pPr>
        <w:spacing w:after="0" w:line="17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UPC Austria Matter</w:t>
      </w:r>
      <w:r>
        <w:rPr>
          <w:rFonts w:ascii="Arial" w:cs="Arial" w:eastAsia="Arial" w:hAnsi="Arial"/>
          <w:sz w:val="17"/>
          <w:szCs w:val="17"/>
          <w:color w:val="auto"/>
        </w:rPr>
        <w:t>. On July 31 2018, we completed the sale of our Austrian operations, “</w:t>
      </w:r>
      <w:r>
        <w:rPr>
          <w:rFonts w:ascii="Arial" w:cs="Arial" w:eastAsia="Arial" w:hAnsi="Arial"/>
          <w:sz w:val="17"/>
          <w:szCs w:val="17"/>
          <w:b w:val="1"/>
          <w:bCs w:val="1"/>
          <w:color w:val="auto"/>
        </w:rPr>
        <w:t>UPC Austria</w:t>
      </w:r>
      <w:r>
        <w:rPr>
          <w:rFonts w:ascii="Arial" w:cs="Arial" w:eastAsia="Arial" w:hAnsi="Arial"/>
          <w:sz w:val="17"/>
          <w:szCs w:val="17"/>
          <w:color w:val="auto"/>
        </w:rPr>
        <w:t>,” to Deutsche Telekom AG (</w:t>
      </w:r>
      <w:r>
        <w:rPr>
          <w:rFonts w:ascii="Arial" w:cs="Arial" w:eastAsia="Arial" w:hAnsi="Arial"/>
          <w:sz w:val="17"/>
          <w:szCs w:val="17"/>
          <w:b w:val="1"/>
          <w:bCs w:val="1"/>
          <w:color w:val="auto"/>
        </w:rPr>
        <w:t>Deutsche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Telekom</w:t>
      </w:r>
      <w:r>
        <w:rPr>
          <w:rFonts w:ascii="Arial" w:cs="Arial" w:eastAsia="Arial" w:hAnsi="Arial"/>
          <w:sz w:val="17"/>
          <w:szCs w:val="17"/>
          <w:color w:val="auto"/>
        </w:rPr>
        <w:t xml:space="preserve">). In October of 2019, we received notification under the terms of the relevant acquisition agreements from Deutsche Telekom and its subsidiary T-Mobile Austria Holding GmbH (together, the </w:t>
      </w:r>
      <w:r>
        <w:rPr>
          <w:rFonts w:ascii="Arial" w:cs="Arial" w:eastAsia="Arial" w:hAnsi="Arial"/>
          <w:sz w:val="17"/>
          <w:szCs w:val="17"/>
          <w:b w:val="1"/>
          <w:bCs w:val="1"/>
          <w:color w:val="auto"/>
        </w:rPr>
        <w:t>UPC Austria Sale Counterparties</w:t>
      </w:r>
      <w:r>
        <w:rPr>
          <w:rFonts w:ascii="Arial" w:cs="Arial" w:eastAsia="Arial" w:hAnsi="Arial"/>
          <w:sz w:val="17"/>
          <w:szCs w:val="17"/>
          <w:color w:val="auto"/>
        </w:rPr>
        <w:t>), asserting claims of €70.5 million ($83.5 million). The value of the amounts claimed by the UPC Austria Sale Counterparties has since increased to €106.2 million ($125.8 million). No amounts have been accrued by our company with respect to this matter as the likelihood of loss is not considered to be probable at this stage. We are unable to provide any meaningful estimate of a possible range of loss because, among other reasons, (i) we believe the assertions are unsupported and/or exaggerated and (ii) there are significant factual matters to be resolved. We intend to vigorously defend this matter.</w:t>
      </w:r>
    </w:p>
    <w:p>
      <w:pPr>
        <w:spacing w:after="0" w:line="2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Other Contingency Matters. </w:t>
      </w:r>
      <w:r>
        <w:rPr>
          <w:rFonts w:ascii="Arial" w:cs="Arial" w:eastAsia="Arial" w:hAnsi="Arial"/>
          <w:sz w:val="18"/>
          <w:szCs w:val="18"/>
          <w:color w:val="auto"/>
        </w:rPr>
        <w:t>In connection with the dispositions of certain of our operations, we provided tax indemnities to the counterparties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tax liabilities that could arise from the period we owned the respective operations, subject to certain thresholds. While we have not received notification from the counterparties for indemnification, it is reasonably possible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that we could, and the amounts involved could be significant. No amounts have been accrued by our company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spacing w:after="0" w:line="16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Other Regulatory Matters. </w:t>
      </w:r>
      <w:r>
        <w:rPr>
          <w:rFonts w:ascii="Arial" w:cs="Arial" w:eastAsia="Arial" w:hAnsi="Arial"/>
          <w:sz w:val="17"/>
          <w:szCs w:val="17"/>
          <w:color w:val="auto"/>
        </w:rPr>
        <w:t>Video distribution, broadband internet, fixed-line telephony, mobile and content businesses are regulated in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in which we or our affiliates operate. The scope of regulation varies from country to country, although in some significant respects regulation in European markets is harmonized under the regulatory structure of the European Union (</w:t>
      </w:r>
      <w:r>
        <w:rPr>
          <w:rFonts w:ascii="Arial" w:cs="Arial" w:eastAsia="Arial" w:hAnsi="Arial"/>
          <w:sz w:val="17"/>
          <w:szCs w:val="17"/>
          <w:b w:val="1"/>
          <w:bCs w:val="1"/>
          <w:color w:val="auto"/>
        </w:rPr>
        <w:t>E.U.</w:t>
      </w:r>
      <w:r>
        <w:rPr>
          <w:rFonts w:ascii="Arial" w:cs="Arial" w:eastAsia="Arial" w:hAnsi="Arial"/>
          <w:sz w:val="17"/>
          <w:szCs w:val="17"/>
          <w:color w:val="auto"/>
        </w:rPr>
        <w:t>)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20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219" w:lineRule="exact"/>
        <w:rPr>
          <w:sz w:val="20"/>
          <w:szCs w:val="20"/>
          <w:color w:val="auto"/>
        </w:rPr>
      </w:pPr>
    </w:p>
    <w:p>
      <w:pPr>
        <w:ind w:left="480" w:hanging="474"/>
        <w:spacing w:after="0"/>
        <w:tabs>
          <w:tab w:leader="none" w:pos="4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5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generally identify our reportable segments as (i) those consolidated subsidiaries that represent 10% or more of our revenue, Adjusted EBITDA (as defined below) or total assets or (ii) those equity method affiliates where our investment or share of revenue or Adjusted EBITDA represents 10% or more of our total assets, revenue or Adjusted EBITDA,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EBITDA. In addition, we review non-financial measures such as customer growth, as appropriate.</w:t>
      </w:r>
    </w:p>
    <w:p>
      <w:pPr>
        <w:spacing w:after="0" w:line="222"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7"/>
          <w:szCs w:val="17"/>
          <w:b w:val="1"/>
          <w:bCs w:val="1"/>
          <w:color w:val="auto"/>
        </w:rPr>
        <w:t>Adjusted EBITDA</w:t>
      </w:r>
      <w:r>
        <w:rPr>
          <w:rFonts w:ascii="Arial" w:cs="Arial" w:eastAsia="Arial" w:hAnsi="Arial"/>
          <w:sz w:val="17"/>
          <w:szCs w:val="17"/>
          <w:color w:val="auto"/>
        </w:rPr>
        <w:t>” is defined as net earnings (loss) before net income tax benefit (expense), other non-operating income or expenses, net share of results of affiliates, net gains (losses) on extinguishment of debt, net realized and unrealized gains (losses) due to changes in fair value of certain investments and debt, net foreign currency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net earnings or loss to Adjusted EBITDA is presented below.</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2021, our reportable segments are as follows:</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Consolidated:</w:t>
      </w:r>
    </w:p>
    <w:p>
      <w:pPr>
        <w:spacing w:after="0" w:line="117"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Belgium</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Ireland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Central and Eastern Europe</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Nonconsolidated:</w:t>
      </w:r>
    </w:p>
    <w:p>
      <w:pPr>
        <w:spacing w:after="0" w:line="117" w:lineRule="exact"/>
        <w:rPr>
          <w:sz w:val="20"/>
          <w:szCs w:val="20"/>
          <w:color w:val="auto"/>
        </w:rPr>
      </w:pPr>
    </w:p>
    <w:p>
      <w:pPr>
        <w:ind w:left="640" w:hanging="316"/>
        <w:spacing w:after="0"/>
        <w:tabs>
          <w:tab w:leader="none" w:pos="64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color w:val="auto"/>
        </w:rPr>
        <w:t>VMED O2 JV</w:t>
      </w:r>
    </w:p>
    <w:p>
      <w:pPr>
        <w:spacing w:after="0" w:line="16" w:lineRule="exact"/>
        <w:rPr>
          <w:rFonts w:ascii="Arial" w:cs="Arial" w:eastAsia="Arial" w:hAnsi="Arial"/>
          <w:sz w:val="18"/>
          <w:szCs w:val="18"/>
          <w:b w:val="1"/>
          <w:bCs w:val="1"/>
          <w:i w:val="1"/>
          <w:iCs w:val="1"/>
          <w:color w:val="auto"/>
        </w:rPr>
      </w:pPr>
    </w:p>
    <w:p>
      <w:pPr>
        <w:ind w:left="640" w:hanging="316"/>
        <w:spacing w:after="0"/>
        <w:tabs>
          <w:tab w:leader="none" w:pos="64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VodafoneZiggo JV</w:t>
      </w:r>
    </w:p>
    <w:p>
      <w:pPr>
        <w:spacing w:after="0" w:line="23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 xml:space="preserve">On June 1, 2021, we completed the U.K. JV Transaction, whereby we contributed the U.K. JV Entities to the VMED O2 JV. Prior to the completion of the U.K. JV Transaction, we presented the U.K. JV Entities, together with our operations in Ireland, as a single reportable segment, </w:t>
      </w:r>
      <w:r>
        <w:rPr>
          <w:rFonts w:ascii="Arial" w:cs="Arial" w:eastAsia="Arial" w:hAnsi="Arial"/>
          <w:sz w:val="17"/>
          <w:szCs w:val="17"/>
          <w:i w:val="1"/>
          <w:iCs w:val="1"/>
          <w:color w:val="auto"/>
        </w:rPr>
        <w:t>“U.K./Ireland”</w:t>
      </w:r>
      <w:r>
        <w:rPr>
          <w:rFonts w:ascii="Arial" w:cs="Arial" w:eastAsia="Arial" w:hAnsi="Arial"/>
          <w:sz w:val="17"/>
          <w:szCs w:val="17"/>
          <w:color w:val="auto"/>
        </w:rPr>
        <w:t>. In connection with the completion of the U.K. JV Transaction, we have restated our segment presentation for all periods to separately present (i) the U.K. JV Entities and (ii) Ireland. In addition, certain other less significant entities previously included in the U.K./Ireland segment are now included within Central and Corporate (as defined below). Following the closing of the U.K. JV Transaction, we have identified the VMED O2 JV as a nonconsolidated reportable segment. For additional information regarding the U.K. JV Transaction, see note 4.</w:t>
      </w:r>
    </w:p>
    <w:p>
      <w:pPr>
        <w:spacing w:after="0" w:line="206"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All of our reportable segments derive their revenue primarily from residential and B2B communications services, including broadband internet, video, fixed-line telephony and mobile services.</w:t>
      </w:r>
    </w:p>
    <w:p>
      <w:pPr>
        <w:spacing w:after="0" w:line="201" w:lineRule="exact"/>
        <w:rPr>
          <w:sz w:val="20"/>
          <w:szCs w:val="20"/>
          <w:color w:val="auto"/>
        </w:rPr>
      </w:pPr>
    </w:p>
    <w:p>
      <w:pPr>
        <w:jc w:val="both"/>
        <w:ind w:firstLine="318"/>
        <w:spacing w:after="0" w:line="334" w:lineRule="auto"/>
        <w:rPr>
          <w:sz w:val="20"/>
          <w:szCs w:val="20"/>
          <w:color w:val="auto"/>
        </w:rPr>
      </w:pPr>
      <w:r>
        <w:rPr>
          <w:rFonts w:ascii="Arial" w:cs="Arial" w:eastAsia="Arial" w:hAnsi="Arial"/>
          <w:sz w:val="15"/>
          <w:szCs w:val="15"/>
          <w:color w:val="auto"/>
        </w:rPr>
        <w:t>Our central and corporate functions (</w:t>
      </w:r>
      <w:r>
        <w:rPr>
          <w:rFonts w:ascii="Arial" w:cs="Arial" w:eastAsia="Arial" w:hAnsi="Arial"/>
          <w:sz w:val="15"/>
          <w:szCs w:val="15"/>
          <w:b w:val="1"/>
          <w:bCs w:val="1"/>
          <w:color w:val="auto"/>
        </w:rPr>
        <w:t>Central and Corporate</w:t>
      </w:r>
      <w:r>
        <w:rPr>
          <w:rFonts w:ascii="Arial" w:cs="Arial" w:eastAsia="Arial" w:hAnsi="Arial"/>
          <w:sz w:val="15"/>
          <w:szCs w:val="15"/>
          <w:color w:val="auto"/>
        </w:rPr>
        <w:t>) primarily include (i) services provided to the VMED O2 JV, the VodafoneZiggo JV and various third parties related to transitional service agreements, (ii) sales of customer premises equipment to the VodafoneZiggo JV and (iii) certain centralized functions, including billing systems, network operations, technology, marketing, facilities, finance and other administrative functions.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Performance Measures of Our Reportable Segments</w:t>
      </w:r>
    </w:p>
    <w:p>
      <w:pPr>
        <w:spacing w:after="0" w:line="2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amounts presented below represent 100% of each of our reportable segment’s revenue and Adjusted EBITDA. As we have the ability to control Telenet, we consolidate 100% of Telenet’s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 Similarly, despite only holding a 50% noncontrolling interest in both the VMED O2 JV and the VodafoneZiggo JV, we present 100% of the revenue and Adjusted EBITDA of those entities in the tables below. Our share of the operating results of the VMED O2 JV and the VodafoneZiggo JV are included in share of results of affiliates, net, in our condensed consolidated statements of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6"/>
                <w:szCs w:val="16"/>
                <w:b w:val="1"/>
                <w:bCs w:val="1"/>
                <w:color w:val="auto"/>
              </w:rPr>
              <w:t>Revenue</w:t>
            </w: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55"/>
        </w:trPr>
        <w:tc>
          <w:tcPr>
            <w:tcW w:w="5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gridSpan w:val="5"/>
          </w:tcPr>
          <w:p>
            <w:pPr>
              <w:ind w:left="380"/>
              <w:spacing w:after="0" w:line="155" w:lineRule="exact"/>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3"/>
                <w:szCs w:val="13"/>
                <w:color w:val="auto"/>
              </w:rPr>
            </w:pPr>
          </w:p>
        </w:tc>
        <w:tc>
          <w:tcPr>
            <w:tcW w:w="2380" w:type="dxa"/>
            <w:vAlign w:val="bottom"/>
            <w:gridSpan w:val="4"/>
          </w:tcPr>
          <w:p>
            <w:pPr>
              <w:jc w:val="right"/>
              <w:ind w:right="692"/>
              <w:spacing w:after="0" w:line="155" w:lineRule="exact"/>
              <w:rPr>
                <w:sz w:val="20"/>
                <w:szCs w:val="20"/>
                <w:color w:val="auto"/>
              </w:rPr>
            </w:pPr>
            <w:r>
              <w:rPr>
                <w:rFonts w:ascii="Arial" w:cs="Arial" w:eastAsia="Arial" w:hAnsi="Arial"/>
                <w:sz w:val="16"/>
                <w:szCs w:val="16"/>
                <w:b w:val="1"/>
                <w:bCs w:val="1"/>
                <w:color w:val="auto"/>
              </w:rPr>
              <w:t>Six months ended</w:t>
            </w:r>
          </w:p>
        </w:tc>
      </w:tr>
      <w:tr>
        <w:trPr>
          <w:trHeight w:val="210"/>
        </w:trPr>
        <w:tc>
          <w:tcPr>
            <w:tcW w:w="5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05"/>
        </w:trPr>
        <w:tc>
          <w:tcPr>
            <w:tcW w:w="5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03"/>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10"/>
        </w:trPr>
        <w:tc>
          <w:tcPr>
            <w:tcW w:w="5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2,913.7</w:t>
            </w: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Belgium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1,400.6</w:t>
            </w: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Ireland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239.8</w:t>
            </w: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Eastern Europe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Central and Corporate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203.1</w:t>
            </w: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8"/>
        </w:trPr>
        <w:tc>
          <w:tcPr>
            <w:tcW w:w="5580" w:type="dxa"/>
            <w:vAlign w:val="bottom"/>
          </w:tcPr>
          <w:p>
            <w:pPr>
              <w:ind w:left="140"/>
              <w:spacing w:after="0" w:line="204"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5,598.7</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2"/>
        </w:trPr>
        <w:tc>
          <w:tcPr>
            <w:tcW w:w="5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VMED O2 JV (b)</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1,208.5</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1,208.5</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55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VodafoneZiggo JV</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2,178.7</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revenue of the U.K. JV Entities through the June 1, 2021 closing of the U.K. JV Transaction.</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2021 amounts represent the revenue of the VMED O2 JV for the period from June 1, 2021 through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Adjusted EBITDA</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gridSpan w:val="5"/>
          </w:tcPr>
          <w:p>
            <w:pPr>
              <w:ind w:left="380"/>
              <w:spacing w:after="0" w:line="155" w:lineRule="exact"/>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3"/>
                <w:szCs w:val="13"/>
                <w:color w:val="auto"/>
              </w:rPr>
            </w:pPr>
          </w:p>
        </w:tc>
        <w:tc>
          <w:tcPr>
            <w:tcW w:w="2380" w:type="dxa"/>
            <w:vAlign w:val="bottom"/>
            <w:gridSpan w:val="4"/>
          </w:tcPr>
          <w:p>
            <w:pPr>
              <w:jc w:val="right"/>
              <w:ind w:right="693"/>
              <w:spacing w:after="0" w:line="155" w:lineRule="exact"/>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5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Belgium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685.7</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Ireland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Eastern Europe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2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Central and Corporate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VMED O2 JV (b)</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VodafoneZiggo JV</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570.1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531.5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1,135.3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1,034.3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Adjusted EBITDA of the U.K. JV Entities through the June 1, 2021 closing of the U.K. JV Transaction.</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2021 amounts represent the Adjusted EBITDA of the VMED O2 JV for the period from June 1, 2021 through June 30, 2021.</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reconciliation of net earnings (loss) to Adjusted EBITDA: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38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Gain on U.K. JV Transaction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(11,138.0)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(11,138.0)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results of affiliates,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Losses on debt extinguishment,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174"/>
        </w:trPr>
        <w:tc>
          <w:tcPr>
            <w:tcW w:w="55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89"/>
              </w:rPr>
              <w:t>Realized and unrealized losses (gains) due to changes in fair values of certain</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and debt, net</w:t>
            </w: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Foreign currency transaction losses (gains),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Realized and unrealized losses (gains) gains on derivative instruments,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2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1,329.2</w:t>
            </w:r>
          </w:p>
        </w:tc>
        <w:tc>
          <w:tcPr>
            <w:tcW w:w="0" w:type="dxa"/>
            <w:vAlign w:val="bottom"/>
          </w:tcPr>
          <w:p>
            <w:pPr>
              <w:spacing w:after="0"/>
              <w:rPr>
                <w:sz w:val="1"/>
                <w:szCs w:val="1"/>
                <w:color w:val="auto"/>
              </w:rPr>
            </w:pPr>
          </w:p>
        </w:tc>
      </w:tr>
      <w:tr>
        <w:trPr>
          <w:trHeight w:val="22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Property and Equipment Additions of our Reportable Segments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property and equipment additions of our reportable segments (including capital additions financed under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 respectively.</w:t>
      </w:r>
    </w:p>
    <w:p>
      <w:pPr>
        <w:spacing w:after="0" w:line="48" w:lineRule="exact"/>
        <w:rPr>
          <w:sz w:val="20"/>
          <w:szCs w:val="20"/>
          <w:color w:val="auto"/>
        </w:rPr>
      </w:pPr>
    </w:p>
    <w:p>
      <w:pPr>
        <w:jc w:val="center"/>
        <w:ind w:left="8300"/>
        <w:spacing w:after="0"/>
        <w:rPr>
          <w:sz w:val="20"/>
          <w:szCs w:val="20"/>
          <w:color w:val="auto"/>
        </w:rPr>
      </w:pPr>
      <w:r>
        <w:rPr>
          <w:rFonts w:ascii="Arial" w:cs="Arial" w:eastAsia="Arial" w:hAnsi="Arial"/>
          <w:sz w:val="16"/>
          <w:szCs w:val="16"/>
          <w:b w:val="1"/>
          <w:bCs w:val="1"/>
          <w:color w:val="auto"/>
        </w:rPr>
        <w:t>Six months ended</w:t>
      </w:r>
    </w:p>
    <w:p>
      <w:pPr>
        <w:jc w:val="center"/>
        <w:ind w:left="8300"/>
        <w:spacing w:after="0"/>
        <w:rPr>
          <w:sz w:val="20"/>
          <w:szCs w:val="20"/>
          <w:color w:val="auto"/>
        </w:rPr>
      </w:pPr>
      <w:r>
        <w:rPr>
          <w:rFonts w:ascii="Arial" w:cs="Arial" w:eastAsia="Arial" w:hAnsi="Arial"/>
          <w:sz w:val="16"/>
          <w:szCs w:val="16"/>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02"/>
        </w:trPr>
        <w:tc>
          <w:tcPr>
            <w:tcW w:w="8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7"/>
                <w:szCs w:val="17"/>
                <w:color w:val="auto"/>
              </w:rPr>
            </w:pPr>
          </w:p>
        </w:tc>
      </w:tr>
      <w:tr>
        <w:trPr>
          <w:trHeight w:val="203"/>
        </w:trPr>
        <w:tc>
          <w:tcPr>
            <w:tcW w:w="8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w:t>
            </w: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Belgium</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251.9</w:t>
            </w: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Ireland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Eastern Europe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2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Central and Corporate (b)</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w:t>
            </w:r>
          </w:p>
        </w:tc>
      </w:tr>
      <w:tr>
        <w:trPr>
          <w:trHeight w:val="219"/>
        </w:trPr>
        <w:tc>
          <w:tcPr>
            <w:tcW w:w="832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auto"/>
              </w:rPr>
              <w:t>Total property and equipment additions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1,242.4</w:t>
            </w: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(702.9)</w:t>
            </w: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finance leases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2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r>
      <w:tr>
        <w:trPr>
          <w:trHeight w:val="244"/>
        </w:trPr>
        <w:tc>
          <w:tcPr>
            <w:tcW w:w="8320" w:type="dxa"/>
            <w:vAlign w:val="bottom"/>
            <w:tcBorders>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capital expenditures, net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additions: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8320" w:type="dxa"/>
            <w:vAlign w:val="bottom"/>
          </w:tcPr>
          <w:p>
            <w:pPr>
              <w:ind w:left="180"/>
              <w:spacing w:after="0"/>
              <w:rPr>
                <w:sz w:val="20"/>
                <w:szCs w:val="20"/>
                <w:color w:val="auto"/>
              </w:rPr>
            </w:pPr>
            <w:r>
              <w:rPr>
                <w:rFonts w:ascii="Arial" w:cs="Arial" w:eastAsia="Arial" w:hAnsi="Arial"/>
                <w:sz w:val="18"/>
                <w:szCs w:val="18"/>
                <w:color w:val="auto"/>
              </w:rPr>
              <w:t>VMED O2 JV (c)</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3"/>
        </w:trPr>
        <w:tc>
          <w:tcPr>
            <w:tcW w:w="8320" w:type="dxa"/>
            <w:vAlign w:val="bottom"/>
            <w:tcBorders>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VodafoneZiggo JV</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property and equipment additions of the U.K. JV Entities through the June 1, 2021 closing of the U.K. JV Transaction.</w:t>
      </w:r>
    </w:p>
    <w:p>
      <w:pPr>
        <w:spacing w:after="0" w:line="243"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(i) property and equipment additions representing centrally-owned assets that benefit our operating segments and (ii) the net impact of certain centrally-procured network equipment that is ultimately transferred to our operating segments.</w:t>
      </w:r>
    </w:p>
    <w:p>
      <w:pPr>
        <w:spacing w:after="0" w:line="207" w:lineRule="exact"/>
        <w:rPr>
          <w:rFonts w:ascii="Arial" w:cs="Arial" w:eastAsia="Arial" w:hAnsi="Arial"/>
          <w:sz w:val="18"/>
          <w:szCs w:val="18"/>
          <w:color w:val="auto"/>
        </w:rPr>
      </w:pPr>
    </w:p>
    <w:p>
      <w:pPr>
        <w:ind w:left="480" w:hanging="474"/>
        <w:spacing w:after="0"/>
        <w:tabs>
          <w:tab w:leader="none" w:pos="4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2021 amount represents the property and equipment additions of the VMED O2 JV for the period from June 1, 2021 through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by Major Category</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 by major category for our consolidated reportable segments is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38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05"/>
        </w:trPr>
        <w:tc>
          <w:tcPr>
            <w:tcW w:w="5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03"/>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7"/>
        </w:trPr>
        <w:tc>
          <w:tcPr>
            <w:tcW w:w="5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5580" w:type="dxa"/>
            <w:vAlign w:val="bottom"/>
          </w:tcPr>
          <w:p>
            <w:pPr>
              <w:ind w:left="140"/>
              <w:spacing w:after="0"/>
              <w:rPr>
                <w:sz w:val="20"/>
                <w:szCs w:val="20"/>
                <w:color w:val="auto"/>
              </w:rPr>
            </w:pPr>
            <w:r>
              <w:rPr>
                <w:rFonts w:ascii="Arial" w:cs="Arial" w:eastAsia="Arial" w:hAnsi="Arial"/>
                <w:sz w:val="18"/>
                <w:szCs w:val="18"/>
                <w:color w:val="auto"/>
              </w:rPr>
              <w:t>Residential cable revenue (a):</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5580" w:type="dxa"/>
            <w:vAlign w:val="bottom"/>
          </w:tcPr>
          <w:p>
            <w:pPr>
              <w:ind w:left="340"/>
              <w:spacing w:after="0"/>
              <w:rPr>
                <w:sz w:val="20"/>
                <w:szCs w:val="20"/>
                <w:color w:val="auto"/>
              </w:rPr>
            </w:pPr>
            <w:r>
              <w:rPr>
                <w:rFonts w:ascii="Arial" w:cs="Arial" w:eastAsia="Arial" w:hAnsi="Arial"/>
                <w:sz w:val="18"/>
                <w:szCs w:val="18"/>
                <w:color w:val="auto"/>
              </w:rPr>
              <w:t>Broadband internet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763.9</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781.0</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1,690.7</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1,577.8</w:t>
            </w:r>
          </w:p>
        </w:tc>
      </w:tr>
      <w:tr>
        <w:trPr>
          <w:trHeight w:val="226"/>
        </w:trPr>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1,316.7</w:t>
            </w:r>
          </w:p>
        </w:tc>
      </w:tr>
      <w:tr>
        <w:trPr>
          <w:trHeight w:val="225"/>
        </w:trPr>
        <w:tc>
          <w:tcPr>
            <w:tcW w:w="5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Fixed-line telephony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666.5</w:t>
            </w:r>
          </w:p>
        </w:tc>
      </w:tr>
      <w:tr>
        <w:trPr>
          <w:trHeight w:val="219"/>
        </w:trPr>
        <w:tc>
          <w:tcPr>
            <w:tcW w:w="558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subscription 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3,561.0</w:t>
            </w:r>
          </w:p>
        </w:tc>
      </w:tr>
      <w:tr>
        <w:trPr>
          <w:trHeight w:val="225"/>
        </w:trPr>
        <w:tc>
          <w:tcPr>
            <w:tcW w:w="5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r>
      <w:tr>
        <w:trPr>
          <w:trHeight w:val="219"/>
        </w:trPr>
        <w:tc>
          <w:tcPr>
            <w:tcW w:w="558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residential cable revenue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3,649.6</w:t>
            </w:r>
          </w:p>
        </w:tc>
      </w:tr>
      <w:tr>
        <w:trPr>
          <w:trHeight w:val="205"/>
        </w:trPr>
        <w:tc>
          <w:tcPr>
            <w:tcW w:w="5580" w:type="dxa"/>
            <w:vAlign w:val="bottom"/>
          </w:tcPr>
          <w:p>
            <w:pPr>
              <w:ind w:left="140"/>
              <w:spacing w:after="0" w:line="204" w:lineRule="exact"/>
              <w:rPr>
                <w:sz w:val="20"/>
                <w:szCs w:val="20"/>
                <w:color w:val="auto"/>
              </w:rPr>
            </w:pPr>
            <w:r>
              <w:rPr>
                <w:rFonts w:ascii="Arial" w:cs="Arial" w:eastAsia="Arial" w:hAnsi="Arial"/>
                <w:sz w:val="18"/>
                <w:szCs w:val="18"/>
                <w:color w:val="auto"/>
              </w:rPr>
              <w:t>Residential mobile revenue (c):</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w:t>
            </w:r>
          </w:p>
        </w:tc>
      </w:tr>
      <w:tr>
        <w:trPr>
          <w:trHeight w:val="225"/>
        </w:trPr>
        <w:tc>
          <w:tcPr>
            <w:tcW w:w="5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r>
      <w:tr>
        <w:trPr>
          <w:trHeight w:val="219"/>
        </w:trPr>
        <w:tc>
          <w:tcPr>
            <w:tcW w:w="558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residential mobile revenue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738.2</w:t>
            </w:r>
          </w:p>
        </w:tc>
      </w:tr>
      <w:tr>
        <w:trPr>
          <w:trHeight w:val="218"/>
        </w:trPr>
        <w:tc>
          <w:tcPr>
            <w:tcW w:w="558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residential revenue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4,387.8</w:t>
            </w:r>
          </w:p>
        </w:tc>
      </w:tr>
      <w:tr>
        <w:trPr>
          <w:trHeight w:val="206"/>
        </w:trPr>
        <w:tc>
          <w:tcPr>
            <w:tcW w:w="55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B2B revenue (d):</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5"/>
        </w:trPr>
        <w:tc>
          <w:tcPr>
            <w:tcW w:w="558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268.8</w:t>
            </w:r>
          </w:p>
        </w:tc>
      </w:tr>
      <w:tr>
        <w:trPr>
          <w:trHeight w:val="226"/>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666.9</w:t>
            </w:r>
          </w:p>
        </w:tc>
      </w:tr>
      <w:tr>
        <w:trPr>
          <w:trHeight w:val="218"/>
        </w:trPr>
        <w:tc>
          <w:tcPr>
            <w:tcW w:w="558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B2B revenue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935.7</w:t>
            </w:r>
          </w:p>
        </w:tc>
      </w:tr>
      <w:tr>
        <w:trPr>
          <w:trHeight w:val="219"/>
        </w:trPr>
        <w:tc>
          <w:tcPr>
            <w:tcW w:w="55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revenue (e)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r>
      <w:tr>
        <w:trPr>
          <w:trHeight w:val="218"/>
        </w:trPr>
        <w:tc>
          <w:tcPr>
            <w:tcW w:w="558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5,598.7</w:t>
            </w: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214" w:lineRule="exact"/>
        <w:rPr>
          <w:rFonts w:ascii="Arial" w:cs="Arial" w:eastAsia="Arial" w:hAnsi="Arial"/>
          <w:sz w:val="18"/>
          <w:szCs w:val="18"/>
          <w:color w:val="auto"/>
        </w:rPr>
      </w:pPr>
    </w:p>
    <w:p>
      <w:pPr>
        <w:jc w:val="both"/>
        <w:ind w:left="480" w:hanging="474"/>
        <w:spacing w:after="0" w:line="277" w:lineRule="auto"/>
        <w:tabs>
          <w:tab w:leader="none" w:pos="474"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97" w:lineRule="exact"/>
        <w:rPr>
          <w:rFonts w:ascii="Arial" w:cs="Arial" w:eastAsia="Arial" w:hAnsi="Arial"/>
          <w:sz w:val="17"/>
          <w:szCs w:val="17"/>
          <w:color w:val="auto"/>
        </w:rPr>
      </w:pPr>
    </w:p>
    <w:p>
      <w:pPr>
        <w:ind w:left="480" w:hanging="474"/>
        <w:spacing w:after="0" w:line="264" w:lineRule="auto"/>
        <w:tabs>
          <w:tab w:leader="none" w:pos="477"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201" w:lineRule="exact"/>
        <w:rPr>
          <w:rFonts w:ascii="Arial" w:cs="Arial" w:eastAsia="Arial" w:hAnsi="Arial"/>
          <w:sz w:val="18"/>
          <w:szCs w:val="18"/>
          <w:color w:val="auto"/>
        </w:rPr>
      </w:pPr>
    </w:p>
    <w:p>
      <w:pPr>
        <w:jc w:val="both"/>
        <w:ind w:left="480" w:hanging="474"/>
        <w:spacing w:after="0" w:line="321" w:lineRule="auto"/>
        <w:tabs>
          <w:tab w:leader="none" w:pos="474" w:val="left"/>
        </w:tabs>
        <w:numPr>
          <w:ilvl w:val="0"/>
          <w:numId w:val="46"/>
        </w:numPr>
        <w:rPr>
          <w:rFonts w:ascii="Arial" w:cs="Arial" w:eastAsia="Arial" w:hAnsi="Arial"/>
          <w:sz w:val="15"/>
          <w:szCs w:val="15"/>
          <w:color w:val="auto"/>
        </w:rPr>
      </w:pPr>
      <w:r>
        <w:rPr>
          <w:rFonts w:ascii="Arial" w:cs="Arial" w:eastAsia="Arial" w:hAnsi="Arial"/>
          <w:sz w:val="15"/>
          <w:szCs w:val="15"/>
          <w:color w:val="auto"/>
        </w:rPr>
        <w:t>B2B subscription revenue represents revenue from (i) services provided to certain small or home office (</w:t>
      </w:r>
      <w:r>
        <w:rPr>
          <w:rFonts w:ascii="Arial" w:cs="Arial" w:eastAsia="Arial" w:hAnsi="Arial"/>
          <w:sz w:val="15"/>
          <w:szCs w:val="15"/>
          <w:b w:val="1"/>
          <w:bCs w:val="1"/>
          <w:color w:val="auto"/>
        </w:rPr>
        <w:t>SOHO</w:t>
      </w:r>
      <w:r>
        <w:rPr>
          <w:rFonts w:ascii="Arial" w:cs="Arial" w:eastAsia="Arial" w:hAnsi="Arial"/>
          <w:sz w:val="15"/>
          <w:szCs w:val="15"/>
          <w:color w:val="auto"/>
        </w:rPr>
        <w:t>)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 large enterprises and, on a wholesale basis, to other operators and (b) revenue from long-term leases of portions of our network.</w:t>
      </w:r>
    </w:p>
    <w:p>
      <w:pPr>
        <w:spacing w:after="0" w:line="244" w:lineRule="exact"/>
        <w:rPr>
          <w:sz w:val="20"/>
          <w:szCs w:val="20"/>
          <w:color w:val="auto"/>
        </w:rPr>
      </w:pPr>
    </w:p>
    <w:p>
      <w:pPr>
        <w:jc w:val="both"/>
        <w:ind w:left="480" w:hanging="474"/>
        <w:spacing w:after="0" w:line="255" w:lineRule="auto"/>
        <w:tabs>
          <w:tab w:leader="none" w:pos="477"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the U.K. JV Services, the NL JV Services and the sale of customer premises equipment to the VodafoneZiggo JV, (ii) broadcasting revenue in Belgium and Ireland and (iii) revenue earned from transitional and other services provided to various third parties.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Geographic Segments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revenue of our geographic segments is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38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2,913.7</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Belgium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1,400.6</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Ireland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Poland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Slovakia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including intersegment eliminations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9"/>
        </w:trPr>
        <w:tc>
          <w:tcPr>
            <w:tcW w:w="5580" w:type="dxa"/>
            <w:vAlign w:val="bottom"/>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5,598.7</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VMED O2 JV (U.K.) (b)</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1,208.5</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1,208.5</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VodafoneZiggo JV (Netherlands)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2,178.7</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58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80" w:hanging="474"/>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revenue of the U.K. JV Entities through the June 1, 2021 closing of the U.K. JV Transaction.</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2021 amounts represent the revenue of the VMED O2 JV for the period from June 1, 2021 through June 30, 2021.</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440" w:hanging="434"/>
        <w:spacing w:after="0"/>
        <w:tabs>
          <w:tab w:leader="none" w:pos="4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w:t>
      </w:r>
    </w:p>
    <w:p>
      <w:pPr>
        <w:spacing w:after="0" w:line="236" w:lineRule="exact"/>
        <w:rPr>
          <w:sz w:val="20"/>
          <w:szCs w:val="20"/>
          <w:color w:val="auto"/>
        </w:rPr>
      </w:pPr>
    </w:p>
    <w:p>
      <w:pPr>
        <w:jc w:val="both"/>
        <w:ind w:firstLine="318"/>
        <w:spacing w:after="0" w:line="223" w:lineRule="auto"/>
        <w:rPr>
          <w:sz w:val="20"/>
          <w:szCs w:val="20"/>
          <w:color w:val="auto"/>
        </w:rPr>
      </w:pPr>
      <w:r>
        <w:rPr>
          <w:rFonts w:ascii="Arial" w:cs="Arial" w:eastAsia="Arial" w:hAnsi="Arial"/>
          <w:sz w:val="18"/>
          <w:szCs w:val="18"/>
          <w:color w:val="auto"/>
        </w:rPr>
        <w:t>Our company received a non-binding offer from Iliad S.A. to acquire 100% of our operations in Poland at a purchase price equal to 9.3 times the estimated full year 2021 Adjusted EBITDA (PLN 781.5 million ($204.8 million)), reflecting an enterprise value of PLN 7.3 billion ($1.9 billion). Discussions are in process and there can be no certainty that a transaction will ultimately be consummated. If any agreement were to be reached, customary terms and conditions would apply to any proposed transaction, including regulatory approvals. We will update the market in due course on the outcome of these discussions.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discussion and analysis, which should be read in conjunction with our condensed consolidated financial statements and the discussion and analysis included in our 10-K, is intended to assist in providing an understanding of our financial condition, changes in financial condition and results of operations and is organized as follows:</w:t>
      </w:r>
    </w:p>
    <w:p>
      <w:pPr>
        <w:spacing w:after="0" w:line="215" w:lineRule="exact"/>
        <w:rPr>
          <w:sz w:val="20"/>
          <w:szCs w:val="20"/>
          <w:color w:val="auto"/>
        </w:rPr>
      </w:pPr>
    </w:p>
    <w:p>
      <w:pPr>
        <w:ind w:left="640" w:hanging="316"/>
        <w:spacing w:after="0" w:line="264"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This section provides a description of certain factors that could cause actual results or events to differ materially from</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results or events.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provides a general description of our business and recent events.</w:t>
      </w:r>
    </w:p>
    <w:p>
      <w:pPr>
        <w:spacing w:after="0" w:line="111"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Results of Operations. </w:t>
      </w:r>
      <w:r>
        <w:rPr>
          <w:rFonts w:ascii="Arial" w:cs="Arial" w:eastAsia="Arial" w:hAnsi="Arial"/>
          <w:sz w:val="18"/>
          <w:szCs w:val="18"/>
          <w:color w:val="auto"/>
        </w:rPr>
        <w:t>This section provides an analysis of our results of operations for the three and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2020.</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Financial Condition. </w:t>
      </w:r>
      <w:r>
        <w:rPr>
          <w:rFonts w:ascii="Arial" w:cs="Arial" w:eastAsia="Arial" w:hAnsi="Arial"/>
          <w:sz w:val="18"/>
          <w:szCs w:val="18"/>
          <w:color w:val="auto"/>
        </w:rPr>
        <w:t>This section provides an analysis of our corporate and subsidiary liquidity,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cash flows and contractual commitments.</w:t>
      </w:r>
    </w:p>
    <w:p>
      <w:pPr>
        <w:spacing w:after="0" w:line="20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indicated, convenience translations into U.S. dollars are calculated as of June 30, 2021.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2"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w:t>
      </w:r>
      <w:r>
        <w:rPr>
          <w:rFonts w:ascii="Arial" w:cs="Arial" w:eastAsia="Arial" w:hAnsi="Arial"/>
          <w:sz w:val="15"/>
          <w:szCs w:val="15"/>
          <w:i w:val="1"/>
          <w:iCs w:val="1"/>
          <w:color w:val="auto"/>
        </w:rPr>
        <w:t>Part I, Item 2. Management’s Discussion and Analysis of Financial Condition and Results of Operations</w:t>
      </w:r>
      <w:r>
        <w:rPr>
          <w:rFonts w:ascii="Arial" w:cs="Arial" w:eastAsia="Arial" w:hAnsi="Arial"/>
          <w:sz w:val="15"/>
          <w:szCs w:val="15"/>
          <w:color w:val="auto"/>
        </w:rPr>
        <w:t xml:space="preserve"> and </w:t>
      </w:r>
      <w:r>
        <w:rPr>
          <w:rFonts w:ascii="Arial" w:cs="Arial" w:eastAsia="Arial" w:hAnsi="Arial"/>
          <w:sz w:val="15"/>
          <w:szCs w:val="15"/>
          <w:i w:val="1"/>
          <w:iCs w:val="1"/>
          <w:color w:val="auto"/>
        </w:rPr>
        <w:t>Part I,</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Item 3. Quantitative and Qualitative Disclosures About Market Risk </w:t>
      </w:r>
      <w:r>
        <w:rPr>
          <w:rFonts w:ascii="Arial" w:cs="Arial" w:eastAsia="Arial" w:hAnsi="Arial"/>
          <w:sz w:val="15"/>
          <w:szCs w:val="15"/>
          <w:color w:val="auto"/>
        </w:rPr>
        <w:t>may contain forward-looking statements, including statements regarding our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product, foreign currency and finance strategies, our property and equipment additions (including with respect to the Network Extensions, as defined below), subscriber growth and retention rates, competitive, regulatory and economic factors, the timing and impacts of proposed transactions, the maturity of our markets, the potential impact of COVID-19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our 10-K, as well as the following list of some but not all of the factors that could cause actual results or events (including with respect to our affiliates) to differ materially from anticipated results or events:</w:t>
      </w:r>
    </w:p>
    <w:p>
      <w:pPr>
        <w:spacing w:after="0" w:line="200" w:lineRule="exact"/>
        <w:rPr>
          <w:sz w:val="20"/>
          <w:szCs w:val="20"/>
          <w:color w:val="auto"/>
        </w:rPr>
      </w:pPr>
    </w:p>
    <w:p>
      <w:pPr>
        <w:spacing w:after="0" w:line="204" w:lineRule="exact"/>
        <w:rPr>
          <w:sz w:val="20"/>
          <w:szCs w:val="20"/>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or our affiliates operate;</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competitive environment in the industries in the countries in which we or our affiliates operate, including competitor responses to our products and services;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instability in global financial markets, including sovereign debt issues and related fiscal reforms;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consumer disposable income and spending levels, including the availability and amount of individual consumer debt;</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consumer television viewing and broadband usage preferences and habits;</w:t>
      </w:r>
    </w:p>
    <w:p>
      <w:pPr>
        <w:spacing w:after="0" w:line="111"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consumer acceptance of our existing service offerings, including our broadband internet, cable television, fixed-line telephony, mobile and business service offerings, and of new technology, programming alternatives and other products and service offerings in the future;</w:t>
      </w:r>
    </w:p>
    <w:p>
      <w:pPr>
        <w:spacing w:after="0" w:line="51" w:lineRule="exact"/>
        <w:rPr>
          <w:rFonts w:ascii="Arial" w:cs="Arial" w:eastAsia="Arial" w:hAnsi="Arial"/>
          <w:sz w:val="17"/>
          <w:szCs w:val="17"/>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manage rapid technological changes;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1" w:name="page52"/>
    <w:bookmarkEnd w:id="51"/>
    <w:p>
      <w:pPr>
        <w:ind w:left="640" w:hanging="316"/>
        <w:spacing w:after="0" w:line="264"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maintain or increase the number of subscriptions to our broadband internet, cable television, fixed-line telephony and mobile service offerings and our average revenue per household;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provide satisfactory customer service, including support for new and evolving products and services;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maintain or increase rates to our subscribers or to pass through increased costs to our subscribers;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our future financial performance, or market conditions generally, on the availability, terms and deployment of capital;</w:t>
      </w:r>
    </w:p>
    <w:p>
      <w:pPr>
        <w:spacing w:after="0" w:line="111"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or failure or inability to comply with, government regulations in the countries in which we or our affiliates operate and adverse outcomes from regulatory proceedings;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government intervention that requires opening our broadband distribution networks to competitors, such as the obligations imposed in Belgium;</w:t>
      </w:r>
    </w:p>
    <w:p>
      <w:pPr>
        <w:spacing w:after="0" w:line="145"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obtain regulatory approval and shareholder approval and satisfy other conditions necessary to close acquisitions and dispositions and the impact of conditions imposed by competition and other regulatory authorities in connection with acquisitions;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U.K., the U.S. or in other countries in which we or our affiliates operate;</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laws and government regulations that may impact the availability and cost of capital and the derivative instruments that hedge certain of our financial risks;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ability of suppliers and vendors (including our third-party wireless network providers under our mobile virtual network operator arrangements) to timely deliver quality products, equipment, software, services and access;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availability of attractive programming for our video services and the costs associated with such programming, including retransmission and copyright fees payable to public and private broadcasters;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uncertainties inherent in the development and integration of new business lines and business strategies;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adequately forecast and plan future network requirements, including the costs and benefits associated with our network extension programs;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availability of capital for the acquisition and/or development of telecommunications networks and services;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problems we may discover post-closing with the operations, including the internal controls and financial reporting process, of businesses we acquire;</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leakage of sensitive customer data;</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outcome of any pending or threatened litigation;</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loss of key employees and the availability of qualified personnel;</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venturers;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equity capital structure; and</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events that are outside of our control, such as political unrest in international markets, terrorist attacks, malicious human acts, natural disasters, epidemics, pandemics (such as COVID-19) and other similar events.</w:t>
      </w:r>
    </w:p>
    <w:p>
      <w:pPr>
        <w:spacing w:after="0" w:line="2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broadband distribution and mobile service industries are changing rapidly and, therefore, the forward-looking statements of expectations, plans and intent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Overview</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are an international provider of broadband internet, video, fixed-line telephony and mobile communications services to residential customers and businesses in Europe. Our operations comprise businesses that provide residential and B2B communications services in (i) Switzerland, Poland and Slovakia through UPC Holding, (ii) Belgium through Telenet and (iii) Ireland through another wholly-owned subsidiary of Liberty Global (</w:t>
      </w:r>
      <w:r>
        <w:rPr>
          <w:rFonts w:ascii="Arial" w:cs="Arial" w:eastAsia="Arial" w:hAnsi="Arial"/>
          <w:sz w:val="15"/>
          <w:szCs w:val="15"/>
          <w:b w:val="1"/>
          <w:bCs w:val="1"/>
          <w:color w:val="auto"/>
        </w:rPr>
        <w:t>VM Ireland</w:t>
      </w:r>
      <w:r>
        <w:rPr>
          <w:rFonts w:ascii="Arial" w:cs="Arial" w:eastAsia="Arial" w:hAnsi="Arial"/>
          <w:sz w:val="15"/>
          <w:szCs w:val="15"/>
          <w:color w:val="auto"/>
        </w:rPr>
        <w:t>). In addition, we own 50% noncontrolling interests in (a) a 50:50 joint venture between Vodafone Group plc (</w:t>
      </w:r>
      <w:r>
        <w:rPr>
          <w:rFonts w:ascii="Arial" w:cs="Arial" w:eastAsia="Arial" w:hAnsi="Arial"/>
          <w:sz w:val="15"/>
          <w:szCs w:val="15"/>
          <w:b w:val="1"/>
          <w:bCs w:val="1"/>
          <w:color w:val="auto"/>
        </w:rPr>
        <w:t>Vodafone</w:t>
      </w:r>
      <w:r>
        <w:rPr>
          <w:rFonts w:ascii="Arial" w:cs="Arial" w:eastAsia="Arial" w:hAnsi="Arial"/>
          <w:sz w:val="15"/>
          <w:szCs w:val="15"/>
          <w:color w:val="auto"/>
        </w:rPr>
        <w:t xml:space="preserve">) and Liberty Global (the </w:t>
      </w:r>
      <w:r>
        <w:rPr>
          <w:rFonts w:ascii="Arial" w:cs="Arial" w:eastAsia="Arial" w:hAnsi="Arial"/>
          <w:sz w:val="15"/>
          <w:szCs w:val="15"/>
          <w:b w:val="1"/>
          <w:bCs w:val="1"/>
          <w:color w:val="auto"/>
        </w:rPr>
        <w:t>VodafoneZiggo JV</w:t>
      </w:r>
      <w:r>
        <w:rPr>
          <w:rFonts w:ascii="Arial" w:cs="Arial" w:eastAsia="Arial" w:hAnsi="Arial"/>
          <w:sz w:val="15"/>
          <w:szCs w:val="15"/>
          <w:color w:val="auto"/>
        </w:rPr>
        <w:t>), which provides residential and B2B communication services in the Netherlands and (b) a 50:50 joint venture between Telefonica SA (</w:t>
      </w:r>
      <w:r>
        <w:rPr>
          <w:rFonts w:ascii="Arial" w:cs="Arial" w:eastAsia="Arial" w:hAnsi="Arial"/>
          <w:sz w:val="15"/>
          <w:szCs w:val="15"/>
          <w:b w:val="1"/>
          <w:bCs w:val="1"/>
          <w:color w:val="auto"/>
        </w:rPr>
        <w:t>Telefónica</w:t>
      </w:r>
      <w:r>
        <w:rPr>
          <w:rFonts w:ascii="Arial" w:cs="Arial" w:eastAsia="Arial" w:hAnsi="Arial"/>
          <w:sz w:val="15"/>
          <w:szCs w:val="15"/>
          <w:color w:val="auto"/>
        </w:rPr>
        <w:t xml:space="preserve">) and Liberty Global (the </w:t>
      </w:r>
      <w:r>
        <w:rPr>
          <w:rFonts w:ascii="Arial" w:cs="Arial" w:eastAsia="Arial" w:hAnsi="Arial"/>
          <w:sz w:val="15"/>
          <w:szCs w:val="15"/>
          <w:b w:val="1"/>
          <w:bCs w:val="1"/>
          <w:color w:val="auto"/>
        </w:rPr>
        <w:t>VMED O2 JV</w:t>
      </w:r>
      <w:r>
        <w:rPr>
          <w:rFonts w:ascii="Arial" w:cs="Arial" w:eastAsia="Arial" w:hAnsi="Arial"/>
          <w:sz w:val="15"/>
          <w:szCs w:val="15"/>
          <w:color w:val="auto"/>
        </w:rPr>
        <w:t>), which provides residential and B2B communication services in the United Kingdom (</w:t>
      </w:r>
      <w:r>
        <w:rPr>
          <w:rFonts w:ascii="Arial" w:cs="Arial" w:eastAsia="Arial" w:hAnsi="Arial"/>
          <w:sz w:val="15"/>
          <w:szCs w:val="15"/>
          <w:b w:val="1"/>
          <w:bCs w:val="1"/>
          <w:color w:val="auto"/>
        </w:rPr>
        <w:t>U.K.</w:t>
      </w:r>
      <w:r>
        <w:rPr>
          <w:rFonts w:ascii="Arial" w:cs="Arial" w:eastAsia="Arial" w:hAnsi="Arial"/>
          <w:sz w:val="15"/>
          <w:szCs w:val="15"/>
          <w:color w:val="auto"/>
        </w:rPr>
        <w:t>).</w:t>
      </w:r>
    </w:p>
    <w:p>
      <w:pPr>
        <w:spacing w:after="0" w:line="172"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Through May 31, 2021, we provided residential and B2B communication services in the U.K. through Virgin Media Inc. (</w:t>
      </w:r>
      <w:r>
        <w:rPr>
          <w:rFonts w:ascii="Arial" w:cs="Arial" w:eastAsia="Arial" w:hAnsi="Arial"/>
          <w:sz w:val="18"/>
          <w:szCs w:val="18"/>
          <w:b w:val="1"/>
          <w:bCs w:val="1"/>
          <w:color w:val="auto"/>
        </w:rPr>
        <w:t>Virgin Media</w:t>
      </w:r>
      <w:r>
        <w:rPr>
          <w:rFonts w:ascii="Arial" w:cs="Arial" w:eastAsia="Arial" w:hAnsi="Arial"/>
          <w:sz w:val="18"/>
          <w:szCs w:val="18"/>
          <w:color w:val="auto"/>
        </w:rPr>
        <w:t>). On June 1, 2021, we contributed the U.K. JV Entities to the VMED O2 JV and began accounting for our 50% interest in the VMED O2 JV as an equity method investment. For additional information, see note 4.</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Operations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At June 30, 2021, our consolidated operations owned and operated networks that passed 11,107,600 homes and served 5,675,700 fixed-line customers and 5,710,800 mobile subscribers.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Competition and Other External Factors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Arial" w:cs="Arial" w:eastAsia="Arial" w:hAnsi="Arial"/>
          <w:sz w:val="17"/>
          <w:szCs w:val="17"/>
          <w:b w:val="1"/>
          <w:bCs w:val="1"/>
          <w:color w:val="auto"/>
        </w:rPr>
        <w:t>ARPU</w:t>
      </w:r>
      <w:r>
        <w:rPr>
          <w:rFonts w:ascii="Arial" w:cs="Arial" w:eastAsia="Arial" w:hAnsi="Arial"/>
          <w:sz w:val="17"/>
          <w:szCs w:val="17"/>
          <w:color w:val="auto"/>
        </w:rPr>
        <w:t xml:space="preserve">). For additional information regarding the revenue impact of changes in fixed-line customers and ARPU of our consolidated reportable segments, see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below</w:t>
      </w:r>
      <w:r>
        <w:rPr>
          <w:rFonts w:ascii="Arial" w:cs="Arial" w:eastAsia="Arial" w:hAnsi="Arial"/>
          <w:sz w:val="17"/>
          <w:szCs w:val="17"/>
          <w:i w:val="1"/>
          <w:iCs w:val="1"/>
          <w:color w:val="auto"/>
        </w:rPr>
        <w:t>.</w:t>
      </w:r>
    </w:p>
    <w:p>
      <w:pPr>
        <w:spacing w:after="0" w:line="20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The global COVID-19 pandemic continues to adversely impact the economies of the countries in which we operate. However, during the second quarter of 2021, the adverse impact on our company continued to be relatively minimal as demand for our products and services remained strong. It is not currently possible to estimate the duration and severity of the COVID-19 pandemic or the adverse economic impact resulting from the preventative measures taken to contain or mitigate its outbreak, therefore no assurance can be given that an extended period of global economic disruption would not have a material adverse impact on our business, financial condition and results of operations in future periods. For further information regarding the COVID-19 pandemic, see the discussion under </w:t>
      </w:r>
      <w:r>
        <w:rPr>
          <w:rFonts w:ascii="Arial" w:cs="Arial" w:eastAsia="Arial" w:hAnsi="Arial"/>
          <w:sz w:val="15"/>
          <w:szCs w:val="15"/>
          <w:i w:val="1"/>
          <w:iCs w:val="1"/>
          <w:color w:val="auto"/>
        </w:rPr>
        <w:t>Part II, Item 7. Management’s Discussion and Analysis of Financial Condition and Results of Operations - Overview</w:t>
      </w:r>
      <w:r>
        <w:rPr>
          <w:rFonts w:ascii="Arial" w:cs="Arial" w:eastAsia="Arial" w:hAnsi="Arial"/>
          <w:sz w:val="15"/>
          <w:szCs w:val="15"/>
          <w:color w:val="auto"/>
        </w:rPr>
        <w:t xml:space="preserve"> included in our 2020 Annual Report on Form 10-K, as amended. For additional information regarding the impact of COVID-19 on our results of operations for the six months ended June 30, 2021, see </w:t>
      </w:r>
      <w:r>
        <w:rPr>
          <w:rFonts w:ascii="Arial" w:cs="Arial" w:eastAsia="Arial" w:hAnsi="Arial"/>
          <w:sz w:val="15"/>
          <w:szCs w:val="15"/>
          <w:i w:val="1"/>
          <w:iCs w:val="1"/>
          <w:color w:val="auto"/>
        </w:rPr>
        <w:t>Discussion and Analysis of our Reportable Segments</w:t>
      </w:r>
      <w:r>
        <w:rPr>
          <w:rFonts w:ascii="Arial" w:cs="Arial" w:eastAsia="Arial" w:hAnsi="Arial"/>
          <w:sz w:val="15"/>
          <w:szCs w:val="15"/>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completed a number of transactions that impact the comparability of our results of operations, the most notable of which are the Sunrise Acquisition on November 11, 2020 and the U.K. JV Transaction on June 1, 2021. For further information, see note 4 to our condensed consolidated financial statements.</w:t>
      </w:r>
    </w:p>
    <w:p>
      <w:pPr>
        <w:spacing w:after="0" w:line="209"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 xml:space="preserve">In the following discussion, we quantify the estimated impact of material acquisitions (the </w:t>
      </w:r>
      <w:r>
        <w:rPr>
          <w:rFonts w:ascii="Arial" w:cs="Arial" w:eastAsia="Arial" w:hAnsi="Arial"/>
          <w:sz w:val="15"/>
          <w:szCs w:val="15"/>
          <w:b w:val="1"/>
          <w:bCs w:val="1"/>
          <w:color w:val="auto"/>
        </w:rPr>
        <w:t>Acquisition Impact</w:t>
      </w:r>
      <w:r>
        <w:rPr>
          <w:rFonts w:ascii="Arial" w:cs="Arial" w:eastAsia="Arial" w:hAnsi="Arial"/>
          <w:sz w:val="15"/>
          <w:szCs w:val="15"/>
          <w:color w:val="auto"/>
        </w:rPr>
        <w:t>)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periods.</w:t>
      </w:r>
    </w:p>
    <w:p>
      <w:pPr>
        <w:spacing w:after="0" w:line="186"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Arial" w:cs="Arial" w:eastAsia="Arial" w:hAnsi="Arial"/>
          <w:sz w:val="15"/>
          <w:szCs w:val="15"/>
          <w:b w:val="1"/>
          <w:bCs w:val="1"/>
          <w:color w:val="auto"/>
        </w:rPr>
        <w:t>FX</w:t>
      </w:r>
      <w:r>
        <w:rPr>
          <w:rFonts w:ascii="Arial" w:cs="Arial" w:eastAsia="Arial" w:hAnsi="Arial"/>
          <w:sz w:val="15"/>
          <w:szCs w:val="15"/>
          <w:color w:val="auto"/>
        </w:rPr>
        <w:t xml:space="preserve">) risk during the six months ended June 30, 2021 was to the British pound sterling, euro and Swiss franc as 35.8%, 33.9% and 26.6% of our reported revenue during the period was derived from subsidiaries whose functional currencies are the British pound sterling, euro and Swiss franc,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5"/>
          <w:szCs w:val="15"/>
          <w:i w:val="1"/>
          <w:iCs w:val="1"/>
          <w:color w:val="auto"/>
        </w:rPr>
        <w:t>Discussion and Analysis of our Reportable Segments</w:t>
      </w:r>
      <w:r>
        <w:rPr>
          <w:rFonts w:ascii="Arial" w:cs="Arial" w:eastAsia="Arial" w:hAnsi="Arial"/>
          <w:sz w:val="15"/>
          <w:szCs w:val="15"/>
          <w:color w:val="auto"/>
        </w:rPr>
        <w:t xml:space="preserve"> and </w:t>
      </w:r>
      <w:r>
        <w:rPr>
          <w:rFonts w:ascii="Arial" w:cs="Arial" w:eastAsia="Arial" w:hAnsi="Arial"/>
          <w:sz w:val="15"/>
          <w:szCs w:val="15"/>
          <w:i w:val="1"/>
          <w:iCs w:val="1"/>
          <w:color w:val="auto"/>
        </w:rPr>
        <w:t>Discussion and Analysis of our Consolidated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Operating Results </w:t>
      </w:r>
      <w:r>
        <w:rPr>
          <w:rFonts w:ascii="Arial" w:cs="Arial" w:eastAsia="Arial" w:hAnsi="Arial"/>
          <w:sz w:val="15"/>
          <w:szCs w:val="15"/>
          <w:color w:val="auto"/>
        </w:rPr>
        <w:t>below. For information regarding our foreign currency risks and the applicable foreign currency exchange rates in effect for the periods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covered by this Quarterly Report, see Part I, Item 3. </w:t>
      </w:r>
      <w:r>
        <w:rPr>
          <w:rFonts w:ascii="Arial" w:cs="Arial" w:eastAsia="Arial" w:hAnsi="Arial"/>
          <w:sz w:val="15"/>
          <w:szCs w:val="15"/>
          <w:i w:val="1"/>
          <w:iCs w:val="1"/>
          <w:color w:val="auto"/>
        </w:rPr>
        <w:t>Quantitative and Qualitative Disclosures about Market Risk — Foreign Currency Risk</w:t>
      </w:r>
      <w:r>
        <w:rPr>
          <w:rFonts w:ascii="Arial" w:cs="Arial" w:eastAsia="Arial" w:hAnsi="Arial"/>
          <w:sz w:val="15"/>
          <w:szCs w:val="15"/>
          <w:color w:val="auto"/>
        </w:rPr>
        <w:t xml:space="preserve"> below.</w:t>
      </w:r>
    </w:p>
    <w:p>
      <w:pPr>
        <w:spacing w:after="0" w:line="18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amounts presented and discussed below represent 100% of each of our consolidated reportable segment’s results of operations. As we have the ability to control Telenet, we consolidate 100% of its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Discussion and Analysis of our Reportable Segments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All of our reportable segments derive their revenue primarily from residential and B2B communications services, including broadband internet, video, fixed-line telephony and mobile services. For detailed information regarding the composition of our reportable segments and how we define and categorize our revenue components, see note 16 to our condensed consolidated financial statements. For information regarding the results of operations of the VodafoneZiggo JV and, for the period from June 1, 2021 through June 30, 2021, the VMED O2 JV, refer to </w:t>
      </w:r>
      <w:r>
        <w:rPr>
          <w:rFonts w:ascii="Arial" w:cs="Arial" w:eastAsia="Arial" w:hAnsi="Arial"/>
          <w:sz w:val="18"/>
          <w:szCs w:val="18"/>
          <w:i w:val="1"/>
          <w:iCs w:val="1"/>
          <w:color w:val="auto"/>
        </w:rPr>
        <w:t>Discussion and Analysis of our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Operating Results — Share of results of affiliates </w:t>
      </w:r>
      <w:r>
        <w:rPr>
          <w:rFonts w:ascii="Arial" w:cs="Arial" w:eastAsia="Arial" w:hAnsi="Arial"/>
          <w:sz w:val="18"/>
          <w:szCs w:val="18"/>
          <w:color w:val="auto"/>
        </w:rPr>
        <w:t>below.</w:t>
      </w:r>
    </w:p>
    <w:p>
      <w:pPr>
        <w:spacing w:after="0" w:line="22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tables presented below in this section provide the details of the revenue and Adjusted EBITDA of our consolidated reportable segments for the three and six months ended June 30, 2021 and 2020. These tables present (i) the amounts reported for the current and comparative periods, (ii) the reported U.S. dollar change and percentage change from period to period and (iii) the organic U.S. dollar change and percentage change from period to period. For our organic comparisons, which exclude the impact of FX, we assume that exchange rates remained constant at the prior-year rate during all periods presented. We also provide a table showing the Adjusted EBITDA margins of our consolidated reportable segments for three and six months ended June 30, 2021 and 2020 at the end of this section.</w:t>
      </w:r>
    </w:p>
    <w:p>
      <w:pPr>
        <w:spacing w:after="0" w:line="22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condensed consolidated statements of operations. The following table provides a reconciliation of net earnings (loss) to Adjusted EBITDA: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38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5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11,174.5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Gain on U.K. JV Transaction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(11,138.0)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(11,138.0)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results of affiliates,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Losses on debt extinguishment,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174"/>
        </w:trPr>
        <w:tc>
          <w:tcPr>
            <w:tcW w:w="55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88"/>
              </w:rPr>
              <w:t>Realized and unrealized losses (gains) due to changes in fair values of certain</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and debt, net</w:t>
            </w: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Foreign currency transaction losses (gains),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Realized and unrealized losses (gains) gains on derivative instruments,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1,329.2</w:t>
            </w: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1,252.7</w:t>
            </w: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2,338.8</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5" w:name="page56"/>
    <w:bookmarkEnd w:id="55"/>
    <w:p>
      <w:pPr>
        <w:ind w:left="160"/>
        <w:spacing w:after="0"/>
        <w:rPr>
          <w:sz w:val="20"/>
          <w:szCs w:val="20"/>
          <w:color w:val="auto"/>
        </w:rPr>
      </w:pPr>
      <w:r>
        <w:rPr>
          <w:rFonts w:ascii="Arial" w:cs="Arial" w:eastAsia="Arial" w:hAnsi="Arial"/>
          <w:sz w:val="18"/>
          <w:szCs w:val="18"/>
          <w:b w:val="1"/>
          <w:bCs w:val="1"/>
          <w:i w:val="1"/>
          <w:iCs w:val="1"/>
          <w:color w:val="auto"/>
        </w:rPr>
        <w:t>Revenue of our Consolidated Reportable Segments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While not specifically discussed in the below explanations of the changes in the revenue of our consolidated reportable segments,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experiencing competition in all of our markets. This competition has an adverse impact on our ability to increase or maintain our total number of customers and/or our ARPU.</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cable and mobile products within a segment during the period.</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Revenue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8"/>
              </w:rPr>
              <w:t>Three months ended June 30,</w:t>
            </w:r>
          </w:p>
        </w:tc>
        <w:tc>
          <w:tcPr>
            <w:tcW w:w="120" w:type="dxa"/>
            <w:vAlign w:val="bottom"/>
          </w:tcPr>
          <w:p>
            <w:pPr>
              <w:spacing w:after="0"/>
              <w:rPr>
                <w:sz w:val="18"/>
                <w:szCs w:val="18"/>
                <w:color w:val="auto"/>
              </w:rPr>
            </w:pPr>
          </w:p>
        </w:tc>
        <w:tc>
          <w:tcPr>
            <w:tcW w:w="2300" w:type="dxa"/>
            <w:vAlign w:val="bottom"/>
            <w:gridSpan w:val="4"/>
          </w:tcPr>
          <w:p>
            <w:pPr>
              <w:ind w:left="380"/>
              <w:spacing w:after="0"/>
              <w:rPr>
                <w:sz w:val="20"/>
                <w:szCs w:val="20"/>
                <w:color w:val="auto"/>
              </w:rPr>
            </w:pPr>
            <w:r>
              <w:rPr>
                <w:rFonts w:ascii="Arial" w:cs="Arial" w:eastAsia="Arial" w:hAnsi="Arial"/>
                <w:sz w:val="16"/>
                <w:szCs w:val="16"/>
                <w:b w:val="1"/>
                <w:bCs w:val="1"/>
                <w:color w:val="auto"/>
              </w:rPr>
              <w:t>Increase (decrease)</w:t>
            </w:r>
          </w:p>
        </w:tc>
        <w:tc>
          <w:tcPr>
            <w:tcW w:w="160" w:type="dxa"/>
            <w:vAlign w:val="bottom"/>
          </w:tcPr>
          <w:p>
            <w:pPr>
              <w:spacing w:after="0"/>
              <w:rPr>
                <w:sz w:val="18"/>
                <w:szCs w:val="18"/>
                <w:color w:val="auto"/>
              </w:rPr>
            </w:pPr>
          </w:p>
        </w:tc>
        <w:tc>
          <w:tcPr>
            <w:tcW w:w="2140" w:type="dxa"/>
            <w:vAlign w:val="bottom"/>
            <w:gridSpan w:val="3"/>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spacing w:after="0"/>
              <w:rPr>
                <w:sz w:val="20"/>
                <w:szCs w:val="20"/>
                <w:color w:val="auto"/>
              </w:rPr>
            </w:pPr>
            <w:r>
              <w:rPr>
                <w:rFonts w:ascii="Arial" w:cs="Arial" w:eastAsia="Arial" w:hAnsi="Arial"/>
                <w:sz w:val="16"/>
                <w:szCs w:val="16"/>
                <w:b w:val="1"/>
                <w:bCs w:val="1"/>
                <w:color w:val="auto"/>
                <w:w w:val="9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(1.0)</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Ireland</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Eastern Europe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Central and Corporate (b)</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18"/>
        </w:trPr>
        <w:tc>
          <w:tcPr>
            <w:tcW w:w="4120" w:type="dxa"/>
            <w:vAlign w:val="bottom"/>
          </w:tcPr>
          <w:p>
            <w:pPr>
              <w:ind w:left="140"/>
              <w:spacing w:after="0" w:line="204"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2,722.9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382.6</w:t>
            </w: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0"/>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7"/>
              </w:rPr>
              <w:t>Six months ended</w:t>
            </w:r>
          </w:p>
        </w:tc>
        <w:tc>
          <w:tcPr>
            <w:tcW w:w="120" w:type="dxa"/>
            <w:vAlign w:val="bottom"/>
          </w:tcPr>
          <w:p>
            <w:pPr>
              <w:spacing w:after="0"/>
              <w:rPr>
                <w:sz w:val="24"/>
                <w:szCs w:val="24"/>
                <w:color w:val="auto"/>
              </w:rPr>
            </w:pPr>
          </w:p>
        </w:tc>
        <w:tc>
          <w:tcPr>
            <w:tcW w:w="23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Increase (decrease)</w:t>
            </w:r>
          </w:p>
        </w:tc>
        <w:tc>
          <w:tcPr>
            <w:tcW w:w="160" w:type="dxa"/>
            <w:vAlign w:val="bottom"/>
          </w:tcPr>
          <w:p>
            <w:pPr>
              <w:spacing w:after="0"/>
              <w:rPr>
                <w:sz w:val="24"/>
                <w:szCs w:val="24"/>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left="574"/>
              <w:spacing w:after="0"/>
              <w:rPr>
                <w:sz w:val="20"/>
                <w:szCs w:val="20"/>
                <w:color w:val="auto"/>
              </w:rPr>
            </w:pPr>
            <w:r>
              <w:rPr>
                <w:rFonts w:ascii="Arial" w:cs="Arial" w:eastAsia="Arial" w:hAnsi="Arial"/>
                <w:sz w:val="16"/>
                <w:szCs w:val="16"/>
                <w:b w:val="1"/>
                <w:bCs w:val="1"/>
                <w:color w:val="auto"/>
                <w:w w:val="87"/>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spacing w:after="0"/>
              <w:rPr>
                <w:sz w:val="20"/>
                <w:szCs w:val="20"/>
                <w:color w:val="auto"/>
              </w:rPr>
            </w:pPr>
            <w:r>
              <w:rPr>
                <w:rFonts w:ascii="Arial" w:cs="Arial" w:eastAsia="Arial" w:hAnsi="Arial"/>
                <w:sz w:val="16"/>
                <w:szCs w:val="16"/>
                <w:b w:val="1"/>
                <w:bCs w:val="1"/>
                <w:color w:val="auto"/>
                <w:w w:val="9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(1.6)</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Ireland</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Eastern Europe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Central and Corporate (b)</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18"/>
        </w:trPr>
        <w:tc>
          <w:tcPr>
            <w:tcW w:w="4120" w:type="dxa"/>
            <w:vAlign w:val="bottom"/>
          </w:tcPr>
          <w:p>
            <w:pPr>
              <w:ind w:left="140"/>
              <w:spacing w:after="0" w:line="204"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6,720.8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5,598.7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1,122.1</w:t>
            </w: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revenue of the U.K. JV Entities through the June 1, 2021 closing of the U.K. JV Transaction.</w:t>
      </w:r>
    </w:p>
    <w:p>
      <w:pPr>
        <w:spacing w:after="0" w:line="243" w:lineRule="exact"/>
        <w:rPr>
          <w:rFonts w:ascii="Arial" w:cs="Arial" w:eastAsia="Arial" w:hAnsi="Arial"/>
          <w:sz w:val="18"/>
          <w:szCs w:val="18"/>
          <w:color w:val="auto"/>
        </w:rPr>
      </w:pPr>
    </w:p>
    <w:p>
      <w:pPr>
        <w:jc w:val="both"/>
        <w:ind w:left="480" w:hanging="474"/>
        <w:spacing w:after="0" w:line="255" w:lineRule="auto"/>
        <w:tabs>
          <w:tab w:leader="none" w:pos="474"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primarily include revenue earned from transition and other services provided to the VodafoneZiggo JV, the VMED O2 JV and various third parties and the sale of customer premises equipment to the VodafoneZiggo JV. For additional information, see notes 4 and 5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6" w:name="page57"/>
    <w:bookmarkEnd w:id="56"/>
    <w:p>
      <w:pPr>
        <w:ind w:firstLine="318"/>
        <w:spacing w:after="0" w:line="264" w:lineRule="auto"/>
        <w:rPr>
          <w:sz w:val="20"/>
          <w:szCs w:val="20"/>
          <w:color w:val="auto"/>
        </w:rPr>
      </w:pPr>
      <w:r>
        <w:rPr>
          <w:rFonts w:ascii="Arial" w:cs="Arial" w:eastAsia="Arial" w:hAnsi="Arial"/>
          <w:sz w:val="18"/>
          <w:szCs w:val="18"/>
          <w:i w:val="1"/>
          <w:iCs w:val="1"/>
          <w:color w:val="auto"/>
        </w:rPr>
        <w:t xml:space="preserve">U.K. </w:t>
      </w:r>
      <w:r>
        <w:rPr>
          <w:rFonts w:ascii="Arial" w:cs="Arial" w:eastAsia="Arial" w:hAnsi="Arial"/>
          <w:sz w:val="18"/>
          <w:szCs w:val="18"/>
          <w:color w:val="auto"/>
        </w:rPr>
        <w:t>The details of the decreases in the U.K.</w:t>
      </w:r>
      <w:r>
        <w:rPr>
          <w:rFonts w:ascii="Arial" w:cs="Arial" w:eastAsia="Arial" w:hAnsi="Arial"/>
          <w:sz w:val="18"/>
          <w:szCs w:val="18"/>
          <w:color w:val="2C2C2C"/>
        </w:rPr>
        <w:t>’s revenue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and six months ended June 30, 2021</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corresponding periods in</w:t>
      </w:r>
      <w:r>
        <w:rPr>
          <w:rFonts w:ascii="Arial" w:cs="Arial" w:eastAsia="Arial" w:hAnsi="Arial"/>
          <w:sz w:val="18"/>
          <w:szCs w:val="18"/>
          <w:i w:val="1"/>
          <w:iCs w:val="1"/>
          <w:color w:val="auto"/>
        </w:rPr>
        <w:t xml:space="preserve"> </w:t>
      </w:r>
      <w:r>
        <w:rPr>
          <w:rFonts w:ascii="Arial" w:cs="Arial" w:eastAsia="Arial" w:hAnsi="Arial"/>
          <w:sz w:val="18"/>
          <w:szCs w:val="18"/>
          <w:color w:val="2C2C2C"/>
        </w:rPr>
        <w:t>2020, are set f</w:t>
      </w:r>
      <w:r>
        <w:rPr>
          <w:rFonts w:ascii="Arial" w:cs="Arial" w:eastAsia="Arial" w:hAnsi="Arial"/>
          <w:sz w:val="18"/>
          <w:szCs w:val="18"/>
          <w:color w:val="000000"/>
        </w:rPr>
        <w:t>orth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1000"/>
              <w:spacing w:after="0"/>
              <w:rPr>
                <w:sz w:val="20"/>
                <w:szCs w:val="20"/>
                <w:color w:val="auto"/>
              </w:rPr>
            </w:pPr>
            <w:r>
              <w:rPr>
                <w:rFonts w:ascii="Arial" w:cs="Arial" w:eastAsia="Arial" w:hAnsi="Arial"/>
                <w:sz w:val="16"/>
                <w:szCs w:val="16"/>
                <w:b w:val="1"/>
                <w:bCs w:val="1"/>
                <w:color w:val="auto"/>
                <w:w w:val="95"/>
              </w:rPr>
              <w:t>Three-month period</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Six-month period</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Subscription</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93"/>
              <w:spacing w:after="0"/>
              <w:rPr>
                <w:sz w:val="20"/>
                <w:szCs w:val="20"/>
                <w:color w:val="auto"/>
              </w:rPr>
            </w:pPr>
            <w:r>
              <w:rPr>
                <w:rFonts w:ascii="Arial" w:cs="Arial" w:eastAsia="Arial" w:hAnsi="Arial"/>
                <w:sz w:val="16"/>
                <w:szCs w:val="16"/>
                <w:b w:val="1"/>
                <w:bCs w:val="1"/>
                <w:color w:val="auto"/>
                <w:w w:val="89"/>
              </w:rPr>
              <w:t>Subscription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revenue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4"/>
          </w:tcPr>
          <w:p>
            <w:pPr>
              <w:jc w:val="right"/>
              <w:ind w:right="813"/>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Increase (decrease) in residential cable subscription</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due to change in: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6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 (a)</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173"/>
        </w:trPr>
        <w:tc>
          <w:tcPr>
            <w:tcW w:w="3860" w:type="dxa"/>
            <w:vAlign w:val="bottom"/>
          </w:tcPr>
          <w:p>
            <w:pPr>
              <w:ind w:left="20"/>
              <w:spacing w:after="0" w:line="173" w:lineRule="exact"/>
              <w:rPr>
                <w:sz w:val="20"/>
                <w:szCs w:val="20"/>
                <w:color w:val="auto"/>
              </w:rPr>
            </w:pPr>
            <w:r>
              <w:rPr>
                <w:rFonts w:ascii="Arial" w:cs="Arial" w:eastAsia="Arial" w:hAnsi="Arial"/>
                <w:sz w:val="18"/>
                <w:szCs w:val="18"/>
                <w:color w:val="auto"/>
                <w:w w:val="88"/>
              </w:rPr>
              <w:t>Increase in residential cable non-subscription revenue</w:t>
            </w:r>
          </w:p>
        </w:tc>
        <w:tc>
          <w:tcPr>
            <w:tcW w:w="12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4"/>
        </w:trPr>
        <w:tc>
          <w:tcPr>
            <w:tcW w:w="3860" w:type="dxa"/>
            <w:vAlign w:val="bottom"/>
          </w:tcPr>
          <w:p>
            <w:pPr>
              <w:ind w:left="180"/>
              <w:spacing w:after="0"/>
              <w:rPr>
                <w:sz w:val="20"/>
                <w:szCs w:val="20"/>
                <w:color w:val="auto"/>
              </w:rPr>
            </w:pPr>
            <w:r>
              <w:rPr>
                <w:rFonts w:ascii="Arial" w:cs="Arial" w:eastAsia="Arial" w:hAnsi="Arial"/>
                <w:sz w:val="18"/>
                <w:szCs w:val="18"/>
                <w:color w:val="auto"/>
              </w:rPr>
              <w:t>(b)</w:t>
            </w:r>
          </w:p>
        </w:tc>
        <w:tc>
          <w:tcPr>
            <w:tcW w:w="1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3860" w:type="dxa"/>
            <w:vAlign w:val="bottom"/>
            <w:tcBorders>
              <w:top w:val="single" w:sz="8" w:color="CCEEFF"/>
            </w:tcBorders>
            <w:shd w:val="clear" w:color="auto" w:fill="CCEEFF"/>
          </w:tcPr>
          <w:p>
            <w:pPr>
              <w:ind w:left="300"/>
              <w:spacing w:after="0" w:line="154" w:lineRule="exact"/>
              <w:rPr>
                <w:sz w:val="20"/>
                <w:szCs w:val="20"/>
                <w:color w:val="auto"/>
              </w:rPr>
            </w:pPr>
            <w:r>
              <w:rPr>
                <w:rFonts w:ascii="Arial" w:cs="Arial" w:eastAsia="Arial" w:hAnsi="Arial"/>
                <w:sz w:val="17"/>
                <w:szCs w:val="17"/>
                <w:color w:val="auto"/>
              </w:rPr>
              <w:t>Total increase (decrease) in residential cable</w:t>
            </w: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auto"/>
              </w:rPr>
              <w:t>Increase in residential mobile revenue (c)</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 (d)</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auto"/>
              </w:rPr>
              <w:t>Decrease in other revenue</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9"/>
        </w:trPr>
        <w:tc>
          <w:tcPr>
            <w:tcW w:w="38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 (decrease)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auto"/>
              </w:rPr>
              <w:t>Impact of dispositions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25"/>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9"/>
        </w:trPr>
        <w:tc>
          <w:tcPr>
            <w:tcW w:w="3860" w:type="dxa"/>
            <w:vAlign w:val="bottom"/>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(265.3)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(199.1)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decreases in cable subscription revenue related to changes in ARPU include an increase of approximately $19 million associated with the pausing or cancellation of certain sporting events during the second quarter of 2020, as further described under </w:t>
      </w:r>
      <w:r>
        <w:rPr>
          <w:rFonts w:ascii="Arial" w:cs="Arial" w:eastAsia="Arial" w:hAnsi="Arial"/>
          <w:sz w:val="18"/>
          <w:szCs w:val="18"/>
          <w:i w:val="1"/>
          <w:iCs w:val="1"/>
          <w:color w:val="auto"/>
        </w:rPr>
        <w:t>Discussion and Analysis of our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Operating Results — Programming and other direct costs of services </w:t>
      </w:r>
      <w:r>
        <w:rPr>
          <w:rFonts w:ascii="Arial" w:cs="Arial" w:eastAsia="Arial" w:hAnsi="Arial"/>
          <w:sz w:val="18"/>
          <w:szCs w:val="18"/>
          <w:color w:val="auto"/>
        </w:rPr>
        <w:t>below.</w:t>
      </w:r>
    </w:p>
    <w:p>
      <w:pPr>
        <w:spacing w:after="0" w:line="214"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increases in residential cable non-subscription revenue are primarily attributable to increases in (i) revenue from late fees, (ii) cancellation revenue and (iii) installation revenue.</w:t>
      </w:r>
    </w:p>
    <w:p>
      <w:pPr>
        <w:spacing w:after="0" w:line="207" w:lineRule="exact"/>
        <w:rPr>
          <w:rFonts w:ascii="Arial" w:cs="Arial" w:eastAsia="Arial" w:hAnsi="Arial"/>
          <w:sz w:val="18"/>
          <w:szCs w:val="18"/>
          <w:color w:val="auto"/>
        </w:rPr>
      </w:pPr>
    </w:p>
    <w:p>
      <w:pPr>
        <w:ind w:left="480" w:hanging="474"/>
        <w:spacing w:after="0"/>
        <w:tabs>
          <w:tab w:leader="none" w:pos="4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increases in residential mobile non-subscription revenue are primarily attributable to increases in revenue from mobile handset sales.</w:t>
      </w:r>
    </w:p>
    <w:p>
      <w:pPr>
        <w:spacing w:after="0" w:line="255" w:lineRule="exact"/>
        <w:rPr>
          <w:rFonts w:ascii="Arial" w:cs="Arial" w:eastAsia="Arial" w:hAnsi="Arial"/>
          <w:sz w:val="17"/>
          <w:szCs w:val="17"/>
          <w:color w:val="auto"/>
        </w:rPr>
      </w:pPr>
    </w:p>
    <w:p>
      <w:pPr>
        <w:jc w:val="both"/>
        <w:ind w:left="480" w:hanging="474"/>
        <w:spacing w:after="0" w:line="255" w:lineRule="auto"/>
        <w:tabs>
          <w:tab w:leader="none" w:pos="47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increases in B2B subscription revenue are primarily due to increases in the average number of customers. The increases in B2B non-subscription revenue are primarily attributable to the net effect of (i) increases in revenue associated with long-term leases of a portion of our network and (ii) lower revenue from data services.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7" w:name="page58"/>
    <w:bookmarkEnd w:id="57"/>
    <w:p>
      <w:pPr>
        <w:ind w:firstLine="318"/>
        <w:spacing w:after="0" w:line="264" w:lineRule="auto"/>
        <w:rPr>
          <w:sz w:val="20"/>
          <w:szCs w:val="20"/>
          <w:color w:val="auto"/>
        </w:rPr>
      </w:pPr>
      <w:r>
        <w:rPr>
          <w:rFonts w:ascii="Arial" w:cs="Arial" w:eastAsia="Arial" w:hAnsi="Arial"/>
          <w:sz w:val="18"/>
          <w:szCs w:val="18"/>
          <w:i w:val="1"/>
          <w:iCs w:val="1"/>
          <w:color w:val="auto"/>
        </w:rPr>
        <w:t xml:space="preserve">Belgium. </w:t>
      </w:r>
      <w:r>
        <w:rPr>
          <w:rFonts w:ascii="Arial" w:cs="Arial" w:eastAsia="Arial" w:hAnsi="Arial"/>
          <w:sz w:val="18"/>
          <w:szCs w:val="18"/>
          <w:color w:val="auto"/>
        </w:rPr>
        <w:t>The details of the increases in Belgium’s revenue during the three and six months ended June 30, 2021</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periods in </w:t>
      </w:r>
      <w:r>
        <w:rPr>
          <w:rFonts w:ascii="Arial" w:cs="Arial" w:eastAsia="Arial" w:hAnsi="Arial"/>
          <w:sz w:val="18"/>
          <w:szCs w:val="18"/>
          <w:color w:val="2C2C2C"/>
        </w:rPr>
        <w:t>2020</w:t>
      </w:r>
      <w:r>
        <w:rPr>
          <w:rFonts w:ascii="Arial" w:cs="Arial" w:eastAsia="Arial" w:hAnsi="Arial"/>
          <w:sz w:val="18"/>
          <w:szCs w:val="18"/>
          <w:color w:val="auto"/>
        </w:rPr>
        <w:t>, are set forth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1020"/>
              <w:spacing w:after="0"/>
              <w:rPr>
                <w:sz w:val="20"/>
                <w:szCs w:val="20"/>
                <w:color w:val="auto"/>
              </w:rPr>
            </w:pPr>
            <w:r>
              <w:rPr>
                <w:rFonts w:ascii="Arial" w:cs="Arial" w:eastAsia="Arial" w:hAnsi="Arial"/>
                <w:sz w:val="16"/>
                <w:szCs w:val="16"/>
                <w:b w:val="1"/>
                <w:bCs w:val="1"/>
                <w:color w:val="auto"/>
                <w:w w:val="93"/>
              </w:rPr>
              <w:t>Three-month period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Six-month period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13"/>
              <w:spacing w:after="0"/>
              <w:rPr>
                <w:sz w:val="20"/>
                <w:szCs w:val="20"/>
                <w:color w:val="auto"/>
              </w:rPr>
            </w:pPr>
            <w:r>
              <w:rPr>
                <w:rFonts w:ascii="Arial" w:cs="Arial" w:eastAsia="Arial" w:hAnsi="Arial"/>
                <w:sz w:val="16"/>
                <w:szCs w:val="16"/>
                <w:b w:val="1"/>
                <w:bCs w:val="1"/>
                <w:color w:val="auto"/>
                <w:w w:val="87"/>
              </w:rPr>
              <w:t>Subscription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4"/>
              </w:rPr>
              <w:t>revenue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4"/>
          </w:tcPr>
          <w:p>
            <w:pPr>
              <w:jc w:val="right"/>
              <w:ind w:right="813"/>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Increase (decrease) in residential cable subscription</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due to change in: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73"/>
        </w:trPr>
        <w:tc>
          <w:tcPr>
            <w:tcW w:w="3800" w:type="dxa"/>
            <w:vAlign w:val="bottom"/>
          </w:tcPr>
          <w:p>
            <w:pPr>
              <w:ind w:left="20"/>
              <w:spacing w:after="0" w:line="173" w:lineRule="exact"/>
              <w:rPr>
                <w:sz w:val="20"/>
                <w:szCs w:val="20"/>
                <w:color w:val="auto"/>
              </w:rPr>
            </w:pPr>
            <w:r>
              <w:rPr>
                <w:rFonts w:ascii="Arial" w:cs="Arial" w:eastAsia="Arial" w:hAnsi="Arial"/>
                <w:sz w:val="18"/>
                <w:szCs w:val="18"/>
                <w:color w:val="auto"/>
              </w:rPr>
              <w:t>Increase in residential cable non-subscription</w:t>
            </w:r>
          </w:p>
        </w:tc>
        <w:tc>
          <w:tcPr>
            <w:tcW w:w="120" w:type="dxa"/>
            <w:vAlign w:val="bottom"/>
          </w:tcPr>
          <w:p>
            <w:pPr>
              <w:spacing w:after="0"/>
              <w:rPr>
                <w:sz w:val="15"/>
                <w:szCs w:val="15"/>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4"/>
        </w:trPr>
        <w:tc>
          <w:tcPr>
            <w:tcW w:w="3800" w:type="dxa"/>
            <w:vAlign w:val="bottom"/>
          </w:tcPr>
          <w:p>
            <w:pPr>
              <w:ind w:left="18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3800" w:type="dxa"/>
            <w:vAlign w:val="bottom"/>
            <w:tcBorders>
              <w:top w:val="single" w:sz="8" w:color="CCEEFF"/>
            </w:tcBorders>
            <w:shd w:val="clear" w:color="auto" w:fill="CCEEFF"/>
          </w:tcPr>
          <w:p>
            <w:pPr>
              <w:ind w:left="300"/>
              <w:spacing w:after="0" w:line="154" w:lineRule="exact"/>
              <w:rPr>
                <w:sz w:val="20"/>
                <w:szCs w:val="20"/>
                <w:color w:val="auto"/>
              </w:rPr>
            </w:pPr>
            <w:r>
              <w:rPr>
                <w:rFonts w:ascii="Arial" w:cs="Arial" w:eastAsia="Arial" w:hAnsi="Arial"/>
                <w:sz w:val="17"/>
                <w:szCs w:val="17"/>
                <w:color w:val="auto"/>
              </w:rPr>
              <w:t>Total increase (decrease) in residential cable</w:t>
            </w: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Arial" w:cs="Arial" w:eastAsia="Arial" w:hAnsi="Arial"/>
                <w:sz w:val="18"/>
                <w:szCs w:val="18"/>
                <w:color w:val="auto"/>
                <w:w w:val="89"/>
              </w:rPr>
              <w:t>Increase (decrease) in residential mobile revenue (a)</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 (b)</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Arial" w:cs="Arial" w:eastAsia="Arial" w:hAnsi="Arial"/>
                <w:sz w:val="18"/>
                <w:szCs w:val="18"/>
                <w:color w:val="auto"/>
              </w:rPr>
              <w:t>Increase in other revenue (c)</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9"/>
        </w:trPr>
        <w:tc>
          <w:tcPr>
            <w:tcW w:w="38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Arial" w:cs="Arial" w:eastAsia="Arial" w:hAnsi="Arial"/>
                <w:sz w:val="18"/>
                <w:szCs w:val="18"/>
                <w:color w:val="auto"/>
              </w:rPr>
              <w:t>Impact of dispositions</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19"/>
        </w:trPr>
        <w:tc>
          <w:tcPr>
            <w:tcW w:w="3800" w:type="dxa"/>
            <w:vAlign w:val="bottom"/>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decreases in residential mobile non-subscription revenue are primarily attributable to lower interconnect and mobile roaming revenue.</w:t>
      </w:r>
    </w:p>
    <w:p>
      <w:pPr>
        <w:spacing w:after="0" w:line="255" w:lineRule="exact"/>
        <w:rPr>
          <w:rFonts w:ascii="Arial" w:cs="Arial" w:eastAsia="Arial" w:hAnsi="Arial"/>
          <w:sz w:val="17"/>
          <w:szCs w:val="17"/>
          <w:color w:val="auto"/>
        </w:rPr>
      </w:pPr>
    </w:p>
    <w:p>
      <w:pPr>
        <w:jc w:val="both"/>
        <w:ind w:left="480" w:hanging="474"/>
        <w:spacing w:after="0" w:line="255" w:lineRule="auto"/>
        <w:tabs>
          <w:tab w:leader="none" w:pos="47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increases in B2B subscription revenue are primarily due to increases in the average number of customers. The increases in B2B non-subscription revenue are primarily attributable to the net effect of (i) increases in revenue from mobile handset sales, (ii) higher revenue from wholesale services and (iii) lower interconnect revenue.</w:t>
      </w:r>
    </w:p>
    <w:p>
      <w:pPr>
        <w:spacing w:after="0" w:line="214" w:lineRule="exact"/>
        <w:rPr>
          <w:rFonts w:ascii="Arial" w:cs="Arial" w:eastAsia="Arial" w:hAnsi="Arial"/>
          <w:sz w:val="18"/>
          <w:szCs w:val="18"/>
          <w:color w:val="auto"/>
        </w:rPr>
      </w:pPr>
    </w:p>
    <w:p>
      <w:pPr>
        <w:ind w:left="480" w:hanging="474"/>
        <w:spacing w:after="0"/>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increases in other revenue are attributable to higher broadcasting revenue.</w:t>
      </w:r>
    </w:p>
    <w:p>
      <w:pPr>
        <w:spacing w:after="0" w:line="244"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 xml:space="preserve">For information concerning certain regulatory developments that could have an adverse impact on our revenue in Belgium, see </w:t>
      </w:r>
      <w:r>
        <w:rPr>
          <w:rFonts w:ascii="Arial" w:cs="Arial" w:eastAsia="Arial" w:hAnsi="Arial"/>
          <w:sz w:val="15"/>
          <w:szCs w:val="15"/>
          <w:i w:val="1"/>
          <w:iCs w:val="1"/>
          <w:color w:val="auto"/>
        </w:rPr>
        <w:t>Legal and Regulatory</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Proceedings and Other Contingencies - Belgium Regulatory Developments </w:t>
      </w:r>
      <w:r>
        <w:rPr>
          <w:rFonts w:ascii="Arial" w:cs="Arial" w:eastAsia="Arial" w:hAnsi="Arial"/>
          <w:sz w:val="15"/>
          <w:szCs w:val="15"/>
          <w:color w:val="auto"/>
        </w:rPr>
        <w:t>in note 15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8" w:name="page59"/>
    <w:bookmarkEnd w:id="58"/>
    <w:p>
      <w:pPr>
        <w:ind w:right="40" w:firstLine="318"/>
        <w:spacing w:after="0" w:line="264"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details of the increases in Switzerland’s revenue during the three and six months ended June 30, 2021</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periods in </w:t>
      </w:r>
      <w:r>
        <w:rPr>
          <w:rFonts w:ascii="Arial" w:cs="Arial" w:eastAsia="Arial" w:hAnsi="Arial"/>
          <w:sz w:val="18"/>
          <w:szCs w:val="18"/>
          <w:color w:val="2C2C2C"/>
        </w:rPr>
        <w:t>2020</w:t>
      </w:r>
      <w:r>
        <w:rPr>
          <w:rFonts w:ascii="Arial" w:cs="Arial" w:eastAsia="Arial" w:hAnsi="Arial"/>
          <w:sz w:val="18"/>
          <w:szCs w:val="18"/>
          <w:color w:val="auto"/>
        </w:rPr>
        <w:t>, are set forth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1000"/>
              <w:spacing w:after="0"/>
              <w:rPr>
                <w:sz w:val="20"/>
                <w:szCs w:val="20"/>
                <w:color w:val="auto"/>
              </w:rPr>
            </w:pPr>
            <w:r>
              <w:rPr>
                <w:rFonts w:ascii="Arial" w:cs="Arial" w:eastAsia="Arial" w:hAnsi="Arial"/>
                <w:sz w:val="16"/>
                <w:szCs w:val="16"/>
                <w:b w:val="1"/>
                <w:bCs w:val="1"/>
                <w:color w:val="auto"/>
                <w:w w:val="95"/>
              </w:rPr>
              <w:t>Three-month period</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Six-month period</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Subscription</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93"/>
              <w:spacing w:after="0"/>
              <w:rPr>
                <w:sz w:val="20"/>
                <w:szCs w:val="20"/>
                <w:color w:val="auto"/>
              </w:rPr>
            </w:pPr>
            <w:r>
              <w:rPr>
                <w:rFonts w:ascii="Arial" w:cs="Arial" w:eastAsia="Arial" w:hAnsi="Arial"/>
                <w:sz w:val="16"/>
                <w:szCs w:val="16"/>
                <w:b w:val="1"/>
                <w:bCs w:val="1"/>
                <w:color w:val="auto"/>
                <w:w w:val="89"/>
              </w:rPr>
              <w:t>Subscription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revenue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4"/>
          </w:tcPr>
          <w:p>
            <w:pPr>
              <w:jc w:val="right"/>
              <w:ind w:right="813"/>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Increase (decrease) in residential cable subscription</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due to change in: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6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3"/>
        </w:trPr>
        <w:tc>
          <w:tcPr>
            <w:tcW w:w="3860" w:type="dxa"/>
            <w:vAlign w:val="bottom"/>
          </w:tcPr>
          <w:p>
            <w:pPr>
              <w:ind w:left="20"/>
              <w:spacing w:after="0" w:line="173" w:lineRule="exact"/>
              <w:rPr>
                <w:sz w:val="20"/>
                <w:szCs w:val="20"/>
                <w:color w:val="auto"/>
              </w:rPr>
            </w:pPr>
            <w:r>
              <w:rPr>
                <w:rFonts w:ascii="Arial" w:cs="Arial" w:eastAsia="Arial" w:hAnsi="Arial"/>
                <w:sz w:val="18"/>
                <w:szCs w:val="18"/>
                <w:color w:val="auto"/>
                <w:w w:val="88"/>
              </w:rPr>
              <w:t>Increase in residential cable non-subscription revenue</w:t>
            </w:r>
          </w:p>
        </w:tc>
        <w:tc>
          <w:tcPr>
            <w:tcW w:w="12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4"/>
        </w:trPr>
        <w:tc>
          <w:tcPr>
            <w:tcW w:w="3860" w:type="dxa"/>
            <w:vAlign w:val="bottom"/>
          </w:tcPr>
          <w:p>
            <w:pPr>
              <w:ind w:left="18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3860" w:type="dxa"/>
            <w:vAlign w:val="bottom"/>
            <w:tcBorders>
              <w:top w:val="single" w:sz="8" w:color="CCEEFF"/>
            </w:tcBorders>
            <w:shd w:val="clear" w:color="auto" w:fill="CCEEFF"/>
          </w:tcPr>
          <w:p>
            <w:pPr>
              <w:ind w:left="300"/>
              <w:spacing w:after="0" w:line="154" w:lineRule="exact"/>
              <w:rPr>
                <w:sz w:val="20"/>
                <w:szCs w:val="20"/>
                <w:color w:val="auto"/>
              </w:rPr>
            </w:pPr>
            <w:r>
              <w:rPr>
                <w:rFonts w:ascii="Arial" w:cs="Arial" w:eastAsia="Arial" w:hAnsi="Arial"/>
                <w:sz w:val="17"/>
                <w:szCs w:val="17"/>
                <w:color w:val="auto"/>
              </w:rPr>
              <w:t>Total increase (decrease) in residential cable</w:t>
            </w: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auto"/>
                <w:w w:val="90"/>
              </w:rPr>
              <w:t>Increase (decrease) in residential mobile revenue (b)</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B2B revenue (c)</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auto"/>
              </w:rPr>
              <w:t>Decrease in other revenue</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9"/>
        </w:trPr>
        <w:tc>
          <w:tcPr>
            <w:tcW w:w="38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decrease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auto"/>
              </w:rPr>
              <w:t>Impact of acquisitions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975.5</w:t>
            </w:r>
          </w:p>
        </w:tc>
        <w:tc>
          <w:tcPr>
            <w:tcW w:w="0" w:type="dxa"/>
            <w:vAlign w:val="bottom"/>
          </w:tcPr>
          <w:p>
            <w:pPr>
              <w:spacing w:after="0"/>
              <w:rPr>
                <w:sz w:val="1"/>
                <w:szCs w:val="1"/>
                <w:color w:val="auto"/>
              </w:rPr>
            </w:pPr>
          </w:p>
        </w:tc>
      </w:tr>
      <w:tr>
        <w:trPr>
          <w:trHeight w:val="225"/>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9"/>
        </w:trPr>
        <w:tc>
          <w:tcPr>
            <w:tcW w:w="3860" w:type="dxa"/>
            <w:vAlign w:val="bottom"/>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358.4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526.3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713.9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337.4</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1,051.3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77" w:lineRule="auto"/>
        <w:tabs>
          <w:tab w:leader="none" w:pos="477"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increase in residential cable non-subscription revenue for the three-month comparison includes an increase of $2.2 million associated with the acceleration of revenue from our distribution partner in the first quarter of 2020 for the broadcast of ice hockey, as further described under </w:t>
      </w:r>
      <w:r>
        <w:rPr>
          <w:rFonts w:ascii="Arial" w:cs="Arial" w:eastAsia="Arial" w:hAnsi="Arial"/>
          <w:sz w:val="17"/>
          <w:szCs w:val="17"/>
          <w:i w:val="1"/>
          <w:iCs w:val="1"/>
          <w:color w:val="auto"/>
        </w:rPr>
        <w:t>Discussion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Analysis of our Consolidated Operating Results — Programming and other direct costs of services </w:t>
      </w:r>
      <w:r>
        <w:rPr>
          <w:rFonts w:ascii="Arial" w:cs="Arial" w:eastAsia="Arial" w:hAnsi="Arial"/>
          <w:sz w:val="17"/>
          <w:szCs w:val="17"/>
          <w:color w:val="auto"/>
        </w:rPr>
        <w:t>below.</w:t>
      </w:r>
    </w:p>
    <w:p>
      <w:pPr>
        <w:spacing w:after="0" w:line="197" w:lineRule="exact"/>
        <w:rPr>
          <w:rFonts w:ascii="Arial" w:cs="Arial" w:eastAsia="Arial" w:hAnsi="Arial"/>
          <w:sz w:val="17"/>
          <w:szCs w:val="17"/>
          <w:color w:val="auto"/>
        </w:rPr>
      </w:pPr>
    </w:p>
    <w:p>
      <w:pPr>
        <w:ind w:left="480" w:hanging="474"/>
        <w:spacing w:after="0" w:line="294" w:lineRule="auto"/>
        <w:tabs>
          <w:tab w:leader="none" w:pos="474"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increases in residential mobile subscription revenue are primarily due to increases in the average number of mobile subscribers. The decreases in residential mobile non-subscription revenue are largely attributable to decreases in revenue from mobile handset sales.</w:t>
      </w:r>
    </w:p>
    <w:p>
      <w:pPr>
        <w:spacing w:after="0" w:line="183" w:lineRule="exact"/>
        <w:rPr>
          <w:rFonts w:ascii="Arial" w:cs="Arial" w:eastAsia="Arial" w:hAnsi="Arial"/>
          <w:sz w:val="17"/>
          <w:szCs w:val="17"/>
          <w:color w:val="auto"/>
        </w:rPr>
      </w:pPr>
    </w:p>
    <w:p>
      <w:pPr>
        <w:ind w:left="480" w:hanging="474"/>
        <w:spacing w:after="0"/>
        <w:tabs>
          <w:tab w:leader="none" w:pos="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increases in B2B non-subscription revenue are primarily attributable to higher revenue from wholesale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9" w:name="page60"/>
    <w:bookmarkEnd w:id="59"/>
    <w:p>
      <w:pPr>
        <w:ind w:firstLine="318"/>
        <w:spacing w:after="0" w:line="264" w:lineRule="auto"/>
        <w:rPr>
          <w:sz w:val="20"/>
          <w:szCs w:val="20"/>
          <w:color w:val="auto"/>
        </w:rPr>
      </w:pPr>
      <w:r>
        <w:rPr>
          <w:rFonts w:ascii="Arial" w:cs="Arial" w:eastAsia="Arial" w:hAnsi="Arial"/>
          <w:sz w:val="18"/>
          <w:szCs w:val="18"/>
          <w:i w:val="1"/>
          <w:iCs w:val="1"/>
          <w:color w:val="auto"/>
        </w:rPr>
        <w:t xml:space="preserve">Ireland. </w:t>
      </w:r>
      <w:r>
        <w:rPr>
          <w:rFonts w:ascii="Arial" w:cs="Arial" w:eastAsia="Arial" w:hAnsi="Arial"/>
          <w:sz w:val="18"/>
          <w:szCs w:val="18"/>
          <w:color w:val="auto"/>
        </w:rPr>
        <w:t>The details of the increases in Ireland’s revenue during the three and six months ended June 30, 2021</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corresponding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color w:val="2C2C2C"/>
        </w:rPr>
        <w:t>2020</w:t>
      </w:r>
      <w:r>
        <w:rPr>
          <w:rFonts w:ascii="Arial" w:cs="Arial" w:eastAsia="Arial" w:hAnsi="Arial"/>
          <w:sz w:val="18"/>
          <w:szCs w:val="18"/>
          <w:color w:val="auto"/>
        </w:rPr>
        <w:t>, are set forth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1020"/>
              <w:spacing w:after="0"/>
              <w:rPr>
                <w:sz w:val="20"/>
                <w:szCs w:val="20"/>
                <w:color w:val="auto"/>
              </w:rPr>
            </w:pPr>
            <w:r>
              <w:rPr>
                <w:rFonts w:ascii="Arial" w:cs="Arial" w:eastAsia="Arial" w:hAnsi="Arial"/>
                <w:sz w:val="16"/>
                <w:szCs w:val="16"/>
                <w:b w:val="1"/>
                <w:bCs w:val="1"/>
                <w:color w:val="auto"/>
                <w:w w:val="93"/>
              </w:rPr>
              <w:t>Three-month period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Six-month period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13"/>
              <w:spacing w:after="0"/>
              <w:rPr>
                <w:sz w:val="20"/>
                <w:szCs w:val="20"/>
                <w:color w:val="auto"/>
              </w:rPr>
            </w:pPr>
            <w:r>
              <w:rPr>
                <w:rFonts w:ascii="Arial" w:cs="Arial" w:eastAsia="Arial" w:hAnsi="Arial"/>
                <w:sz w:val="16"/>
                <w:szCs w:val="16"/>
                <w:b w:val="1"/>
                <w:bCs w:val="1"/>
                <w:color w:val="auto"/>
                <w:w w:val="87"/>
              </w:rPr>
              <w:t>Subscription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4"/>
              </w:rPr>
              <w:t>revenue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4"/>
          </w:tcPr>
          <w:p>
            <w:pPr>
              <w:jc w:val="right"/>
              <w:ind w:right="813"/>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Increase (decrease) in residential cable subscription</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due to change in: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73"/>
        </w:trPr>
        <w:tc>
          <w:tcPr>
            <w:tcW w:w="3800" w:type="dxa"/>
            <w:vAlign w:val="bottom"/>
          </w:tcPr>
          <w:p>
            <w:pPr>
              <w:ind w:left="20"/>
              <w:spacing w:after="0" w:line="173" w:lineRule="exact"/>
              <w:rPr>
                <w:sz w:val="20"/>
                <w:szCs w:val="20"/>
                <w:color w:val="auto"/>
              </w:rPr>
            </w:pPr>
            <w:r>
              <w:rPr>
                <w:rFonts w:ascii="Arial" w:cs="Arial" w:eastAsia="Arial" w:hAnsi="Arial"/>
                <w:sz w:val="18"/>
                <w:szCs w:val="18"/>
                <w:color w:val="auto"/>
              </w:rPr>
              <w:t>Increase in residential cable non-subscription</w:t>
            </w:r>
          </w:p>
        </w:tc>
        <w:tc>
          <w:tcPr>
            <w:tcW w:w="120" w:type="dxa"/>
            <w:vAlign w:val="bottom"/>
          </w:tcPr>
          <w:p>
            <w:pPr>
              <w:spacing w:after="0"/>
              <w:rPr>
                <w:sz w:val="15"/>
                <w:szCs w:val="15"/>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4"/>
        </w:trPr>
        <w:tc>
          <w:tcPr>
            <w:tcW w:w="3800" w:type="dxa"/>
            <w:vAlign w:val="bottom"/>
          </w:tcPr>
          <w:p>
            <w:pPr>
              <w:ind w:left="18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3800" w:type="dxa"/>
            <w:vAlign w:val="bottom"/>
            <w:tcBorders>
              <w:top w:val="single" w:sz="8" w:color="CCEEFF"/>
            </w:tcBorders>
            <w:shd w:val="clear" w:color="auto" w:fill="CCEEFF"/>
          </w:tcPr>
          <w:p>
            <w:pPr>
              <w:ind w:left="300"/>
              <w:spacing w:after="0" w:line="154" w:lineRule="exact"/>
              <w:rPr>
                <w:sz w:val="20"/>
                <w:szCs w:val="20"/>
                <w:color w:val="auto"/>
              </w:rPr>
            </w:pPr>
            <w:r>
              <w:rPr>
                <w:rFonts w:ascii="Arial" w:cs="Arial" w:eastAsia="Arial" w:hAnsi="Arial"/>
                <w:sz w:val="17"/>
                <w:szCs w:val="17"/>
                <w:color w:val="auto"/>
              </w:rPr>
              <w:t>Total increase (decrease) in residential cable</w:t>
            </w: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Arial" w:cs="Arial" w:eastAsia="Arial" w:hAnsi="Arial"/>
                <w:sz w:val="18"/>
                <w:szCs w:val="18"/>
                <w:color w:val="auto"/>
                <w:w w:val="95"/>
              </w:rPr>
              <w:t>Increase (decrease) in residential mobile revenue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B2B revenue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Arial" w:cs="Arial" w:eastAsia="Arial" w:hAnsi="Arial"/>
                <w:sz w:val="18"/>
                <w:szCs w:val="18"/>
                <w:color w:val="auto"/>
              </w:rPr>
              <w:t>Increase in other revenue (a)</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9"/>
        </w:trPr>
        <w:tc>
          <w:tcPr>
            <w:tcW w:w="38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5"/>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9"/>
        </w:trPr>
        <w:tc>
          <w:tcPr>
            <w:tcW w:w="3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increases in other revenue are attributable to higher broadcasting revenue.</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i w:val="1"/>
          <w:iCs w:val="1"/>
          <w:color w:val="auto"/>
        </w:rPr>
        <w:t xml:space="preserve">Central and Eastern Europe. </w:t>
      </w:r>
      <w:r>
        <w:rPr>
          <w:rFonts w:ascii="Arial" w:cs="Arial" w:eastAsia="Arial" w:hAnsi="Arial"/>
          <w:sz w:val="18"/>
          <w:szCs w:val="18"/>
          <w:color w:val="auto"/>
        </w:rPr>
        <w:t>The details of the increases in Central and Eastern Europe’s revenue during the three and six months ended June 30, 2021</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compared to the corresponding periods in </w:t>
      </w:r>
      <w:r>
        <w:rPr>
          <w:rFonts w:ascii="Arial" w:cs="Arial" w:eastAsia="Arial" w:hAnsi="Arial"/>
          <w:sz w:val="18"/>
          <w:szCs w:val="18"/>
          <w:color w:val="2C2C2C"/>
        </w:rPr>
        <w:t>2020</w:t>
      </w:r>
      <w:r>
        <w:rPr>
          <w:rFonts w:ascii="Arial" w:cs="Arial" w:eastAsia="Arial" w:hAnsi="Arial"/>
          <w:sz w:val="18"/>
          <w:szCs w:val="18"/>
          <w:color w:val="auto"/>
        </w:rPr>
        <w:t>, are set forth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93"/>
              </w:rPr>
              <w:t>Three-month period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Six-month period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
              <w:spacing w:after="0"/>
              <w:rPr>
                <w:sz w:val="20"/>
                <w:szCs w:val="20"/>
                <w:color w:val="auto"/>
              </w:rPr>
            </w:pPr>
            <w:r>
              <w:rPr>
                <w:rFonts w:ascii="Arial" w:cs="Arial" w:eastAsia="Arial" w:hAnsi="Arial"/>
                <w:sz w:val="16"/>
                <w:szCs w:val="16"/>
                <w:b w:val="1"/>
                <w:bCs w:val="1"/>
                <w:color w:val="auto"/>
                <w:w w:val="89"/>
              </w:rPr>
              <w:t>Subscription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13"/>
              <w:spacing w:after="0"/>
              <w:rPr>
                <w:sz w:val="20"/>
                <w:szCs w:val="20"/>
                <w:color w:val="auto"/>
              </w:rPr>
            </w:pPr>
            <w:r>
              <w:rPr>
                <w:rFonts w:ascii="Arial" w:cs="Arial" w:eastAsia="Arial" w:hAnsi="Arial"/>
                <w:sz w:val="16"/>
                <w:szCs w:val="16"/>
                <w:b w:val="1"/>
                <w:bCs w:val="1"/>
                <w:color w:val="auto"/>
                <w:w w:val="87"/>
              </w:rPr>
              <w:t>Subscription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revenue</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4"/>
          </w:tcPr>
          <w:p>
            <w:pPr>
              <w:jc w:val="right"/>
              <w:ind w:right="813"/>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Increase in residential cable subscription revenue</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change in: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73"/>
        </w:trPr>
        <w:tc>
          <w:tcPr>
            <w:tcW w:w="3800" w:type="dxa"/>
            <w:vAlign w:val="bottom"/>
          </w:tcPr>
          <w:p>
            <w:pPr>
              <w:ind w:left="20"/>
              <w:spacing w:after="0" w:line="173" w:lineRule="exact"/>
              <w:rPr>
                <w:sz w:val="20"/>
                <w:szCs w:val="20"/>
                <w:color w:val="auto"/>
              </w:rPr>
            </w:pPr>
            <w:r>
              <w:rPr>
                <w:rFonts w:ascii="Arial" w:cs="Arial" w:eastAsia="Arial" w:hAnsi="Arial"/>
                <w:sz w:val="18"/>
                <w:szCs w:val="18"/>
                <w:color w:val="auto"/>
              </w:rPr>
              <w:t>Decrease in residential cable non-subscription</w:t>
            </w: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4"/>
        </w:trPr>
        <w:tc>
          <w:tcPr>
            <w:tcW w:w="3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3800" w:type="dxa"/>
            <w:vAlign w:val="bottom"/>
            <w:shd w:val="clear" w:color="auto" w:fill="CCEEFF"/>
          </w:tcPr>
          <w:p>
            <w:pPr>
              <w:ind w:left="300"/>
              <w:spacing w:after="0" w:line="154" w:lineRule="exact"/>
              <w:rPr>
                <w:sz w:val="20"/>
                <w:szCs w:val="20"/>
                <w:color w:val="auto"/>
              </w:rPr>
            </w:pPr>
            <w:r>
              <w:rPr>
                <w:rFonts w:ascii="Arial" w:cs="Arial" w:eastAsia="Arial" w:hAnsi="Arial"/>
                <w:sz w:val="17"/>
                <w:szCs w:val="17"/>
                <w:color w:val="auto"/>
              </w:rPr>
              <w:t>Total increase (decrease) in residential cable</w:t>
            </w: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Arial" w:cs="Arial" w:eastAsia="Arial" w:hAnsi="Arial"/>
                <w:sz w:val="18"/>
                <w:szCs w:val="18"/>
                <w:color w:val="auto"/>
                <w:w w:val="95"/>
              </w:rPr>
              <w:t>Increase (decrease) in residential mobile revenue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5"/>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in other revenue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organic increase (decrease)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5"/>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9"/>
        </w:trPr>
        <w:tc>
          <w:tcPr>
            <w:tcW w:w="3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0" w:name="page61"/>
    <w:bookmarkEnd w:id="60"/>
    <w:p>
      <w:pPr>
        <w:ind w:left="160"/>
        <w:spacing w:after="0"/>
        <w:rPr>
          <w:sz w:val="20"/>
          <w:szCs w:val="20"/>
          <w:color w:val="auto"/>
        </w:rPr>
      </w:pPr>
      <w:r>
        <w:rPr>
          <w:rFonts w:ascii="Arial" w:cs="Arial" w:eastAsia="Arial" w:hAnsi="Arial"/>
          <w:sz w:val="15"/>
          <w:szCs w:val="15"/>
          <w:b w:val="1"/>
          <w:bCs w:val="1"/>
          <w:i w:val="1"/>
          <w:iCs w:val="1"/>
          <w:color w:val="auto"/>
        </w:rPr>
        <w:t>Programming and Other Direct Costs of Services, Other Operating Expenses and SG&amp;A Expenses of our Consolidated Reportable Segments</w:t>
      </w:r>
    </w:p>
    <w:p>
      <w:pPr>
        <w:spacing w:after="0" w:line="27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For information regarding the changes in our (i) programming and other direct costs of services, (ii) other operating expenses and (iii) SG&amp;A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EBITDA of our Consolidated Reportable Segments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Adjusted EBITDA is the primary measure used by our chief operating decision maker to evaluate segment operating performance. As presented below, consolidated Adjusted EBITDA is a non-GAAP measure, which investors should view as a supplement to, and not a substitute for, GAAP measures of performance included in our condensed consolidated statements of operations. The following tables set forth the Adjusted EBITDA of our consolidated reportable segments: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8"/>
              </w:rPr>
              <w:t>Three months ended June 30,</w:t>
            </w:r>
          </w:p>
        </w:tc>
        <w:tc>
          <w:tcPr>
            <w:tcW w:w="120" w:type="dxa"/>
            <w:vAlign w:val="bottom"/>
          </w:tcPr>
          <w:p>
            <w:pPr>
              <w:spacing w:after="0"/>
              <w:rPr>
                <w:sz w:val="18"/>
                <w:szCs w:val="18"/>
                <w:color w:val="auto"/>
              </w:rPr>
            </w:pPr>
          </w:p>
        </w:tc>
        <w:tc>
          <w:tcPr>
            <w:tcW w:w="2300" w:type="dxa"/>
            <w:vAlign w:val="bottom"/>
            <w:gridSpan w:val="4"/>
          </w:tcPr>
          <w:p>
            <w:pPr>
              <w:ind w:left="380"/>
              <w:spacing w:after="0"/>
              <w:rPr>
                <w:sz w:val="20"/>
                <w:szCs w:val="20"/>
                <w:color w:val="auto"/>
              </w:rPr>
            </w:pPr>
            <w:r>
              <w:rPr>
                <w:rFonts w:ascii="Arial" w:cs="Arial" w:eastAsia="Arial" w:hAnsi="Arial"/>
                <w:sz w:val="16"/>
                <w:szCs w:val="16"/>
                <w:b w:val="1"/>
                <w:bCs w:val="1"/>
                <w:color w:val="auto"/>
              </w:rPr>
              <w:t>Increase (decrease)</w:t>
            </w:r>
          </w:p>
        </w:tc>
        <w:tc>
          <w:tcPr>
            <w:tcW w:w="160" w:type="dxa"/>
            <w:vAlign w:val="bottom"/>
          </w:tcPr>
          <w:p>
            <w:pPr>
              <w:spacing w:after="0"/>
              <w:rPr>
                <w:sz w:val="18"/>
                <w:szCs w:val="18"/>
                <w:color w:val="auto"/>
              </w:rPr>
            </w:pPr>
          </w:p>
        </w:tc>
        <w:tc>
          <w:tcPr>
            <w:tcW w:w="2140" w:type="dxa"/>
            <w:vAlign w:val="bottom"/>
            <w:gridSpan w:val="3"/>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spacing w:after="0"/>
              <w:rPr>
                <w:sz w:val="20"/>
                <w:szCs w:val="20"/>
                <w:color w:val="auto"/>
              </w:rPr>
            </w:pPr>
            <w:r>
              <w:rPr>
                <w:rFonts w:ascii="Arial" w:cs="Arial" w:eastAsia="Arial" w:hAnsi="Arial"/>
                <w:sz w:val="16"/>
                <w:szCs w:val="16"/>
                <w:b w:val="1"/>
                <w:bCs w:val="1"/>
                <w:color w:val="auto"/>
                <w:w w:val="9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Ireland</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Eastern Europe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Central and Corporate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7"/>
              </w:rPr>
              <w:t>Six months ended</w:t>
            </w:r>
          </w:p>
        </w:tc>
        <w:tc>
          <w:tcPr>
            <w:tcW w:w="120" w:type="dxa"/>
            <w:vAlign w:val="bottom"/>
          </w:tcPr>
          <w:p>
            <w:pPr>
              <w:spacing w:after="0"/>
              <w:rPr>
                <w:sz w:val="24"/>
                <w:szCs w:val="24"/>
                <w:color w:val="auto"/>
              </w:rPr>
            </w:pPr>
          </w:p>
        </w:tc>
        <w:tc>
          <w:tcPr>
            <w:tcW w:w="23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Increase (decrease)</w:t>
            </w:r>
          </w:p>
        </w:tc>
        <w:tc>
          <w:tcPr>
            <w:tcW w:w="160" w:type="dxa"/>
            <w:vAlign w:val="bottom"/>
          </w:tcPr>
          <w:p>
            <w:pPr>
              <w:spacing w:after="0"/>
              <w:rPr>
                <w:sz w:val="24"/>
                <w:szCs w:val="24"/>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left="574"/>
              <w:spacing w:after="0"/>
              <w:rPr>
                <w:sz w:val="20"/>
                <w:szCs w:val="20"/>
                <w:color w:val="auto"/>
              </w:rPr>
            </w:pPr>
            <w:r>
              <w:rPr>
                <w:rFonts w:ascii="Arial" w:cs="Arial" w:eastAsia="Arial" w:hAnsi="Arial"/>
                <w:sz w:val="16"/>
                <w:szCs w:val="16"/>
                <w:b w:val="1"/>
                <w:bCs w:val="1"/>
                <w:color w:val="auto"/>
                <w:w w:val="87"/>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spacing w:after="0"/>
              <w:rPr>
                <w:sz w:val="20"/>
                <w:szCs w:val="20"/>
                <w:color w:val="auto"/>
              </w:rPr>
            </w:pPr>
            <w:r>
              <w:rPr>
                <w:rFonts w:ascii="Arial" w:cs="Arial" w:eastAsia="Arial" w:hAnsi="Arial"/>
                <w:sz w:val="16"/>
                <w:szCs w:val="16"/>
                <w:b w:val="1"/>
                <w:bCs w:val="1"/>
                <w:color w:val="auto"/>
                <w:w w:val="9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Ireland</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Eastern Europe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Central and Corporate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the Adjusted EBITDA of the U.K. JV Entities through the June 1, 2021 closing of the U.K. JV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1" w:name="page62"/>
    <w:bookmarkEnd w:id="61"/>
    <w:p>
      <w:pPr>
        <w:ind w:left="16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the Adjusted EBITDA margins (Adjusted EBITDA divided by revenue) of each of our consolidated reportable segments: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2620" w:type="dxa"/>
            <w:vAlign w:val="bottom"/>
            <w:gridSpan w:val="4"/>
            <w:vMerge w:val="restart"/>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25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Six months ended</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18"/>
                <w:szCs w:val="18"/>
                <w:color w:val="auto"/>
              </w:rPr>
            </w:pPr>
          </w:p>
        </w:tc>
        <w:tc>
          <w:tcPr>
            <w:tcW w:w="2620" w:type="dxa"/>
            <w:vAlign w:val="bottom"/>
            <w:gridSpan w:val="4"/>
            <w:vMerge w:val="continue"/>
          </w:tcPr>
          <w:p>
            <w:pPr>
              <w:spacing w:after="0"/>
              <w:rPr>
                <w:sz w:val="18"/>
                <w:szCs w:val="18"/>
                <w:color w:val="auto"/>
              </w:rPr>
            </w:pPr>
          </w:p>
        </w:tc>
        <w:tc>
          <w:tcPr>
            <w:tcW w:w="1700" w:type="dxa"/>
            <w:vAlign w:val="bottom"/>
            <w:gridSpan w:val="3"/>
          </w:tcPr>
          <w:p>
            <w:pPr>
              <w:jc w:val="center"/>
              <w:ind w:left="795"/>
              <w:spacing w:after="0"/>
              <w:rPr>
                <w:sz w:val="20"/>
                <w:szCs w:val="20"/>
                <w:color w:val="auto"/>
              </w:rPr>
            </w:pPr>
            <w:r>
              <w:rPr>
                <w:rFonts w:ascii="Arial" w:cs="Arial" w:eastAsia="Arial" w:hAnsi="Arial"/>
                <w:sz w:val="16"/>
                <w:szCs w:val="16"/>
                <w:b w:val="1"/>
                <w:bCs w:val="1"/>
                <w:color w:val="auto"/>
                <w:w w:val="90"/>
              </w:rPr>
              <w:t>June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4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47"/>
        </w:trPr>
        <w:tc>
          <w:tcPr>
            <w:tcW w:w="6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41.5 %</w:t>
            </w:r>
          </w:p>
        </w:tc>
        <w:tc>
          <w:tcPr>
            <w:tcW w:w="0" w:type="dxa"/>
            <w:vAlign w:val="bottom"/>
          </w:tcPr>
          <w:p>
            <w:pPr>
              <w:spacing w:after="0"/>
              <w:rPr>
                <w:sz w:val="1"/>
                <w:szCs w:val="1"/>
                <w:color w:val="auto"/>
              </w:rPr>
            </w:pP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rPr>
              <w:t>Belgium</w:t>
            </w:r>
          </w:p>
        </w:tc>
        <w:tc>
          <w:tcPr>
            <w:tcW w:w="1200" w:type="dxa"/>
            <w:vAlign w:val="bottom"/>
          </w:tcPr>
          <w:p>
            <w:pPr>
              <w:jc w:val="right"/>
              <w:spacing w:after="0"/>
              <w:rPr>
                <w:sz w:val="20"/>
                <w:szCs w:val="20"/>
                <w:color w:val="auto"/>
              </w:rPr>
            </w:pPr>
            <w:r>
              <w:rPr>
                <w:rFonts w:ascii="Arial" w:cs="Arial" w:eastAsia="Arial" w:hAnsi="Arial"/>
                <w:sz w:val="18"/>
                <w:szCs w:val="18"/>
                <w:color w:val="auto"/>
              </w:rPr>
              <w:t>50.3 %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51.9 %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49.0 %</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0" w:type="dxa"/>
            <w:vAlign w:val="bottom"/>
          </w:tcPr>
          <w:p>
            <w:pPr>
              <w:spacing w:after="0"/>
              <w:rPr>
                <w:sz w:val="1"/>
                <w:szCs w:val="1"/>
                <w:color w:val="auto"/>
              </w:rPr>
            </w:pP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rPr>
              <w:t>Ireland</w:t>
            </w:r>
          </w:p>
        </w:tc>
        <w:tc>
          <w:tcPr>
            <w:tcW w:w="1200" w:type="dxa"/>
            <w:vAlign w:val="bottom"/>
          </w:tcPr>
          <w:p>
            <w:pPr>
              <w:jc w:val="right"/>
              <w:spacing w:after="0"/>
              <w:rPr>
                <w:sz w:val="20"/>
                <w:szCs w:val="20"/>
                <w:color w:val="auto"/>
              </w:rPr>
            </w:pPr>
            <w:r>
              <w:rPr>
                <w:rFonts w:ascii="Arial" w:cs="Arial" w:eastAsia="Arial" w:hAnsi="Arial"/>
                <w:sz w:val="18"/>
                <w:szCs w:val="18"/>
                <w:color w:val="auto"/>
              </w:rPr>
              <w:t>40.3 %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42.7 %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38.9 %</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Eastern Europe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45.6 %</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results of the U.K. JV Entities through the June 1, 2021 closing of the U.K. JV Transaction.</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In addition to organic changes in the revenue, operating and SG&amp;A expenses of our consolidated reportable segments, the Adjusted EBITDA margins presented above are impacted by acquisitions. In this regard, the Sunrise Acquisition had a significant adverse impact on the Adjusted EBITDA margin in Switzerland, as the acquired Sunrise mobile business generates a relatively lower Adjusted EBITDA margin than our legacy cable operations in Switzerland. For discussion of the factors contributing to the changes in the Adjusted EBITDA margins of our consolidated reportable segments, see the analysis of our revenue included in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 and the analysis of our expenses included in </w:t>
      </w:r>
      <w:r>
        <w:rPr>
          <w:rFonts w:ascii="Arial" w:cs="Arial" w:eastAsia="Arial" w:hAnsi="Arial"/>
          <w:sz w:val="18"/>
          <w:szCs w:val="18"/>
          <w:i w:val="1"/>
          <w:iCs w:val="1"/>
          <w:color w:val="auto"/>
        </w:rPr>
        <w:t>Discussion and Analysis of 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Operating Results </w:t>
      </w:r>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Discussion and Analysis of our Consolidated Operating Results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Revenue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 by major category is set forth below:</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080" w:type="dxa"/>
            <w:vAlign w:val="bottom"/>
            <w:gridSpan w:val="4"/>
            <w:vMerge w:val="restart"/>
          </w:tcPr>
          <w:p>
            <w:pPr>
              <w:ind w:left="200"/>
              <w:spacing w:after="0"/>
              <w:rPr>
                <w:sz w:val="20"/>
                <w:szCs w:val="20"/>
                <w:color w:val="auto"/>
              </w:rPr>
            </w:pPr>
            <w:r>
              <w:rPr>
                <w:rFonts w:ascii="Arial" w:cs="Arial" w:eastAsia="Arial" w:hAnsi="Arial"/>
                <w:sz w:val="16"/>
                <w:szCs w:val="16"/>
                <w:b w:val="1"/>
                <w:bCs w:val="1"/>
                <w:color w:val="auto"/>
              </w:rPr>
              <w:t>Increase (decrease)</w:t>
            </w:r>
          </w:p>
        </w:tc>
        <w:tc>
          <w:tcPr>
            <w:tcW w:w="140" w:type="dxa"/>
            <w:vAlign w:val="bottom"/>
          </w:tcPr>
          <w:p>
            <w:pPr>
              <w:spacing w:after="0"/>
              <w:rPr>
                <w:sz w:val="16"/>
                <w:szCs w:val="16"/>
                <w:color w:val="auto"/>
              </w:rPr>
            </w:pPr>
          </w:p>
        </w:tc>
        <w:tc>
          <w:tcPr>
            <w:tcW w:w="2080" w:type="dxa"/>
            <w:vAlign w:val="bottom"/>
            <w:gridSpan w:val="3"/>
            <w:vMerge w:val="restart"/>
          </w:tcPr>
          <w:p>
            <w:pPr>
              <w:jc w:val="right"/>
              <w:ind w:right="72"/>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5"/>
          </w:tcPr>
          <w:p>
            <w:pPr>
              <w:ind w:left="20"/>
              <w:spacing w:after="0"/>
              <w:rPr>
                <w:sz w:val="20"/>
                <w:szCs w:val="20"/>
                <w:color w:val="auto"/>
              </w:rPr>
            </w:pPr>
            <w:r>
              <w:rPr>
                <w:rFonts w:ascii="Arial" w:cs="Arial" w:eastAsia="Arial" w:hAnsi="Arial"/>
                <w:sz w:val="16"/>
                <w:szCs w:val="16"/>
                <w:b w:val="1"/>
                <w:bCs w:val="1"/>
                <w:color w:val="auto"/>
                <w:w w:val="98"/>
              </w:rPr>
              <w:t>in millions, except percentages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4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140"/>
              <w:spacing w:after="0"/>
              <w:rPr>
                <w:sz w:val="20"/>
                <w:szCs w:val="20"/>
                <w:color w:val="auto"/>
              </w:rPr>
            </w:pPr>
            <w:r>
              <w:rPr>
                <w:rFonts w:ascii="Arial" w:cs="Arial" w:eastAsia="Arial" w:hAnsi="Arial"/>
                <w:sz w:val="18"/>
                <w:szCs w:val="18"/>
                <w:color w:val="auto"/>
              </w:rPr>
              <w:t>Residential cable revenue (a):</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340"/>
              <w:spacing w:after="0"/>
              <w:rPr>
                <w:sz w:val="20"/>
                <w:szCs w:val="20"/>
                <w:color w:val="auto"/>
              </w:rPr>
            </w:pPr>
            <w:r>
              <w:rPr>
                <w:rFonts w:ascii="Arial" w:cs="Arial" w:eastAsia="Arial" w:hAnsi="Arial"/>
                <w:sz w:val="18"/>
                <w:szCs w:val="18"/>
                <w:color w:val="auto"/>
              </w:rPr>
              <w:t>Broadband internet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763.9</w:t>
            </w:r>
          </w:p>
        </w:tc>
        <w:tc>
          <w:tcPr>
            <w:tcW w:w="16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781.0</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Fixed-line telephony</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subscription revenue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residential cable revenue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1,714.7</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5"/>
        </w:trPr>
        <w:tc>
          <w:tcPr>
            <w:tcW w:w="4120" w:type="dxa"/>
            <w:vAlign w:val="bottom"/>
          </w:tcPr>
          <w:p>
            <w:pPr>
              <w:ind w:left="140"/>
              <w:spacing w:after="0" w:line="204" w:lineRule="exact"/>
              <w:rPr>
                <w:sz w:val="20"/>
                <w:szCs w:val="20"/>
                <w:color w:val="auto"/>
              </w:rPr>
            </w:pPr>
            <w:r>
              <w:rPr>
                <w:rFonts w:ascii="Arial" w:cs="Arial" w:eastAsia="Arial" w:hAnsi="Arial"/>
                <w:sz w:val="18"/>
                <w:szCs w:val="18"/>
                <w:color w:val="auto"/>
              </w:rPr>
              <w:t>Residential mobile revenue (c):</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residential mobile revenue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8"/>
        </w:trPr>
        <w:tc>
          <w:tcPr>
            <w:tcW w:w="412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residential revenue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2,327.7</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B2B revenue (d):</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8"/>
        </w:trPr>
        <w:tc>
          <w:tcPr>
            <w:tcW w:w="412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B2B revenue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revenue (e)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8"/>
        </w:trPr>
        <w:tc>
          <w:tcPr>
            <w:tcW w:w="412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3,105.5</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2,722.9</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16"/>
                <w:szCs w:val="16"/>
                <w:color w:val="auto"/>
              </w:rPr>
            </w:pPr>
          </w:p>
        </w:tc>
        <w:tc>
          <w:tcPr>
            <w:tcW w:w="2100" w:type="dxa"/>
            <w:vAlign w:val="bottom"/>
            <w:gridSpan w:val="4"/>
            <w:vMerge w:val="restart"/>
          </w:tcPr>
          <w:p>
            <w:pPr>
              <w:ind w:left="200"/>
              <w:spacing w:after="0"/>
              <w:rPr>
                <w:sz w:val="20"/>
                <w:szCs w:val="20"/>
                <w:color w:val="auto"/>
              </w:rPr>
            </w:pPr>
            <w:r>
              <w:rPr>
                <w:rFonts w:ascii="Arial" w:cs="Arial" w:eastAsia="Arial" w:hAnsi="Arial"/>
                <w:sz w:val="16"/>
                <w:szCs w:val="16"/>
                <w:b w:val="1"/>
                <w:bCs w:val="1"/>
                <w:color w:val="auto"/>
              </w:rPr>
              <w:t>Increase (decrease)</w:t>
            </w:r>
          </w:p>
        </w:tc>
        <w:tc>
          <w:tcPr>
            <w:tcW w:w="140" w:type="dxa"/>
            <w:vAlign w:val="bottom"/>
          </w:tcPr>
          <w:p>
            <w:pPr>
              <w:spacing w:after="0"/>
              <w:rPr>
                <w:sz w:val="16"/>
                <w:szCs w:val="16"/>
                <w:color w:val="auto"/>
              </w:rPr>
            </w:pPr>
          </w:p>
        </w:tc>
        <w:tc>
          <w:tcPr>
            <w:tcW w:w="2060" w:type="dxa"/>
            <w:vAlign w:val="bottom"/>
            <w:gridSpan w:val="3"/>
            <w:vMerge w:val="restart"/>
          </w:tcPr>
          <w:p>
            <w:pPr>
              <w:jc w:val="right"/>
              <w:ind w:right="72"/>
              <w:spacing w:after="0"/>
              <w:rPr>
                <w:sz w:val="20"/>
                <w:szCs w:val="20"/>
                <w:color w:val="auto"/>
              </w:rPr>
            </w:pPr>
            <w:r>
              <w:rPr>
                <w:rFonts w:ascii="Arial" w:cs="Arial" w:eastAsia="Arial" w:hAnsi="Arial"/>
                <w:sz w:val="16"/>
                <w:szCs w:val="16"/>
                <w:b w:val="1"/>
                <w:bCs w:val="1"/>
                <w:color w:val="auto"/>
                <w:w w:val="87"/>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5"/>
          </w:tcPr>
          <w:p>
            <w:pPr>
              <w:ind w:left="40"/>
              <w:spacing w:after="0"/>
              <w:rPr>
                <w:sz w:val="20"/>
                <w:szCs w:val="20"/>
                <w:color w:val="auto"/>
              </w:rPr>
            </w:pPr>
            <w:r>
              <w:rPr>
                <w:rFonts w:ascii="Arial" w:cs="Arial" w:eastAsia="Arial" w:hAnsi="Arial"/>
                <w:sz w:val="16"/>
                <w:szCs w:val="16"/>
                <w:b w:val="1"/>
                <w:bCs w:val="1"/>
                <w:color w:val="auto"/>
                <w:w w:val="98"/>
              </w:rPr>
              <w:t>in millions, except percentages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4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140"/>
              <w:spacing w:after="0"/>
              <w:rPr>
                <w:sz w:val="20"/>
                <w:szCs w:val="20"/>
                <w:color w:val="auto"/>
              </w:rPr>
            </w:pPr>
            <w:r>
              <w:rPr>
                <w:rFonts w:ascii="Arial" w:cs="Arial" w:eastAsia="Arial" w:hAnsi="Arial"/>
                <w:sz w:val="18"/>
                <w:szCs w:val="18"/>
                <w:color w:val="auto"/>
              </w:rPr>
              <w:t>Residential cable revenue (a):</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340"/>
              <w:spacing w:after="0"/>
              <w:rPr>
                <w:sz w:val="20"/>
                <w:szCs w:val="20"/>
                <w:color w:val="auto"/>
              </w:rPr>
            </w:pPr>
            <w:r>
              <w:rPr>
                <w:rFonts w:ascii="Arial" w:cs="Arial" w:eastAsia="Arial" w:hAnsi="Arial"/>
                <w:sz w:val="18"/>
                <w:szCs w:val="18"/>
                <w:color w:val="auto"/>
              </w:rPr>
              <w:t>Broadband internet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1,690.7</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1,577.8</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Fixed-line telephony</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subscription revenue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residential cable revenue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5"/>
        </w:trPr>
        <w:tc>
          <w:tcPr>
            <w:tcW w:w="4120" w:type="dxa"/>
            <w:vAlign w:val="bottom"/>
          </w:tcPr>
          <w:p>
            <w:pPr>
              <w:ind w:left="140"/>
              <w:spacing w:after="0" w:line="204" w:lineRule="exact"/>
              <w:rPr>
                <w:sz w:val="20"/>
                <w:szCs w:val="20"/>
                <w:color w:val="auto"/>
              </w:rPr>
            </w:pPr>
            <w:r>
              <w:rPr>
                <w:rFonts w:ascii="Arial" w:cs="Arial" w:eastAsia="Arial" w:hAnsi="Arial"/>
                <w:sz w:val="18"/>
                <w:szCs w:val="18"/>
                <w:color w:val="auto"/>
              </w:rPr>
              <w:t>Residential mobile revenue (c):</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residential mobile revenue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8"/>
        </w:trPr>
        <w:tc>
          <w:tcPr>
            <w:tcW w:w="412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residential revenue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4,387.8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787.4</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B2B revenue (d):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8"/>
        </w:trPr>
        <w:tc>
          <w:tcPr>
            <w:tcW w:w="412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B2B revenue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revenue (e)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8"/>
        </w:trPr>
        <w:tc>
          <w:tcPr>
            <w:tcW w:w="412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5,598.7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1,122.1</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214" w:lineRule="exact"/>
        <w:rPr>
          <w:rFonts w:ascii="Arial" w:cs="Arial" w:eastAsia="Arial" w:hAnsi="Arial"/>
          <w:sz w:val="18"/>
          <w:szCs w:val="18"/>
          <w:color w:val="auto"/>
        </w:rPr>
      </w:pPr>
    </w:p>
    <w:p>
      <w:pPr>
        <w:jc w:val="both"/>
        <w:ind w:left="480" w:hanging="474"/>
        <w:spacing w:after="0" w:line="277" w:lineRule="auto"/>
        <w:tabs>
          <w:tab w:leader="none" w:pos="474"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97" w:lineRule="exact"/>
        <w:rPr>
          <w:rFonts w:ascii="Arial" w:cs="Arial" w:eastAsia="Arial" w:hAnsi="Arial"/>
          <w:sz w:val="17"/>
          <w:szCs w:val="17"/>
          <w:color w:val="auto"/>
        </w:rPr>
      </w:pPr>
    </w:p>
    <w:p>
      <w:pPr>
        <w:jc w:val="both"/>
        <w:ind w:left="480" w:hanging="474"/>
        <w:spacing w:after="0" w:line="252" w:lineRule="auto"/>
        <w:tabs>
          <w:tab w:leader="none" w:pos="477"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$57.9 million and $48.9 million during the three months ended June 30, 2021 and 2020, respectively, and $135.5 million and $108.5 million during the six months ended June 30, 2021 and 2020, respectively.</w:t>
      </w:r>
    </w:p>
    <w:p>
      <w:pPr>
        <w:spacing w:after="0" w:line="217" w:lineRule="exact"/>
        <w:rPr>
          <w:rFonts w:ascii="Arial" w:cs="Arial" w:eastAsia="Arial" w:hAnsi="Arial"/>
          <w:sz w:val="18"/>
          <w:szCs w:val="18"/>
          <w:color w:val="auto"/>
        </w:rPr>
      </w:pPr>
    </w:p>
    <w:p>
      <w:pPr>
        <w:jc w:val="both"/>
        <w:ind w:left="480" w:hanging="474"/>
        <w:spacing w:after="0" w:line="267" w:lineRule="auto"/>
        <w:tabs>
          <w:tab w:leader="none" w:pos="474" w:val="left"/>
        </w:tabs>
        <w:numPr>
          <w:ilvl w:val="0"/>
          <w:numId w:val="60"/>
        </w:numPr>
        <w:rPr>
          <w:rFonts w:ascii="Arial" w:cs="Arial" w:eastAsia="Arial" w:hAnsi="Arial"/>
          <w:sz w:val="17"/>
          <w:szCs w:val="17"/>
          <w:color w:val="auto"/>
        </w:rPr>
      </w:pPr>
      <w:r>
        <w:rPr>
          <w:rFonts w:ascii="Arial" w:cs="Arial" w:eastAsia="Arial" w:hAnsi="Arial"/>
          <w:sz w:val="17"/>
          <w:szCs w:val="17"/>
          <w:color w:val="auto"/>
        </w:rPr>
        <w:t>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A portion of the increase in our B2B subscription revenue is attributable to the conversion of certain residential subscribers to SOHO subscribers. B2B non-subscription revenue includes (a) revenue from business broadband internet, video, fixed-line telephony and data services offered to medium to large enterprises and, on a wholesale basis, to other operators and (b) revenue from long-term leases of portions of our network.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64" w:name="page65"/>
    <w:bookmarkEnd w:id="64"/>
    <w:p>
      <w:pPr>
        <w:jc w:val="both"/>
        <w:ind w:left="480" w:hanging="474"/>
        <w:spacing w:after="0" w:line="255" w:lineRule="auto"/>
        <w:tabs>
          <w:tab w:leader="none" w:pos="477"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the U.K. JV Services, the NL JV Services and the sale of customer premises equipment to the VodafoneZiggo JV, (ii) broadcasting revenue in Belgium and Ireland and (iii) revenue earned from transitional and other services provided to various third parties.</w:t>
      </w:r>
    </w:p>
    <w:p>
      <w:pPr>
        <w:spacing w:after="0" w:line="21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 xml:space="preserve">Total revenue. </w:t>
      </w:r>
      <w:r>
        <w:rPr>
          <w:rFonts w:ascii="Arial" w:cs="Arial" w:eastAsia="Arial" w:hAnsi="Arial"/>
          <w:sz w:val="15"/>
          <w:szCs w:val="15"/>
          <w:color w:val="auto"/>
        </w:rPr>
        <w:t>Our consolidated revenue increased $382.6 million or 14.1% and $1,122.1 million or 20.0% during the three and six months ended June</w:t>
      </w:r>
      <w:r>
        <w:rPr>
          <w:rFonts w:ascii="Arial" w:cs="Arial" w:eastAsia="Arial" w:hAnsi="Arial"/>
          <w:sz w:val="15"/>
          <w:szCs w:val="15"/>
          <w:i w:val="1"/>
          <w:iCs w:val="1"/>
          <w:color w:val="auto"/>
        </w:rPr>
        <w:t xml:space="preserve"> </w:t>
      </w:r>
      <w:r>
        <w:rPr>
          <w:rFonts w:ascii="Arial" w:cs="Arial" w:eastAsia="Arial" w:hAnsi="Arial"/>
          <w:sz w:val="15"/>
          <w:szCs w:val="15"/>
          <w:color w:val="auto"/>
        </w:rPr>
        <w:t>30, 2021, respectively, as compared to the corresponding periods in 2020. These increases include increases of $488.9 million and $975.5 million, respectively, attributable to the impact of the Sunrise Acquisition and decreases of $479.6 million and $487.2 million, respectively, attributable to the impact of the U.K. JV Transaction. On an organic basis, our consolidated revenue increased $88.4 million or 3.2% and $83.7 million or 1.4%, respectively.</w:t>
      </w:r>
    </w:p>
    <w:p>
      <w:pPr>
        <w:spacing w:after="0" w:line="17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Residential revenue. </w:t>
      </w:r>
      <w:r>
        <w:rPr>
          <w:rFonts w:ascii="Arial" w:cs="Arial" w:eastAsia="Arial" w:hAnsi="Arial"/>
          <w:sz w:val="18"/>
          <w:szCs w:val="18"/>
          <w:color w:val="auto"/>
        </w:rPr>
        <w:t>The details of the increases in our consolidated residential revenue during the three and six months ended June 30, 2021,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corresponding periods in 2020,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Three-month</w:t>
            </w: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9"/>
        </w:trPr>
        <w:tc>
          <w:tcPr>
            <w:tcW w:w="8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period</w:t>
            </w:r>
          </w:p>
        </w:tc>
        <w:tc>
          <w:tcPr>
            <w:tcW w:w="13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6"/>
                <w:szCs w:val="16"/>
                <w:b w:val="1"/>
                <w:bCs w:val="1"/>
                <w:color w:val="auto"/>
                <w:w w:val="95"/>
              </w:rPr>
              <w:t>Six-month period</w:t>
            </w:r>
          </w:p>
        </w:tc>
      </w:tr>
      <w:tr>
        <w:trPr>
          <w:trHeight w:val="208"/>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jc w:val="right"/>
              <w:ind w:right="195"/>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8"/>
                <w:szCs w:val="18"/>
                <w:color w:val="auto"/>
              </w:rPr>
            </w:pPr>
          </w:p>
        </w:tc>
      </w:tr>
      <w:tr>
        <w:trPr>
          <w:trHeight w:val="110"/>
        </w:trPr>
        <w:tc>
          <w:tcPr>
            <w:tcW w:w="8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Average number of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620" w:type="dxa"/>
            <w:vAlign w:val="bottom"/>
          </w:tcPr>
          <w:p>
            <w:pPr>
              <w:jc w:val="right"/>
              <w:ind w:right="415"/>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ARPU</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in residential cable non-subscription revenue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1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increase (decrease) in residential cable revenue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Increase in residential mobile subscription revenue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residential mobile non-subscription revenue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4"/>
        </w:trPr>
        <w:tc>
          <w:tcPr>
            <w:tcW w:w="8440" w:type="dxa"/>
            <w:vAlign w:val="bottom"/>
          </w:tcPr>
          <w:p>
            <w:pPr>
              <w:ind w:left="380"/>
              <w:spacing w:after="0"/>
              <w:rPr>
                <w:sz w:val="20"/>
                <w:szCs w:val="20"/>
                <w:color w:val="auto"/>
              </w:rPr>
            </w:pPr>
            <w:r>
              <w:rPr>
                <w:rFonts w:ascii="Arial" w:cs="Arial" w:eastAsia="Arial" w:hAnsi="Arial"/>
                <w:sz w:val="18"/>
                <w:szCs w:val="18"/>
                <w:color w:val="auto"/>
              </w:rPr>
              <w:t>Total organic increase (decrease) in residential revenue</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acquisitions and dispositions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416.1</w:t>
            </w:r>
          </w:p>
        </w:tc>
      </w:tr>
      <w:tr>
        <w:trPr>
          <w:trHeight w:val="244"/>
        </w:trPr>
        <w:tc>
          <w:tcPr>
            <w:tcW w:w="8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increase in residential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On an organic basis, our consolidated residential cable subscription revenue remained relatively unchanged during the three months ended June 30, 2021 and decreased $40.7 million or 1.2% during the six months ended June 30, 2021 as compared to the corresponding periods in 2020, primarily attributable to the net effect of (i) decreases in </w:t>
      </w:r>
      <w:r>
        <w:rPr>
          <w:rFonts w:ascii="Arial" w:cs="Arial" w:eastAsia="Arial" w:hAnsi="Arial"/>
          <w:sz w:val="18"/>
          <w:szCs w:val="18"/>
          <w:color w:val="2C2C2C"/>
        </w:rPr>
        <w:t>Switzerland and (ii) changes in the U.K.</w:t>
      </w:r>
    </w:p>
    <w:p>
      <w:pPr>
        <w:spacing w:after="0" w:line="21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 xml:space="preserve">On an organic basis, our consolidated residential cable non-subscription revenue increased $14.8 million or 52.9% and $15.9 million or 20.0% during the three and six months ended June 30, 2021, respectively, as compared to the corresponding periods in 2020, primarily due to increases in the </w:t>
      </w:r>
      <w:r>
        <w:rPr>
          <w:rFonts w:ascii="Arial" w:cs="Arial" w:eastAsia="Arial" w:hAnsi="Arial"/>
          <w:sz w:val="15"/>
          <w:szCs w:val="15"/>
          <w:color w:val="2C2C2C"/>
        </w:rPr>
        <w:t>U.K.</w:t>
      </w:r>
    </w:p>
    <w:p>
      <w:pPr>
        <w:spacing w:after="0" w:line="13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On an organic basis, our consolidated residential mobile subscription revenue increased $17.6 million or 4.6% and $17.8 million or 2.2% during the three and six months ended June 30, 2021, respectively, as compared to the corresponding periods in 2020, primarily attributable to increases in Switzerland.</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On an organic basis, our consolidated residential mobile non-subscription revenue increased (decreased) ($17.2 million) or (8.7%) and $2.1 million or 0.5% during the three and six months ended June 30, 2021, respectively, as compared to the corresponding periods in 2020, primarily due to the net effect of (i) increases </w:t>
      </w:r>
      <w:r>
        <w:rPr>
          <w:rFonts w:ascii="Arial" w:cs="Arial" w:eastAsia="Arial" w:hAnsi="Arial"/>
          <w:sz w:val="18"/>
          <w:szCs w:val="18"/>
          <w:color w:val="2C2C2C"/>
        </w:rPr>
        <w:t>in the U.K. and (ii)</w:t>
      </w:r>
      <w:r>
        <w:rPr>
          <w:rFonts w:ascii="Arial" w:cs="Arial" w:eastAsia="Arial" w:hAnsi="Arial"/>
          <w:sz w:val="18"/>
          <w:szCs w:val="18"/>
          <w:color w:val="auto"/>
        </w:rPr>
        <w:t xml:space="preserve"> decreases in </w:t>
      </w:r>
      <w:r>
        <w:rPr>
          <w:rFonts w:ascii="Arial" w:cs="Arial" w:eastAsia="Arial" w:hAnsi="Arial"/>
          <w:sz w:val="18"/>
          <w:szCs w:val="18"/>
          <w:color w:val="2C2C2C"/>
        </w:rPr>
        <w:t>Switzerland and Belgium.</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B2B revenue. </w:t>
      </w:r>
      <w:r>
        <w:rPr>
          <w:rFonts w:ascii="Arial" w:cs="Arial" w:eastAsia="Arial" w:hAnsi="Arial"/>
          <w:sz w:val="18"/>
          <w:szCs w:val="18"/>
          <w:color w:val="auto"/>
        </w:rPr>
        <w:t>On an organic basis, our consolidated B2B subscription revenue increased $7.6 million or 5.1% and $18.8 million or 6.0%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six months ended June 30, 2021, respectively, as compared to the corresponding periods in 2020, primarily attributable to increases in </w:t>
      </w:r>
      <w:r>
        <w:rPr>
          <w:rFonts w:ascii="Arial" w:cs="Arial" w:eastAsia="Arial" w:hAnsi="Arial"/>
          <w:sz w:val="18"/>
          <w:szCs w:val="18"/>
          <w:color w:val="2C2C2C"/>
        </w:rPr>
        <w:t>the U.K</w:t>
      </w:r>
      <w:r>
        <w:rPr>
          <w:rFonts w:ascii="Arial" w:cs="Arial" w:eastAsia="Arial" w:hAnsi="Arial"/>
          <w:sz w:val="18"/>
          <w:szCs w:val="18"/>
          <w:color w:val="auto"/>
        </w:rPr>
        <w:t>. and Belgium.</w:t>
      </w:r>
    </w:p>
    <w:p>
      <w:pPr>
        <w:spacing w:after="0" w:line="21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 xml:space="preserve">On an organic basis, our consolidated B2B non-subscription revenue increased $26.5 million or 8.2% and $31.5 million or 4.4% during the three and six months ended June 30, 2021, respectively, as compared to the corresponding periods in 2020, primarily due to increases in the </w:t>
      </w:r>
      <w:r>
        <w:rPr>
          <w:rFonts w:ascii="Arial" w:cs="Arial" w:eastAsia="Arial" w:hAnsi="Arial"/>
          <w:sz w:val="15"/>
          <w:szCs w:val="15"/>
          <w:color w:val="2C2C2C"/>
        </w:rPr>
        <w:t>U.K.</w:t>
      </w:r>
      <w:r>
        <w:rPr>
          <w:rFonts w:ascii="Arial" w:cs="Arial" w:eastAsia="Arial" w:hAnsi="Arial"/>
          <w:sz w:val="15"/>
          <w:szCs w:val="15"/>
          <w:color w:val="auto"/>
        </w:rPr>
        <w:t>, Switzerland and Belgium.</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5" w:name="page66"/>
    <w:bookmarkEnd w:id="65"/>
    <w:p>
      <w:pPr>
        <w:jc w:val="both"/>
        <w:ind w:firstLine="318"/>
        <w:spacing w:after="0" w:line="277" w:lineRule="auto"/>
        <w:rPr>
          <w:sz w:val="20"/>
          <w:szCs w:val="20"/>
          <w:color w:val="auto"/>
        </w:rPr>
      </w:pPr>
      <w:r>
        <w:rPr>
          <w:rFonts w:ascii="Arial" w:cs="Arial" w:eastAsia="Arial" w:hAnsi="Arial"/>
          <w:sz w:val="17"/>
          <w:szCs w:val="17"/>
          <w:i w:val="1"/>
          <w:iCs w:val="1"/>
          <w:color w:val="auto"/>
        </w:rPr>
        <w:t xml:space="preserve">Other revenue. </w:t>
      </w:r>
      <w:r>
        <w:rPr>
          <w:rFonts w:ascii="Arial" w:cs="Arial" w:eastAsia="Arial" w:hAnsi="Arial"/>
          <w:sz w:val="17"/>
          <w:szCs w:val="17"/>
          <w:color w:val="auto"/>
        </w:rPr>
        <w:t>On an organic basis, our consolidated other revenue increased $39.5 million or 29.4% and $38.3 million or 13.2% during the three and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2021, respectively, as compared to the corresponding periods in 2020, primarily attributable to (i) increases in Central and Corporate related to revenue earned from the JV Services and (ii) higher broadcasting revenue in Belgium and Ireland.</w:t>
      </w:r>
    </w:p>
    <w:p>
      <w:pPr>
        <w:spacing w:after="0" w:line="1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For additional information concerning the changes in our residential, B2B and other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Programming and other direct costs of services</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Programming and other direct costs of services include programming and copyright costs, interconnect and access costs, costs of mobile handsets and other devices and other direct costs related to our operations.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programming and other direct costs of services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8"/>
              </w:rPr>
              <w:t>Three months 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Increase (decrease)</w:t>
            </w: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center"/>
              <w:ind w:left="454"/>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ind w:left="20"/>
              <w:spacing w:after="0"/>
              <w:rPr>
                <w:sz w:val="20"/>
                <w:szCs w:val="20"/>
                <w:color w:val="auto"/>
              </w:rPr>
            </w:pPr>
            <w:r>
              <w:rPr>
                <w:rFonts w:ascii="Arial" w:cs="Arial" w:eastAsia="Arial" w:hAnsi="Arial"/>
                <w:sz w:val="16"/>
                <w:szCs w:val="16"/>
                <w:b w:val="1"/>
                <w:bCs w:val="1"/>
                <w:color w:val="auto"/>
                <w:w w:val="95"/>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Central and Eastern Europe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(3.6)</w:t>
            </w:r>
          </w:p>
        </w:tc>
        <w:tc>
          <w:tcPr>
            <w:tcW w:w="0" w:type="dxa"/>
            <w:vAlign w:val="bottom"/>
          </w:tcPr>
          <w:p>
            <w:pPr>
              <w:spacing w:after="0"/>
              <w:rPr>
                <w:sz w:val="1"/>
                <w:szCs w:val="1"/>
                <w:color w:val="auto"/>
              </w:rPr>
            </w:pP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Central and Corporate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100" w:type="dxa"/>
            <w:vAlign w:val="bottom"/>
          </w:tcPr>
          <w:p>
            <w:pPr>
              <w:jc w:val="center"/>
              <w:ind w:left="633"/>
              <w:spacing w:after="0"/>
              <w:rPr>
                <w:sz w:val="20"/>
                <w:szCs w:val="20"/>
                <w:color w:val="auto"/>
              </w:rPr>
            </w:pPr>
            <w:r>
              <w:rPr>
                <w:rFonts w:ascii="Arial" w:cs="Arial" w:eastAsia="Arial" w:hAnsi="Arial"/>
                <w:sz w:val="18"/>
                <w:szCs w:val="18"/>
                <w:color w:val="auto"/>
                <w:w w:val="91"/>
              </w:rPr>
              <w:t>(9.4)</w:t>
            </w: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18"/>
        </w:trPr>
        <w:tc>
          <w:tcPr>
            <w:tcW w:w="4140" w:type="dxa"/>
            <w:vAlign w:val="bottom"/>
            <w:gridSpan w:val="2"/>
          </w:tcPr>
          <w:p>
            <w:pPr>
              <w:ind w:left="140"/>
              <w:spacing w:after="0" w:line="204"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873.0</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7"/>
              </w:rPr>
              <w:t>Six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vMerge w:val="restart"/>
          </w:tcPr>
          <w:p>
            <w:pPr>
              <w:ind w:left="400"/>
              <w:spacing w:after="0"/>
              <w:rPr>
                <w:sz w:val="20"/>
                <w:szCs w:val="20"/>
                <w:color w:val="auto"/>
              </w:rPr>
            </w:pPr>
            <w:r>
              <w:rPr>
                <w:rFonts w:ascii="Arial" w:cs="Arial" w:eastAsia="Arial" w:hAnsi="Arial"/>
                <w:sz w:val="16"/>
                <w:szCs w:val="16"/>
                <w:b w:val="1"/>
                <w:bCs w:val="1"/>
                <w:color w:val="auto"/>
              </w:rPr>
              <w:t>Increase (decrease)</w:t>
            </w:r>
          </w:p>
        </w:tc>
        <w:tc>
          <w:tcPr>
            <w:tcW w:w="160" w:type="dxa"/>
            <w:vAlign w:val="bottom"/>
          </w:tcPr>
          <w:p>
            <w:pPr>
              <w:spacing w:after="0"/>
              <w:rPr>
                <w:sz w:val="24"/>
                <w:szCs w:val="24"/>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center"/>
              <w:ind w:left="454"/>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ind w:left="20"/>
              <w:spacing w:after="0"/>
              <w:rPr>
                <w:sz w:val="20"/>
                <w:szCs w:val="20"/>
                <w:color w:val="auto"/>
              </w:rPr>
            </w:pPr>
            <w:r>
              <w:rPr>
                <w:rFonts w:ascii="Arial" w:cs="Arial" w:eastAsia="Arial" w:hAnsi="Arial"/>
                <w:sz w:val="16"/>
                <w:szCs w:val="16"/>
                <w:b w:val="1"/>
                <w:bCs w:val="1"/>
                <w:color w:val="auto"/>
                <w:w w:val="95"/>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100" w:type="dxa"/>
            <w:vAlign w:val="bottom"/>
          </w:tcPr>
          <w:p>
            <w:pPr>
              <w:jc w:val="center"/>
              <w:ind w:left="633"/>
              <w:spacing w:after="0"/>
              <w:rPr>
                <w:sz w:val="20"/>
                <w:szCs w:val="20"/>
                <w:color w:val="auto"/>
              </w:rPr>
            </w:pPr>
            <w:r>
              <w:rPr>
                <w:rFonts w:ascii="Arial" w:cs="Arial" w:eastAsia="Arial" w:hAnsi="Arial"/>
                <w:sz w:val="18"/>
                <w:szCs w:val="18"/>
                <w:color w:val="auto"/>
                <w:w w:val="91"/>
              </w:rPr>
              <w:t>(3.8)</w:t>
            </w: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(1.2)</w:t>
            </w:r>
          </w:p>
        </w:tc>
        <w:tc>
          <w:tcPr>
            <w:tcW w:w="0" w:type="dxa"/>
            <w:vAlign w:val="bottom"/>
          </w:tcPr>
          <w:p>
            <w:pPr>
              <w:spacing w:after="0"/>
              <w:rPr>
                <w:sz w:val="1"/>
                <w:szCs w:val="1"/>
                <w:color w:val="auto"/>
              </w:rPr>
            </w:pP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Central and Eastern Europe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Central and Corporate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100" w:type="dxa"/>
            <w:vAlign w:val="bottom"/>
          </w:tcPr>
          <w:p>
            <w:pPr>
              <w:jc w:val="center"/>
              <w:ind w:left="633"/>
              <w:spacing w:after="0"/>
              <w:rPr>
                <w:sz w:val="20"/>
                <w:szCs w:val="20"/>
                <w:color w:val="auto"/>
              </w:rPr>
            </w:pPr>
            <w:r>
              <w:rPr>
                <w:rFonts w:ascii="Arial" w:cs="Arial" w:eastAsia="Arial" w:hAnsi="Arial"/>
                <w:sz w:val="18"/>
                <w:szCs w:val="18"/>
                <w:color w:val="auto"/>
                <w:w w:val="91"/>
              </w:rPr>
              <w:t>(1.2)</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9"/>
              </w:rPr>
              <w:t>N.M.</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18"/>
        </w:trPr>
        <w:tc>
          <w:tcPr>
            <w:tcW w:w="4120" w:type="dxa"/>
            <w:vAlign w:val="bottom"/>
          </w:tcPr>
          <w:p>
            <w:pPr>
              <w:ind w:left="140"/>
              <w:spacing w:after="0" w:line="204" w:lineRule="exact"/>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1,983.6</w:t>
            </w:r>
          </w:p>
        </w:tc>
        <w:tc>
          <w:tcPr>
            <w:tcW w:w="12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1,570.1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413.5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Represents the programming and other direct costs of the U.K. JV Entities through the June 1, 2021 closing of the U.K. JV Transaction.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6" w:name="page67"/>
    <w:bookmarkEnd w:id="66"/>
    <w:p>
      <w:pPr>
        <w:jc w:val="both"/>
        <w:ind w:firstLine="318"/>
        <w:spacing w:after="0" w:line="250" w:lineRule="auto"/>
        <w:rPr>
          <w:sz w:val="20"/>
          <w:szCs w:val="20"/>
          <w:color w:val="auto"/>
        </w:rPr>
      </w:pPr>
      <w:r>
        <w:rPr>
          <w:rFonts w:ascii="Arial" w:cs="Arial" w:eastAsia="Arial" w:hAnsi="Arial"/>
          <w:sz w:val="18"/>
          <w:szCs w:val="18"/>
          <w:color w:val="auto"/>
        </w:rPr>
        <w:t>Our programming and other direct costs of services increased $158.0 million or 22.1% and $413.5 million or 26.3% during the three and six months ended June 30, 2021, respectively, as compared to the corresponding periods in 2020. These increases include increases of $189.8 million and $379.3 million, respectively, attributable to the impact of the Sunrise Acquisition and decreases of $148.3 million and $150.7 million, respectively, attributable to the impact of the U.K. JV Transaction. On an organic basis, our programming and other direct costs of services increased $37.7 million or 5.0% and $19.6 million or 1.1%, respectively. These increases include the following factors:</w:t>
      </w:r>
    </w:p>
    <w:p>
      <w:pPr>
        <w:spacing w:after="0" w:line="220" w:lineRule="exact"/>
        <w:rPr>
          <w:sz w:val="20"/>
          <w:szCs w:val="20"/>
          <w:color w:val="auto"/>
        </w:rPr>
      </w:pPr>
    </w:p>
    <w:p>
      <w:pPr>
        <w:jc w:val="both"/>
        <w:ind w:left="640" w:hanging="316"/>
        <w:spacing w:after="0" w:line="264" w:lineRule="auto"/>
        <w:tabs>
          <w:tab w:leader="none" w:pos="635"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Increases in programming and copyright costs of $45.8 million or 12.8% and $38.0 million or 4.6%, respectively, primarily due to increases in the U.K., Belgium, Ireland and Switzerland attributable to higher costs for certain premium and/or basic content. The higher costs in the U.K. include increases of $12.5 million and $14.1 million, respectively, related to the net impact of credits received during the second quarters of 2020 and 2021 in connection with (i) the pausing or cancellation of certain sporting events due to the COVID-19 pandemic during 2020, which offset the aforementioned revenue increases, and (ii) the loss of certain content. In Belgium and Switzerland, the higher costs for the three-month comparison include increases of $10.6 million and $4.8 million, respectively, associated with the impact of the acceleration of certain costs for sports rights during the second quarter of 2020 as a result of the COVID-19 pandemic. In this respect, certain sports leagues in Belgium and Switzerland were cancelled during 2020. Accordingly, the prepaid amounts for the associated sports rights that were previously scheduled to be expensed during the second quarter of 2020 were recognized during the first quarter of 2020;</w:t>
      </w:r>
    </w:p>
    <w:p>
      <w:pPr>
        <w:spacing w:after="0" w:line="211" w:lineRule="exact"/>
        <w:rPr>
          <w:rFonts w:ascii="Arial" w:cs="Arial" w:eastAsia="Arial" w:hAnsi="Arial"/>
          <w:sz w:val="17"/>
          <w:szCs w:val="17"/>
          <w:color w:val="auto"/>
        </w:rPr>
      </w:pPr>
    </w:p>
    <w:p>
      <w:pPr>
        <w:jc w:val="both"/>
        <w:ind w:left="640" w:hanging="316"/>
        <w:spacing w:after="0" w:line="268" w:lineRule="auto"/>
        <w:tabs>
          <w:tab w:leader="none" w:pos="635"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 increase (decrease) in interconnect and access costs of $3.8 million or 2.0% and ($29.9 million) or (7.4%), respectively, primarily due to the net effect of (i) lower interconnect and mobile roaming costs, primarily due to decreases in Belgium, the U.K. and Switzerland, (ii) higher leased tower costs in Switzerland and (iii) lower MVNO costs, as decreases in the U.K. were only partially offset by increases in Ireland. Across all of our markets, interconnect and mobile roaming costs have been impacted by changes in usage per subscriber associated with factors such as lower travel and the use of WiFi alternatives during the COVID-19 pandemic; and</w:t>
      </w:r>
    </w:p>
    <w:p>
      <w:pPr>
        <w:spacing w:after="0" w:line="207"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increase (decrease) in mobile handset and other device costs of ($14.1 million) or (18.6%) and $1.4 million or 0.9%, respectively, primarily due to the net effect of (i) higher average costs per handset sold in the U.K. and (ii) lower sales volumes, as decreases in Switzerland were only partially offset by increases in the U.K.</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7" w:name="page68"/>
    <w:bookmarkEnd w:id="67"/>
    <w:p>
      <w:pPr>
        <w:ind w:left="160"/>
        <w:spacing w:after="0"/>
        <w:rPr>
          <w:sz w:val="20"/>
          <w:szCs w:val="20"/>
          <w:color w:val="auto"/>
        </w:rPr>
      </w:pPr>
      <w:r>
        <w:rPr>
          <w:rFonts w:ascii="Arial" w:cs="Arial" w:eastAsia="Arial" w:hAnsi="Arial"/>
          <w:sz w:val="18"/>
          <w:szCs w:val="18"/>
          <w:i w:val="1"/>
          <w:iCs w:val="1"/>
          <w:color w:val="auto"/>
        </w:rPr>
        <w:t>Other operating expenses</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ind w:left="320"/>
        <w:spacing w:after="0"/>
        <w:rPr>
          <w:sz w:val="20"/>
          <w:szCs w:val="20"/>
          <w:color w:val="auto"/>
        </w:rPr>
      </w:pPr>
      <w:r>
        <w:rPr>
          <w:rFonts w:ascii="Arial" w:cs="Arial" w:eastAsia="Arial" w:hAnsi="Arial"/>
          <w:sz w:val="18"/>
          <w:szCs w:val="18"/>
          <w:color w:val="auto"/>
        </w:rPr>
        <w:t>The details of our other operating expenses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7"/>
              </w:rPr>
              <w:t>Three months ended</w:t>
            </w:r>
          </w:p>
        </w:tc>
        <w:tc>
          <w:tcPr>
            <w:tcW w:w="120" w:type="dxa"/>
            <w:vAlign w:val="bottom"/>
          </w:tcPr>
          <w:p>
            <w:pPr>
              <w:spacing w:after="0"/>
              <w:rPr>
                <w:sz w:val="16"/>
                <w:szCs w:val="16"/>
                <w:color w:val="auto"/>
              </w:rPr>
            </w:pPr>
          </w:p>
        </w:tc>
        <w:tc>
          <w:tcPr>
            <w:tcW w:w="17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w w:val="86"/>
              </w:rPr>
              <w:t>Increase (decrease)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5"/>
          </w:tcPr>
          <w:p>
            <w:pPr>
              <w:jc w:val="right"/>
              <w:ind w:right="32"/>
              <w:spacing w:after="0"/>
              <w:rPr>
                <w:sz w:val="20"/>
                <w:szCs w:val="20"/>
                <w:color w:val="auto"/>
              </w:rPr>
            </w:pPr>
            <w:r>
              <w:rPr>
                <w:rFonts w:ascii="Arial" w:cs="Arial" w:eastAsia="Arial" w:hAnsi="Arial"/>
                <w:sz w:val="16"/>
                <w:szCs w:val="16"/>
                <w:b w:val="1"/>
                <w:bCs w:val="1"/>
                <w:color w:val="auto"/>
                <w:w w:val="85"/>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Eastern Europe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Central and Corporate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3"/>
        </w:trPr>
        <w:tc>
          <w:tcPr>
            <w:tcW w:w="4160" w:type="dxa"/>
            <w:vAlign w:val="bottom"/>
          </w:tcPr>
          <w:p>
            <w:pPr>
              <w:ind w:left="140"/>
              <w:spacing w:after="0" w:line="154" w:lineRule="exact"/>
              <w:rPr>
                <w:sz w:val="20"/>
                <w:szCs w:val="20"/>
                <w:color w:val="auto"/>
              </w:rPr>
            </w:pPr>
            <w:r>
              <w:rPr>
                <w:rFonts w:ascii="Arial" w:cs="Arial" w:eastAsia="Arial" w:hAnsi="Arial"/>
                <w:sz w:val="17"/>
                <w:szCs w:val="17"/>
                <w:color w:val="auto"/>
                <w:w w:val="97"/>
              </w:rPr>
              <w:t>Total other operating expenses excluding share-based</w:t>
            </w: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399.5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11.6</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8"/>
        </w:trPr>
        <w:tc>
          <w:tcPr>
            <w:tcW w:w="4160" w:type="dxa"/>
            <w:vAlign w:val="bottom"/>
          </w:tcPr>
          <w:p>
            <w:pPr>
              <w:ind w:left="300"/>
              <w:spacing w:after="0" w:line="198" w:lineRule="exact"/>
              <w:rPr>
                <w:sz w:val="20"/>
                <w:szCs w:val="20"/>
                <w:color w:val="auto"/>
              </w:rPr>
            </w:pPr>
            <w:r>
              <w:rPr>
                <w:rFonts w:ascii="Arial" w:cs="Arial" w:eastAsia="Arial" w:hAnsi="Arial"/>
                <w:sz w:val="18"/>
                <w:szCs w:val="18"/>
                <w:color w:val="auto"/>
              </w:rPr>
              <w:t>compensation expense</w:t>
            </w: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84"/>
              </w:rPr>
              <w:t>375.0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6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7"/>
              </w:rPr>
              <w:t>Six months ended</w:t>
            </w:r>
          </w:p>
        </w:tc>
        <w:tc>
          <w:tcPr>
            <w:tcW w:w="120" w:type="dxa"/>
            <w:vAlign w:val="bottom"/>
          </w:tcPr>
          <w:p>
            <w:pPr>
              <w:spacing w:after="0"/>
              <w:rPr>
                <w:sz w:val="24"/>
                <w:szCs w:val="24"/>
                <w:color w:val="auto"/>
              </w:rPr>
            </w:pPr>
          </w:p>
        </w:tc>
        <w:tc>
          <w:tcPr>
            <w:tcW w:w="17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w w:val="86"/>
              </w:rPr>
              <w:t>Increase (decrease)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5"/>
          </w:tcPr>
          <w:p>
            <w:pPr>
              <w:jc w:val="right"/>
              <w:ind w:right="32"/>
              <w:spacing w:after="0"/>
              <w:rPr>
                <w:sz w:val="20"/>
                <w:szCs w:val="20"/>
                <w:color w:val="auto"/>
              </w:rPr>
            </w:pPr>
            <w:r>
              <w:rPr>
                <w:rFonts w:ascii="Arial" w:cs="Arial" w:eastAsia="Arial" w:hAnsi="Arial"/>
                <w:sz w:val="16"/>
                <w:szCs w:val="16"/>
                <w:b w:val="1"/>
                <w:bCs w:val="1"/>
                <w:color w:val="auto"/>
                <w:w w:val="85"/>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Eastern Europe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Central and Corporate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3"/>
        </w:trPr>
        <w:tc>
          <w:tcPr>
            <w:tcW w:w="4160" w:type="dxa"/>
            <w:vAlign w:val="bottom"/>
          </w:tcPr>
          <w:p>
            <w:pPr>
              <w:ind w:left="140"/>
              <w:spacing w:after="0" w:line="154" w:lineRule="exact"/>
              <w:rPr>
                <w:sz w:val="20"/>
                <w:szCs w:val="20"/>
                <w:color w:val="auto"/>
              </w:rPr>
            </w:pPr>
            <w:r>
              <w:rPr>
                <w:rFonts w:ascii="Arial" w:cs="Arial" w:eastAsia="Arial" w:hAnsi="Arial"/>
                <w:sz w:val="17"/>
                <w:szCs w:val="17"/>
                <w:color w:val="auto"/>
                <w:w w:val="97"/>
              </w:rPr>
              <w:t>Total other operating expenses excluding share-based</w:t>
            </w: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968.7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818.9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w w:val="88"/>
              </w:rPr>
              <w:t>149.8</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18.3</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8"/>
        </w:trPr>
        <w:tc>
          <w:tcPr>
            <w:tcW w:w="4160" w:type="dxa"/>
            <w:vAlign w:val="bottom"/>
          </w:tcPr>
          <w:p>
            <w:pPr>
              <w:ind w:left="300"/>
              <w:spacing w:after="0" w:line="198" w:lineRule="exact"/>
              <w:rPr>
                <w:sz w:val="20"/>
                <w:szCs w:val="20"/>
                <w:color w:val="auto"/>
              </w:rPr>
            </w:pPr>
            <w:r>
              <w:rPr>
                <w:rFonts w:ascii="Arial" w:cs="Arial" w:eastAsia="Arial" w:hAnsi="Arial"/>
                <w:sz w:val="18"/>
                <w:szCs w:val="18"/>
                <w:color w:val="auto"/>
              </w:rPr>
              <w:t>compensation expense</w:t>
            </w: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w w:val="84"/>
              </w:rPr>
              <w:t>282.6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6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156.3</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the other operating expenses of the U.K. JV Entities through the June 1, 2021 closing of the U.K. JV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8" w:name="page69"/>
    <w:bookmarkEnd w:id="68"/>
    <w:p>
      <w:pPr>
        <w:jc w:val="both"/>
        <w:ind w:firstLine="318"/>
        <w:spacing w:after="0" w:line="268" w:lineRule="auto"/>
        <w:rPr>
          <w:sz w:val="20"/>
          <w:szCs w:val="20"/>
          <w:color w:val="auto"/>
        </w:rPr>
      </w:pPr>
      <w:r>
        <w:rPr>
          <w:rFonts w:ascii="Arial" w:cs="Arial" w:eastAsia="Arial" w:hAnsi="Arial"/>
          <w:sz w:val="17"/>
          <w:szCs w:val="17"/>
          <w:color w:val="auto"/>
        </w:rPr>
        <w:t>Our other operating expenses (exclusive of share-based compensation expense) increased $46.3 million or 11.6% and $149.8 million or 18.3% during the three and six months ended June 30, 2021, respectively, as compared to the corresponding periods in 2020. These increases include increases of $53.3 million and $106.2 million, respectively, attributable to the impact of the Sunrise Acquisition and decreases of $64.7 million and $65.7 million, respectively, attributable to the impact of the U.K. JV Transaction. On an organic basis, our other operating expenses increased $12.5 million or 3.2% and $27.8 million or 3.2%, respectively. These increases include the following factors:</w:t>
      </w:r>
    </w:p>
    <w:p>
      <w:pPr>
        <w:spacing w:after="0" w:line="207" w:lineRule="exact"/>
        <w:rPr>
          <w:sz w:val="20"/>
          <w:szCs w:val="20"/>
          <w:color w:val="auto"/>
        </w:rPr>
      </w:pPr>
    </w:p>
    <w:p>
      <w:pPr>
        <w:jc w:val="both"/>
        <w:ind w:left="640" w:hanging="316"/>
        <w:spacing w:after="0" w:line="250" w:lineRule="auto"/>
        <w:tabs>
          <w:tab w:leader="none" w:pos="6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Increases in personnel costs of $2.9 million or 2.3% and $13.8 million or 5.4%, respectively, primarily due to the net effect of (i) higher staffing levels, primarily due to increases in Central and Corporate, Switzerland, U.K. and Belgium, (ii) lower costs due to higher capitalizable activities in the U.K. and (iii) lower average costs per employee for the three-month comparison and higher average costs per employee for the six-month comparison resulting from decreases in Central and Corporate and a decrease for the three-month comparison and an increase for the six-month comparison in the U.K.; and</w:t>
      </w:r>
    </w:p>
    <w:p>
      <w:pPr>
        <w:spacing w:after="0" w:line="220" w:lineRule="exact"/>
        <w:rPr>
          <w:rFonts w:ascii="Arial" w:cs="Arial" w:eastAsia="Arial" w:hAnsi="Arial"/>
          <w:sz w:val="18"/>
          <w:szCs w:val="18"/>
          <w:color w:val="auto"/>
        </w:rPr>
      </w:pPr>
    </w:p>
    <w:p>
      <w:pPr>
        <w:jc w:val="both"/>
        <w:ind w:left="640" w:hanging="316"/>
        <w:spacing w:after="0" w:line="330" w:lineRule="auto"/>
        <w:tabs>
          <w:tab w:leader="none" w:pos="635" w:val="left"/>
        </w:tabs>
        <w:numPr>
          <w:ilvl w:val="0"/>
          <w:numId w:val="65"/>
        </w:numPr>
        <w:rPr>
          <w:rFonts w:ascii="Arial" w:cs="Arial" w:eastAsia="Arial" w:hAnsi="Arial"/>
          <w:sz w:val="15"/>
          <w:szCs w:val="15"/>
          <w:color w:val="auto"/>
        </w:rPr>
      </w:pPr>
      <w:r>
        <w:rPr>
          <w:rFonts w:ascii="Arial" w:cs="Arial" w:eastAsia="Arial" w:hAnsi="Arial"/>
          <w:sz w:val="15"/>
          <w:szCs w:val="15"/>
          <w:color w:val="auto"/>
        </w:rPr>
        <w:t>Increases in customer service costs of $9.1 million or 19.4% and $10.7 million or 9.5%, respectively, primarily due to higher call center costs in the U.K. and Belgium. The higher call center costs in the U.K. are primarily due to the impact of lockdowns during the second quarter of 2020 associated with the COVID-19 pandemic, which prevented certain outsourced contract services from being performed during such period.</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SG&amp;A expenses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SG&amp;A expenses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17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w w:val="86"/>
              </w:rPr>
              <w:t>Increase (decrease)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3"/>
            <w:vMerge w:val="restart"/>
          </w:tcPr>
          <w:p>
            <w:pPr>
              <w:jc w:val="right"/>
              <w:ind w:right="493"/>
              <w:spacing w:after="0"/>
              <w:rPr>
                <w:sz w:val="20"/>
                <w:szCs w:val="20"/>
                <w:color w:val="auto"/>
              </w:rPr>
            </w:pPr>
            <w:r>
              <w:rPr>
                <w:rFonts w:ascii="Arial" w:cs="Arial" w:eastAsia="Arial" w:hAnsi="Arial"/>
                <w:sz w:val="16"/>
                <w:szCs w:val="16"/>
                <w:b w:val="1"/>
                <w:bCs w:val="1"/>
                <w:color w:val="auto"/>
              </w:rPr>
              <w:t>Organic increase</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5"/>
          </w:tcPr>
          <w:p>
            <w:pPr>
              <w:jc w:val="right"/>
              <w:ind w:right="32"/>
              <w:spacing w:after="0"/>
              <w:rPr>
                <w:sz w:val="20"/>
                <w:szCs w:val="20"/>
                <w:color w:val="auto"/>
              </w:rPr>
            </w:pPr>
            <w:r>
              <w:rPr>
                <w:rFonts w:ascii="Arial" w:cs="Arial" w:eastAsia="Arial" w:hAnsi="Arial"/>
                <w:sz w:val="16"/>
                <w:szCs w:val="16"/>
                <w:b w:val="1"/>
                <w:bCs w:val="1"/>
                <w:color w:val="auto"/>
                <w:w w:val="85"/>
              </w:rPr>
              <w:t>in millions, except percentages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108.6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Eastern Europe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Central and Corporate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3"/>
        </w:trPr>
        <w:tc>
          <w:tcPr>
            <w:tcW w:w="4160" w:type="dxa"/>
            <w:vAlign w:val="bottom"/>
          </w:tcPr>
          <w:p>
            <w:pPr>
              <w:ind w:left="140"/>
              <w:spacing w:after="0" w:line="154" w:lineRule="exact"/>
              <w:rPr>
                <w:sz w:val="20"/>
                <w:szCs w:val="20"/>
                <w:color w:val="auto"/>
              </w:rPr>
            </w:pPr>
            <w:r>
              <w:rPr>
                <w:rFonts w:ascii="Arial" w:cs="Arial" w:eastAsia="Arial" w:hAnsi="Arial"/>
                <w:sz w:val="17"/>
                <w:szCs w:val="17"/>
                <w:color w:val="auto"/>
              </w:rPr>
              <w:t>Total SG&amp;A expenses excluding share-based</w:t>
            </w: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534.0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419.9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w w:val="88"/>
              </w:rPr>
              <w:t>114.1</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27.2</w:t>
            </w:r>
          </w:p>
        </w:tc>
        <w:tc>
          <w:tcPr>
            <w:tcW w:w="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8"/>
        </w:trPr>
        <w:tc>
          <w:tcPr>
            <w:tcW w:w="4160" w:type="dxa"/>
            <w:vAlign w:val="bottom"/>
          </w:tcPr>
          <w:p>
            <w:pPr>
              <w:ind w:left="300"/>
              <w:spacing w:after="0" w:line="198" w:lineRule="exact"/>
              <w:rPr>
                <w:sz w:val="20"/>
                <w:szCs w:val="20"/>
                <w:color w:val="auto"/>
              </w:rPr>
            </w:pPr>
            <w:r>
              <w:rPr>
                <w:rFonts w:ascii="Arial" w:cs="Arial" w:eastAsia="Arial" w:hAnsi="Arial"/>
                <w:sz w:val="18"/>
                <w:szCs w:val="18"/>
                <w:color w:val="auto"/>
              </w:rPr>
              <w:t>compensation expense</w:t>
            </w: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6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124.1</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ind w:left="300"/>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6"/>
                <w:szCs w:val="16"/>
                <w:color w:val="auto"/>
              </w:rPr>
            </w:pPr>
          </w:p>
        </w:tc>
        <w:tc>
          <w:tcPr>
            <w:tcW w:w="1440" w:type="dxa"/>
            <w:vAlign w:val="bottom"/>
            <w:gridSpan w:val="3"/>
            <w:vMerge w:val="restart"/>
          </w:tcPr>
          <w:p>
            <w:pPr>
              <w:ind w:left="760"/>
              <w:spacing w:after="0"/>
              <w:rPr>
                <w:sz w:val="20"/>
                <w:szCs w:val="20"/>
                <w:color w:val="auto"/>
              </w:rPr>
            </w:pPr>
            <w:r>
              <w:rPr>
                <w:rFonts w:ascii="Arial" w:cs="Arial" w:eastAsia="Arial" w:hAnsi="Arial"/>
                <w:sz w:val="16"/>
                <w:szCs w:val="16"/>
                <w:b w:val="1"/>
                <w:bCs w:val="1"/>
                <w:color w:val="auto"/>
              </w:rPr>
              <w:t>Increase</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4"/>
          </w:tcPr>
          <w:p>
            <w:pPr>
              <w:jc w:val="right"/>
              <w:ind w:right="32"/>
              <w:spacing w:after="0"/>
              <w:rPr>
                <w:sz w:val="20"/>
                <w:szCs w:val="20"/>
                <w:color w:val="auto"/>
              </w:rPr>
            </w:pPr>
            <w:r>
              <w:rPr>
                <w:rFonts w:ascii="Arial" w:cs="Arial" w:eastAsia="Arial" w:hAnsi="Arial"/>
                <w:sz w:val="16"/>
                <w:szCs w:val="16"/>
                <w:b w:val="1"/>
                <w:bCs w:val="1"/>
                <w:color w:val="auto"/>
                <w:w w:val="86"/>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73"/>
              <w:spacing w:after="0"/>
              <w:rPr>
                <w:sz w:val="20"/>
                <w:szCs w:val="20"/>
                <w:color w:val="auto"/>
              </w:rPr>
            </w:pPr>
            <w:r>
              <w:rPr>
                <w:rFonts w:ascii="Arial" w:cs="Arial" w:eastAsia="Arial" w:hAnsi="Arial"/>
                <w:sz w:val="18"/>
                <w:szCs w:val="18"/>
                <w:color w:val="auto"/>
                <w:w w:val="87"/>
              </w:rPr>
              <w:t>9.0</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100" w:type="dxa"/>
            <w:vAlign w:val="bottom"/>
          </w:tcPr>
          <w:p>
            <w:pPr>
              <w:jc w:val="center"/>
              <w:ind w:left="633"/>
              <w:spacing w:after="0"/>
              <w:rPr>
                <w:sz w:val="20"/>
                <w:szCs w:val="20"/>
                <w:color w:val="auto"/>
              </w:rPr>
            </w:pPr>
            <w:r>
              <w:rPr>
                <w:rFonts w:ascii="Arial" w:cs="Arial" w:eastAsia="Arial" w:hAnsi="Arial"/>
                <w:sz w:val="18"/>
                <w:szCs w:val="18"/>
                <w:color w:val="auto"/>
                <w:w w:val="91"/>
              </w:rPr>
              <w:t>(2.1)</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73"/>
              <w:spacing w:after="0"/>
              <w:rPr>
                <w:sz w:val="20"/>
                <w:szCs w:val="20"/>
                <w:color w:val="auto"/>
              </w:rPr>
            </w:pPr>
            <w:r>
              <w:rPr>
                <w:rFonts w:ascii="Arial" w:cs="Arial" w:eastAsia="Arial" w:hAnsi="Arial"/>
                <w:sz w:val="18"/>
                <w:szCs w:val="18"/>
                <w:color w:val="auto"/>
                <w:w w:val="87"/>
              </w:rPr>
              <w:t>5.4</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Ireland</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100" w:type="dxa"/>
            <w:vAlign w:val="bottom"/>
          </w:tcPr>
          <w:p>
            <w:pPr>
              <w:jc w:val="center"/>
              <w:ind w:left="673"/>
              <w:spacing w:after="0"/>
              <w:rPr>
                <w:sz w:val="20"/>
                <w:szCs w:val="20"/>
                <w:color w:val="auto"/>
              </w:rPr>
            </w:pPr>
            <w:r>
              <w:rPr>
                <w:rFonts w:ascii="Arial" w:cs="Arial" w:eastAsia="Arial" w:hAnsi="Arial"/>
                <w:sz w:val="18"/>
                <w:szCs w:val="18"/>
                <w:color w:val="auto"/>
                <w:w w:val="87"/>
              </w:rPr>
              <w:t>3.6</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Eastern Europe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73"/>
              <w:spacing w:after="0"/>
              <w:rPr>
                <w:sz w:val="20"/>
                <w:szCs w:val="20"/>
                <w:color w:val="auto"/>
              </w:rPr>
            </w:pPr>
            <w:r>
              <w:rPr>
                <w:rFonts w:ascii="Arial" w:cs="Arial" w:eastAsia="Arial" w:hAnsi="Arial"/>
                <w:sz w:val="18"/>
                <w:szCs w:val="18"/>
                <w:color w:val="auto"/>
                <w:w w:val="87"/>
              </w:rPr>
              <w:t>5.0</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Central and Corporate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100" w:type="dxa"/>
            <w:vAlign w:val="bottom"/>
          </w:tcPr>
          <w:p>
            <w:pPr>
              <w:jc w:val="center"/>
              <w:ind w:left="673"/>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3"/>
        </w:trPr>
        <w:tc>
          <w:tcPr>
            <w:tcW w:w="4120" w:type="dxa"/>
            <w:vAlign w:val="bottom"/>
          </w:tcPr>
          <w:p>
            <w:pPr>
              <w:ind w:left="140"/>
              <w:spacing w:after="0" w:line="154" w:lineRule="exact"/>
              <w:rPr>
                <w:sz w:val="20"/>
                <w:szCs w:val="20"/>
                <w:color w:val="auto"/>
              </w:rPr>
            </w:pPr>
            <w:r>
              <w:rPr>
                <w:rFonts w:ascii="Arial" w:cs="Arial" w:eastAsia="Arial" w:hAnsi="Arial"/>
                <w:sz w:val="17"/>
                <w:szCs w:val="17"/>
                <w:color w:val="auto"/>
              </w:rPr>
              <w:t>Total SG&amp;A expenses excluding share-based</w:t>
            </w:r>
          </w:p>
        </w:tc>
        <w:tc>
          <w:tcPr>
            <w:tcW w:w="2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1,148.5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870.9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31.9</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3"/>
                <w:szCs w:val="13"/>
                <w:color w:val="auto"/>
              </w:rPr>
            </w:pPr>
          </w:p>
        </w:tc>
        <w:tc>
          <w:tcPr>
            <w:tcW w:w="1100" w:type="dxa"/>
            <w:vAlign w:val="bottom"/>
            <w:vMerge w:val="restart"/>
          </w:tcPr>
          <w:p>
            <w:pPr>
              <w:jc w:val="center"/>
              <w:ind w:left="673"/>
              <w:spacing w:after="0"/>
              <w:rPr>
                <w:sz w:val="20"/>
                <w:szCs w:val="20"/>
                <w:color w:val="auto"/>
              </w:rPr>
            </w:pPr>
            <w:r>
              <w:rPr>
                <w:rFonts w:ascii="Arial" w:cs="Arial" w:eastAsia="Arial" w:hAnsi="Arial"/>
                <w:sz w:val="18"/>
                <w:szCs w:val="18"/>
                <w:color w:val="auto"/>
                <w:w w:val="87"/>
              </w:rPr>
              <w:t>4.9</w:t>
            </w:r>
          </w:p>
        </w:tc>
        <w:tc>
          <w:tcPr>
            <w:tcW w:w="0" w:type="dxa"/>
            <w:vAlign w:val="bottom"/>
          </w:tcPr>
          <w:p>
            <w:pPr>
              <w:spacing w:after="0"/>
              <w:rPr>
                <w:sz w:val="1"/>
                <w:szCs w:val="1"/>
                <w:color w:val="auto"/>
              </w:rPr>
            </w:pPr>
          </w:p>
        </w:tc>
      </w:tr>
      <w:tr>
        <w:trPr>
          <w:trHeight w:val="198"/>
        </w:trPr>
        <w:tc>
          <w:tcPr>
            <w:tcW w:w="4120" w:type="dxa"/>
            <w:vAlign w:val="bottom"/>
          </w:tcPr>
          <w:p>
            <w:pPr>
              <w:ind w:left="300"/>
              <w:spacing w:after="0" w:line="198" w:lineRule="exact"/>
              <w:rPr>
                <w:sz w:val="20"/>
                <w:szCs w:val="20"/>
                <w:color w:val="auto"/>
              </w:rPr>
            </w:pPr>
            <w:r>
              <w:rPr>
                <w:rFonts w:ascii="Arial" w:cs="Arial" w:eastAsia="Arial" w:hAnsi="Arial"/>
                <w:sz w:val="18"/>
                <w:szCs w:val="18"/>
                <w:color w:val="auto"/>
              </w:rPr>
              <w:t>compensation expense</w:t>
            </w: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Share-based compensation expense</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154.4</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136.7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2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the SG&amp;A expenses of the U.K. JV Entities through the June 1, 2021 closing of the U.K. JV Transaction.</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Supplemental SG&amp;A expense information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88"/>
              </w:rPr>
              <w:t>Three months ended</w:t>
            </w:r>
          </w:p>
        </w:tc>
        <w:tc>
          <w:tcPr>
            <w:tcW w:w="120" w:type="dxa"/>
            <w:vAlign w:val="bottom"/>
          </w:tcPr>
          <w:p>
            <w:pPr>
              <w:spacing w:after="0"/>
              <w:rPr>
                <w:sz w:val="16"/>
                <w:szCs w:val="16"/>
                <w:color w:val="auto"/>
              </w:rPr>
            </w:pPr>
          </w:p>
        </w:tc>
        <w:tc>
          <w:tcPr>
            <w:tcW w:w="1420" w:type="dxa"/>
            <w:vAlign w:val="bottom"/>
            <w:gridSpan w:val="3"/>
            <w:vMerge w:val="restart"/>
          </w:tcPr>
          <w:p>
            <w:pPr>
              <w:jc w:val="center"/>
              <w:ind w:left="556"/>
              <w:spacing w:after="0"/>
              <w:rPr>
                <w:sz w:val="20"/>
                <w:szCs w:val="20"/>
                <w:color w:val="auto"/>
              </w:rPr>
            </w:pPr>
            <w:r>
              <w:rPr>
                <w:rFonts w:ascii="Arial" w:cs="Arial" w:eastAsia="Arial" w:hAnsi="Arial"/>
                <w:sz w:val="16"/>
                <w:szCs w:val="16"/>
                <w:b w:val="1"/>
                <w:bCs w:val="1"/>
                <w:color w:val="auto"/>
                <w:w w:val="89"/>
              </w:rPr>
              <w:t>Increase</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3"/>
            <w:vMerge w:val="restart"/>
          </w:tcPr>
          <w:p>
            <w:pPr>
              <w:jc w:val="right"/>
              <w:ind w:right="494"/>
              <w:spacing w:after="0"/>
              <w:rPr>
                <w:sz w:val="20"/>
                <w:szCs w:val="20"/>
                <w:color w:val="auto"/>
              </w:rPr>
            </w:pPr>
            <w:r>
              <w:rPr>
                <w:rFonts w:ascii="Arial" w:cs="Arial" w:eastAsia="Arial" w:hAnsi="Arial"/>
                <w:sz w:val="16"/>
                <w:szCs w:val="16"/>
                <w:b w:val="1"/>
                <w:bCs w:val="1"/>
                <w:color w:val="auto"/>
              </w:rPr>
              <w:t>Organic increase</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center"/>
              <w:ind w:left="456"/>
              <w:spacing w:after="0"/>
              <w:rPr>
                <w:sz w:val="20"/>
                <w:szCs w:val="20"/>
                <w:color w:val="auto"/>
              </w:rPr>
            </w:pPr>
            <w:r>
              <w:rPr>
                <w:rFonts w:ascii="Arial" w:cs="Arial" w:eastAsia="Arial" w:hAnsi="Arial"/>
                <w:sz w:val="16"/>
                <w:szCs w:val="16"/>
                <w:b w:val="1"/>
                <w:bCs w:val="1"/>
                <w:color w:val="auto"/>
                <w:w w:val="87"/>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6"/>
              </w:rPr>
              <w:t>in millions,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418.3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External sales and marketing</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7"/>
              </w:rPr>
              <w:t>115.7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7"/>
              </w:rPr>
              <w:t>534.0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87"/>
              </w:rPr>
              <w:t>Six months ended</w:t>
            </w:r>
          </w:p>
        </w:tc>
        <w:tc>
          <w:tcPr>
            <w:tcW w:w="120" w:type="dxa"/>
            <w:vAlign w:val="bottom"/>
          </w:tcPr>
          <w:p>
            <w:pPr>
              <w:spacing w:after="0"/>
              <w:rPr>
                <w:sz w:val="24"/>
                <w:szCs w:val="24"/>
                <w:color w:val="auto"/>
              </w:rPr>
            </w:pPr>
          </w:p>
        </w:tc>
        <w:tc>
          <w:tcPr>
            <w:tcW w:w="1420" w:type="dxa"/>
            <w:vAlign w:val="bottom"/>
            <w:gridSpan w:val="3"/>
            <w:vMerge w:val="restart"/>
          </w:tcPr>
          <w:p>
            <w:pPr>
              <w:jc w:val="center"/>
              <w:ind w:left="556"/>
              <w:spacing w:after="0"/>
              <w:rPr>
                <w:sz w:val="20"/>
                <w:szCs w:val="20"/>
                <w:color w:val="auto"/>
              </w:rPr>
            </w:pPr>
            <w:r>
              <w:rPr>
                <w:rFonts w:ascii="Arial" w:cs="Arial" w:eastAsia="Arial" w:hAnsi="Arial"/>
                <w:sz w:val="16"/>
                <w:szCs w:val="16"/>
                <w:b w:val="1"/>
                <w:bCs w:val="1"/>
                <w:color w:val="auto"/>
                <w:w w:val="89"/>
              </w:rPr>
              <w:t>Increase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3"/>
            <w:vMerge w:val="restart"/>
          </w:tcPr>
          <w:p>
            <w:pPr>
              <w:jc w:val="right"/>
              <w:ind w:right="494"/>
              <w:spacing w:after="0"/>
              <w:rPr>
                <w:sz w:val="20"/>
                <w:szCs w:val="20"/>
                <w:color w:val="auto"/>
              </w:rPr>
            </w:pPr>
            <w:r>
              <w:rPr>
                <w:rFonts w:ascii="Arial" w:cs="Arial" w:eastAsia="Arial" w:hAnsi="Arial"/>
                <w:sz w:val="16"/>
                <w:szCs w:val="16"/>
                <w:b w:val="1"/>
                <w:bCs w:val="1"/>
                <w:color w:val="auto"/>
              </w:rPr>
              <w:t>Organic increase</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center"/>
              <w:ind w:left="456"/>
              <w:spacing w:after="0"/>
              <w:rPr>
                <w:sz w:val="20"/>
                <w:szCs w:val="20"/>
                <w:color w:val="auto"/>
              </w:rPr>
            </w:pPr>
            <w:r>
              <w:rPr>
                <w:rFonts w:ascii="Arial" w:cs="Arial" w:eastAsia="Arial" w:hAnsi="Arial"/>
                <w:sz w:val="16"/>
                <w:szCs w:val="16"/>
                <w:b w:val="1"/>
                <w:bCs w:val="1"/>
                <w:color w:val="auto"/>
                <w:w w:val="87"/>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6"/>
              </w:rPr>
              <w:t>in millions,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893.0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External sales and marketing</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3"/>
              </w:rPr>
              <w:t>255.5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3"/>
              </w:rPr>
              <w:t>1,148.5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67"/>
        </w:numPr>
        <w:rPr>
          <w:rFonts w:ascii="Arial" w:cs="Arial" w:eastAsia="Arial" w:hAnsi="Arial"/>
          <w:sz w:val="18"/>
          <w:szCs w:val="18"/>
          <w:color w:val="auto"/>
        </w:rPr>
      </w:pPr>
      <w:r>
        <w:rPr>
          <w:rFonts w:ascii="Arial" w:cs="Arial" w:eastAsia="Arial" w:hAnsi="Arial"/>
          <w:sz w:val="18"/>
          <w:szCs w:val="18"/>
          <w:color w:val="auto"/>
        </w:rPr>
        <w:t>General and administrative expenses include all personnel-related costs within our SG&amp;A expenses, including personnel-related costs associated with our sales and marketing function.</w:t>
      </w:r>
    </w:p>
    <w:p>
      <w:pPr>
        <w:spacing w:after="0" w:line="2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SG&amp;A expenses (exclusive of share-based compensation expense) increased $114.1 million or 27.2% and $277.6 million or 31.9% during the three and six months ended June 30, 2021, respectively, as compared to the corresponding periods in 2020. These increases include increases of $97.6 million and $194.5 million, respectively, attributable to the impact of the Sunrise Acquisition and decreases of $57.0 million and $57.9 million, respectively, attributable to the impact of the U.K. JV Transaction. On an organic basis, our SG&amp;A expenses increased $27.3 million or 5.9% and $49.5 million or 4.9%, respectively. These increases include the following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70" w:name="page71"/>
    <w:bookmarkEnd w:id="70"/>
    <w:p>
      <w:pPr>
        <w:jc w:val="both"/>
        <w:ind w:left="640" w:hanging="316"/>
        <w:spacing w:after="0" w:line="268" w:lineRule="auto"/>
        <w:tabs>
          <w:tab w:leader="none" w:pos="635"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Increases in personnel costs of $16.7 million or 8.2% and $29.9 million or 7.3%, respectively, primarily due to the net effect of (i) higher staffing levels, primarily due to increases in Central and Corporate that were only partially offset by decreases in the U.K., (ii) higher incentive compensation costs, primarily due to increases in the U.K., Central and Corporate, Switzerland and Belgium, (iii) increases in temporary personnel costs in the U.K. and (iv) higher average costs per employee for the three-month comparison and lower average costs per employee for the six-month comparison, primarily due to decreases in Central and Corporate and increases in the U.K. and Belgium;</w:t>
      </w:r>
    </w:p>
    <w:p>
      <w:pPr>
        <w:spacing w:after="0" w:line="207"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Increases in core network and information technology-related costs of $5.0 million or 10.7% and $22.5 million or 23.9%, respectively, primarily due to higher information technology-related expenses in the U.K., Switzerland and Central and Corporate;</w:t>
      </w:r>
    </w:p>
    <w:p>
      <w:pPr>
        <w:spacing w:after="0" w:line="20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Increases in external sales and marketing costs of $3.1 million or 3.0% and $5.5 million or 2.4%, respectively, primarily due to higher costs associated with advertising campaigns in the U.K. and Ireland; and</w:t>
      </w:r>
    </w:p>
    <w:p>
      <w:pPr>
        <w:spacing w:after="0" w:line="20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increase (decrease) in business service costs of $8.8 million or 23.6% and ($0.2 million) or (0.2%), primarily due the net effect of (i) higher consulting costs primarily in the U.K. and (ii) for the six-month comparison, a decrease in travel and entertainment expenses as a result of the COVID-19 pandemic, primarily in Central and Corporate and the U.K.</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Share-based compensation expense</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32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6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6"/>
                <w:szCs w:val="16"/>
                <w:b w:val="1"/>
                <w:bCs w:val="1"/>
                <w:color w:val="auto"/>
              </w:rPr>
              <w:t>June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140"/>
              <w:spacing w:after="0"/>
              <w:rPr>
                <w:sz w:val="20"/>
                <w:szCs w:val="20"/>
                <w:color w:val="auto"/>
              </w:rPr>
            </w:pPr>
            <w:r>
              <w:rPr>
                <w:rFonts w:ascii="Arial" w:cs="Arial" w:eastAsia="Arial" w:hAnsi="Arial"/>
                <w:sz w:val="18"/>
                <w:szCs w:val="18"/>
                <w:color w:val="auto"/>
              </w:rPr>
              <w:t>Performance-based incentive awards (a)</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21.6</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Non-performance based incentive awards (b)</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Liberty Global</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(d)</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380"/>
              <w:spacing w:after="0" w:line="205" w:lineRule="exact"/>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83.8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Included in: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60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SG&amp;A expense</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82.2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80"/>
              <w:spacing w:after="0" w:line="205" w:lineRule="exact"/>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83.8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PSUs, (ii) our 2019 CEO Performance Award and (iii) our 2019 Challenge Performance Awards.</w:t>
      </w:r>
    </w:p>
    <w:p>
      <w:pPr>
        <w:spacing w:after="0" w:line="207" w:lineRule="exact"/>
        <w:rPr>
          <w:rFonts w:ascii="Arial" w:cs="Arial" w:eastAsia="Arial" w:hAnsi="Arial"/>
          <w:sz w:val="18"/>
          <w:szCs w:val="18"/>
          <w:color w:val="auto"/>
        </w:rPr>
      </w:pPr>
    </w:p>
    <w:p>
      <w:pPr>
        <w:jc w:val="both"/>
        <w:ind w:left="480" w:hanging="474"/>
        <w:spacing w:after="0" w:line="271" w:lineRule="auto"/>
        <w:tabs>
          <w:tab w:leader="none" w:pos="474"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 April 2021 with respect to 2014 and 2015 grants and April 2020 with respect to 2013 grants, the compensation committee of our board of directors approved the extension of the expiration dates of outstanding SARs and director options from a seven-year term to a ten-year term. Accordingly, the Black-Scholes fair values of the outstanding awards increased, resulting in the recognition of an aggregate incremental share-based compensation expense of $22.7 million and $18.9 million during the second quarters of 2021 and 2020, respectively.</w:t>
      </w:r>
    </w:p>
    <w:p>
      <w:pPr>
        <w:spacing w:after="0" w:line="203" w:lineRule="exact"/>
        <w:rPr>
          <w:rFonts w:ascii="Arial" w:cs="Arial" w:eastAsia="Arial" w:hAnsi="Arial"/>
          <w:sz w:val="17"/>
          <w:szCs w:val="17"/>
          <w:color w:val="auto"/>
        </w:rPr>
      </w:pPr>
    </w:p>
    <w:p>
      <w:pPr>
        <w:jc w:val="both"/>
        <w:ind w:left="480" w:hanging="474"/>
        <w:spacing w:after="0" w:line="252" w:lineRule="auto"/>
        <w:tabs>
          <w:tab w:leader="none" w:pos="477"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1" w:name="page72"/>
    <w:bookmarkEnd w:id="71"/>
    <w:p>
      <w:pPr>
        <w:ind w:left="480" w:right="20"/>
        <w:spacing w:after="0" w:line="264" w:lineRule="auto"/>
        <w:rPr>
          <w:sz w:val="20"/>
          <w:szCs w:val="20"/>
          <w:color w:val="auto"/>
        </w:rPr>
      </w:pPr>
      <w:r>
        <w:rPr>
          <w:rFonts w:ascii="Arial" w:cs="Arial" w:eastAsia="Arial" w:hAnsi="Arial"/>
          <w:sz w:val="18"/>
          <w:szCs w:val="18"/>
          <w:color w:val="auto"/>
        </w:rPr>
        <w:t>ordinary shares of Liberty Global in lieu of cash. In addition, the 2021 amounts include compensation expense related to the 2021 Ventures Incentive Plan.</w:t>
      </w:r>
    </w:p>
    <w:p>
      <w:pPr>
        <w:spacing w:after="0" w:line="207" w:lineRule="exact"/>
        <w:rPr>
          <w:sz w:val="20"/>
          <w:szCs w:val="20"/>
          <w:color w:val="auto"/>
        </w:rPr>
      </w:pPr>
    </w:p>
    <w:p>
      <w:pPr>
        <w:ind w:left="480" w:hanging="474"/>
        <w:spacing w:after="0"/>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Amounts primarily relate to share-based compensation expense associated with Telenet’s share-based incentive awards.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additional information regarding our share-based compensation expense, see note 13 to our condensed consolidated financial statements.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4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Our depreciation and amortization expense was $580.5 million and $1,214.7 million for the three and six months ended June 30, 2021, respectively, and $545.7 million and $1,329.2 million for the three and six months ended June 30, 2020, respectively. Excluding the effects of FX, depreciation and amortization expense decreased $11.3 million or 2.1% and $203.8 million or 15.3% during the three and six months ended June 30, 2021, respectively, as compared to the corresponding periods in 2020. These decreases are primarily due to the net effect of (i) decreases in the U.K. of $153.6 million and $567.1 million, respectively, as a result of the held-for-sale presentation of the U.K. JV Entities effective May 7, 2020, (ii) increases due to the Sunrise Acquisition, (iii) increases associated with property and equipment additions related to the installation of customer premises equipment, the expansion and upgrade of our networks and other capital initiatives, primarily in Central and Corporate and Belgium, and (iv) decreases associated with certain assets becoming fully depreciated, primarily in Central and Corporate, Switzerland and Belgium. For information regarding the held-for-sale presentation of the U.K. JV Entities prior to the completion of the U.K. JV Transaction, see note 4 to our condensed consolidated financial statements.</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Impairment, restructuring and other operating items, net</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recognized impairment, restructuring and other operating items, net, of $6.9 million and $51.3 million during the three and six months ended June 30, 2021, respectively, and $32.2 million and $63.2 million during the three and six months ended June 30, 2020, respectively.</w:t>
      </w:r>
    </w:p>
    <w:p>
      <w:pPr>
        <w:spacing w:after="0" w:line="2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amounts for the 2021 periods include (i) restructuring charges of $26.0 million and $57.3 million, respectively, including $22.0 million and $50.4 million, respectively of employee severance and termination costs related to certain reorganization activities, primarily in Switzerland and Central and Corporate, (ii) a $38.0 million gain in Central and Corporate during the second quarter of 2021 associated with a provision release related to a legal contingency and (iii) direct acquisition and disposition costs of $11.2 million and $29.6 million, respectively, primarily related to costs incurred in connection with the formation of the VMED O2 JV.</w:t>
      </w:r>
    </w:p>
    <w:p>
      <w:pPr>
        <w:spacing w:after="0" w:line="22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amounts for the 2020 periods include (i) restructuring charges of $15.4 million and $36.6 million, respectively, including $8.5 million and $28.3 million, respectively, of employee severance and termination costs related to certain reorganization activities, primarily in Switzerland, U.K. and Central and Corporate, (ii) direct acquisition and disposition costs of $13.7 million and $20.0 million, respectively, primarily related to costs incurred in connection with the formation of the VMED O2 JV, and (iii) for the six-month period, impairment charges of $6.2 million, primarily in Belgium.</w:t>
      </w:r>
    </w:p>
    <w:p>
      <w:pPr>
        <w:spacing w:after="0" w:line="20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expense</w:t>
      </w:r>
    </w:p>
    <w:p>
      <w:pPr>
        <w:spacing w:after="0" w:line="2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recognized interest expense of $273.0 million and $608.1 million during the three and six months ended June 30, 2021, respectively, and $281.7 million and $595.0 million during the three and six months ended June 30, 2020, respectively. Excluding the effects of FX, interest expense decreased $48.3 million or 21.6% and $74.0 million or 13.8% during the three and six months ended June 30, 2021, respectively, as compared to the corresponding periods in 2020. These decreases are primarily attributable to lower weighted average interest rates, partially offset by higher average outstanding debt balances. For additional information regarding our outstanding indebtedness, see note 9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2" w:name="page73"/>
    <w:bookmarkEnd w:id="72"/>
    <w:p>
      <w:pPr>
        <w:jc w:val="both"/>
        <w:ind w:firstLine="318"/>
        <w:spacing w:after="0" w:line="277" w:lineRule="auto"/>
        <w:rPr>
          <w:sz w:val="20"/>
          <w:szCs w:val="20"/>
          <w:color w:val="auto"/>
        </w:rPr>
      </w:pPr>
      <w:r>
        <w:rPr>
          <w:rFonts w:ascii="Arial" w:cs="Arial" w:eastAsia="Arial" w:hAnsi="Arial"/>
          <w:sz w:val="17"/>
          <w:szCs w:val="17"/>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w:t>
      </w:r>
      <w:r>
        <w:rPr>
          <w:rFonts w:ascii="Arial" w:cs="Arial" w:eastAsia="Arial" w:hAnsi="Arial"/>
          <w:sz w:val="17"/>
          <w:szCs w:val="17"/>
          <w:i w:val="1"/>
          <w:iCs w:val="1"/>
          <w:color w:val="auto"/>
        </w:rPr>
        <w:t xml:space="preserve">Quantitative and Qualitative Disclosures about Market Risk </w:t>
      </w:r>
      <w:r>
        <w:rPr>
          <w:rFonts w:ascii="Arial" w:cs="Arial" w:eastAsia="Arial" w:hAnsi="Arial"/>
          <w:sz w:val="17"/>
          <w:szCs w:val="17"/>
          <w:color w:val="auto"/>
        </w:rPr>
        <w:t>below, we use derivative instruments to manage our interest rate risks.</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Realized and unrealized gains (losses) on derivative instruments, net</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38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05"/>
        </w:trPr>
        <w:tc>
          <w:tcPr>
            <w:tcW w:w="5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03"/>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63"/>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and interest rate derivative contracts (a)</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w:t>
            </w:r>
          </w:p>
        </w:tc>
      </w:tr>
      <w:tr>
        <w:trPr>
          <w:trHeight w:val="205"/>
        </w:trPr>
        <w:tc>
          <w:tcPr>
            <w:tcW w:w="5580" w:type="dxa"/>
            <w:vAlign w:val="bottom"/>
          </w:tcPr>
          <w:p>
            <w:pPr>
              <w:ind w:left="20"/>
              <w:spacing w:after="0" w:line="204" w:lineRule="exact"/>
              <w:rPr>
                <w:sz w:val="20"/>
                <w:szCs w:val="20"/>
                <w:color w:val="auto"/>
              </w:rPr>
            </w:pPr>
            <w:r>
              <w:rPr>
                <w:rFonts w:ascii="Arial" w:cs="Arial" w:eastAsia="Arial" w:hAnsi="Arial"/>
                <w:sz w:val="18"/>
                <w:szCs w:val="18"/>
                <w:color w:val="auto"/>
              </w:rPr>
              <w:t>Equity-related derivative instruments: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6"/>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ITV Collar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r>
      <w:tr>
        <w:trPr>
          <w:trHeight w:val="225"/>
        </w:trPr>
        <w:tc>
          <w:tcPr>
            <w:tcW w:w="5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19"/>
        </w:trPr>
        <w:tc>
          <w:tcPr>
            <w:tcW w:w="558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equity-related derivative instruments (b)</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w:t>
            </w:r>
          </w:p>
        </w:tc>
      </w:tr>
      <w:tr>
        <w:trPr>
          <w:trHeight w:val="218"/>
        </w:trPr>
        <w:tc>
          <w:tcPr>
            <w:tcW w:w="558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Foreign currency forward and option contracts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19"/>
        </w:trPr>
        <w:tc>
          <w:tcPr>
            <w:tcW w:w="55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8"/>
        </w:trPr>
        <w:tc>
          <w:tcPr>
            <w:tcW w:w="558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w:t>
            </w: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306" w:lineRule="auto"/>
        <w:tabs>
          <w:tab w:leader="none" w:pos="477"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results for the 2021 periods are primarily attributable to the net effect of (i) net gains associated with changes in certain market interest rates and (ii) a net loss for the three-month period and a net gain for the six-month period associated with changes in the relative value of certain currencies. In addition, the results for the 2021 periods include a net gain (loss) of $38.2 million and ($0.8 million), respectively, resulting from changes in our credit risk valuation adjustments. The results for the 2020 periods are primarily attributable to the net effect of (a) a net loss for the three-month period and a net gain for the six-month period associated with changes in the relative value of certain currencies and (b) a net loss for the three-month period and a net gain for the six-month period associated with changes in certain market interest rates. In addition, the results for the 2020 periods include net gains of $5.4 million and $71.7 million, respectively, resulting from changes in our credit risk valuation adjustments.</w:t>
      </w:r>
    </w:p>
    <w:p>
      <w:pPr>
        <w:spacing w:after="0" w:line="183" w:lineRule="exact"/>
        <w:rPr>
          <w:rFonts w:ascii="Arial" w:cs="Arial" w:eastAsia="Arial" w:hAnsi="Arial"/>
          <w:sz w:val="15"/>
          <w:szCs w:val="15"/>
          <w:color w:val="auto"/>
        </w:rPr>
      </w:pPr>
    </w:p>
    <w:p>
      <w:pPr>
        <w:ind w:left="480" w:hanging="474"/>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recurring fair value measurements of our equity-related derivative instruments are based on Black-Scholes pricing models.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additional information concerning our derivative instruments, see notes 6 and 7 to our condensed consolidated financial statements and Part I, Item 3.</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3" w:name="page74"/>
    <w:bookmarkEnd w:id="73"/>
    <w:p>
      <w:pPr>
        <w:ind w:left="160"/>
        <w:spacing w:after="0"/>
        <w:rPr>
          <w:sz w:val="20"/>
          <w:szCs w:val="20"/>
          <w:color w:val="auto"/>
        </w:rPr>
      </w:pPr>
      <w:r>
        <w:rPr>
          <w:rFonts w:ascii="Arial" w:cs="Arial" w:eastAsia="Arial" w:hAnsi="Arial"/>
          <w:sz w:val="18"/>
          <w:szCs w:val="18"/>
          <w:i w:val="1"/>
          <w:iCs w:val="1"/>
          <w:color w:val="auto"/>
        </w:rPr>
        <w:t>Foreign currency transaction gains (losses), net</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880" w:type="dxa"/>
            <w:vAlign w:val="bottom"/>
            <w:gridSpan w:val="6"/>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38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5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89"/>
              </w:rPr>
              <w:t>Intercompany payables and receivables denominated in a currency other than</w:t>
            </w:r>
          </w:p>
        </w:tc>
        <w:tc>
          <w:tcPr>
            <w:tcW w:w="840" w:type="dxa"/>
            <w:vAlign w:val="bottom"/>
            <w:vMerge w:val="restart"/>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entity’s functional currency (a)</w:t>
            </w:r>
          </w:p>
        </w:tc>
        <w:tc>
          <w:tcPr>
            <w:tcW w:w="84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580" w:type="dxa"/>
            <w:vAlign w:val="bottom"/>
          </w:tcPr>
          <w:p>
            <w:pPr>
              <w:ind w:left="20"/>
              <w:spacing w:after="0" w:line="173" w:lineRule="exact"/>
              <w:rPr>
                <w:sz w:val="20"/>
                <w:szCs w:val="20"/>
                <w:color w:val="auto"/>
              </w:rPr>
            </w:pPr>
            <w:r>
              <w:rPr>
                <w:rFonts w:ascii="Arial" w:cs="Arial" w:eastAsia="Arial" w:hAnsi="Arial"/>
                <w:sz w:val="18"/>
                <w:szCs w:val="18"/>
                <w:color w:val="auto"/>
                <w:w w:val="97"/>
              </w:rPr>
              <w:t>U.S. dollar-denominated debt issued by British pound sterling functional</w:t>
            </w:r>
          </w:p>
        </w:tc>
        <w:tc>
          <w:tcPr>
            <w:tcW w:w="8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w w:val="88"/>
              </w:rPr>
              <w:t>108.0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24"/>
        </w:trPr>
        <w:tc>
          <w:tcPr>
            <w:tcW w:w="5580" w:type="dxa"/>
            <w:vAlign w:val="bottom"/>
          </w:tcPr>
          <w:p>
            <w:pPr>
              <w:ind w:left="180"/>
              <w:spacing w:after="0"/>
              <w:rPr>
                <w:sz w:val="20"/>
                <w:szCs w:val="20"/>
                <w:color w:val="auto"/>
              </w:rPr>
            </w:pPr>
            <w:r>
              <w:rPr>
                <w:rFonts w:ascii="Arial" w:cs="Arial" w:eastAsia="Arial" w:hAnsi="Arial"/>
                <w:sz w:val="18"/>
                <w:szCs w:val="18"/>
                <w:color w:val="auto"/>
              </w:rPr>
              <w:t>currency entities</w:t>
            </w:r>
          </w:p>
        </w:tc>
        <w:tc>
          <w:tcPr>
            <w:tcW w:w="8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U.S. dollar-denominated debt issued by euro functional currency entities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173"/>
        </w:trPr>
        <w:tc>
          <w:tcPr>
            <w:tcW w:w="5580" w:type="dxa"/>
            <w:vAlign w:val="bottom"/>
          </w:tcPr>
          <w:p>
            <w:pPr>
              <w:ind w:left="20"/>
              <w:spacing w:after="0" w:line="173" w:lineRule="exact"/>
              <w:rPr>
                <w:sz w:val="20"/>
                <w:szCs w:val="20"/>
                <w:color w:val="auto"/>
              </w:rPr>
            </w:pPr>
            <w:r>
              <w:rPr>
                <w:rFonts w:ascii="Arial" w:cs="Arial" w:eastAsia="Arial" w:hAnsi="Arial"/>
                <w:sz w:val="18"/>
                <w:szCs w:val="18"/>
                <w:color w:val="auto"/>
                <w:w w:val="92"/>
              </w:rPr>
              <w:t>Euro-denominated debt issued by British pound sterling functional currency</w:t>
            </w:r>
          </w:p>
        </w:tc>
        <w:tc>
          <w:tcPr>
            <w:tcW w:w="8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4"/>
        </w:trPr>
        <w:tc>
          <w:tcPr>
            <w:tcW w:w="5580" w:type="dxa"/>
            <w:vAlign w:val="bottom"/>
          </w:tcPr>
          <w:p>
            <w:pPr>
              <w:ind w:left="180"/>
              <w:spacing w:after="0"/>
              <w:rPr>
                <w:sz w:val="20"/>
                <w:szCs w:val="20"/>
                <w:color w:val="auto"/>
              </w:rPr>
            </w:pPr>
            <w:r>
              <w:rPr>
                <w:rFonts w:ascii="Arial" w:cs="Arial" w:eastAsia="Arial" w:hAnsi="Arial"/>
                <w:sz w:val="18"/>
                <w:szCs w:val="18"/>
                <w:color w:val="auto"/>
              </w:rPr>
              <w:t>entities</w:t>
            </w:r>
          </w:p>
        </w:tc>
        <w:tc>
          <w:tcPr>
            <w:tcW w:w="8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5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4"/>
              </w:rPr>
              <w:t>British pound sterling-denominated debt issued by a U.S. dollar functional</w:t>
            </w:r>
          </w:p>
        </w:tc>
        <w:tc>
          <w:tcPr>
            <w:tcW w:w="8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entity</w:t>
            </w:r>
          </w:p>
        </w:tc>
        <w:tc>
          <w:tcPr>
            <w:tcW w:w="84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133.3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365" w:lineRule="auto"/>
        <w:tabs>
          <w:tab w:leader="none" w:pos="477" w:val="left"/>
        </w:tabs>
        <w:numPr>
          <w:ilvl w:val="0"/>
          <w:numId w:val="72"/>
        </w:numPr>
        <w:rPr>
          <w:rFonts w:ascii="Arial" w:cs="Arial" w:eastAsia="Arial" w:hAnsi="Arial"/>
          <w:sz w:val="15"/>
          <w:szCs w:val="15"/>
          <w:color w:val="auto"/>
        </w:rPr>
      </w:pPr>
      <w:r>
        <w:rPr>
          <w:rFonts w:ascii="Arial" w:cs="Arial" w:eastAsia="Arial" w:hAnsi="Arial"/>
          <w:sz w:val="15"/>
          <w:szCs w:val="15"/>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Realized and unrealized gains (losses) due to changes in fair values of certain investments and debt, net</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realized and unrealized gains or losses due to changes in fair values of certain investments and debt include unrealized gains or losses associated with changes in fair values that are non-cash in nature until such time as these gains or losses are realized through cash transactions. For additional information regarding our investments, fair value measurements and debt, see notes 5, 7 and 9, respectively, to our condensed consolidated financial statements. The details of our realized and unrealized gains (losses) due to changes in fair values of certain investments and debt, net, are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2300" w:type="dxa"/>
            <w:vAlign w:val="bottom"/>
            <w:gridSpan w:val="4"/>
          </w:tcPr>
          <w:p>
            <w:pPr>
              <w:jc w:val="right"/>
              <w:ind w:right="115"/>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0" w:type="dxa"/>
            <w:vAlign w:val="bottom"/>
            <w:gridSpan w:val="4"/>
          </w:tcPr>
          <w:p>
            <w:pPr>
              <w:jc w:val="right"/>
              <w:ind w:right="712"/>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5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6"/>
                <w:szCs w:val="16"/>
                <w:b w:val="1"/>
                <w:bCs w:val="1"/>
                <w:color w:val="auto"/>
              </w:rPr>
              <w:t>June 30,</w:t>
            </w: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05"/>
        </w:trPr>
        <w:tc>
          <w:tcPr>
            <w:tcW w:w="55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03"/>
        </w:trPr>
        <w:tc>
          <w:tcPr>
            <w:tcW w:w="5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63"/>
        </w:trPr>
        <w:tc>
          <w:tcPr>
            <w:tcW w:w="5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2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5500" w:type="dxa"/>
            <w:vAlign w:val="bottom"/>
          </w:tcPr>
          <w:p>
            <w:pPr>
              <w:ind w:left="140"/>
              <w:spacing w:after="0"/>
              <w:rPr>
                <w:sz w:val="20"/>
                <w:szCs w:val="20"/>
                <w:color w:val="auto"/>
              </w:rPr>
            </w:pPr>
            <w:r>
              <w:rPr>
                <w:rFonts w:ascii="Arial" w:cs="Arial" w:eastAsia="Arial" w:hAnsi="Arial"/>
                <w:sz w:val="18"/>
                <w:szCs w:val="18"/>
                <w:color w:val="auto"/>
              </w:rPr>
              <w:t>Univision</w:t>
            </w:r>
          </w:p>
        </w:tc>
        <w:tc>
          <w:tcPr>
            <w:tcW w:w="840" w:type="dxa"/>
            <w:vAlign w:val="bottom"/>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155.4</w:t>
            </w:r>
          </w:p>
        </w:tc>
        <w:tc>
          <w:tcPr>
            <w:tcW w:w="160" w:type="dxa"/>
            <w:vAlign w:val="bottom"/>
          </w:tcPr>
          <w:p>
            <w:pPr>
              <w:spacing w:after="0"/>
              <w:rPr>
                <w:sz w:val="19"/>
                <w:szCs w:val="19"/>
                <w:color w:val="auto"/>
              </w:rPr>
            </w:pPr>
          </w:p>
        </w:tc>
        <w:tc>
          <w:tcPr>
            <w:tcW w:w="820" w:type="dxa"/>
            <w:vAlign w:val="bottom"/>
          </w:tcPr>
          <w:p>
            <w:pPr>
              <w:jc w:val="right"/>
              <w:ind w:right="635"/>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155.4</w:t>
            </w:r>
          </w:p>
        </w:tc>
        <w:tc>
          <w:tcPr>
            <w:tcW w:w="16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ITV</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r>
      <w:tr>
        <w:trPr>
          <w:trHeight w:val="225"/>
        </w:trPr>
        <w:tc>
          <w:tcPr>
            <w:tcW w:w="5500" w:type="dxa"/>
            <w:vAlign w:val="bottom"/>
          </w:tcPr>
          <w:p>
            <w:pPr>
              <w:ind w:left="140"/>
              <w:spacing w:after="0"/>
              <w:rPr>
                <w:sz w:val="20"/>
                <w:szCs w:val="20"/>
                <w:color w:val="auto"/>
              </w:rPr>
            </w:pPr>
            <w:r>
              <w:rPr>
                <w:rFonts w:ascii="Arial" w:cs="Arial" w:eastAsia="Arial" w:hAnsi="Arial"/>
                <w:sz w:val="18"/>
                <w:szCs w:val="18"/>
                <w:color w:val="auto"/>
              </w:rPr>
              <w:t>Lionsgate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36.8</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26"/>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Plume</w:t>
            </w:r>
          </w:p>
        </w:tc>
        <w:tc>
          <w:tcPr>
            <w:tcW w:w="8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25"/>
        </w:trPr>
        <w:tc>
          <w:tcPr>
            <w:tcW w:w="5500" w:type="dxa"/>
            <w:vAlign w:val="bottom"/>
          </w:tcPr>
          <w:p>
            <w:pPr>
              <w:ind w:left="140"/>
              <w:spacing w:after="0"/>
              <w:rPr>
                <w:sz w:val="20"/>
                <w:szCs w:val="20"/>
                <w:color w:val="auto"/>
              </w:rPr>
            </w:pPr>
            <w:r>
              <w:rPr>
                <w:rFonts w:ascii="Arial" w:cs="Arial" w:eastAsia="Arial" w:hAnsi="Arial"/>
                <w:sz w:val="18"/>
                <w:szCs w:val="18"/>
                <w:color w:val="auto"/>
              </w:rPr>
              <w:t>Lacework</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Skillz</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25"/>
        </w:trPr>
        <w:tc>
          <w:tcPr>
            <w:tcW w:w="5500" w:type="dxa"/>
            <w:vAlign w:val="bottom"/>
          </w:tcPr>
          <w:p>
            <w:pPr>
              <w:ind w:left="140"/>
              <w:spacing w:after="0"/>
              <w:rPr>
                <w:sz w:val="20"/>
                <w:szCs w:val="20"/>
                <w:color w:val="auto"/>
              </w:rPr>
            </w:pPr>
            <w:r>
              <w:rPr>
                <w:rFonts w:ascii="Arial" w:cs="Arial" w:eastAsia="Arial" w:hAnsi="Arial"/>
                <w:sz w:val="18"/>
                <w:szCs w:val="18"/>
                <w:color w:val="auto"/>
              </w:rPr>
              <w:t>EdgeConneX</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8"/>
        </w:trPr>
        <w:tc>
          <w:tcPr>
            <w:tcW w:w="5500" w:type="dxa"/>
            <w:vAlign w:val="bottom"/>
          </w:tcPr>
          <w:p>
            <w:pPr>
              <w:ind w:left="220"/>
              <w:spacing w:after="0" w:line="204" w:lineRule="exact"/>
              <w:rPr>
                <w:sz w:val="20"/>
                <w:szCs w:val="20"/>
                <w:color w:val="auto"/>
              </w:rPr>
            </w:pPr>
            <w:r>
              <w:rPr>
                <w:rFonts w:ascii="Arial" w:cs="Arial" w:eastAsia="Arial" w:hAnsi="Arial"/>
                <w:sz w:val="18"/>
                <w:szCs w:val="18"/>
                <w:color w:val="auto"/>
              </w:rPr>
              <w:t>Total investments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288.1</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141.6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482.7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(386.4)</w:t>
            </w:r>
          </w:p>
        </w:tc>
      </w:tr>
      <w:tr>
        <w:trPr>
          <w:trHeight w:val="22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8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8"/>
        </w:trPr>
        <w:tc>
          <w:tcPr>
            <w:tcW w:w="5500" w:type="dxa"/>
            <w:vAlign w:val="bottom"/>
          </w:tcPr>
          <w:p>
            <w:pPr>
              <w:ind w:left="380"/>
              <w:spacing w:after="0" w:line="204" w:lineRule="exact"/>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288.1</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152.3</w:t>
            </w: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482.7</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(377.5)</w:t>
            </w:r>
          </w:p>
        </w:tc>
      </w:tr>
      <w:tr>
        <w:trPr>
          <w:trHeight w:val="20"/>
        </w:trPr>
        <w:tc>
          <w:tcPr>
            <w:tcW w:w="5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80"/>
        </w:trPr>
        <w:tc>
          <w:tcPr>
            <w:tcW w:w="550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18"/>
                <w:szCs w:val="18"/>
                <w:color w:val="auto"/>
              </w:rPr>
              <w:t>72</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3"/>
        </w:trPr>
        <w:tc>
          <w:tcPr>
            <w:tcW w:w="55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4" w:name="page75"/>
    <w:bookmarkEnd w:id="74"/>
    <w:p>
      <w:pPr>
        <w:ind w:left="160"/>
        <w:spacing w:after="0"/>
        <w:rPr>
          <w:sz w:val="20"/>
          <w:szCs w:val="20"/>
          <w:color w:val="auto"/>
        </w:rPr>
      </w:pPr>
      <w:r>
        <w:rPr>
          <w:rFonts w:ascii="Arial" w:cs="Arial" w:eastAsia="Arial" w:hAnsi="Arial"/>
          <w:sz w:val="18"/>
          <w:szCs w:val="18"/>
          <w:i w:val="1"/>
          <w:iCs w:val="1"/>
          <w:color w:val="auto"/>
        </w:rPr>
        <w:t>Losses on debt extinguishment, net</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recognized net losses on debt extinguishment of $90.6 million and $165.6 million during the three months ended June 30, 2021 and 2020, respectively, and $90.6 million and $220.1 million during the six months ended June 30, 2021 and 2020, respectively.</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loss during the six months ended June 30, 2021 is attributable to (i) the write-off of $77.7 million of unamortized deferred financing costs and discounts and (ii) the payment of $12.9 million of redemption premiums, all of which occurred during the second quarter.</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loss during the six months ended June 30, 2020 is primarily attributable to (i) the payment of $188.2 million of redemption premiums (including $157.5 million during the second quarter) and (ii) the write-off of $35.2 million of net unamortized deferred financing costs, discounts and premiums (including $11.4 million during the second quarter).</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concerning our losses on debt extinguishment, see note 9 to our condensed consolidated financial statements.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Share of results of affiliates,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880" w:type="dxa"/>
            <w:vAlign w:val="bottom"/>
            <w:gridSpan w:val="6"/>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38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5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05"/>
        </w:trPr>
        <w:tc>
          <w:tcPr>
            <w:tcW w:w="55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03"/>
        </w:trPr>
        <w:tc>
          <w:tcPr>
            <w:tcW w:w="5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50"/>
        </w:trPr>
        <w:tc>
          <w:tcPr>
            <w:tcW w:w="5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All3Media</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VodafoneZiggo JV (a)</w:t>
            </w:r>
          </w:p>
        </w:tc>
        <w:tc>
          <w:tcPr>
            <w:tcW w:w="9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 E</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VMED O2 JV (b)</w:t>
            </w:r>
          </w:p>
        </w:tc>
        <w:tc>
          <w:tcPr>
            <w:tcW w:w="9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8"/>
        </w:trPr>
        <w:tc>
          <w:tcPr>
            <w:tcW w:w="558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(8.1)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r>
      <w:tr>
        <w:trPr>
          <w:trHeight w:val="20"/>
        </w:trPr>
        <w:tc>
          <w:tcPr>
            <w:tcW w:w="5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Amounts include the net effect of (i) interest income of $13.6 million, $10.8 million, $27.0 million and $21.6 million, respectively, representing 100% of the interest earned on the VodafoneZiggo JV Receivables and (ii) our 50% share of the results of operations of the VodafoneZiggo JV. The summarized results of operations of the VodafoneZiggo JV are set forth below:</w:t>
      </w:r>
    </w:p>
    <w:p>
      <w:pPr>
        <w:spacing w:after="0" w:line="83"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280" w:type="dxa"/>
            <w:vAlign w:val="bottom"/>
            <w:gridSpan w:val="4"/>
          </w:tcPr>
          <w:p>
            <w:pPr>
              <w:jc w:val="right"/>
              <w:ind w:right="653"/>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4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570.1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531.5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1,135.3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1,034.3</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expense (1)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(102.0)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(221.6)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(227.7)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800" w:hanging="317"/>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interest expense of $152.5 million, $143.3 million, $304.7 million and $295.0 million, respectively.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5" w:name="page76"/>
    <w:bookmarkEnd w:id="75"/>
    <w:p>
      <w:pPr>
        <w:jc w:val="both"/>
        <w:ind w:left="480" w:hanging="474"/>
        <w:spacing w:after="0" w:line="252" w:lineRule="auto"/>
        <w:tabs>
          <w:tab w:leader="none" w:pos="47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Amounts include (i) 100% of the share-based compensation expense associated with Liberty Global awards held by VMED O2 JV employees who were formerly employees of Liberty Global, as these awards remain our responsibility, and (ii) our 50% share of the results of operations of the VMED O2 JV beginning June 1, 2021. The summarized results of operations of the VMED O2 JV for the period June 1, 2021 through June 30, 2021 are set forth below (in millions):</w:t>
      </w:r>
    </w:p>
    <w:p>
      <w:pPr>
        <w:spacing w:after="0" w:line="110" w:lineRule="exact"/>
        <w:rPr>
          <w:sz w:val="20"/>
          <w:szCs w:val="20"/>
          <w:color w:val="auto"/>
        </w:rPr>
      </w:pPr>
    </w:p>
    <w:tbl>
      <w:tblPr>
        <w:tblLayout w:type="fixed"/>
        <w:tblInd w:w="480" w:type="dxa"/>
        <w:tblCellMar>
          <w:top w:w="0" w:type="dxa"/>
          <w:left w:w="0" w:type="dxa"/>
          <w:bottom w:w="0" w:type="dxa"/>
          <w:right w:w="0" w:type="dxa"/>
        </w:tblCellMar>
      </w:tblP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80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8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expense (1)</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80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8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loss</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 Includes interest expense of $79.5 million.</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Gain on the U.K. JV Transaction</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U.K. JV Transaction, we recognized a pre-tax gain during the three months ended June 30, 2021 of $11.1 billion, net of the recognition of a cumulative foreign currency translation loss of $1.2 billion. For additional information, see note 4 to our condensed consolidated financial statements.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income, net</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recognized other income, net, of $7.2 million and $9.5 million for the three months ended June 30, 2021 and 2020, respectively, and $17.3 million and $61.9 million for the six months ended June 30, 2021 and 2020, respectively. These amounts include (i) credits related to the non-service components of our net periodic pension costs of $7.6 million and $4.3 million during the three-month periods, respectively, and $16.2 million and $8.8 million during the six-month periods, respectively, and (ii) interest and dividend income of $3.0 million and $10.8 million during the three-month periods, respectively and $7.0 million and $42.4 million during the six-month periods, respectively.</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Income tax expense</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recognized income tax benefit (expense) of ($282.8 million</w:t>
      </w:r>
      <w:r>
        <w:rPr>
          <w:rFonts w:ascii="Arial" w:cs="Arial" w:eastAsia="Arial" w:hAnsi="Arial"/>
          <w:sz w:val="15"/>
          <w:szCs w:val="15"/>
          <w:b w:val="1"/>
          <w:bCs w:val="1"/>
          <w:color w:val="auto"/>
        </w:rPr>
        <w:t>)</w:t>
      </w:r>
      <w:r>
        <w:rPr>
          <w:rFonts w:ascii="Arial" w:cs="Arial" w:eastAsia="Arial" w:hAnsi="Arial"/>
          <w:sz w:val="15"/>
          <w:szCs w:val="15"/>
          <w:color w:val="auto"/>
        </w:rPr>
        <w:t xml:space="preserve"> and $158.0 million during the three months ended June 30, 2021 and 2020, respectively.</w:t>
      </w:r>
    </w:p>
    <w:p>
      <w:pPr>
        <w:spacing w:after="0" w:line="28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income tax expense during the three months ended June 30, 2021 differs from the expected income tax expense of $2,176.8 million (based on the U.K. statutory income tax rate of 19.0%) primarily due to the positive impact of the non-taxable gain associated with the U.K. JV Transaction.</w:t>
      </w:r>
    </w:p>
    <w:p>
      <w:pPr>
        <w:jc w:val="both"/>
        <w:ind w:firstLine="318"/>
        <w:spacing w:after="0" w:line="267" w:lineRule="auto"/>
        <w:rPr>
          <w:sz w:val="20"/>
          <w:szCs w:val="20"/>
          <w:color w:val="auto"/>
        </w:rPr>
      </w:pPr>
      <w:r>
        <w:rPr>
          <w:rFonts w:ascii="Arial" w:cs="Arial" w:eastAsia="Arial" w:hAnsi="Arial"/>
          <w:sz w:val="17"/>
          <w:szCs w:val="17"/>
          <w:color w:val="auto"/>
        </w:rPr>
        <w:t>The income tax benefit during the three months ended June 30, 2020 differs from the expected income tax benefit of $115.8 million (based on the U.K. blended income tax rate of 17.5%) primarily due to the net positive impact of the recognition of previously unrecognized tax benefits. The net positive impact of this item was partially offset by the negative impact of (i) non-deductible or non-taxable foreign currency exchange results and (ii) certain permanent differences between the financial and tax accounting treatment of interest and other items.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recognized income tax benefit (expense) of ($453.3 million</w:t>
      </w:r>
      <w:r>
        <w:rPr>
          <w:rFonts w:ascii="Arial" w:cs="Arial" w:eastAsia="Arial" w:hAnsi="Arial"/>
          <w:sz w:val="15"/>
          <w:szCs w:val="15"/>
          <w:b w:val="1"/>
          <w:bCs w:val="1"/>
          <w:color w:val="auto"/>
        </w:rPr>
        <w:t>)</w:t>
      </w:r>
      <w:r>
        <w:rPr>
          <w:rFonts w:ascii="Arial" w:cs="Arial" w:eastAsia="Arial" w:hAnsi="Arial"/>
          <w:sz w:val="15"/>
          <w:szCs w:val="15"/>
          <w:color w:val="auto"/>
        </w:rPr>
        <w:t xml:space="preserve"> and $77.9 million during the six months ended June 30, 2021 and 2020, respectively.</w:t>
      </w:r>
    </w:p>
    <w:p>
      <w:pPr>
        <w:spacing w:after="0" w:line="28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income tax expense during the six months ended June 30, 2021 differs from the expected income tax expense of $2,482.9 million (based on the U.K.</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statutory income tax rate of 19.0%) primarily due to the positive impact of the non-taxable gain associated with the U.K. JV Transaction.</w:t>
      </w:r>
    </w:p>
    <w:p>
      <w:pPr>
        <w:spacing w:after="0" w:line="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income tax benefit during the six months ended June 30, 2020 differs from the expected income tax expense of $76.3 million (based on the U.K. blended income tax rate of 17.5%) primarily due to the net positive impact of (i) the recognition of previously unrecognized tax benefits, (ii) non-deductible or non-taxable foreign currency exchange results and (iii) tax benefits associated with technology innovation incentives. The net positive impact of these items was partially offset by the negative impact of (a) a net increase in valuation allowances and (b) certain permanent differences between the financial and tax accounting treatment of interest and other items.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6" w:name="page77"/>
    <w:bookmarkEnd w:id="76"/>
    <w:p>
      <w:pPr>
        <w:ind w:left="320"/>
        <w:spacing w:after="0"/>
        <w:rPr>
          <w:sz w:val="20"/>
          <w:szCs w:val="20"/>
          <w:color w:val="auto"/>
        </w:rPr>
      </w:pPr>
      <w:r>
        <w:rPr>
          <w:rFonts w:ascii="Arial" w:cs="Arial" w:eastAsia="Arial" w:hAnsi="Arial"/>
          <w:sz w:val="18"/>
          <w:szCs w:val="18"/>
          <w:color w:val="auto"/>
        </w:rPr>
        <w:t>For additional information concerning our income taxes, see note 11 to our condensed consolidated financial statements.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 earnings (loss)</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During the three months ended June 30, 2021 and 2020, we reported net earnings (loss) of $11,174.5 million and ($503.8 million), respectively, consisting of (i) operating income of $565.5 million and $526.8 million, respectively, (ii) net non-operating income (expense) of $10,891.8 million and ($1,188.6 million), respectively, and (iii) income tax benefit (expense) of ($282.8 million) and $158.0 million, respectively.</w:t>
      </w:r>
    </w:p>
    <w:p>
      <w:pPr>
        <w:spacing w:after="0" w:line="1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six months ended June 30, 2021 and 2020, we reported net earnings of $12,614.8 million and $513.9 million, respectively, consisting of (i) operating income of $1,190.8 million and $807.4 million, respectively, (ii) net non-operating income (expense) of $11,877.3 million and ($371.4 million), respectively, and (iii) income tax benefit (expense) of ($453.3 million) and $77.9 million, respectively.</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spacing w:after="0" w:line="22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Due largely to the fact that we seek to maintain our debt at levels that provide for attractive equity returns, as discussed below under </w:t>
      </w:r>
      <w:r>
        <w:rPr>
          <w:rFonts w:ascii="Arial" w:cs="Arial" w:eastAsia="Arial" w:hAnsi="Arial"/>
          <w:sz w:val="15"/>
          <w:szCs w:val="15"/>
          <w:i w:val="1"/>
          <w:iCs w:val="1"/>
          <w:color w:val="auto"/>
        </w:rPr>
        <w:t>Material Changes 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Financial Condition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 xml:space="preserve"> Capitalization</w:t>
      </w:r>
      <w:r>
        <w:rPr>
          <w:rFonts w:ascii="Arial" w:cs="Arial" w:eastAsia="Arial" w:hAnsi="Arial"/>
          <w:sz w:val="15"/>
          <w:szCs w:val="15"/>
          <w:color w:val="auto"/>
        </w:rPr>
        <w:t>, we expect we will continue to report significant levels of interest expense for the foreseeable future. For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concerning our expectations with respect to trends that may affect certain aspects of our operating results in future periods, see the discussion under </w:t>
      </w:r>
      <w:r>
        <w:rPr>
          <w:rFonts w:ascii="Arial" w:cs="Arial" w:eastAsia="Arial" w:hAnsi="Arial"/>
          <w:sz w:val="15"/>
          <w:szCs w:val="15"/>
          <w:i w:val="1"/>
          <w:iCs w:val="1"/>
          <w:color w:val="auto"/>
        </w:rPr>
        <w:t>Overview</w:t>
      </w:r>
      <w:r>
        <w:rPr>
          <w:rFonts w:ascii="Arial" w:cs="Arial" w:eastAsia="Arial" w:hAnsi="Arial"/>
          <w:sz w:val="15"/>
          <w:szCs w:val="15"/>
          <w:color w:val="auto"/>
        </w:rPr>
        <w:t xml:space="preserve"> above. For information concerning the reasons for changes in specific line items in our condensed consolidated statements of operations, see </w:t>
      </w:r>
      <w:r>
        <w:rPr>
          <w:rFonts w:ascii="Arial" w:cs="Arial" w:eastAsia="Arial" w:hAnsi="Arial"/>
          <w:sz w:val="15"/>
          <w:szCs w:val="15"/>
          <w:i w:val="1"/>
          <w:iCs w:val="1"/>
          <w:color w:val="auto"/>
        </w:rPr>
        <w:t>Discussion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Analysis of our Reportable Segments </w:t>
      </w:r>
      <w:r>
        <w:rPr>
          <w:rFonts w:ascii="Arial" w:cs="Arial" w:eastAsia="Arial" w:hAnsi="Arial"/>
          <w:sz w:val="15"/>
          <w:szCs w:val="15"/>
          <w:color w:val="auto"/>
        </w:rPr>
        <w:t>and</w:t>
      </w:r>
      <w:r>
        <w:rPr>
          <w:rFonts w:ascii="Arial" w:cs="Arial" w:eastAsia="Arial" w:hAnsi="Arial"/>
          <w:sz w:val="15"/>
          <w:szCs w:val="15"/>
          <w:i w:val="1"/>
          <w:iCs w:val="1"/>
          <w:color w:val="auto"/>
        </w:rPr>
        <w:t xml:space="preserve"> Discussion and Analysis of our Consolidated Operating Results </w:t>
      </w:r>
      <w:r>
        <w:rPr>
          <w:rFonts w:ascii="Arial" w:cs="Arial" w:eastAsia="Arial" w:hAnsi="Arial"/>
          <w:sz w:val="15"/>
          <w:szCs w:val="15"/>
          <w:color w:val="auto"/>
        </w:rPr>
        <w:t>above.</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 earnings attributable to noncontrolling interests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earnings attributable to noncontrolling interests decreased $25.9 million and $12.9 million during the three and six months ended June 30, 2021, respectively, as compared to the corresponding period in 2020, attributable to the results of operations of Telenet.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Material Changes in Financial Condition</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UPC Holding,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and cash equivalents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details of the U.S. dollar equivalent balances of our consolidated cash and cash equivalents at June 30, 2021 are set forth in the following table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held by:</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9880" w:type="dxa"/>
            <w:vAlign w:val="bottom"/>
          </w:tcPr>
          <w:p>
            <w:pPr>
              <w:ind w:left="140"/>
              <w:spacing w:after="0"/>
              <w:rPr>
                <w:sz w:val="20"/>
                <w:szCs w:val="20"/>
                <w:color w:val="auto"/>
              </w:rPr>
            </w:pPr>
            <w:r>
              <w:rPr>
                <w:rFonts w:ascii="Arial" w:cs="Arial" w:eastAsia="Arial" w:hAnsi="Arial"/>
                <w:sz w:val="18"/>
                <w:szCs w:val="18"/>
                <w:color w:val="auto"/>
              </w:rPr>
              <w:t>Liberty Global and unrestricted subsidiaries:</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6"/>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Liberty Global (a)</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25"/>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Unrestricted subsidiaries (b)</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641.5</w:t>
            </w:r>
          </w:p>
        </w:tc>
      </w:tr>
      <w:tr>
        <w:trPr>
          <w:trHeight w:val="219"/>
        </w:trPr>
        <w:tc>
          <w:tcPr>
            <w:tcW w:w="988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Liberty Global and unrestricted subsidiaries</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670.4</w:t>
            </w:r>
          </w:p>
        </w:tc>
      </w:tr>
      <w:tr>
        <w:trPr>
          <w:trHeight w:val="205"/>
        </w:trPr>
        <w:tc>
          <w:tcPr>
            <w:tcW w:w="9880" w:type="dxa"/>
            <w:vAlign w:val="bottom"/>
          </w:tcPr>
          <w:p>
            <w:pPr>
              <w:ind w:left="140"/>
              <w:spacing w:after="0" w:line="204" w:lineRule="exact"/>
              <w:rPr>
                <w:sz w:val="20"/>
                <w:szCs w:val="20"/>
                <w:color w:val="auto"/>
              </w:rPr>
            </w:pPr>
            <w:r>
              <w:rPr>
                <w:rFonts w:ascii="Arial" w:cs="Arial" w:eastAsia="Arial" w:hAnsi="Arial"/>
                <w:sz w:val="18"/>
                <w:szCs w:val="18"/>
                <w:color w:val="auto"/>
              </w:rPr>
              <w:t>Borrowing groups (c):</w:t>
            </w: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6"/>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Telenet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r>
      <w:tr>
        <w:trPr>
          <w:trHeight w:val="225"/>
        </w:trPr>
        <w:tc>
          <w:tcPr>
            <w:tcW w:w="9880" w:type="dxa"/>
            <w:vAlign w:val="bottom"/>
          </w:tcPr>
          <w:p>
            <w:pPr>
              <w:ind w:left="220"/>
              <w:spacing w:after="0"/>
              <w:rPr>
                <w:sz w:val="20"/>
                <w:szCs w:val="20"/>
                <w:color w:val="auto"/>
              </w:rPr>
            </w:pPr>
            <w:r>
              <w:rPr>
                <w:rFonts w:ascii="Arial" w:cs="Arial" w:eastAsia="Arial" w:hAnsi="Arial"/>
                <w:sz w:val="18"/>
                <w:szCs w:val="18"/>
                <w:color w:val="auto"/>
              </w:rPr>
              <w:t>UPC Holding</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83.4</w:t>
            </w:r>
          </w:p>
        </w:tc>
      </w:tr>
      <w:tr>
        <w:trPr>
          <w:trHeight w:val="226"/>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VM Ireland</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8"/>
        </w:trPr>
        <w:tc>
          <w:tcPr>
            <w:tcW w:w="9880" w:type="dxa"/>
            <w:vAlign w:val="bottom"/>
            <w:tcBorders>
              <w:bottom w:val="single" w:sz="8" w:color="CCEEFF"/>
            </w:tcBorders>
          </w:tcPr>
          <w:p>
            <w:pPr>
              <w:ind w:left="380"/>
              <w:spacing w:after="0" w:line="204" w:lineRule="exact"/>
              <w:rPr>
                <w:sz w:val="20"/>
                <w:szCs w:val="20"/>
                <w:color w:val="auto"/>
              </w:rPr>
            </w:pPr>
            <w:r>
              <w:rPr>
                <w:rFonts w:ascii="Arial" w:cs="Arial" w:eastAsia="Arial" w:hAnsi="Arial"/>
                <w:sz w:val="18"/>
                <w:szCs w:val="18"/>
                <w:color w:val="auto"/>
              </w:rPr>
              <w:t>Total borrowing groups</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w:t>
            </w:r>
          </w:p>
        </w:tc>
      </w:tr>
      <w:tr>
        <w:trPr>
          <w:trHeight w:val="244"/>
        </w:trPr>
        <w:tc>
          <w:tcPr>
            <w:tcW w:w="9880" w:type="dxa"/>
            <w:vAlign w:val="bottom"/>
            <w:tcBorders>
              <w:bottom w:val="single" w:sz="8" w:color="CCEEFF"/>
            </w:tcBorders>
            <w:shd w:val="clear" w:color="auto" w:fill="CCEEFF"/>
          </w:tcPr>
          <w:p>
            <w:pPr>
              <w:ind w:left="500"/>
              <w:spacing w:after="0" w:line="205" w:lineRule="exact"/>
              <w:rPr>
                <w:sz w:val="20"/>
                <w:szCs w:val="20"/>
                <w:color w:val="auto"/>
              </w:rPr>
            </w:pPr>
            <w:r>
              <w:rPr>
                <w:rFonts w:ascii="Arial" w:cs="Arial" w:eastAsia="Arial" w:hAnsi="Arial"/>
                <w:sz w:val="18"/>
                <w:szCs w:val="18"/>
                <w:color w:val="auto"/>
              </w:rPr>
              <w:t>Total cash and cash equivalents</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874.3</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the amount held by Liberty Global on a standalone basis.</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the aggregate amount held by subsidiaries that are outside of our borrowing groups.</w:t>
      </w:r>
    </w:p>
    <w:p>
      <w:pPr>
        <w:spacing w:after="0" w:line="243" w:lineRule="exact"/>
        <w:rPr>
          <w:rFonts w:ascii="Arial" w:cs="Arial" w:eastAsia="Arial" w:hAnsi="Arial"/>
          <w:sz w:val="18"/>
          <w:szCs w:val="18"/>
          <w:color w:val="auto"/>
        </w:rPr>
      </w:pPr>
    </w:p>
    <w:p>
      <w:pPr>
        <w:ind w:left="160" w:right="1200" w:hanging="154"/>
        <w:spacing w:after="0" w:line="264" w:lineRule="auto"/>
        <w:tabs>
          <w:tab w:leader="none" w:pos="4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Represents the aggregate amounts held by the parent entity and restricted subsidiaries of our borrowing groups, unless otherwise noted. </w:t>
      </w:r>
      <w:r>
        <w:rPr>
          <w:rFonts w:ascii="Arial" w:cs="Arial" w:eastAsia="Arial" w:hAnsi="Arial"/>
          <w:sz w:val="18"/>
          <w:szCs w:val="18"/>
          <w:i w:val="1"/>
          <w:iCs w:val="1"/>
          <w:color w:val="auto"/>
        </w:rPr>
        <w:t>Liquidity of Liberty Global and its unrestricted subsidiaries</w:t>
      </w:r>
    </w:p>
    <w:p>
      <w:pPr>
        <w:spacing w:after="0" w:line="2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$28.9 million of cash and cash equivalents held by Liberty Global and, subject to certain tax and legal considerations, the $641.5 million of aggregate cash and cash equivalents held by unrestricted subsidiaries, together with the $3,239.5 million of investments held under SMAs, represented available liquidity at the corporate level at June 30, 2021. Our remaining cash and cash equivalents of $203.9 million at June 30, 2021 were held by our borrowing groups, as set forth in the table above. As noted above, various factors may limit our ability to access the cash of our borrowing groups. For information regarding certain limitations imposed by our subsidiaries’ debt instruments at June 30, 2021, see note 9 to our condensed consolidated financial statements.</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current sources of corporate liquidity include (i) cash and cash equivalents held by Liberty Global and, subject to certain tax and legal considerations, Liberty Global’s unrestricted subsidiaries, (ii) investments held under SMAs, (iii) interest and dividend income received on our and, subject to certain tax and legal considerations, our unrestricted subsidiaries’ cash and cash equivalents and investments, including dividends received from the VodafoneZiggo JV or the VMED O2 JV, (iv) cash received with respect to transitional and other services provided to various third parties and (v) interest payments received with respect to the VodafoneZiggo JV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78" w:name="page79"/>
    <w:bookmarkEnd w:id="78"/>
    <w:p>
      <w:pPr>
        <w:jc w:val="both"/>
        <w:ind w:firstLine="318"/>
        <w:spacing w:after="0" w:line="248" w:lineRule="auto"/>
        <w:rPr>
          <w:sz w:val="20"/>
          <w:szCs w:val="20"/>
          <w:color w:val="auto"/>
        </w:rPr>
      </w:pPr>
      <w:r>
        <w:rPr>
          <w:rFonts w:ascii="Arial" w:cs="Arial" w:eastAsia="Arial" w:hAnsi="Arial"/>
          <w:sz w:val="18"/>
          <w:szCs w:val="18"/>
          <w:color w:val="auto"/>
        </w:rPr>
        <w:t>From time to time, Liberty Global and its unrestricted subsidiaries may also receive (i) proceeds in the form of distributions or loan repayments from Liberty Global’s borrowing groups or affiliates (including amounts from the VodafoneZiggo JV or the VMED O2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22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At June 30, 2021, our consolidated cash and cash equivalents balance included $845.4 million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7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the amount of cash we receive from our subsidiaries to satisfy U.S. dollar-denominated liquidity requirements is impacted by fluctuations in exchange rates, particularly with regard to the translation of British pounds sterling and euros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corporate liquidity requirements include corporate general and administrative expenses and, from time to time, cash requirements in connection with</w:t>
      </w:r>
    </w:p>
    <w:p>
      <w:pPr>
        <w:spacing w:after="0" w:line="51" w:lineRule="exact"/>
        <w:rPr>
          <w:sz w:val="20"/>
          <w:szCs w:val="20"/>
          <w:color w:val="auto"/>
        </w:rPr>
      </w:pPr>
    </w:p>
    <w:p>
      <w:pPr>
        <w:jc w:val="both"/>
        <w:ind w:firstLine="6"/>
        <w:spacing w:after="0" w:line="247" w:lineRule="auto"/>
        <w:tabs>
          <w:tab w:leader="none" w:pos="2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repayment of third-party and intercompany debt, (ii) the satisfaction of contingent liabilities, (iii) acquisitions, (iv) the repurchase of equity and debt securities, (v) other investment opportunities, (vi) any funding requirements of our subsidiaries and affiliates or (vii) income tax payments. In addition, our parent entity uses available liquidity to make interest and principal payments on notes payable to certain of our unrestricted subsidiaries (aggregate outstanding principal of $10.4 billion at June 30, 2021 with varying maturity dates).</w:t>
      </w:r>
    </w:p>
    <w:p>
      <w:pPr>
        <w:spacing w:after="0" w:line="22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During the six months ended June 30, 2021, the aggregate amount of our share repurchases was $668.6 million, including direct acquisition costs. At June 30, 2021, the remaining amount authorized for share repurchases under our existing repurchase program was $334.8 million. In July 2021, our board of directors authorized a new share repurchase program. For additional information, see note 12 to our condensed consolidated financial statements.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Liquidity of borrowing groups</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June 30, 2021, see note 9 to our condensed consolidated financial statements. The aforementioned sources of liquidity may be supplemented in certain cases by contributions and/or loans from Liberty Global and its unrestricted subsidiaries.</w:t>
      </w:r>
    </w:p>
    <w:p>
      <w:pPr>
        <w:spacing w:after="0" w:line="17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liquidity of our borrowing groups generally is used to fund (i) property and equipment additions, (ii) debt service requirements and (iii) income tax payments, as well as to settle certain obligations that are not included on our June 30, 2021 condensed consolidated balance sheet. In this regard, we have significant commitments related to (a) programming, studio output and sports rights contracts, (b) certain operating costs associated with our networks and (c) purchase obligations associated with customer premises equipment and certain service-related commitments. These obligations are expected to represent a significant liquidity requirement of our borrowing groups, the majority of which is due over the next 12 to 24 months. For additional information regarding our commitments, see note 15 to our condensed consolidated financial statements.</w:t>
      </w:r>
    </w:p>
    <w:p>
      <w:pPr>
        <w:spacing w:after="0" w:line="2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For additional information regarding our consolidated cash flows, see the discussion under </w:t>
      </w:r>
      <w:r>
        <w:rPr>
          <w:rFonts w:ascii="Arial" w:cs="Arial" w:eastAsia="Arial" w:hAnsi="Arial"/>
          <w:sz w:val="15"/>
          <w:szCs w:val="15"/>
          <w:i w:val="1"/>
          <w:iCs w:val="1"/>
          <w:color w:val="auto"/>
        </w:rPr>
        <w:t>Condensed Consolidated Statements of Cash Flows</w:t>
      </w:r>
      <w:r>
        <w:rPr>
          <w:rFonts w:ascii="Arial" w:cs="Arial" w:eastAsia="Arial" w:hAnsi="Arial"/>
          <w:sz w:val="15"/>
          <w:szCs w:val="15"/>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9" w:name="page80"/>
    <w:bookmarkEnd w:id="79"/>
    <w:p>
      <w:pPr>
        <w:ind w:left="160"/>
        <w:spacing w:after="0"/>
        <w:rPr>
          <w:sz w:val="20"/>
          <w:szCs w:val="20"/>
          <w:color w:val="auto"/>
        </w:rPr>
      </w:pPr>
      <w:r>
        <w:rPr>
          <w:rFonts w:ascii="Arial" w:cs="Arial" w:eastAsia="Arial" w:hAnsi="Arial"/>
          <w:sz w:val="18"/>
          <w:szCs w:val="18"/>
          <w:b w:val="1"/>
          <w:bCs w:val="1"/>
          <w:i w:val="1"/>
          <w:iCs w:val="1"/>
          <w:color w:val="auto"/>
        </w:rPr>
        <w:t>Capitalization</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seek to maintain our debt at levels that provide for attractive equity returns without assuming undue risk. In this regard, we generally seek to cause our operating subsidiaries to maintain their debt at levels that result in a consolidated debt balance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condensed consolidated statements of operations.</w:t>
      </w:r>
    </w:p>
    <w:p>
      <w:pPr>
        <w:spacing w:after="0" w:line="20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plc. Our credit facilities and senior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June 30, 2021,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21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At June 30, 2021, the outstanding principal amount of our consolidated debt, together with our finance lease obligations, aggregated $15.3 billion, including $1.0 billion that is classified as current on our condensed consolidated balance sheet and $13.9 billion that is not due until 2027 or thereafter. All of our consolidated debt and finance lease obligations have been borrowed or incurred by our subsidiaries at June 30, 2021.</w:t>
      </w:r>
    </w:p>
    <w:p>
      <w:pPr>
        <w:spacing w:after="0" w:line="1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(including with respect to the COVID-19 pandemic),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20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additional information concerning our debt and finance lease obligations, see notes 9 and 10, respectively,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0" w:name="page81"/>
    <w:bookmarkEnd w:id="80"/>
    <w:p>
      <w:pPr>
        <w:ind w:left="160"/>
        <w:spacing w:after="0"/>
        <w:rPr>
          <w:sz w:val="20"/>
          <w:szCs w:val="20"/>
          <w:color w:val="auto"/>
        </w:rPr>
      </w:pPr>
      <w:r>
        <w:rPr>
          <w:rFonts w:ascii="Arial" w:cs="Arial" w:eastAsia="Arial" w:hAnsi="Arial"/>
          <w:sz w:val="18"/>
          <w:szCs w:val="18"/>
          <w:b w:val="1"/>
          <w:bCs w:val="1"/>
          <w:i w:val="1"/>
          <w:iCs w:val="1"/>
          <w:color w:val="auto"/>
        </w:rPr>
        <w:t>Condensed Consolidated Statements of Cash Flows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cash flows are subject to significant variations due to FX.</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Summary. </w:t>
      </w:r>
      <w:r>
        <w:rPr>
          <w:rFonts w:ascii="Arial" w:cs="Arial" w:eastAsia="Arial" w:hAnsi="Arial"/>
          <w:sz w:val="17"/>
          <w:szCs w:val="17"/>
          <w:color w:val="auto"/>
        </w:rPr>
        <w:t>Our condensed consolidated statements of cash flows for the six months ended June 30, 2021 and 2020 are summarized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5"/>
          </w:tcPr>
          <w:p>
            <w:pPr>
              <w:ind w:left="360"/>
              <w:spacing w:after="0"/>
              <w:rPr>
                <w:sz w:val="20"/>
                <w:szCs w:val="20"/>
                <w:color w:val="auto"/>
              </w:rPr>
            </w:pPr>
            <w:r>
              <w:rPr>
                <w:rFonts w:ascii="Arial" w:cs="Arial" w:eastAsia="Arial" w:hAnsi="Arial"/>
                <w:sz w:val="16"/>
                <w:szCs w:val="16"/>
                <w:b w:val="1"/>
                <w:bCs w:val="1"/>
                <w:color w:val="auto"/>
              </w:rPr>
              <w:t>Six months ended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7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8"/>
        </w:trPr>
        <w:tc>
          <w:tcPr>
            <w:tcW w:w="7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Change</w:t>
            </w:r>
          </w:p>
        </w:tc>
      </w:tr>
      <w:tr>
        <w:trPr>
          <w:trHeight w:val="203"/>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63"/>
        </w:trPr>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Net cash used by investing activities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(1,799.0)</w:t>
            </w:r>
          </w:p>
        </w:tc>
      </w:tr>
      <w:tr>
        <w:trPr>
          <w:trHeight w:val="22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by financing activities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1,359.1</w:t>
            </w:r>
          </w:p>
        </w:tc>
      </w:tr>
      <w:tr>
        <w:trPr>
          <w:trHeight w:val="22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r>
      <w:tr>
        <w:trPr>
          <w:trHeight w:val="244"/>
        </w:trPr>
        <w:tc>
          <w:tcPr>
            <w:tcW w:w="7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decrease in cash and cash equivalents and restricted cash</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increase in net cash provided by our operating activities is primarily attributable to the net effect of (i) an increase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due to higher cash received from dividends, (ii) an increase due to FX, (iii) an increase in cash provided by our Adjusted EBITDA and related working capital items, which includes an increase in cash of $63.4 million (at the applicable rate) in connection with a receivables financing transaction, (iv) an increase in cash provided due to lower payments of interest and (v) a decrease in cash provided due to higher payments for taxes. Consolidated Adjusted EBITDA is a non-GAAP measure, which investors should view as a supplement to, and not a substitute for, GAAP measures of performance included in our condensed consolidated statements of operations.</w:t>
      </w:r>
    </w:p>
    <w:p>
      <w:pPr>
        <w:spacing w:after="0" w:line="22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The increase in net cash used by our investing activities is primarily attributable to the net effect of (i) an increase in cash used of</w:t>
      </w:r>
      <w:r>
        <w:rPr>
          <w:rFonts w:ascii="Arial" w:cs="Arial" w:eastAsia="Arial" w:hAnsi="Arial"/>
          <w:sz w:val="17"/>
          <w:szCs w:val="17"/>
          <w:i w:val="1"/>
          <w:iCs w:val="1"/>
          <w:color w:val="auto"/>
        </w:rPr>
        <w:t xml:space="preserve"> </w:t>
      </w:r>
      <w:r>
        <w:rPr>
          <w:rFonts w:ascii="Arial" w:cs="Arial" w:eastAsia="Arial" w:hAnsi="Arial"/>
          <w:sz w:val="17"/>
          <w:szCs w:val="17"/>
          <w:color w:val="auto"/>
        </w:rPr>
        <w:t>$3,424.0 million associated with restricted cash contributed to the VMED O2 JV in connection with the U.K. JV Transaction, (ii) a decrease in cash used of $1,899.2 million associated with lower net cash paid for investments, primarily related to our investments held under SMAs, and (iii) an increase in cash used of $219.3 million due to higher capital expenditures. Capital expenditures increased from $649.6 million during the first six months of 2020 to $868.9 million during the first six months of 2021 due to (a) an increase in our net local currency capital expenditures and related working capital movements, including the impact of lower capital-related vendor financing, and (b) an increase due to FX.</w:t>
      </w:r>
    </w:p>
    <w:p>
      <w:pPr>
        <w:spacing w:after="0" w:line="206"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finance lease arrangements, and</w:t>
      </w:r>
    </w:p>
    <w:p>
      <w:pPr>
        <w:spacing w:after="0" w:line="3" w:lineRule="exact"/>
        <w:rPr>
          <w:sz w:val="20"/>
          <w:szCs w:val="20"/>
          <w:color w:val="auto"/>
        </w:rPr>
      </w:pPr>
    </w:p>
    <w:p>
      <w:pPr>
        <w:jc w:val="both"/>
        <w:ind w:firstLine="6"/>
        <w:spacing w:after="0" w:line="248" w:lineRule="auto"/>
        <w:tabs>
          <w:tab w:leader="none" w:pos="266"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total property and equipment additions, which include our capital expenditures on an accrual basis and amounts financed under capital-related vendor financing or finance lease arrangements. For further details regarding our property and equipment additions, see note 16 to our condensed consolidated financial statements.</w:t>
      </w:r>
    </w:p>
    <w:p>
      <w:pPr>
        <w:spacing w:after="0" w:line="22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 reconciliation of our consolidated property and equipment additions to our consolidated capital expenditures, as reported in our condensed consolidated statements of cash flows, is set forth below:</w:t>
      </w:r>
    </w:p>
    <w:p>
      <w:pPr>
        <w:jc w:val="center"/>
        <w:ind w:left="8660"/>
        <w:spacing w:after="0"/>
        <w:rPr>
          <w:sz w:val="20"/>
          <w:szCs w:val="20"/>
          <w:color w:val="auto"/>
        </w:rPr>
      </w:pPr>
      <w:r>
        <w:rPr>
          <w:rFonts w:ascii="Arial" w:cs="Arial" w:eastAsia="Arial" w:hAnsi="Arial"/>
          <w:sz w:val="16"/>
          <w:szCs w:val="16"/>
          <w:b w:val="1"/>
          <w:bCs w:val="1"/>
          <w:color w:val="auto"/>
        </w:rPr>
        <w:t>Six months ended</w:t>
      </w:r>
    </w:p>
    <w:p>
      <w:pPr>
        <w:jc w:val="center"/>
        <w:ind w:left="8660"/>
        <w:spacing w:after="0"/>
        <w:rPr>
          <w:sz w:val="20"/>
          <w:szCs w:val="20"/>
          <w:color w:val="auto"/>
        </w:rPr>
      </w:pPr>
      <w:r>
        <w:rPr>
          <w:rFonts w:ascii="Arial" w:cs="Arial" w:eastAsia="Arial" w:hAnsi="Arial"/>
          <w:sz w:val="16"/>
          <w:szCs w:val="16"/>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r>
      <w:tr>
        <w:trPr>
          <w:trHeight w:val="202"/>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r>
      <w:tr>
        <w:trPr>
          <w:trHeight w:val="110"/>
        </w:trPr>
        <w:tc>
          <w:tcPr>
            <w:tcW w:w="8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2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additions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1,242.4</w:t>
            </w:r>
          </w:p>
        </w:tc>
      </w:tr>
      <w:tr>
        <w:trPr>
          <w:trHeight w:val="225"/>
        </w:trPr>
        <w:tc>
          <w:tcPr>
            <w:tcW w:w="8700" w:type="dxa"/>
            <w:vAlign w:val="bottom"/>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(702.9)</w:t>
            </w:r>
          </w:p>
        </w:tc>
      </w:tr>
      <w:tr>
        <w:trPr>
          <w:trHeight w:val="226"/>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finance leases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25"/>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r>
      <w:tr>
        <w:trPr>
          <w:trHeight w:val="244"/>
        </w:trPr>
        <w:tc>
          <w:tcPr>
            <w:tcW w:w="8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Capital expenditures, net</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649.6</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1" w:name="page82"/>
    <w:bookmarkEnd w:id="81"/>
    <w:p>
      <w:pPr>
        <w:jc w:val="both"/>
        <w:ind w:firstLine="318"/>
        <w:spacing w:after="0" w:line="318" w:lineRule="auto"/>
        <w:rPr>
          <w:sz w:val="20"/>
          <w:szCs w:val="20"/>
          <w:color w:val="auto"/>
        </w:rPr>
      </w:pPr>
      <w:r>
        <w:rPr>
          <w:rFonts w:ascii="Arial" w:cs="Arial" w:eastAsia="Arial" w:hAnsi="Arial"/>
          <w:sz w:val="15"/>
          <w:szCs w:val="15"/>
          <w:color w:val="auto"/>
        </w:rPr>
        <w:t>The increase in our property and equipment additions during the six months ended June 30, 2021, as compared to the corresponding period in 2020, is primarily due to (i) an increase due to FX and (ii) an increase in local currency expenditures of our subsidiaries due to the net effect of (a) a decrease in expenditures for new build and upgrade projects, (b) an increase in baseline expenditures, including network improvements and expenditures for property and facilities and information technology systems, and (c) an increase in expenditures for the purchase and installation of customer premises equipment.</w:t>
      </w:r>
    </w:p>
    <w:p>
      <w:pPr>
        <w:spacing w:after="0" w:line="17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decrease in net cash used by our financing activities is primarily attributable to (i) a decrease in cash used of $1,192.3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due to lower net repayments of debt and finance lease obligations, (ii) a decrease in cash used of $203.9 million due to lower payments for financing costs and debt premiums and (iii) lower net cash receipts related to derivative instruments of $52.1 million.</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4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define adjusted free cash flow as net cash provided by the operating activities of our continuing operations, plus (i) cash payments for third-party costs directly associated with successful and unsuccessful acquisitions and dispositions and (ii) expenses financed by an intermediary, less (a) capital expenditures, as reported in our condensed consolidated statements of cash flows, (b) principal payments on amounts financed by vendors and intermediaries and (c) principal payments on finance leases (exclusive of the portions of the network lease in Belgium that we assumed in connection with an acquisition), with each item excluding any cash provided or used by our discontinued operations. We believe our presentation of adjusted free cash flow provides useful information to our investors because this measure can be used to gauge our ability to service debt and fund new investment opportunities. Adjusted free cash flow, which is a non-GAAP measure, should not be understood to represent our ability to fund discretionary amounts, as we have various mandatory and contractual obligations, including debt repayments, that are not deducted to arrive at this amount. Investors should view adjusted free cash flow as a supplement to, and not a substitute for, GAAP measures of liquidity included in our condensed consolidated statements of cash flows.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the details of our adjusted free cash flow:</w:t>
      </w:r>
    </w:p>
    <w:p>
      <w:pPr>
        <w:spacing w:after="0" w:line="36"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Six months ended</w:t>
      </w:r>
    </w:p>
    <w:p>
      <w:pPr>
        <w:jc w:val="center"/>
        <w:ind w:left="8620"/>
        <w:spacing w:after="0"/>
        <w:rPr>
          <w:sz w:val="20"/>
          <w:szCs w:val="20"/>
          <w:color w:val="auto"/>
        </w:rPr>
      </w:pPr>
      <w:r>
        <w:rPr>
          <w:rFonts w:ascii="Arial" w:cs="Arial" w:eastAsia="Arial" w:hAnsi="Arial"/>
          <w:sz w:val="16"/>
          <w:szCs w:val="16"/>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r>
      <w:tr>
        <w:trPr>
          <w:trHeight w:val="202"/>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110"/>
        </w:trPr>
        <w:tc>
          <w:tcPr>
            <w:tcW w:w="8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25"/>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1,591.9</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Cash payments for direct acquisition and disposition costs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financed by an intermediary (a)</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1,274.5</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Capital expenditures,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(649.6)</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amounts financed by vendors and intermediaries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(2,054.0)</w:t>
            </w:r>
          </w:p>
        </w:tc>
      </w:tr>
      <w:tr>
        <w:trPr>
          <w:trHeight w:val="225"/>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Principal payments on certain finance leases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r>
      <w:tr>
        <w:trPr>
          <w:trHeight w:val="244"/>
        </w:trPr>
        <w:tc>
          <w:tcPr>
            <w:tcW w:w="8640" w:type="dxa"/>
            <w:vAlign w:val="bottom"/>
            <w:tcBorders>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Adjusted free cash flow</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44" w:lineRule="exact"/>
        <w:rPr>
          <w:sz w:val="20"/>
          <w:szCs w:val="20"/>
          <w:color w:val="auto"/>
        </w:rPr>
      </w:pPr>
    </w:p>
    <w:p>
      <w:pPr>
        <w:jc w:val="both"/>
        <w:ind w:left="480" w:hanging="474"/>
        <w:spacing w:after="0" w:line="318" w:lineRule="auto"/>
        <w:tabs>
          <w:tab w:leader="none" w:pos="477" w:val="left"/>
        </w:tabs>
        <w:numPr>
          <w:ilvl w:val="0"/>
          <w:numId w:val="79"/>
        </w:numPr>
        <w:rPr>
          <w:rFonts w:ascii="Arial" w:cs="Arial" w:eastAsia="Arial" w:hAnsi="Arial"/>
          <w:sz w:val="15"/>
          <w:szCs w:val="15"/>
          <w:color w:val="auto"/>
        </w:rPr>
      </w:pPr>
      <w:r>
        <w:rPr>
          <w:rFonts w:ascii="Arial" w:cs="Arial" w:eastAsia="Arial" w:hAnsi="Arial"/>
          <w:sz w:val="15"/>
          <w:szCs w:val="15"/>
          <w:color w:val="auto"/>
        </w:rPr>
        <w:t>For purposes of our condensed consolidated statements of cash flows, expenses financed by an intermediary are treated as hypothetical operating cash outflows and hypothetical financing cash inflows when the expenses are incurred. When we pay the financing intermediary, we record financing cash outflows in our condensed consolidated statements of cash flows. For purposes of our adjusted free cash flow definition, we add back the hypothetical operating cash outflow when these financed expenses are incurred and deduct the financing cash outflows when we pay the financing intermediary.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2" w:name="page83"/>
    <w:bookmarkEnd w:id="82"/>
    <w:p>
      <w:pPr>
        <w:spacing w:after="0"/>
        <w:tabs>
          <w:tab w:leader="none" w:pos="6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22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 xml:space="preserve">The information in this section should be read in conjunction with the more complete discussion that appears under Part II, Item 7A. </w:t>
      </w:r>
      <w:r>
        <w:rPr>
          <w:rFonts w:ascii="Arial" w:cs="Arial" w:eastAsia="Arial" w:hAnsi="Arial"/>
          <w:sz w:val="17"/>
          <w:szCs w:val="17"/>
          <w:i w:val="1"/>
          <w:iCs w:val="1"/>
          <w:color w:val="auto"/>
        </w:rPr>
        <w:t>Quantitative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Qualitative Disclosures About Market Risk </w:t>
      </w:r>
      <w:r>
        <w:rPr>
          <w:rFonts w:ascii="Arial" w:cs="Arial" w:eastAsia="Arial" w:hAnsi="Arial"/>
          <w:sz w:val="17"/>
          <w:szCs w:val="17"/>
          <w:color w:val="auto"/>
        </w:rPr>
        <w:t>in our 10-K. The following discussion updates selected numerical information to June 30, 2021.</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indicated, convenience translations into U.S. dollars are calculated as of June 30, 2021.</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w:t>
      </w:r>
    </w:p>
    <w:p>
      <w:pPr>
        <w:spacing w:after="0" w:line="2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June 30, 2021, $393.3 million or 45.0%, $265.4 million or 30.4% and $140.4 million or 16.1% of our consolidated cash balances were denominated in euros, British pound sterling and U.S. dollars, respectively.</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spacing w:after="0" w:line="16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relationships between the primary currencies of the countries in which we operate and the U.S. dollar, which is our reporting currency, are shown below, per one U.S. dollar:</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400"/>
              <w:spacing w:after="0"/>
              <w:rPr>
                <w:sz w:val="20"/>
                <w:szCs w:val="20"/>
                <w:color w:val="auto"/>
              </w:rPr>
            </w:pPr>
            <w:r>
              <w:rPr>
                <w:rFonts w:ascii="Arial" w:cs="Arial" w:eastAsia="Arial" w:hAnsi="Arial"/>
                <w:sz w:val="16"/>
                <w:szCs w:val="16"/>
                <w:b w:val="1"/>
                <w:bCs w:val="1"/>
                <w:color w:val="auto"/>
              </w:rPr>
              <w:t>June 30,</w:t>
            </w:r>
          </w:p>
        </w:tc>
        <w:tc>
          <w:tcPr>
            <w:tcW w:w="1360" w:type="dxa"/>
            <w:vAlign w:val="bottom"/>
          </w:tcPr>
          <w:p>
            <w:pPr>
              <w:jc w:val="right"/>
              <w:ind w:right="134"/>
              <w:spacing w:after="0"/>
              <w:rPr>
                <w:sz w:val="20"/>
                <w:szCs w:val="20"/>
                <w:color w:val="auto"/>
              </w:rPr>
            </w:pPr>
            <w:r>
              <w:rPr>
                <w:rFonts w:ascii="Arial" w:cs="Arial" w:eastAsia="Arial" w:hAnsi="Arial"/>
                <w:sz w:val="16"/>
                <w:szCs w:val="16"/>
                <w:b w:val="1"/>
                <w:bCs w:val="1"/>
                <w:color w:val="auto"/>
              </w:rPr>
              <w:t>December 31,</w:t>
            </w:r>
          </w:p>
        </w:tc>
      </w:tr>
      <w:tr>
        <w:trPr>
          <w:trHeight w:val="208"/>
        </w:trPr>
        <w:tc>
          <w:tcPr>
            <w:tcW w:w="5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r>
      <w:tr>
        <w:trPr>
          <w:trHeight w:val="194"/>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Spot rates:</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8"/>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0.8440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0.8180</w:t>
            </w:r>
          </w:p>
        </w:tc>
      </w:tr>
      <w:tr>
        <w:trPr>
          <w:trHeight w:val="225"/>
        </w:trPr>
        <w:tc>
          <w:tcPr>
            <w:tcW w:w="5460" w:type="dxa"/>
            <w:vAlign w:val="bottom"/>
          </w:tcPr>
          <w:p>
            <w:pPr>
              <w:ind w:left="140"/>
              <w:spacing w:after="0"/>
              <w:rPr>
                <w:sz w:val="20"/>
                <w:szCs w:val="20"/>
                <w:color w:val="auto"/>
              </w:rPr>
            </w:pPr>
            <w:r>
              <w:rPr>
                <w:rFonts w:ascii="Arial" w:cs="Arial" w:eastAsia="Arial" w:hAnsi="Arial"/>
                <w:sz w:val="18"/>
                <w:szCs w:val="18"/>
                <w:color w:val="auto"/>
              </w:rPr>
              <w:t>British pound sterling</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ind w:left="820"/>
              <w:spacing w:after="0"/>
              <w:rPr>
                <w:sz w:val="20"/>
                <w:szCs w:val="20"/>
                <w:color w:val="auto"/>
              </w:rPr>
            </w:pPr>
            <w:r>
              <w:rPr>
                <w:rFonts w:ascii="Arial" w:cs="Arial" w:eastAsia="Arial" w:hAnsi="Arial"/>
                <w:sz w:val="18"/>
                <w:szCs w:val="18"/>
                <w:color w:val="auto"/>
                <w:w w:val="98"/>
              </w:rPr>
              <w:t>0.7246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0.7325</w:t>
            </w:r>
          </w:p>
        </w:tc>
      </w:tr>
      <w:tr>
        <w:trPr>
          <w:trHeight w:val="226"/>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Swiss franc</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0.9255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0.8852</w:t>
            </w:r>
          </w:p>
        </w:tc>
      </w:tr>
      <w:tr>
        <w:trPr>
          <w:trHeight w:val="224"/>
        </w:trPr>
        <w:tc>
          <w:tcPr>
            <w:tcW w:w="5460" w:type="dxa"/>
            <w:vAlign w:val="bottom"/>
          </w:tcPr>
          <w:p>
            <w:pPr>
              <w:ind w:left="140"/>
              <w:spacing w:after="0"/>
              <w:rPr>
                <w:sz w:val="20"/>
                <w:szCs w:val="20"/>
                <w:color w:val="auto"/>
              </w:rPr>
            </w:pPr>
            <w:r>
              <w:rPr>
                <w:rFonts w:ascii="Arial" w:cs="Arial" w:eastAsia="Arial" w:hAnsi="Arial"/>
                <w:sz w:val="18"/>
                <w:szCs w:val="18"/>
                <w:color w:val="auto"/>
              </w:rPr>
              <w:t>Polish zloty</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ind w:left="820"/>
              <w:spacing w:after="0"/>
              <w:rPr>
                <w:sz w:val="20"/>
                <w:szCs w:val="20"/>
                <w:color w:val="auto"/>
              </w:rPr>
            </w:pPr>
            <w:r>
              <w:rPr>
                <w:rFonts w:ascii="Arial" w:cs="Arial" w:eastAsia="Arial" w:hAnsi="Arial"/>
                <w:sz w:val="18"/>
                <w:szCs w:val="18"/>
                <w:color w:val="auto"/>
                <w:w w:val="98"/>
              </w:rPr>
              <w:t>3.8154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3.7363</w:t>
            </w:r>
          </w:p>
        </w:tc>
      </w:tr>
      <w:tr>
        <w:trPr>
          <w:trHeight w:val="500"/>
        </w:trPr>
        <w:tc>
          <w:tcPr>
            <w:tcW w:w="5460" w:type="dxa"/>
            <w:vAlign w:val="bottom"/>
          </w:tcPr>
          <w:p>
            <w:pPr>
              <w:spacing w:after="0"/>
              <w:rPr>
                <w:sz w:val="24"/>
                <w:szCs w:val="24"/>
                <w:color w:val="auto"/>
              </w:rPr>
            </w:pPr>
          </w:p>
        </w:tc>
        <w:tc>
          <w:tcPr>
            <w:tcW w:w="294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88"/>
              </w:rPr>
              <w:t>Three months ended</w:t>
            </w:r>
          </w:p>
        </w:tc>
        <w:tc>
          <w:tcPr>
            <w:tcW w:w="2840" w:type="dxa"/>
            <w:vAlign w:val="bottom"/>
            <w:gridSpan w:val="3"/>
          </w:tcPr>
          <w:p>
            <w:pPr>
              <w:ind w:left="820"/>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5460" w:type="dxa"/>
            <w:vAlign w:val="bottom"/>
          </w:tcPr>
          <w:p>
            <w:pPr>
              <w:spacing w:after="0"/>
              <w:rPr>
                <w:sz w:val="18"/>
                <w:szCs w:val="18"/>
                <w:color w:val="auto"/>
              </w:rPr>
            </w:pPr>
          </w:p>
        </w:tc>
        <w:tc>
          <w:tcPr>
            <w:tcW w:w="1860" w:type="dxa"/>
            <w:vAlign w:val="bottom"/>
            <w:tcBorders>
              <w:bottom w:val="single" w:sz="8" w:color="auto"/>
            </w:tcBorders>
            <w:gridSpan w:val="3"/>
          </w:tcPr>
          <w:p>
            <w:pPr>
              <w:jc w:val="center"/>
              <w:ind w:left="895"/>
              <w:spacing w:after="0"/>
              <w:rPr>
                <w:sz w:val="20"/>
                <w:szCs w:val="20"/>
                <w:color w:val="auto"/>
              </w:rPr>
            </w:pPr>
            <w:r>
              <w:rPr>
                <w:rFonts w:ascii="Arial" w:cs="Arial" w:eastAsia="Arial" w:hAnsi="Arial"/>
                <w:sz w:val="16"/>
                <w:szCs w:val="16"/>
                <w:b w:val="1"/>
                <w:bCs w:val="1"/>
                <w:color w:val="auto"/>
                <w:w w:val="87"/>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Borders>
              <w:bottom w:val="single" w:sz="8" w:color="auto"/>
            </w:tcBorders>
            <w:gridSpan w:val="3"/>
          </w:tcPr>
          <w:p>
            <w:pPr>
              <w:ind w:left="1140"/>
              <w:spacing w:after="0"/>
              <w:rPr>
                <w:sz w:val="20"/>
                <w:szCs w:val="20"/>
                <w:color w:val="auto"/>
              </w:rPr>
            </w:pPr>
            <w:r>
              <w:rPr>
                <w:rFonts w:ascii="Arial" w:cs="Arial" w:eastAsia="Arial" w:hAnsi="Arial"/>
                <w:sz w:val="16"/>
                <w:szCs w:val="16"/>
                <w:b w:val="1"/>
                <w:bCs w:val="1"/>
                <w:color w:val="auto"/>
              </w:rPr>
              <w:t>June 30,</w:t>
            </w:r>
          </w:p>
        </w:tc>
      </w:tr>
      <w:tr>
        <w:trPr>
          <w:trHeight w:val="203"/>
        </w:trPr>
        <w:tc>
          <w:tcPr>
            <w:tcW w:w="5460" w:type="dxa"/>
            <w:vAlign w:val="bottom"/>
          </w:tcPr>
          <w:p>
            <w:pPr>
              <w:spacing w:after="0"/>
              <w:rPr>
                <w:sz w:val="17"/>
                <w:szCs w:val="17"/>
                <w:color w:val="auto"/>
              </w:rPr>
            </w:pPr>
          </w:p>
        </w:tc>
        <w:tc>
          <w:tcPr>
            <w:tcW w:w="13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r>
      <w:tr>
        <w:trPr>
          <w:trHeight w:val="194"/>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Average rates:</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8"/>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0.9086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0.8296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0.9080</w:t>
            </w:r>
          </w:p>
        </w:tc>
      </w:tr>
      <w:tr>
        <w:trPr>
          <w:trHeight w:val="225"/>
        </w:trPr>
        <w:tc>
          <w:tcPr>
            <w:tcW w:w="5460" w:type="dxa"/>
            <w:vAlign w:val="bottom"/>
          </w:tcPr>
          <w:p>
            <w:pPr>
              <w:ind w:left="140"/>
              <w:spacing w:after="0"/>
              <w:rPr>
                <w:sz w:val="20"/>
                <w:szCs w:val="20"/>
                <w:color w:val="auto"/>
              </w:rPr>
            </w:pPr>
            <w:r>
              <w:rPr>
                <w:rFonts w:ascii="Arial" w:cs="Arial" w:eastAsia="Arial" w:hAnsi="Arial"/>
                <w:sz w:val="18"/>
                <w:szCs w:val="18"/>
                <w:color w:val="auto"/>
              </w:rPr>
              <w:t>British pound sterling</w:t>
            </w:r>
          </w:p>
        </w:tc>
        <w:tc>
          <w:tcPr>
            <w:tcW w:w="1360" w:type="dxa"/>
            <w:vAlign w:val="bottom"/>
          </w:tcPr>
          <w:p>
            <w:pPr>
              <w:jc w:val="right"/>
              <w:spacing w:after="0"/>
              <w:rPr>
                <w:sz w:val="20"/>
                <w:szCs w:val="20"/>
                <w:color w:val="auto"/>
              </w:rPr>
            </w:pPr>
            <w:r>
              <w:rPr>
                <w:rFonts w:ascii="Arial" w:cs="Arial" w:eastAsia="Arial" w:hAnsi="Arial"/>
                <w:sz w:val="18"/>
                <w:szCs w:val="18"/>
                <w:color w:val="auto"/>
              </w:rPr>
              <w:t>0.7151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0.8057</w:t>
            </w:r>
          </w:p>
        </w:tc>
        <w:tc>
          <w:tcPr>
            <w:tcW w:w="100" w:type="dxa"/>
            <w:vAlign w:val="bottom"/>
          </w:tcPr>
          <w:p>
            <w:pPr>
              <w:spacing w:after="0"/>
              <w:rPr>
                <w:sz w:val="19"/>
                <w:szCs w:val="19"/>
                <w:color w:val="auto"/>
              </w:rPr>
            </w:pPr>
          </w:p>
        </w:tc>
        <w:tc>
          <w:tcPr>
            <w:tcW w:w="1380" w:type="dxa"/>
            <w:vAlign w:val="bottom"/>
          </w:tcPr>
          <w:p>
            <w:pPr>
              <w:ind w:left="820"/>
              <w:spacing w:after="0"/>
              <w:rPr>
                <w:sz w:val="20"/>
                <w:szCs w:val="20"/>
                <w:color w:val="auto"/>
              </w:rPr>
            </w:pPr>
            <w:r>
              <w:rPr>
                <w:rFonts w:ascii="Arial" w:cs="Arial" w:eastAsia="Arial" w:hAnsi="Arial"/>
                <w:sz w:val="18"/>
                <w:szCs w:val="18"/>
                <w:color w:val="auto"/>
                <w:w w:val="98"/>
              </w:rPr>
              <w:t>0.7202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0.7938</w:t>
            </w:r>
          </w:p>
        </w:tc>
      </w:tr>
      <w:tr>
        <w:trPr>
          <w:trHeight w:val="226"/>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Swiss franc</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0.9639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0.9078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0.9661</w:t>
            </w:r>
          </w:p>
        </w:tc>
      </w:tr>
      <w:tr>
        <w:trPr>
          <w:trHeight w:val="224"/>
        </w:trPr>
        <w:tc>
          <w:tcPr>
            <w:tcW w:w="5460" w:type="dxa"/>
            <w:vAlign w:val="bottom"/>
          </w:tcPr>
          <w:p>
            <w:pPr>
              <w:ind w:left="140"/>
              <w:spacing w:after="0"/>
              <w:rPr>
                <w:sz w:val="20"/>
                <w:szCs w:val="20"/>
                <w:color w:val="auto"/>
              </w:rPr>
            </w:pPr>
            <w:r>
              <w:rPr>
                <w:rFonts w:ascii="Arial" w:cs="Arial" w:eastAsia="Arial" w:hAnsi="Arial"/>
                <w:sz w:val="18"/>
                <w:szCs w:val="18"/>
                <w:color w:val="auto"/>
              </w:rPr>
              <w:t>Polish zloty</w:t>
            </w:r>
          </w:p>
        </w:tc>
        <w:tc>
          <w:tcPr>
            <w:tcW w:w="1360" w:type="dxa"/>
            <w:vAlign w:val="bottom"/>
          </w:tcPr>
          <w:p>
            <w:pPr>
              <w:jc w:val="right"/>
              <w:spacing w:after="0"/>
              <w:rPr>
                <w:sz w:val="20"/>
                <w:szCs w:val="20"/>
                <w:color w:val="auto"/>
              </w:rPr>
            </w:pPr>
            <w:r>
              <w:rPr>
                <w:rFonts w:ascii="Arial" w:cs="Arial" w:eastAsia="Arial" w:hAnsi="Arial"/>
                <w:sz w:val="18"/>
                <w:szCs w:val="18"/>
                <w:color w:val="auto"/>
              </w:rPr>
              <w:t>3.7576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4.0944</w:t>
            </w:r>
          </w:p>
        </w:tc>
        <w:tc>
          <w:tcPr>
            <w:tcW w:w="100" w:type="dxa"/>
            <w:vAlign w:val="bottom"/>
          </w:tcPr>
          <w:p>
            <w:pPr>
              <w:spacing w:after="0"/>
              <w:rPr>
                <w:sz w:val="19"/>
                <w:szCs w:val="19"/>
                <w:color w:val="auto"/>
              </w:rPr>
            </w:pPr>
          </w:p>
        </w:tc>
        <w:tc>
          <w:tcPr>
            <w:tcW w:w="1380" w:type="dxa"/>
            <w:vAlign w:val="bottom"/>
          </w:tcPr>
          <w:p>
            <w:pPr>
              <w:ind w:left="820"/>
              <w:spacing w:after="0"/>
              <w:rPr>
                <w:sz w:val="20"/>
                <w:szCs w:val="20"/>
                <w:color w:val="auto"/>
              </w:rPr>
            </w:pPr>
            <w:r>
              <w:rPr>
                <w:rFonts w:ascii="Arial" w:cs="Arial" w:eastAsia="Arial" w:hAnsi="Arial"/>
                <w:sz w:val="18"/>
                <w:szCs w:val="18"/>
                <w:color w:val="auto"/>
                <w:w w:val="98"/>
              </w:rPr>
              <w:t>3.7633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4.0082</w:t>
            </w:r>
          </w:p>
        </w:tc>
      </w:tr>
      <w:tr>
        <w:trPr>
          <w:trHeight w:val="888"/>
        </w:trPr>
        <w:tc>
          <w:tcPr>
            <w:tcW w:w="5460" w:type="dxa"/>
            <w:vAlign w:val="bottom"/>
          </w:tcPr>
          <w:p>
            <w:pPr>
              <w:spacing w:after="0"/>
              <w:rPr>
                <w:sz w:val="24"/>
                <w:szCs w:val="24"/>
                <w:color w:val="auto"/>
              </w:rPr>
            </w:pPr>
          </w:p>
        </w:tc>
        <w:tc>
          <w:tcPr>
            <w:tcW w:w="1360" w:type="dxa"/>
            <w:vAlign w:val="bottom"/>
          </w:tcPr>
          <w:p>
            <w:pPr>
              <w:jc w:val="right"/>
              <w:ind w:right="1015"/>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3"/>
        </w:trPr>
        <w:tc>
          <w:tcPr>
            <w:tcW w:w="54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83" w:name="page84"/>
    <w:bookmarkEnd w:id="83"/>
    <w:p>
      <w:pPr>
        <w:ind w:left="160"/>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LIBOR-indexed debt of our borrowing groups and the variable-rate debt of certain of our other subsidiaries.</w:t>
      </w:r>
    </w:p>
    <w:p>
      <w:pPr>
        <w:spacing w:after="0" w:line="21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agreed-upon notional principal amount. We also use interest rate cap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generally for five years, with the later years covered primarily by swaptions. As such, the final maturity dates of our various portfolios of interest rate derivative instruments generally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spacing w:after="0" w:line="18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July 2017, the U.K. Financial Conduct Authority (the authority that regulates LIBOR) announced that it intends to stop compelling banks to submit rates for the calculation of LIBOR after 2021. Additionally, the European Money Markets Institute (the authority that administers EURIBOR) has announced that measures will need to be undertaken by the end of 2021 to reform EURIBOR to ensure compliance with E.U. Benchmarks Regulation. In November 2020, ICE Benchmark administration (the entity that administers LIBOR) announced its intention to continue publishing USD LIBOR rates until June 30, 2023, with the exception of the one-week and two-month rates which, along with all GBP LIBOR rates, it intends to cease publishing after December 31, 2021. While this extension allows additional runway on existing contracts using USD LIBOR rates, companies are still encouraged to transition away from using USD LIBOR as soon as practicable and should not enter into new contracts that use USD LIBOR after 2021. The methodology for EURIBOR has been reformed and EURIBOR has been granted regulatory approval to continue to be used. Currently, it is not possible to predict the exact transitional arrangements for calculating applicable reference rates that may be made in the U.K., the U.S., the Eurozone or elsewhere given that a number of outcomes are possible, including the cessation of the publication of one or more reference rates.</w:t>
      </w:r>
    </w:p>
    <w:p>
      <w:pPr>
        <w:spacing w:after="0" w:line="39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 xml:space="preserve">In October 2020, the International Swaps and Derivatives Association (the </w:t>
      </w:r>
      <w:r>
        <w:rPr>
          <w:rFonts w:ascii="Arial" w:cs="Arial" w:eastAsia="Arial" w:hAnsi="Arial"/>
          <w:sz w:val="17"/>
          <w:szCs w:val="17"/>
          <w:b w:val="1"/>
          <w:bCs w:val="1"/>
          <w:color w:val="auto"/>
        </w:rPr>
        <w:t>ISDA</w:t>
      </w:r>
      <w:r>
        <w:rPr>
          <w:rFonts w:ascii="Arial" w:cs="Arial" w:eastAsia="Arial" w:hAnsi="Arial"/>
          <w:sz w:val="17"/>
          <w:szCs w:val="17"/>
          <w:color w:val="auto"/>
        </w:rPr>
        <w:t>) launched a new supplement (the Fallback Supplement), which effective January 25, 2021, amends the standard definitions for interest rate derivatives to incorporate fallbacks for derivatives linked to certain key interbank offered rates (</w:t>
      </w:r>
      <w:r>
        <w:rPr>
          <w:rFonts w:ascii="Arial" w:cs="Arial" w:eastAsia="Arial" w:hAnsi="Arial"/>
          <w:sz w:val="17"/>
          <w:szCs w:val="17"/>
          <w:b w:val="1"/>
          <w:bCs w:val="1"/>
          <w:color w:val="auto"/>
        </w:rPr>
        <w:t>IBORs</w:t>
      </w:r>
      <w:r>
        <w:rPr>
          <w:rFonts w:ascii="Arial" w:cs="Arial" w:eastAsia="Arial" w:hAnsi="Arial"/>
          <w:sz w:val="17"/>
          <w:szCs w:val="17"/>
          <w:color w:val="auto"/>
        </w:rPr>
        <w:t>). The ISDA also launched a new protocol (the Fallback Protocol), also effective January 25, 2021, that enables market participants to incorporate these revisions into their legacy non-cleared derivatives with other counterparties that choose to adhere to the protocol. The fallbacks for a particular currency will apply following a permanent cessation of the IBOR in that currency and will be adjusted versions of the risk-free rates identified in each currency. Our loan documents contain provisions that contemplate alternative calculations of the base rate applicable to our LIBOR-indexed and EURIBOR-indexed debt to the extent LIBOR or EURIBOR (as applicable) are not available, which alternative calculations we do not anticipate will be materially different from what would have been calculated under LIBOR or EURIBOR (as applicable). Additionally, no mandatory prepayment or redemption provisions would be triggered under our loan documents in the event that either the LIBOR rate or the EURIBOR rate is not available. It is possible, however, that any new reference rate that applies to our LIBOR-indexed or EURIBOR-indexed debt could be different than any new reference rate that applies to our LIBOR-indexed or EURIBOR-indexed derivative instruments. We anticipate managing this difference and any resulting increased variable-rate exposure through modifications to our debt and/or derivative instruments, however future market conditions may not allow immediate implementation of desired modifications and the company may incur significant associated costs.</w:t>
      </w:r>
    </w:p>
    <w:p>
      <w:pPr>
        <w:spacing w:after="0" w:line="21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Weighted Average Variable Interest Rate. </w:t>
      </w:r>
      <w:r>
        <w:rPr>
          <w:rFonts w:ascii="Arial" w:cs="Arial" w:eastAsia="Arial" w:hAnsi="Arial"/>
          <w:sz w:val="17"/>
          <w:szCs w:val="17"/>
          <w:color w:val="auto"/>
        </w:rPr>
        <w:t>At June 30, 2021, the outstanding principal amount of our variable-rate indebtedness aggregated $10.0 billion,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weighted average interest rate (including margin) on such variable-rate indebtedness was approximately 2.7%,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$50.0 million. As discussed above and in note 6 to our condensed consolidated financial statements, we use interest rate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4" w:name="page85"/>
    <w:bookmarkEnd w:id="84"/>
    <w:p>
      <w:pPr>
        <w:jc w:val="both"/>
        <w:spacing w:after="0" w:line="255" w:lineRule="auto"/>
        <w:rPr>
          <w:sz w:val="20"/>
          <w:szCs w:val="20"/>
          <w:color w:val="auto"/>
        </w:rPr>
      </w:pPr>
      <w:r>
        <w:rPr>
          <w:rFonts w:ascii="Arial" w:cs="Arial" w:eastAsia="Arial" w:hAnsi="Arial"/>
          <w:sz w:val="18"/>
          <w:szCs w:val="18"/>
          <w:color w:val="auto"/>
        </w:rPr>
        <w:t>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Sensitivity Information</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6 and 7 to our condensed consolidated financial statements.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UPC Holding Cross-currency and Interest Rate Derivative Contracts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Holding all other factors constant, at June 30, 2021:</w:t>
      </w:r>
    </w:p>
    <w:p>
      <w:pPr>
        <w:spacing w:after="0" w:line="244" w:lineRule="exact"/>
        <w:rPr>
          <w:sz w:val="20"/>
          <w:szCs w:val="20"/>
          <w:color w:val="auto"/>
        </w:rPr>
      </w:pPr>
    </w:p>
    <w:p>
      <w:pPr>
        <w:ind w:left="800" w:hanging="476"/>
        <w:spacing w:after="0" w:line="365" w:lineRule="auto"/>
        <w:tabs>
          <w:tab w:leader="none" w:pos="794" w:val="left"/>
        </w:tabs>
        <w:numPr>
          <w:ilvl w:val="0"/>
          <w:numId w:val="80"/>
        </w:numPr>
        <w:rPr>
          <w:rFonts w:ascii="Arial" w:cs="Arial" w:eastAsia="Arial" w:hAnsi="Arial"/>
          <w:sz w:val="15"/>
          <w:szCs w:val="15"/>
          <w:color w:val="auto"/>
        </w:rPr>
      </w:pPr>
      <w:r>
        <w:rPr>
          <w:rFonts w:ascii="Arial" w:cs="Arial" w:eastAsia="Arial" w:hAnsi="Arial"/>
          <w:sz w:val="15"/>
          <w:szCs w:val="15"/>
          <w:color w:val="auto"/>
        </w:rPr>
        <w:t>an instantaneous increase (decrease) of 10% in the value of the Swiss franc relative to the U.S. dollar would have decreased (increased) the aggregate fair value of the UPC Holding cross-currency and interest rate derivative contracts by approximately €447 million ($530 million);</w:t>
      </w:r>
    </w:p>
    <w:p>
      <w:pPr>
        <w:spacing w:after="0" w:line="137" w:lineRule="exact"/>
        <w:rPr>
          <w:rFonts w:ascii="Arial" w:cs="Arial" w:eastAsia="Arial" w:hAnsi="Arial"/>
          <w:sz w:val="15"/>
          <w:szCs w:val="15"/>
          <w:color w:val="auto"/>
        </w:rPr>
      </w:pPr>
    </w:p>
    <w:p>
      <w:pPr>
        <w:jc w:val="both"/>
        <w:ind w:left="800" w:hanging="476"/>
        <w:spacing w:after="0" w:line="255" w:lineRule="auto"/>
        <w:tabs>
          <w:tab w:leader="none" w:pos="79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instantaneous increase (decrease) of 10% in the value of the Swiss franc and Polish zloty relative to the euro would have decreased (increased) the aggregate fair value of the UPC Holding cross-currency and interest rate derivative contracts by approximately €408 million ($484 million); and</w:t>
      </w:r>
    </w:p>
    <w:p>
      <w:pPr>
        <w:spacing w:after="0" w:line="214" w:lineRule="exact"/>
        <w:rPr>
          <w:rFonts w:ascii="Arial" w:cs="Arial" w:eastAsia="Arial" w:hAnsi="Arial"/>
          <w:sz w:val="18"/>
          <w:szCs w:val="18"/>
          <w:color w:val="auto"/>
        </w:rPr>
      </w:pPr>
    </w:p>
    <w:p>
      <w:pPr>
        <w:ind w:left="800" w:hanging="476"/>
        <w:spacing w:after="0" w:line="294" w:lineRule="auto"/>
        <w:tabs>
          <w:tab w:leader="none" w:pos="8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 instantaneous increase (decrease) in the relevant base rate of 50 basis points (0.50%) would have decreased (increased) the aggregate fair value of the UPC Holding cross-currency and interest rate derivative contracts by approximately €94 million ($112 million).</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Telenet Cross-currency and Interest Rate Derivative Contracts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Holding all other factors constant, at June 30, 2021:</w:t>
      </w:r>
    </w:p>
    <w:p>
      <w:pPr>
        <w:spacing w:after="0" w:line="244" w:lineRule="exact"/>
        <w:rPr>
          <w:sz w:val="20"/>
          <w:szCs w:val="20"/>
          <w:color w:val="auto"/>
        </w:rPr>
      </w:pPr>
    </w:p>
    <w:p>
      <w:pPr>
        <w:ind w:left="800" w:right="20" w:hanging="476"/>
        <w:spacing w:after="0" w:line="294" w:lineRule="auto"/>
        <w:tabs>
          <w:tab w:leader="none" w:pos="794"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euro relative to the U.S. dollar would have decreased (increased) the aggregate fair value of the Telenet cross-currency and interest rate derivative contracts by approximately €355 million ($421 million); and</w:t>
      </w:r>
    </w:p>
    <w:p>
      <w:pPr>
        <w:spacing w:after="0" w:line="183" w:lineRule="exact"/>
        <w:rPr>
          <w:rFonts w:ascii="Arial" w:cs="Arial" w:eastAsia="Arial" w:hAnsi="Arial"/>
          <w:sz w:val="17"/>
          <w:szCs w:val="17"/>
          <w:color w:val="auto"/>
        </w:rPr>
      </w:pPr>
    </w:p>
    <w:p>
      <w:pPr>
        <w:ind w:left="800" w:hanging="476"/>
        <w:spacing w:after="0" w:line="264" w:lineRule="auto"/>
        <w:tabs>
          <w:tab w:leader="none" w:pos="7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instantaneous increase (decrease) in the relevant base rate of 50 basis points (0.50%) would have decreased (increased) the aggregate fair value of the Telenet cross-currency and interest rate derivative contracts by approximately €89 million ($105 million).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5" w:name="page86"/>
    <w:bookmarkEnd w:id="85"/>
    <w:p>
      <w:pPr>
        <w:ind w:left="160"/>
        <w:spacing w:after="0"/>
        <w:rPr>
          <w:sz w:val="20"/>
          <w:szCs w:val="20"/>
          <w:color w:val="auto"/>
        </w:rPr>
      </w:pPr>
      <w:r>
        <w:rPr>
          <w:rFonts w:ascii="Arial" w:cs="Arial" w:eastAsia="Arial" w:hAnsi="Arial"/>
          <w:sz w:val="18"/>
          <w:szCs w:val="18"/>
          <w:b w:val="1"/>
          <w:bCs w:val="1"/>
          <w:i w:val="1"/>
          <w:iCs w:val="1"/>
          <w:color w:val="auto"/>
        </w:rPr>
        <w:t>Projected Cash Flows Associated with Derivative Instruments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table provides information regarding the projected cash flows associated with our derivative instruments. The U.S. dollar equivalents presented below are based on interest rate projections and exchange rates as of June 30, 2021. These amounts are presented for illustrative purposes only and will likely differ from the actual cash payments or receipts required in future periods. For additional information regarding our derivative instruments, see note 6 to our condensed consolidated financial statements.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8"/>
          </w:tcPr>
          <w:p>
            <w:pPr>
              <w:ind w:left="180"/>
              <w:spacing w:after="0"/>
              <w:rPr>
                <w:sz w:val="20"/>
                <w:szCs w:val="20"/>
                <w:color w:val="auto"/>
              </w:rPr>
            </w:pPr>
            <w:r>
              <w:rPr>
                <w:rFonts w:ascii="Arial" w:cs="Arial" w:eastAsia="Arial" w:hAnsi="Arial"/>
                <w:sz w:val="16"/>
                <w:szCs w:val="16"/>
                <w:b w:val="1"/>
                <w:bCs w:val="1"/>
                <w:color w:val="auto"/>
              </w:rPr>
              <w:t>Payments (receipts) due during:</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Remainder</w:t>
            </w:r>
          </w:p>
        </w:tc>
        <w:tc>
          <w:tcPr>
            <w:tcW w:w="200" w:type="dxa"/>
            <w:vAlign w:val="bottom"/>
          </w:tcPr>
          <w:p>
            <w:pPr>
              <w:spacing w:after="0"/>
              <w:rPr>
                <w:sz w:val="20"/>
                <w:szCs w:val="20"/>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20"/>
                <w:szCs w:val="20"/>
                <w:color w:val="auto"/>
              </w:rPr>
            </w:pPr>
          </w:p>
        </w:tc>
        <w:tc>
          <w:tcPr>
            <w:tcW w:w="84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of 2021</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5"/>
          </w:tcPr>
          <w:p>
            <w:pPr>
              <w:ind w:left="50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700" w:type="dxa"/>
            <w:vAlign w:val="bottom"/>
          </w:tcPr>
          <w:p>
            <w:pPr>
              <w:ind w:left="20"/>
              <w:spacing w:after="0" w:line="177" w:lineRule="exact"/>
              <w:rPr>
                <w:sz w:val="20"/>
                <w:szCs w:val="20"/>
                <w:color w:val="auto"/>
              </w:rPr>
            </w:pPr>
            <w:r>
              <w:rPr>
                <w:rFonts w:ascii="Arial" w:cs="Arial" w:eastAsia="Arial" w:hAnsi="Arial"/>
                <w:sz w:val="18"/>
                <w:szCs w:val="18"/>
                <w:color w:val="auto"/>
                <w:w w:val="93"/>
              </w:rPr>
              <w:t>Projected derivative cash payments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700" w:type="dxa"/>
            <w:vAlign w:val="bottom"/>
          </w:tcPr>
          <w:p>
            <w:pPr>
              <w:ind w:left="180"/>
              <w:spacing w:after="0"/>
              <w:rPr>
                <w:sz w:val="20"/>
                <w:szCs w:val="20"/>
                <w:color w:val="auto"/>
              </w:rPr>
            </w:pPr>
            <w:r>
              <w:rPr>
                <w:rFonts w:ascii="Arial" w:cs="Arial" w:eastAsia="Arial" w:hAnsi="Arial"/>
                <w:sz w:val="18"/>
                <w:szCs w:val="18"/>
                <w:color w:val="auto"/>
              </w:rPr>
              <w:t>(receipts), net: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Interest-related (a)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25"/>
        </w:trPr>
        <w:tc>
          <w:tcPr>
            <w:tcW w:w="2700" w:type="dxa"/>
            <w:vAlign w:val="bottom"/>
          </w:tcPr>
          <w:p>
            <w:pPr>
              <w:ind w:left="220"/>
              <w:spacing w:after="0"/>
              <w:rPr>
                <w:sz w:val="20"/>
                <w:szCs w:val="20"/>
                <w:color w:val="auto"/>
              </w:rPr>
            </w:pPr>
            <w:r>
              <w:rPr>
                <w:rFonts w:ascii="Arial" w:cs="Arial" w:eastAsia="Arial" w:hAnsi="Arial"/>
                <w:sz w:val="18"/>
                <w:szCs w:val="18"/>
                <w:color w:val="auto"/>
              </w:rPr>
              <w:t>Principal-related (b)</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6"/>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8"/>
        </w:trPr>
        <w:tc>
          <w:tcPr>
            <w:tcW w:w="270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(i) the cash flows of our interest rate cap, floor and swap contracts and (ii) the interest-related cash flows of our cross-currency and interest rate swap contracts.</w:t>
      </w:r>
    </w:p>
    <w:p>
      <w:pPr>
        <w:spacing w:after="0" w:line="207" w:lineRule="exact"/>
        <w:rPr>
          <w:rFonts w:ascii="Arial" w:cs="Arial" w:eastAsia="Arial" w:hAnsi="Arial"/>
          <w:sz w:val="18"/>
          <w:szCs w:val="18"/>
          <w:color w:val="auto"/>
        </w:rPr>
      </w:pPr>
    </w:p>
    <w:p>
      <w:pPr>
        <w:ind w:left="480" w:hanging="474"/>
        <w:spacing w:after="0"/>
        <w:tabs>
          <w:tab w:leader="none" w:pos="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the principal-related cash flows of our cross-currency swap contracts.</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amounts related to our equity-related derivative instruments and foreign currency forward contracts.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In accordance with Exchange Act Rule 13a-15, we carried out an evaluation, under the supervision and with the participation of management, including our chief executive officer and chief financial officer (the </w:t>
      </w:r>
      <w:r>
        <w:rPr>
          <w:rFonts w:ascii="Arial" w:cs="Arial" w:eastAsia="Arial" w:hAnsi="Arial"/>
          <w:sz w:val="17"/>
          <w:szCs w:val="17"/>
          <w:b w:val="1"/>
          <w:bCs w:val="1"/>
          <w:color w:val="auto"/>
        </w:rPr>
        <w:t>Executives</w:t>
      </w:r>
      <w:r>
        <w:rPr>
          <w:rFonts w:ascii="Arial" w:cs="Arial" w:eastAsia="Arial" w:hAnsi="Arial"/>
          <w:sz w:val="17"/>
          <w:szCs w:val="17"/>
          <w:color w:val="auto"/>
        </w:rPr>
        <w:t>), of the effectiveness of our disclosure controls and procedures as of June 30, 2021.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June 30, 2021 effectively provide reasonable assurance that information required to be disclosed in our reports filed or submitted under the Securities Exchange Act of 1934 is recorded, processed, summarized and reported within the time periods specified in the Securities and Exchange Commission’s rules and forms.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0" w:lineRule="exact"/>
        <w:rPr>
          <w:sz w:val="20"/>
          <w:szCs w:val="20"/>
          <w:color w:val="auto"/>
        </w:rPr>
      </w:pPr>
    </w:p>
    <w:p>
      <w:pPr>
        <w:spacing w:after="0" w:line="365" w:lineRule="auto"/>
        <w:rPr>
          <w:sz w:val="20"/>
          <w:szCs w:val="20"/>
          <w:color w:val="auto"/>
        </w:rPr>
      </w:pPr>
      <w:r>
        <w:rPr>
          <w:rFonts w:ascii="Arial" w:cs="Arial" w:eastAsia="Arial" w:hAnsi="Arial"/>
          <w:sz w:val="15"/>
          <w:szCs w:val="15"/>
          <w:color w:val="auto"/>
        </w:rPr>
        <w:t>From time to time, our subsidiaries and affiliates have become involved in litigation relating to claims arising out of their operations in the normal course of business. For additional information, see note 15 to our condensed consolidated financial statements in Part I of this Quarterly Report on 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0" w:lineRule="exact"/>
        <w:rPr>
          <w:sz w:val="20"/>
          <w:szCs w:val="20"/>
          <w:color w:val="auto"/>
        </w:rPr>
      </w:pPr>
    </w:p>
    <w:p>
      <w:pPr>
        <w:ind w:left="700" w:hanging="376"/>
        <w:spacing w:after="0"/>
        <w:tabs>
          <w:tab w:leader="none" w:pos="7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Issuer Purchases of Equity Securities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0"/>
              </w:rPr>
              <w:t>Total number of</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1"/>
              </w:rPr>
              <w:t>Approximate</w:t>
            </w:r>
          </w:p>
        </w:tc>
        <w:tc>
          <w:tcPr>
            <w:tcW w:w="0" w:type="dxa"/>
            <w:vAlign w:val="bottom"/>
          </w:tcPr>
          <w:p>
            <w:pPr>
              <w:spacing w:after="0"/>
              <w:rPr>
                <w:sz w:val="1"/>
                <w:szCs w:val="1"/>
                <w:color w:val="auto"/>
              </w:rPr>
            </w:pPr>
          </w:p>
        </w:tc>
      </w:tr>
      <w:tr>
        <w:trPr>
          <w:trHeight w:val="159"/>
        </w:trPr>
        <w:tc>
          <w:tcPr>
            <w:tcW w:w="20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17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dollar value of</w:t>
            </w:r>
          </w:p>
        </w:tc>
        <w:tc>
          <w:tcPr>
            <w:tcW w:w="0" w:type="dxa"/>
            <w:vAlign w:val="bottom"/>
          </w:tcPr>
          <w:p>
            <w:pPr>
              <w:spacing w:after="0"/>
              <w:rPr>
                <w:sz w:val="1"/>
                <w:szCs w:val="1"/>
                <w:color w:val="auto"/>
              </w:rPr>
            </w:pPr>
          </w:p>
        </w:tc>
      </w:tr>
      <w:tr>
        <w:trPr>
          <w:trHeight w:val="159"/>
        </w:trPr>
        <w:tc>
          <w:tcPr>
            <w:tcW w:w="20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4"/>
              </w:rPr>
              <w:t>shares purchased as</w:t>
            </w:r>
          </w:p>
        </w:tc>
        <w:tc>
          <w:tcPr>
            <w:tcW w:w="17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shares that may</w:t>
            </w:r>
          </w:p>
        </w:tc>
        <w:tc>
          <w:tcPr>
            <w:tcW w:w="0" w:type="dxa"/>
            <w:vAlign w:val="bottom"/>
          </w:tcPr>
          <w:p>
            <w:pPr>
              <w:spacing w:after="0"/>
              <w:rPr>
                <w:sz w:val="1"/>
                <w:szCs w:val="1"/>
                <w:color w:val="auto"/>
              </w:rPr>
            </w:pPr>
          </w:p>
        </w:tc>
      </w:tr>
      <w:tr>
        <w:trPr>
          <w:trHeight w:val="159"/>
        </w:trPr>
        <w:tc>
          <w:tcPr>
            <w:tcW w:w="20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Total number of</w:t>
            </w:r>
          </w:p>
        </w:tc>
        <w:tc>
          <w:tcPr>
            <w:tcW w:w="120" w:type="dxa"/>
            <w:vAlign w:val="bottom"/>
          </w:tcPr>
          <w:p>
            <w:pPr>
              <w:spacing w:after="0"/>
              <w:rPr>
                <w:sz w:val="13"/>
                <w:szCs w:val="13"/>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Average price</w:t>
            </w:r>
          </w:p>
        </w:tc>
        <w:tc>
          <w:tcPr>
            <w:tcW w:w="1700" w:type="dxa"/>
            <w:vAlign w:val="bottom"/>
            <w:gridSpan w:val="2"/>
          </w:tcPr>
          <w:p>
            <w:pPr>
              <w:jc w:val="center"/>
              <w:ind w:right="160"/>
              <w:spacing w:after="0" w:line="159" w:lineRule="exact"/>
              <w:rPr>
                <w:sz w:val="20"/>
                <w:szCs w:val="20"/>
                <w:color w:val="auto"/>
              </w:rPr>
            </w:pPr>
            <w:r>
              <w:rPr>
                <w:rFonts w:ascii="Arial" w:cs="Arial" w:eastAsia="Arial" w:hAnsi="Arial"/>
                <w:sz w:val="16"/>
                <w:szCs w:val="16"/>
                <w:b w:val="1"/>
                <w:bCs w:val="1"/>
                <w:color w:val="auto"/>
                <w:w w:val="92"/>
              </w:rPr>
              <w:t>part of publicly</w:t>
            </w:r>
          </w:p>
        </w:tc>
        <w:tc>
          <w:tcPr>
            <w:tcW w:w="17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yet be purchased</w:t>
            </w:r>
          </w:p>
        </w:tc>
        <w:tc>
          <w:tcPr>
            <w:tcW w:w="0" w:type="dxa"/>
            <w:vAlign w:val="bottom"/>
          </w:tcPr>
          <w:p>
            <w:pPr>
              <w:spacing w:after="0"/>
              <w:rPr>
                <w:sz w:val="1"/>
                <w:szCs w:val="1"/>
                <w:color w:val="auto"/>
              </w:rPr>
            </w:pPr>
          </w:p>
        </w:tc>
      </w:tr>
      <w:tr>
        <w:trPr>
          <w:trHeight w:val="159"/>
        </w:trPr>
        <w:tc>
          <w:tcPr>
            <w:tcW w:w="45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70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9"/>
              </w:rPr>
              <w:t>announced plans</w:t>
            </w:r>
          </w:p>
        </w:tc>
        <w:tc>
          <w:tcPr>
            <w:tcW w:w="17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under the plans or</w:t>
            </w:r>
          </w:p>
        </w:tc>
        <w:tc>
          <w:tcPr>
            <w:tcW w:w="0" w:type="dxa"/>
            <w:vAlign w:val="bottom"/>
          </w:tcPr>
          <w:p>
            <w:pPr>
              <w:spacing w:after="0"/>
              <w:rPr>
                <w:sz w:val="1"/>
                <w:szCs w:val="1"/>
                <w:color w:val="auto"/>
              </w:rPr>
            </w:pPr>
          </w:p>
        </w:tc>
      </w:tr>
      <w:tr>
        <w:trPr>
          <w:trHeight w:val="210"/>
        </w:trPr>
        <w:tc>
          <w:tcPr>
            <w:tcW w:w="4560" w:type="dxa"/>
            <w:vAlign w:val="bottom"/>
            <w:gridSpan w:val="2"/>
            <w:vMerge w:val="continue"/>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 purchased</w:t>
            </w: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paid per share (a)</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or programs</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programs</w:t>
            </w:r>
          </w:p>
        </w:tc>
        <w:tc>
          <w:tcPr>
            <w:tcW w:w="0" w:type="dxa"/>
            <w:vAlign w:val="bottom"/>
          </w:tcPr>
          <w:p>
            <w:pPr>
              <w:spacing w:after="0"/>
              <w:rPr>
                <w:sz w:val="1"/>
                <w:szCs w:val="1"/>
                <w:color w:val="auto"/>
              </w:rPr>
            </w:pPr>
          </w:p>
        </w:tc>
      </w:tr>
      <w:tr>
        <w:trPr>
          <w:trHeight w:val="35"/>
        </w:trPr>
        <w:tc>
          <w:tcPr>
            <w:tcW w:w="2080" w:type="dxa"/>
            <w:vAlign w:val="bottom"/>
            <w:tcBorders>
              <w:top w:val="single" w:sz="8" w:color="auto"/>
            </w:tcBorders>
          </w:tcPr>
          <w:p>
            <w:pPr>
              <w:spacing w:after="0"/>
              <w:rPr>
                <w:sz w:val="3"/>
                <w:szCs w:val="3"/>
                <w:color w:val="auto"/>
              </w:rPr>
            </w:pPr>
          </w:p>
        </w:tc>
        <w:tc>
          <w:tcPr>
            <w:tcW w:w="2480" w:type="dxa"/>
            <w:vAlign w:val="bottom"/>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2021 through April 30, 2021:</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gridSpan w:val="2"/>
          </w:tcPr>
          <w:p>
            <w:pPr>
              <w:ind w:left="220"/>
              <w:spacing w:after="0"/>
              <w:rPr>
                <w:sz w:val="20"/>
                <w:szCs w:val="20"/>
                <w:color w:val="auto"/>
              </w:rPr>
            </w:pPr>
            <w:r>
              <w:rPr>
                <w:rFonts w:ascii="Arial" w:cs="Arial" w:eastAsia="Arial" w:hAnsi="Arial"/>
                <w:sz w:val="18"/>
                <w:szCs w:val="18"/>
                <w:color w:val="auto"/>
              </w:rPr>
              <w:t>Class A</w:t>
            </w:r>
          </w:p>
        </w:tc>
        <w:tc>
          <w:tcPr>
            <w:tcW w:w="1520" w:type="dxa"/>
            <w:vAlign w:val="bottom"/>
          </w:tcPr>
          <w:p>
            <w:pPr>
              <w:jc w:val="right"/>
              <w:spacing w:after="0"/>
              <w:rPr>
                <w:sz w:val="20"/>
                <w:szCs w:val="20"/>
                <w:color w:val="auto"/>
              </w:rPr>
            </w:pPr>
            <w:r>
              <w:rPr>
                <w:rFonts w:ascii="Arial" w:cs="Arial" w:eastAsia="Arial" w:hAnsi="Arial"/>
                <w:sz w:val="18"/>
                <w:szCs w:val="18"/>
                <w:color w:val="auto"/>
              </w:rPr>
              <w:t>847,400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847,400</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6"/>
        </w:trPr>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3,982,800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3,982,800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May 1, 2021 through May 31, 2021:</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A</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2,429,000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560" w:type="dxa"/>
            <w:vAlign w:val="bottom"/>
            <w:gridSpan w:val="2"/>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tcPr>
          <w:p>
            <w:pPr>
              <w:jc w:val="right"/>
              <w:spacing w:after="0"/>
              <w:rPr>
                <w:sz w:val="20"/>
                <w:szCs w:val="20"/>
                <w:color w:val="auto"/>
              </w:rPr>
            </w:pPr>
            <w:r>
              <w:rPr>
                <w:rFonts w:ascii="Arial" w:cs="Arial" w:eastAsia="Arial" w:hAnsi="Arial"/>
                <w:sz w:val="18"/>
                <w:szCs w:val="18"/>
                <w:color w:val="auto"/>
              </w:rPr>
              <w:t>1,287,700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1,287,700</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6"/>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2021 through June 30, 2021:</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gridSpan w:val="2"/>
          </w:tcPr>
          <w:p>
            <w:pPr>
              <w:ind w:left="220"/>
              <w:spacing w:after="0"/>
              <w:rPr>
                <w:sz w:val="20"/>
                <w:szCs w:val="20"/>
                <w:color w:val="auto"/>
              </w:rPr>
            </w:pPr>
            <w:r>
              <w:rPr>
                <w:rFonts w:ascii="Arial" w:cs="Arial" w:eastAsia="Arial" w:hAnsi="Arial"/>
                <w:sz w:val="18"/>
                <w:szCs w:val="18"/>
                <w:color w:val="auto"/>
              </w:rPr>
              <w:t>Class A</w:t>
            </w:r>
          </w:p>
        </w:tc>
        <w:tc>
          <w:tcPr>
            <w:tcW w:w="1520" w:type="dxa"/>
            <w:vAlign w:val="bottom"/>
          </w:tcPr>
          <w:p>
            <w:pPr>
              <w:jc w:val="right"/>
              <w:spacing w:after="0"/>
              <w:rPr>
                <w:sz w:val="20"/>
                <w:szCs w:val="20"/>
                <w:color w:val="auto"/>
              </w:rPr>
            </w:pPr>
            <w:r>
              <w:rPr>
                <w:rFonts w:ascii="Arial" w:cs="Arial" w:eastAsia="Arial" w:hAnsi="Arial"/>
                <w:sz w:val="18"/>
                <w:szCs w:val="18"/>
                <w:color w:val="auto"/>
              </w:rPr>
              <w:t>1,902,800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1,902,800</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6"/>
        </w:trPr>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2,332,700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2,332,700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560" w:type="dxa"/>
            <w:vAlign w:val="bottom"/>
            <w:gridSpan w:val="2"/>
          </w:tcPr>
          <w:p>
            <w:pPr>
              <w:ind w:left="20"/>
              <w:spacing w:after="0"/>
              <w:rPr>
                <w:sz w:val="20"/>
                <w:szCs w:val="20"/>
                <w:color w:val="auto"/>
              </w:rPr>
            </w:pPr>
            <w:r>
              <w:rPr>
                <w:rFonts w:ascii="Arial" w:cs="Arial" w:eastAsia="Arial" w:hAnsi="Arial"/>
                <w:sz w:val="17"/>
                <w:szCs w:val="17"/>
                <w:color w:val="auto"/>
              </w:rPr>
              <w:t>Total — April 1, 2021 through June 30, 2021:</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A</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5,179,200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5,179,200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4"/>
        </w:trPr>
        <w:tc>
          <w:tcPr>
            <w:tcW w:w="4560" w:type="dxa"/>
            <w:vAlign w:val="bottom"/>
            <w:gridSpan w:val="2"/>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tcPr>
          <w:p>
            <w:pPr>
              <w:jc w:val="right"/>
              <w:spacing w:after="0"/>
              <w:rPr>
                <w:sz w:val="20"/>
                <w:szCs w:val="20"/>
                <w:color w:val="auto"/>
              </w:rPr>
            </w:pPr>
            <w:r>
              <w:rPr>
                <w:rFonts w:ascii="Arial" w:cs="Arial" w:eastAsia="Arial" w:hAnsi="Arial"/>
                <w:sz w:val="18"/>
                <w:szCs w:val="18"/>
                <w:color w:val="auto"/>
              </w:rPr>
              <w:t>7,603,200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7,603,200</w:t>
            </w:r>
          </w:p>
        </w:tc>
        <w:tc>
          <w:tcPr>
            <w:tcW w:w="1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w:t>
      </w:r>
    </w:p>
    <w:p>
      <w:pPr>
        <w:spacing w:after="0" w:line="244" w:lineRule="exact"/>
        <w:rPr>
          <w:sz w:val="20"/>
          <w:szCs w:val="20"/>
          <w:color w:val="auto"/>
        </w:rPr>
      </w:pPr>
    </w:p>
    <w:p>
      <w:pPr>
        <w:ind w:left="480" w:hanging="474"/>
        <w:spacing w:after="0"/>
        <w:tabs>
          <w:tab w:leader="none" w:pos="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Average price paid per share includes direct acquisition costs.</w:t>
      </w:r>
    </w:p>
    <w:p>
      <w:pPr>
        <w:spacing w:after="0" w:line="243" w:lineRule="exact"/>
        <w:rPr>
          <w:rFonts w:ascii="Arial" w:cs="Arial" w:eastAsia="Arial" w:hAnsi="Arial"/>
          <w:sz w:val="18"/>
          <w:szCs w:val="18"/>
          <w:color w:val="auto"/>
        </w:rPr>
      </w:pPr>
    </w:p>
    <w:p>
      <w:pPr>
        <w:jc w:val="both"/>
        <w:ind w:left="480" w:hanging="474"/>
        <w:spacing w:after="0" w:line="255" w:lineRule="auto"/>
        <w:tabs>
          <w:tab w:leader="none" w:pos="474"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June 30, 2021, the remaining amount authorized for share repurchases under our existing repurchase program was $334.8 million. In July 2021, our board of directors authorized a new share repurchase program. For additional information, see note 12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6. EXHIBITS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the exhibits filed as part of this Quarterly Report (according to the number assigned to them in Item 601 of Regulation S-K):</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 Plan of Acquisition, Reorganization, Arrangement, Liquidation or Succession:</w:t>
      </w:r>
    </w:p>
    <w:tbl>
      <w:tblPr>
        <w:tblLayout w:type="fixed"/>
        <w:tblInd w:w="500" w:type="dxa"/>
        <w:tblCellMar>
          <w:top w:w="0" w:type="dxa"/>
          <w:left w:w="0" w:type="dxa"/>
          <w:bottom w:w="0" w:type="dxa"/>
          <w:right w:w="0" w:type="dxa"/>
        </w:tblCellMar>
      </w:tblPr>
      <w:tr>
        <w:trPr>
          <w:trHeight w:val="203"/>
        </w:trPr>
        <w:tc>
          <w:tcPr>
            <w:tcW w:w="1040" w:type="dxa"/>
            <w:vAlign w:val="bottom"/>
          </w:tcPr>
          <w:p>
            <w:pPr>
              <w:jc w:val="right"/>
              <w:ind w:right="732"/>
              <w:spacing w:after="0" w:line="203" w:lineRule="exact"/>
              <w:rPr>
                <w:sz w:val="20"/>
                <w:szCs w:val="20"/>
                <w:color w:val="auto"/>
              </w:rPr>
            </w:pPr>
            <w:r>
              <w:rPr>
                <w:rFonts w:ascii="Arial" w:cs="Arial" w:eastAsia="Arial" w:hAnsi="Arial"/>
                <w:sz w:val="18"/>
                <w:szCs w:val="18"/>
                <w:color w:val="auto"/>
                <w:w w:val="79"/>
              </w:rPr>
              <w:t>2.1</w:t>
            </w:r>
          </w:p>
        </w:tc>
        <w:tc>
          <w:tcPr>
            <w:tcW w:w="9720" w:type="dxa"/>
            <w:vAlign w:val="bottom"/>
            <w:gridSpan w:val="4"/>
          </w:tcPr>
          <w:p>
            <w:pPr>
              <w:spacing w:after="0" w:line="203" w:lineRule="exact"/>
              <w:rPr>
                <w:rFonts w:ascii="Arial" w:cs="Arial" w:eastAsia="Arial" w:hAnsi="Arial"/>
                <w:sz w:val="18"/>
                <w:szCs w:val="18"/>
                <w:color w:val="0000FF"/>
                <w:w w:val="96"/>
              </w:rPr>
            </w:pPr>
            <w:hyperlink r:id="rId104">
              <w:r>
                <w:rPr>
                  <w:rFonts w:ascii="Arial" w:cs="Arial" w:eastAsia="Arial" w:hAnsi="Arial"/>
                  <w:sz w:val="18"/>
                  <w:szCs w:val="18"/>
                  <w:color w:val="0000FF"/>
                  <w:w w:val="96"/>
                </w:rPr>
                <w:t>Contribution Agreement, dated May 7, 2020, by and among Liberty Global plc, Liberty Global Europe 2 Limited, Liberty Global</w:t>
              </w:r>
            </w:hyperlink>
          </w:p>
        </w:tc>
      </w:tr>
      <w:tr>
        <w:trPr>
          <w:trHeight w:val="152"/>
        </w:trPr>
        <w:tc>
          <w:tcPr>
            <w:tcW w:w="104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9"/>
              </w:rPr>
            </w:pPr>
            <w:hyperlink r:id="rId104">
              <w:r>
                <w:rPr>
                  <w:rFonts w:ascii="Arial" w:cs="Arial" w:eastAsia="Arial" w:hAnsi="Arial"/>
                  <w:sz w:val="17"/>
                  <w:szCs w:val="17"/>
                  <w:color w:val="0000FF"/>
                  <w:w w:val="99"/>
                </w:rPr>
                <w:t>Holdco Limited, Telefonica, S.A., and Telefonica O2 Holdings Limited (incorporated by reference to Exhibit 2.1 to the Registrant’s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1040" w:type="dxa"/>
            <w:vAlign w:val="bottom"/>
          </w:tcPr>
          <w:p>
            <w:pPr>
              <w:spacing w:after="0"/>
              <w:rPr>
                <w:sz w:val="13"/>
                <w:szCs w:val="13"/>
                <w:color w:val="auto"/>
              </w:rPr>
            </w:pPr>
          </w:p>
        </w:tc>
        <w:tc>
          <w:tcPr>
            <w:tcW w:w="5320" w:type="dxa"/>
            <w:vAlign w:val="bottom"/>
            <w:tcBorders>
              <w:bottom w:val="single" w:sz="8" w:color="0000FF"/>
            </w:tcBorders>
          </w:tcPr>
          <w:p>
            <w:pPr>
              <w:spacing w:after="0" w:line="152" w:lineRule="exact"/>
              <w:rPr>
                <w:rFonts w:ascii="Arial" w:cs="Arial" w:eastAsia="Arial" w:hAnsi="Arial"/>
                <w:sz w:val="17"/>
                <w:szCs w:val="17"/>
                <w:color w:val="0000FF"/>
                <w:w w:val="98"/>
              </w:rPr>
            </w:pPr>
            <w:hyperlink r:id="rId104">
              <w:r>
                <w:rPr>
                  <w:rFonts w:ascii="Arial" w:cs="Arial" w:eastAsia="Arial" w:hAnsi="Arial"/>
                  <w:sz w:val="17"/>
                  <w:szCs w:val="17"/>
                  <w:color w:val="0000FF"/>
                  <w:w w:val="98"/>
                </w:rPr>
                <w:t>Current Report on Form 8-K filed May 13, 2020 (file No. 001-35961)).***</w:t>
              </w:r>
            </w:hyperlink>
          </w:p>
        </w:tc>
        <w:tc>
          <w:tcPr>
            <w:tcW w:w="43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bl>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4 — Instruments Defining the Rights of Securities Holders, including Indentures</w:t>
      </w:r>
    </w:p>
    <w:p>
      <w:pPr>
        <w:spacing w:after="0" w:line="49"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1040" w:type="dxa"/>
            <w:vAlign w:val="bottom"/>
          </w:tcPr>
          <w:p>
            <w:pPr>
              <w:jc w:val="right"/>
              <w:ind w:right="732"/>
              <w:spacing w:after="0"/>
              <w:rPr>
                <w:sz w:val="20"/>
                <w:szCs w:val="20"/>
                <w:color w:val="auto"/>
              </w:rPr>
            </w:pPr>
            <w:r>
              <w:rPr>
                <w:rFonts w:ascii="Arial" w:cs="Arial" w:eastAsia="Arial" w:hAnsi="Arial"/>
                <w:sz w:val="18"/>
                <w:szCs w:val="18"/>
                <w:color w:val="auto"/>
                <w:w w:val="79"/>
              </w:rPr>
              <w:t>4.1</w:t>
            </w:r>
          </w:p>
        </w:tc>
        <w:tc>
          <w:tcPr>
            <w:tcW w:w="9900" w:type="dxa"/>
            <w:vAlign w:val="bottom"/>
            <w:gridSpan w:val="17"/>
          </w:tcPr>
          <w:p>
            <w:pPr>
              <w:spacing w:after="0"/>
              <w:rPr>
                <w:rFonts w:ascii="Arial" w:cs="Arial" w:eastAsia="Arial" w:hAnsi="Arial"/>
                <w:sz w:val="18"/>
                <w:szCs w:val="18"/>
                <w:color w:val="0000FF"/>
              </w:rPr>
            </w:pPr>
            <w:hyperlink r:id="rId105">
              <w:r>
                <w:rPr>
                  <w:rFonts w:ascii="Arial" w:cs="Arial" w:eastAsia="Arial" w:hAnsi="Arial"/>
                  <w:sz w:val="18"/>
                  <w:szCs w:val="18"/>
                  <w:color w:val="0000FF"/>
                </w:rPr>
                <w:t>Additional Facility AV2 Accession Agreement dated April 12, 2021 and entered into between, among others, UPC Financing</w:t>
              </w:r>
            </w:hyperlink>
          </w:p>
        </w:tc>
      </w:tr>
      <w:tr>
        <w:trPr>
          <w:trHeight w:val="152"/>
        </w:trPr>
        <w:tc>
          <w:tcPr>
            <w:tcW w:w="1040" w:type="dxa"/>
            <w:vAlign w:val="bottom"/>
          </w:tcPr>
          <w:p>
            <w:pPr>
              <w:spacing w:after="0"/>
              <w:rPr>
                <w:sz w:val="13"/>
                <w:szCs w:val="13"/>
                <w:color w:val="auto"/>
              </w:rPr>
            </w:pPr>
          </w:p>
        </w:tc>
        <w:tc>
          <w:tcPr>
            <w:tcW w:w="9740" w:type="dxa"/>
            <w:vAlign w:val="bottom"/>
            <w:tcBorders>
              <w:top w:val="single" w:sz="8" w:color="0000FF"/>
            </w:tcBorders>
            <w:gridSpan w:val="9"/>
          </w:tcPr>
          <w:p>
            <w:pPr>
              <w:spacing w:after="0" w:line="152" w:lineRule="exact"/>
              <w:rPr>
                <w:rFonts w:ascii="Arial" w:cs="Arial" w:eastAsia="Arial" w:hAnsi="Arial"/>
                <w:sz w:val="17"/>
                <w:szCs w:val="17"/>
                <w:color w:val="0000FF"/>
              </w:rPr>
            </w:pPr>
            <w:hyperlink r:id="rId105">
              <w:r>
                <w:rPr>
                  <w:rFonts w:ascii="Arial" w:cs="Arial" w:eastAsia="Arial" w:hAnsi="Arial"/>
                  <w:sz w:val="17"/>
                  <w:szCs w:val="17"/>
                  <w:color w:val="0000FF"/>
                </w:rPr>
                <w:t>Partnership as the Borrower and The Bank of Nova Scotia as the Facility Agent (incorporated by reference to Exhibit 4.1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1040" w:type="dxa"/>
            <w:vAlign w:val="bottom"/>
          </w:tcPr>
          <w:p>
            <w:pPr>
              <w:spacing w:after="0"/>
              <w:rPr>
                <w:sz w:val="13"/>
                <w:szCs w:val="13"/>
                <w:color w:val="auto"/>
              </w:rPr>
            </w:pPr>
          </w:p>
        </w:tc>
        <w:tc>
          <w:tcPr>
            <w:tcW w:w="9700" w:type="dxa"/>
            <w:vAlign w:val="bottom"/>
            <w:tcBorders>
              <w:top w:val="single" w:sz="8" w:color="0000FF"/>
            </w:tcBorders>
            <w:gridSpan w:val="7"/>
          </w:tcPr>
          <w:p>
            <w:pPr>
              <w:spacing w:after="0" w:line="152" w:lineRule="exact"/>
              <w:rPr>
                <w:rFonts w:ascii="Arial" w:cs="Arial" w:eastAsia="Arial" w:hAnsi="Arial"/>
                <w:sz w:val="17"/>
                <w:szCs w:val="17"/>
                <w:color w:val="0000FF"/>
              </w:rPr>
            </w:pPr>
            <w:hyperlink r:id="rId105">
              <w:r>
                <w:rPr>
                  <w:rFonts w:ascii="Arial" w:cs="Arial" w:eastAsia="Arial" w:hAnsi="Arial"/>
                  <w:sz w:val="17"/>
                  <w:szCs w:val="17"/>
                  <w:color w:val="0000FF"/>
                </w:rPr>
                <w:t>Registrant’s Current Report on Form 8-K filed April 16, 2021 (File No. 001-35961) (the April 16, 2021 8-K).</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1040" w:type="dxa"/>
            <w:vAlign w:val="bottom"/>
          </w:tcPr>
          <w:p>
            <w:pPr>
              <w:jc w:val="right"/>
              <w:ind w:right="732"/>
              <w:spacing w:after="0"/>
              <w:rPr>
                <w:sz w:val="20"/>
                <w:szCs w:val="20"/>
                <w:color w:val="auto"/>
              </w:rPr>
            </w:pPr>
            <w:r>
              <w:rPr>
                <w:rFonts w:ascii="Arial" w:cs="Arial" w:eastAsia="Arial" w:hAnsi="Arial"/>
                <w:sz w:val="18"/>
                <w:szCs w:val="18"/>
                <w:color w:val="auto"/>
                <w:w w:val="79"/>
              </w:rPr>
              <w:t>4.2</w:t>
            </w:r>
          </w:p>
        </w:tc>
        <w:tc>
          <w:tcPr>
            <w:tcW w:w="9900" w:type="dxa"/>
            <w:vAlign w:val="bottom"/>
            <w:gridSpan w:val="17"/>
          </w:tcPr>
          <w:p>
            <w:pPr>
              <w:spacing w:after="0"/>
              <w:rPr>
                <w:rFonts w:ascii="Arial" w:cs="Arial" w:eastAsia="Arial" w:hAnsi="Arial"/>
                <w:sz w:val="18"/>
                <w:szCs w:val="18"/>
                <w:color w:val="0000FF"/>
                <w:w w:val="92"/>
              </w:rPr>
            </w:pPr>
            <w:hyperlink r:id="rId106">
              <w:r>
                <w:rPr>
                  <w:rFonts w:ascii="Arial" w:cs="Arial" w:eastAsia="Arial" w:hAnsi="Arial"/>
                  <w:sz w:val="18"/>
                  <w:szCs w:val="18"/>
                  <w:color w:val="0000FF"/>
                  <w:w w:val="92"/>
                </w:rPr>
                <w:t>Additional Facility AW2 Accession Agreement dated April 12, 2021 and entered into between, among others, UPC Broadband Holding</w:t>
              </w:r>
            </w:hyperlink>
          </w:p>
        </w:tc>
      </w:tr>
      <w:tr>
        <w:trPr>
          <w:trHeight w:val="152"/>
        </w:trPr>
        <w:tc>
          <w:tcPr>
            <w:tcW w:w="104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6"/>
          </w:tcPr>
          <w:p>
            <w:pPr>
              <w:spacing w:after="0" w:line="152" w:lineRule="exact"/>
              <w:rPr>
                <w:rFonts w:ascii="Arial" w:cs="Arial" w:eastAsia="Arial" w:hAnsi="Arial"/>
                <w:sz w:val="17"/>
                <w:szCs w:val="17"/>
                <w:color w:val="0000FF"/>
                <w:w w:val="96"/>
              </w:rPr>
            </w:pPr>
            <w:hyperlink r:id="rId106">
              <w:r>
                <w:rPr>
                  <w:rFonts w:ascii="Arial" w:cs="Arial" w:eastAsia="Arial" w:hAnsi="Arial"/>
                  <w:sz w:val="17"/>
                  <w:szCs w:val="17"/>
                  <w:color w:val="0000FF"/>
                  <w:w w:val="96"/>
                </w:rPr>
                <w:t>B.V. as the Borrower and The Bank of Nova Scotia as the Facility Agent (incorporated by reference to Exhibit 4.2 to the April 16, 2021</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1040" w:type="dxa"/>
            <w:vAlign w:val="bottom"/>
          </w:tcPr>
          <w:p>
            <w:pPr>
              <w:spacing w:after="0"/>
              <w:rPr>
                <w:sz w:val="13"/>
                <w:szCs w:val="13"/>
                <w:color w:val="auto"/>
              </w:rPr>
            </w:pPr>
          </w:p>
        </w:tc>
        <w:tc>
          <w:tcPr>
            <w:tcW w:w="9800" w:type="dxa"/>
            <w:vAlign w:val="bottom"/>
            <w:gridSpan w:val="12"/>
          </w:tcPr>
          <w:p>
            <w:pPr>
              <w:spacing w:after="0" w:line="152" w:lineRule="exact"/>
              <w:rPr>
                <w:rFonts w:ascii="Arial" w:cs="Arial" w:eastAsia="Arial" w:hAnsi="Arial"/>
                <w:sz w:val="17"/>
                <w:szCs w:val="17"/>
                <w:color w:val="0000FF"/>
              </w:rPr>
            </w:pPr>
            <w:hyperlink r:id="rId106">
              <w:r>
                <w:rPr>
                  <w:rFonts w:ascii="Arial" w:cs="Arial" w:eastAsia="Arial" w:hAnsi="Arial"/>
                  <w:sz w:val="17"/>
                  <w:szCs w:val="17"/>
                  <w:color w:val="0000FF"/>
                </w:rPr>
                <w:t>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1040" w:type="dxa"/>
            <w:vAlign w:val="bottom"/>
          </w:tcPr>
          <w:p>
            <w:pPr>
              <w:jc w:val="right"/>
              <w:ind w:right="732"/>
              <w:spacing w:after="0"/>
              <w:rPr>
                <w:sz w:val="20"/>
                <w:szCs w:val="20"/>
                <w:color w:val="auto"/>
              </w:rPr>
            </w:pPr>
            <w:r>
              <w:rPr>
                <w:rFonts w:ascii="Arial" w:cs="Arial" w:eastAsia="Arial" w:hAnsi="Arial"/>
                <w:sz w:val="18"/>
                <w:szCs w:val="18"/>
                <w:color w:val="auto"/>
                <w:w w:val="79"/>
              </w:rPr>
              <w:t>4.3</w:t>
            </w:r>
          </w:p>
        </w:tc>
        <w:tc>
          <w:tcPr>
            <w:tcW w:w="9900" w:type="dxa"/>
            <w:vAlign w:val="bottom"/>
            <w:gridSpan w:val="17"/>
          </w:tcPr>
          <w:p>
            <w:pPr>
              <w:spacing w:after="0"/>
              <w:rPr>
                <w:rFonts w:ascii="Arial" w:cs="Arial" w:eastAsia="Arial" w:hAnsi="Arial"/>
                <w:sz w:val="18"/>
                <w:szCs w:val="18"/>
                <w:color w:val="0000FF"/>
                <w:w w:val="91"/>
              </w:rPr>
            </w:pPr>
            <w:hyperlink r:id="rId107">
              <w:r>
                <w:rPr>
                  <w:rFonts w:ascii="Arial" w:cs="Arial" w:eastAsia="Arial" w:hAnsi="Arial"/>
                  <w:sz w:val="18"/>
                  <w:szCs w:val="18"/>
                  <w:color w:val="0000FF"/>
                  <w:w w:val="91"/>
                </w:rPr>
                <w:t>Amended Credit Agreement dated April 12, 2021 and entered into between, amongst others, UPC Broadband as the Upsizing Revolving</w:t>
              </w:r>
            </w:hyperlink>
          </w:p>
        </w:tc>
      </w:tr>
      <w:tr>
        <w:trPr>
          <w:trHeight w:val="152"/>
        </w:trPr>
        <w:tc>
          <w:tcPr>
            <w:tcW w:w="1040" w:type="dxa"/>
            <w:vAlign w:val="bottom"/>
          </w:tcPr>
          <w:p>
            <w:pPr>
              <w:spacing w:after="0"/>
              <w:rPr>
                <w:sz w:val="13"/>
                <w:szCs w:val="13"/>
                <w:color w:val="auto"/>
              </w:rPr>
            </w:pPr>
          </w:p>
        </w:tc>
        <w:tc>
          <w:tcPr>
            <w:tcW w:w="9840" w:type="dxa"/>
            <w:vAlign w:val="bottom"/>
            <w:tcBorders>
              <w:top w:val="single" w:sz="8" w:color="0000FF"/>
            </w:tcBorders>
            <w:gridSpan w:val="14"/>
          </w:tcPr>
          <w:p>
            <w:pPr>
              <w:spacing w:after="0" w:line="152" w:lineRule="exact"/>
              <w:rPr>
                <w:rFonts w:ascii="Arial" w:cs="Arial" w:eastAsia="Arial" w:hAnsi="Arial"/>
                <w:sz w:val="17"/>
                <w:szCs w:val="17"/>
                <w:color w:val="0000FF"/>
                <w:w w:val="98"/>
              </w:rPr>
            </w:pPr>
            <w:hyperlink r:id="rId107">
              <w:r>
                <w:rPr>
                  <w:rFonts w:ascii="Arial" w:cs="Arial" w:eastAsia="Arial" w:hAnsi="Arial"/>
                  <w:sz w:val="17"/>
                  <w:szCs w:val="17"/>
                  <w:color w:val="0000FF"/>
                  <w:w w:val="98"/>
                </w:rPr>
                <w:t>Facility Lenders (named therein) and The Bank of Nova Scotia as the Facility Agent and Security Agent (incorporated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104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7"/>
              </w:rPr>
            </w:pPr>
            <w:hyperlink r:id="rId107">
              <w:r>
                <w:rPr>
                  <w:rFonts w:ascii="Arial" w:cs="Arial" w:eastAsia="Arial" w:hAnsi="Arial"/>
                  <w:sz w:val="17"/>
                  <w:szCs w:val="17"/>
                  <w:color w:val="0000FF"/>
                  <w:w w:val="97"/>
                </w:rPr>
                <w:t>Exhibit 4.3 to the April 16, 2021 8-K).</w:t>
              </w:r>
            </w:hyperlink>
          </w:p>
        </w:tc>
        <w:tc>
          <w:tcPr>
            <w:tcW w:w="708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8"/>
        </w:trPr>
        <w:tc>
          <w:tcPr>
            <w:tcW w:w="1040" w:type="dxa"/>
            <w:vAlign w:val="bottom"/>
          </w:tcPr>
          <w:p>
            <w:pPr>
              <w:jc w:val="right"/>
              <w:ind w:right="732"/>
              <w:spacing w:after="0"/>
              <w:rPr>
                <w:sz w:val="20"/>
                <w:szCs w:val="20"/>
                <w:color w:val="auto"/>
              </w:rPr>
            </w:pPr>
            <w:r>
              <w:rPr>
                <w:rFonts w:ascii="Arial" w:cs="Arial" w:eastAsia="Arial" w:hAnsi="Arial"/>
                <w:sz w:val="18"/>
                <w:szCs w:val="18"/>
                <w:color w:val="auto"/>
                <w:w w:val="79"/>
              </w:rPr>
              <w:t>4.4</w:t>
            </w:r>
          </w:p>
        </w:tc>
        <w:tc>
          <w:tcPr>
            <w:tcW w:w="9900" w:type="dxa"/>
            <w:vAlign w:val="bottom"/>
            <w:gridSpan w:val="17"/>
          </w:tcPr>
          <w:p>
            <w:pPr>
              <w:spacing w:after="0"/>
              <w:rPr>
                <w:rFonts w:ascii="Arial" w:cs="Arial" w:eastAsia="Arial" w:hAnsi="Arial"/>
                <w:sz w:val="18"/>
                <w:szCs w:val="18"/>
                <w:color w:val="0000FF"/>
                <w:w w:val="92"/>
              </w:rPr>
            </w:pPr>
            <w:hyperlink r:id="rId108">
              <w:r>
                <w:rPr>
                  <w:rFonts w:ascii="Arial" w:cs="Arial" w:eastAsia="Arial" w:hAnsi="Arial"/>
                  <w:sz w:val="18"/>
                  <w:szCs w:val="18"/>
                  <w:color w:val="0000FF"/>
                  <w:w w:val="92"/>
                </w:rPr>
                <w:t>Additional Facility AX Accession Agreement dated April 20, 2021 and entered into between, among others, UPC Financing Partnership</w:t>
              </w:r>
            </w:hyperlink>
          </w:p>
        </w:tc>
      </w:tr>
      <w:tr>
        <w:trPr>
          <w:trHeight w:val="152"/>
        </w:trPr>
        <w:tc>
          <w:tcPr>
            <w:tcW w:w="1040" w:type="dxa"/>
            <w:vAlign w:val="bottom"/>
          </w:tcPr>
          <w:p>
            <w:pPr>
              <w:spacing w:after="0"/>
              <w:rPr>
                <w:sz w:val="13"/>
                <w:szCs w:val="13"/>
                <w:color w:val="auto"/>
              </w:rPr>
            </w:pPr>
          </w:p>
        </w:tc>
        <w:tc>
          <w:tcPr>
            <w:tcW w:w="9780" w:type="dxa"/>
            <w:vAlign w:val="bottom"/>
            <w:tcBorders>
              <w:top w:val="single" w:sz="8" w:color="0000FF"/>
            </w:tcBorders>
            <w:gridSpan w:val="11"/>
          </w:tcPr>
          <w:p>
            <w:pPr>
              <w:spacing w:after="0" w:line="152" w:lineRule="exact"/>
              <w:rPr>
                <w:rFonts w:ascii="Arial" w:cs="Arial" w:eastAsia="Arial" w:hAnsi="Arial"/>
                <w:sz w:val="17"/>
                <w:szCs w:val="17"/>
                <w:color w:val="0000FF"/>
                <w:w w:val="96"/>
              </w:rPr>
            </w:pPr>
            <w:hyperlink r:id="rId108">
              <w:r>
                <w:rPr>
                  <w:rFonts w:ascii="Arial" w:cs="Arial" w:eastAsia="Arial" w:hAnsi="Arial"/>
                  <w:sz w:val="17"/>
                  <w:szCs w:val="17"/>
                  <w:color w:val="0000FF"/>
                  <w:w w:val="96"/>
                </w:rPr>
                <w:t>as the Borrower and The Bank of Nova Scotia as the Facility Agent (incorporated by reference to Exhibit 4.1 to the Registrant’s Current</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104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w w:val="97"/>
              </w:rPr>
            </w:pPr>
            <w:hyperlink r:id="rId108">
              <w:r>
                <w:rPr>
                  <w:rFonts w:ascii="Arial" w:cs="Arial" w:eastAsia="Arial" w:hAnsi="Arial"/>
                  <w:sz w:val="17"/>
                  <w:szCs w:val="17"/>
                  <w:color w:val="0000FF"/>
                  <w:w w:val="97"/>
                </w:rPr>
                <w:t>Report on Form 8-K filed April 26, 2021 (File No. 001-35961) (the April 26, 2021 8-K).</w:t>
              </w:r>
            </w:hyperlink>
          </w:p>
        </w:tc>
        <w:tc>
          <w:tcPr>
            <w:tcW w:w="344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8"/>
        </w:trPr>
        <w:tc>
          <w:tcPr>
            <w:tcW w:w="1040" w:type="dxa"/>
            <w:vAlign w:val="bottom"/>
          </w:tcPr>
          <w:p>
            <w:pPr>
              <w:jc w:val="right"/>
              <w:ind w:right="732"/>
              <w:spacing w:after="0"/>
              <w:rPr>
                <w:sz w:val="20"/>
                <w:szCs w:val="20"/>
                <w:color w:val="auto"/>
              </w:rPr>
            </w:pPr>
            <w:r>
              <w:rPr>
                <w:rFonts w:ascii="Arial" w:cs="Arial" w:eastAsia="Arial" w:hAnsi="Arial"/>
                <w:sz w:val="18"/>
                <w:szCs w:val="18"/>
                <w:color w:val="auto"/>
                <w:w w:val="79"/>
              </w:rPr>
              <w:t>4.5</w:t>
            </w:r>
          </w:p>
        </w:tc>
        <w:tc>
          <w:tcPr>
            <w:tcW w:w="9900" w:type="dxa"/>
            <w:vAlign w:val="bottom"/>
            <w:gridSpan w:val="17"/>
          </w:tcPr>
          <w:p>
            <w:pPr>
              <w:spacing w:after="0"/>
              <w:rPr>
                <w:rFonts w:ascii="Arial" w:cs="Arial" w:eastAsia="Arial" w:hAnsi="Arial"/>
                <w:sz w:val="18"/>
                <w:szCs w:val="18"/>
                <w:color w:val="0000FF"/>
                <w:w w:val="94"/>
              </w:rPr>
            </w:pPr>
            <w:hyperlink r:id="rId109">
              <w:r>
                <w:rPr>
                  <w:rFonts w:ascii="Arial" w:cs="Arial" w:eastAsia="Arial" w:hAnsi="Arial"/>
                  <w:sz w:val="18"/>
                  <w:szCs w:val="18"/>
                  <w:color w:val="0000FF"/>
                  <w:w w:val="94"/>
                </w:rPr>
                <w:t>Additional Facility AY Accession Agreement dated April 20, 2021 and entered into between, among others, UPC Broadband Holding</w:t>
              </w:r>
            </w:hyperlink>
          </w:p>
        </w:tc>
      </w:tr>
      <w:tr>
        <w:trPr>
          <w:trHeight w:val="152"/>
        </w:trPr>
        <w:tc>
          <w:tcPr>
            <w:tcW w:w="1040" w:type="dxa"/>
            <w:vAlign w:val="bottom"/>
          </w:tcPr>
          <w:p>
            <w:pPr>
              <w:spacing w:after="0"/>
              <w:rPr>
                <w:sz w:val="13"/>
                <w:szCs w:val="13"/>
                <w:color w:val="auto"/>
              </w:rPr>
            </w:pPr>
          </w:p>
        </w:tc>
        <w:tc>
          <w:tcPr>
            <w:tcW w:w="9760" w:type="dxa"/>
            <w:vAlign w:val="bottom"/>
            <w:tcBorders>
              <w:top w:val="single" w:sz="8" w:color="0000FF"/>
            </w:tcBorders>
            <w:gridSpan w:val="10"/>
          </w:tcPr>
          <w:p>
            <w:pPr>
              <w:spacing w:after="0" w:line="152" w:lineRule="exact"/>
              <w:rPr>
                <w:rFonts w:ascii="Arial" w:cs="Arial" w:eastAsia="Arial" w:hAnsi="Arial"/>
                <w:sz w:val="17"/>
                <w:szCs w:val="17"/>
                <w:color w:val="0000FF"/>
                <w:w w:val="96"/>
              </w:rPr>
            </w:pPr>
            <w:hyperlink r:id="rId109">
              <w:r>
                <w:rPr>
                  <w:rFonts w:ascii="Arial" w:cs="Arial" w:eastAsia="Arial" w:hAnsi="Arial"/>
                  <w:sz w:val="17"/>
                  <w:szCs w:val="17"/>
                  <w:color w:val="0000FF"/>
                  <w:w w:val="96"/>
                </w:rPr>
                <w:t>B.V. as the Borrower and The Bank of Nova Scotia as the Facility Agent (incorporated by reference to Exhibit 4.2 to the April 26, 2021</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1040" w:type="dxa"/>
            <w:vAlign w:val="bottom"/>
          </w:tcPr>
          <w:p>
            <w:pPr>
              <w:spacing w:after="0"/>
              <w:rPr>
                <w:sz w:val="13"/>
                <w:szCs w:val="13"/>
                <w:color w:val="auto"/>
              </w:rPr>
            </w:pPr>
          </w:p>
        </w:tc>
        <w:tc>
          <w:tcPr>
            <w:tcW w:w="9800" w:type="dxa"/>
            <w:vAlign w:val="bottom"/>
            <w:tcBorders>
              <w:top w:val="single" w:sz="8" w:color="0000FF"/>
            </w:tcBorders>
            <w:gridSpan w:val="12"/>
          </w:tcPr>
          <w:p>
            <w:pPr>
              <w:spacing w:after="0" w:line="152" w:lineRule="exact"/>
              <w:rPr>
                <w:rFonts w:ascii="Arial" w:cs="Arial" w:eastAsia="Arial" w:hAnsi="Arial"/>
                <w:sz w:val="17"/>
                <w:szCs w:val="17"/>
                <w:color w:val="0000FF"/>
              </w:rPr>
            </w:pPr>
            <w:hyperlink r:id="rId109">
              <w:r>
                <w:rPr>
                  <w:rFonts w:ascii="Arial" w:cs="Arial" w:eastAsia="Arial" w:hAnsi="Arial"/>
                  <w:sz w:val="17"/>
                  <w:szCs w:val="17"/>
                  <w:color w:val="0000FF"/>
                </w:rPr>
                <w:t>8-K).</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25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1040" w:type="dxa"/>
            <w:vAlign w:val="bottom"/>
          </w:tcPr>
          <w:p>
            <w:pPr>
              <w:jc w:val="right"/>
              <w:ind w:right="732"/>
              <w:spacing w:after="0"/>
              <w:rPr>
                <w:sz w:val="20"/>
                <w:szCs w:val="20"/>
                <w:color w:val="auto"/>
              </w:rPr>
            </w:pPr>
            <w:r>
              <w:rPr>
                <w:rFonts w:ascii="Arial" w:cs="Arial" w:eastAsia="Arial" w:hAnsi="Arial"/>
                <w:sz w:val="18"/>
                <w:szCs w:val="18"/>
                <w:color w:val="auto"/>
                <w:w w:val="79"/>
              </w:rPr>
              <w:t>4.6</w:t>
            </w:r>
          </w:p>
        </w:tc>
        <w:tc>
          <w:tcPr>
            <w:tcW w:w="9900" w:type="dxa"/>
            <w:vAlign w:val="bottom"/>
            <w:gridSpan w:val="17"/>
          </w:tcPr>
          <w:p>
            <w:pPr>
              <w:spacing w:after="0"/>
              <w:rPr>
                <w:rFonts w:ascii="Arial" w:cs="Arial" w:eastAsia="Arial" w:hAnsi="Arial"/>
                <w:sz w:val="18"/>
                <w:szCs w:val="18"/>
                <w:color w:val="0000FF"/>
                <w:w w:val="97"/>
              </w:rPr>
            </w:pPr>
            <w:hyperlink r:id="rId110">
              <w:r>
                <w:rPr>
                  <w:rFonts w:ascii="Arial" w:cs="Arial" w:eastAsia="Arial" w:hAnsi="Arial"/>
                  <w:sz w:val="18"/>
                  <w:szCs w:val="18"/>
                  <w:color w:val="0000FF"/>
                  <w:w w:val="97"/>
                </w:rPr>
                <w:t>Additional Facility AZ Accession Agreement dated April 21, 2021 and entered into between UPC Broadband Holding B.V. as the</w:t>
              </w:r>
            </w:hyperlink>
          </w:p>
        </w:tc>
      </w:tr>
      <w:tr>
        <w:trPr>
          <w:trHeight w:val="152"/>
        </w:trPr>
        <w:tc>
          <w:tcPr>
            <w:tcW w:w="1040" w:type="dxa"/>
            <w:vAlign w:val="bottom"/>
          </w:tcPr>
          <w:p>
            <w:pPr>
              <w:spacing w:after="0"/>
              <w:rPr>
                <w:sz w:val="13"/>
                <w:szCs w:val="13"/>
                <w:color w:val="auto"/>
              </w:rPr>
            </w:pPr>
          </w:p>
        </w:tc>
        <w:tc>
          <w:tcPr>
            <w:tcW w:w="9880" w:type="dxa"/>
            <w:vAlign w:val="bottom"/>
            <w:tcBorders>
              <w:top w:val="single" w:sz="8" w:color="0000FF"/>
            </w:tcBorders>
            <w:gridSpan w:val="16"/>
          </w:tcPr>
          <w:p>
            <w:pPr>
              <w:spacing w:after="0" w:line="152" w:lineRule="exact"/>
              <w:rPr>
                <w:rFonts w:ascii="Arial" w:cs="Arial" w:eastAsia="Arial" w:hAnsi="Arial"/>
                <w:sz w:val="17"/>
                <w:szCs w:val="17"/>
                <w:color w:val="0000FF"/>
                <w:w w:val="97"/>
              </w:rPr>
            </w:pPr>
            <w:hyperlink r:id="rId110">
              <w:r>
                <w:rPr>
                  <w:rFonts w:ascii="Arial" w:cs="Arial" w:eastAsia="Arial" w:hAnsi="Arial"/>
                  <w:sz w:val="17"/>
                  <w:szCs w:val="17"/>
                  <w:color w:val="0000FF"/>
                  <w:w w:val="97"/>
                </w:rPr>
                <w:t>Company, UPC Financing Partnership as Borrower, The Bank of Nova Scotia as the Facility Agent and UPC Broadband Finco B.V. as</w:t>
              </w:r>
            </w:hyperlink>
          </w:p>
        </w:tc>
        <w:tc>
          <w:tcPr>
            <w:tcW w:w="20" w:type="dxa"/>
            <w:vAlign w:val="bottom"/>
          </w:tcPr>
          <w:p>
            <w:pPr>
              <w:spacing w:after="0"/>
              <w:rPr>
                <w:sz w:val="13"/>
                <w:szCs w:val="13"/>
                <w:color w:val="auto"/>
              </w:rPr>
            </w:pPr>
          </w:p>
        </w:tc>
      </w:tr>
      <w:tr>
        <w:trPr>
          <w:trHeight w:val="152"/>
        </w:trPr>
        <w:tc>
          <w:tcPr>
            <w:tcW w:w="1040" w:type="dxa"/>
            <w:vAlign w:val="bottom"/>
          </w:tcPr>
          <w:p>
            <w:pPr>
              <w:spacing w:after="0"/>
              <w:rPr>
                <w:sz w:val="13"/>
                <w:szCs w:val="13"/>
                <w:color w:val="auto"/>
              </w:rPr>
            </w:pPr>
          </w:p>
        </w:tc>
        <w:tc>
          <w:tcPr>
            <w:tcW w:w="730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w w:val="97"/>
              </w:rPr>
            </w:pPr>
            <w:hyperlink r:id="rId110">
              <w:r>
                <w:rPr>
                  <w:rFonts w:ascii="Arial" w:cs="Arial" w:eastAsia="Arial" w:hAnsi="Arial"/>
                  <w:sz w:val="17"/>
                  <w:szCs w:val="17"/>
                  <w:color w:val="0000FF"/>
                  <w:w w:val="97"/>
                </w:rPr>
                <w:t>the Additional Facility AZ Lender (incorporated by reference to Exhibit 4.3 to the April 26, 2021 8-K).</w:t>
              </w:r>
            </w:hyperlink>
          </w:p>
        </w:tc>
        <w:tc>
          <w:tcPr>
            <w:tcW w:w="256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 — Material Contracts</w:t>
      </w:r>
    </w:p>
    <w:p>
      <w:pPr>
        <w:spacing w:after="0" w:line="49"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1100" w:type="dxa"/>
            <w:vAlign w:val="bottom"/>
          </w:tcPr>
          <w:p>
            <w:pPr>
              <w:jc w:val="right"/>
              <w:ind w:right="692"/>
              <w:spacing w:after="0"/>
              <w:rPr>
                <w:sz w:val="20"/>
                <w:szCs w:val="20"/>
                <w:color w:val="auto"/>
              </w:rPr>
            </w:pPr>
            <w:r>
              <w:rPr>
                <w:rFonts w:ascii="Arial" w:cs="Arial" w:eastAsia="Arial" w:hAnsi="Arial"/>
                <w:sz w:val="18"/>
                <w:szCs w:val="18"/>
                <w:color w:val="auto"/>
                <w:w w:val="85"/>
              </w:rPr>
              <w:t>10.1</w:t>
            </w:r>
          </w:p>
        </w:tc>
        <w:tc>
          <w:tcPr>
            <w:tcW w:w="9760" w:type="dxa"/>
            <w:vAlign w:val="bottom"/>
            <w:gridSpan w:val="9"/>
          </w:tcPr>
          <w:p>
            <w:pPr>
              <w:spacing w:after="0"/>
              <w:rPr>
                <w:rFonts w:ascii="Arial" w:cs="Arial" w:eastAsia="Arial" w:hAnsi="Arial"/>
                <w:sz w:val="18"/>
                <w:szCs w:val="18"/>
                <w:color w:val="0000FF"/>
                <w:w w:val="93"/>
              </w:rPr>
            </w:pPr>
            <w:hyperlink r:id="rId111">
              <w:r>
                <w:rPr>
                  <w:rFonts w:ascii="Arial" w:cs="Arial" w:eastAsia="Arial" w:hAnsi="Arial"/>
                  <w:sz w:val="18"/>
                  <w:szCs w:val="18"/>
                  <w:color w:val="0000FF"/>
                  <w:w w:val="93"/>
                </w:rPr>
                <w:t>Liberty Global 2021 Long-Term Equity Incentive Program for executive officers under the Company’s 2021 long-term incentive plan</w:t>
              </w:r>
            </w:hyperlink>
          </w:p>
        </w:tc>
      </w:tr>
      <w:tr>
        <w:trPr>
          <w:trHeight w:val="152"/>
        </w:trPr>
        <w:tc>
          <w:tcPr>
            <w:tcW w:w="110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6"/>
          </w:tcPr>
          <w:p>
            <w:pPr>
              <w:spacing w:after="0" w:line="152" w:lineRule="exact"/>
              <w:rPr>
                <w:rFonts w:ascii="Arial" w:cs="Arial" w:eastAsia="Arial" w:hAnsi="Arial"/>
                <w:sz w:val="17"/>
                <w:szCs w:val="17"/>
                <w:color w:val="0000FF"/>
                <w:w w:val="99"/>
              </w:rPr>
            </w:pPr>
            <w:hyperlink r:id="rId111">
              <w:r>
                <w:rPr>
                  <w:rFonts w:ascii="Arial" w:cs="Arial" w:eastAsia="Arial" w:hAnsi="Arial"/>
                  <w:sz w:val="17"/>
                  <w:szCs w:val="17"/>
                  <w:color w:val="0000FF"/>
                  <w:w w:val="99"/>
                </w:rPr>
                <w:t>(description of said plan is incorporated by reference to the description thereof included in Item 5.02(e) of the Registrant’s Current</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1100" w:type="dxa"/>
            <w:vAlign w:val="bottom"/>
          </w:tcPr>
          <w:p>
            <w:pPr>
              <w:spacing w:after="0"/>
              <w:rPr>
                <w:sz w:val="13"/>
                <w:szCs w:val="13"/>
                <w:color w:val="auto"/>
              </w:rPr>
            </w:pPr>
          </w:p>
        </w:tc>
        <w:tc>
          <w:tcPr>
            <w:tcW w:w="4560" w:type="dxa"/>
            <w:vAlign w:val="bottom"/>
            <w:tcBorders>
              <w:bottom w:val="single" w:sz="8" w:color="0000FF"/>
            </w:tcBorders>
          </w:tcPr>
          <w:p>
            <w:pPr>
              <w:spacing w:after="0" w:line="152" w:lineRule="exact"/>
              <w:rPr>
                <w:rFonts w:ascii="Arial" w:cs="Arial" w:eastAsia="Arial" w:hAnsi="Arial"/>
                <w:sz w:val="17"/>
                <w:szCs w:val="17"/>
                <w:color w:val="0000FF"/>
                <w:w w:val="97"/>
              </w:rPr>
            </w:pPr>
            <w:hyperlink r:id="rId111">
              <w:r>
                <w:rPr>
                  <w:rFonts w:ascii="Arial" w:cs="Arial" w:eastAsia="Arial" w:hAnsi="Arial"/>
                  <w:sz w:val="17"/>
                  <w:szCs w:val="17"/>
                  <w:color w:val="0000FF"/>
                  <w:w w:val="97"/>
                </w:rPr>
                <w:t>Report on Form 8-K filed April 15, 2021 (File No. 001-35961)).</w:t>
              </w:r>
            </w:hyperlink>
          </w:p>
        </w:tc>
        <w:tc>
          <w:tcPr>
            <w:tcW w:w="5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8"/>
        </w:trPr>
        <w:tc>
          <w:tcPr>
            <w:tcW w:w="1100" w:type="dxa"/>
            <w:vAlign w:val="bottom"/>
          </w:tcPr>
          <w:p>
            <w:pPr>
              <w:jc w:val="right"/>
              <w:ind w:right="692"/>
              <w:spacing w:after="0"/>
              <w:rPr>
                <w:sz w:val="20"/>
                <w:szCs w:val="20"/>
                <w:color w:val="auto"/>
              </w:rPr>
            </w:pPr>
            <w:r>
              <w:rPr>
                <w:rFonts w:ascii="Arial" w:cs="Arial" w:eastAsia="Arial" w:hAnsi="Arial"/>
                <w:sz w:val="18"/>
                <w:szCs w:val="18"/>
                <w:color w:val="auto"/>
                <w:w w:val="85"/>
              </w:rPr>
              <w:t>10.2</w:t>
            </w:r>
          </w:p>
        </w:tc>
        <w:tc>
          <w:tcPr>
            <w:tcW w:w="9760" w:type="dxa"/>
            <w:vAlign w:val="bottom"/>
            <w:gridSpan w:val="9"/>
          </w:tcPr>
          <w:p>
            <w:pPr>
              <w:spacing w:after="0"/>
              <w:rPr>
                <w:rFonts w:ascii="Arial" w:cs="Arial" w:eastAsia="Arial" w:hAnsi="Arial"/>
                <w:sz w:val="18"/>
                <w:szCs w:val="18"/>
                <w:color w:val="0000FF"/>
                <w:w w:val="95"/>
              </w:rPr>
            </w:pPr>
            <w:hyperlink r:id="rId112">
              <w:r>
                <w:rPr>
                  <w:rFonts w:ascii="Arial" w:cs="Arial" w:eastAsia="Arial" w:hAnsi="Arial"/>
                  <w:sz w:val="18"/>
                  <w:szCs w:val="18"/>
                  <w:color w:val="0000FF"/>
                  <w:w w:val="95"/>
                </w:rPr>
                <w:t>Shareholders Agreement, dated June 1, 2021, by and among Liberty Global plc, Liberty Global Europe 2 Limited, Liberty Global</w:t>
              </w:r>
            </w:hyperlink>
          </w:p>
        </w:tc>
      </w:tr>
      <w:tr>
        <w:trPr>
          <w:trHeight w:val="152"/>
        </w:trPr>
        <w:tc>
          <w:tcPr>
            <w:tcW w:w="1100" w:type="dxa"/>
            <w:vAlign w:val="bottom"/>
          </w:tcPr>
          <w:p>
            <w:pPr>
              <w:spacing w:after="0"/>
              <w:rPr>
                <w:sz w:val="13"/>
                <w:szCs w:val="13"/>
                <w:color w:val="auto"/>
              </w:rPr>
            </w:pPr>
          </w:p>
        </w:tc>
        <w:tc>
          <w:tcPr>
            <w:tcW w:w="9740" w:type="dxa"/>
            <w:vAlign w:val="bottom"/>
            <w:tcBorders>
              <w:top w:val="single" w:sz="8" w:color="0000FF"/>
            </w:tcBorders>
            <w:gridSpan w:val="8"/>
          </w:tcPr>
          <w:p>
            <w:pPr>
              <w:spacing w:after="0" w:line="152" w:lineRule="exact"/>
              <w:rPr>
                <w:rFonts w:ascii="Arial" w:cs="Arial" w:eastAsia="Arial" w:hAnsi="Arial"/>
                <w:sz w:val="17"/>
                <w:szCs w:val="17"/>
                <w:color w:val="0000FF"/>
                <w:w w:val="99"/>
              </w:rPr>
            </w:pPr>
            <w:hyperlink r:id="rId104">
              <w:r>
                <w:rPr>
                  <w:rFonts w:ascii="Arial" w:cs="Arial" w:eastAsia="Arial" w:hAnsi="Arial"/>
                  <w:sz w:val="17"/>
                  <w:szCs w:val="17"/>
                  <w:color w:val="0000FF"/>
                  <w:w w:val="99"/>
                </w:rPr>
                <w:t>Holdco Limited, Telefónica, S.A., and Telefonica O2 Holdings Limited (incorporated by reference to Exhibit 10.1 to the Registrant’s</w:t>
              </w:r>
            </w:hyperlink>
          </w:p>
        </w:tc>
        <w:tc>
          <w:tcPr>
            <w:tcW w:w="20" w:type="dxa"/>
            <w:vAlign w:val="bottom"/>
          </w:tcPr>
          <w:p>
            <w:pPr>
              <w:spacing w:after="0"/>
              <w:rPr>
                <w:sz w:val="13"/>
                <w:szCs w:val="13"/>
                <w:color w:val="auto"/>
              </w:rPr>
            </w:pPr>
          </w:p>
        </w:tc>
      </w:tr>
      <w:tr>
        <w:trPr>
          <w:trHeight w:val="152"/>
        </w:trPr>
        <w:tc>
          <w:tcPr>
            <w:tcW w:w="1100" w:type="dxa"/>
            <w:vAlign w:val="bottom"/>
          </w:tcPr>
          <w:p>
            <w:pPr>
              <w:spacing w:after="0"/>
              <w:rPr>
                <w:sz w:val="13"/>
                <w:szCs w:val="13"/>
                <w:color w:val="auto"/>
              </w:rPr>
            </w:pPr>
          </w:p>
        </w:tc>
        <w:tc>
          <w:tcPr>
            <w:tcW w:w="9680" w:type="dxa"/>
            <w:vAlign w:val="bottom"/>
            <w:tcBorders>
              <w:top w:val="single" w:sz="8" w:color="0000FF"/>
            </w:tcBorders>
            <w:gridSpan w:val="5"/>
          </w:tcPr>
          <w:p>
            <w:pPr>
              <w:spacing w:after="0" w:line="152" w:lineRule="exact"/>
              <w:rPr>
                <w:rFonts w:ascii="Arial" w:cs="Arial" w:eastAsia="Arial" w:hAnsi="Arial"/>
                <w:sz w:val="17"/>
                <w:szCs w:val="17"/>
                <w:color w:val="0000FF"/>
              </w:rPr>
            </w:pPr>
            <w:hyperlink r:id="rId104">
              <w:r>
                <w:rPr>
                  <w:rFonts w:ascii="Arial" w:cs="Arial" w:eastAsia="Arial" w:hAnsi="Arial"/>
                  <w:sz w:val="17"/>
                  <w:szCs w:val="17"/>
                  <w:color w:val="0000FF"/>
                </w:rPr>
                <w:t>Current Report on Form 8-K filed June 4, 2021 (file No. 001-35961)</w:t>
              </w:r>
              <w:r>
                <w:rPr>
                  <w:rFonts w:ascii="Arial" w:cs="Arial" w:eastAsia="Arial" w:hAnsi="Arial"/>
                  <w:sz w:val="17"/>
                  <w:szCs w:val="17"/>
                  <w:color w:val="000000"/>
                </w:rPr>
                <w:t>)</w:t>
              </w:r>
            </w:hyperlink>
            <w:hyperlink r:id="rId112">
              <w:r>
                <w:rPr>
                  <w:rFonts w:ascii="Arial" w:cs="Arial" w:eastAsia="Arial" w:hAnsi="Arial"/>
                  <w:sz w:val="17"/>
                  <w:szCs w:val="17"/>
                  <w:color w:val="0000FF"/>
                </w:rPr>
                <w:t>.***</w:t>
              </w:r>
            </w:hyperlink>
          </w:p>
        </w:tc>
        <w:tc>
          <w:tcPr>
            <w:tcW w:w="80" w:type="dxa"/>
            <w:vAlign w:val="bottom"/>
            <w:gridSpan w:val="4"/>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 — Rule 13a-14(a)/15d-14(a) Certification:</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20" w:type="dxa"/>
            <w:vAlign w:val="bottom"/>
          </w:tcPr>
          <w:p>
            <w:pPr>
              <w:ind w:left="420"/>
              <w:spacing w:after="0"/>
              <w:rPr>
                <w:sz w:val="20"/>
                <w:szCs w:val="20"/>
                <w:color w:val="auto"/>
              </w:rPr>
            </w:pPr>
            <w:r>
              <w:rPr>
                <w:rFonts w:ascii="Arial" w:cs="Arial" w:eastAsia="Arial" w:hAnsi="Arial"/>
                <w:sz w:val="18"/>
                <w:szCs w:val="18"/>
                <w:color w:val="auto"/>
              </w:rPr>
              <w:t>31.1</w:t>
            </w:r>
          </w:p>
        </w:tc>
        <w:tc>
          <w:tcPr>
            <w:tcW w:w="39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90">
              <w:r>
                <w:rPr>
                  <w:rFonts w:ascii="Arial" w:cs="Arial" w:eastAsia="Arial" w:hAnsi="Arial"/>
                  <w:sz w:val="18"/>
                  <w:szCs w:val="18"/>
                  <w:color w:val="0000FF"/>
                  <w:w w:val="91"/>
                </w:rPr>
                <w:t>Certification of President and Chief Executive Officer*</w:t>
              </w:r>
            </w:hyperlink>
          </w:p>
        </w:tc>
        <w:tc>
          <w:tcPr>
            <w:tcW w:w="1060" w:type="dxa"/>
            <w:vAlign w:val="bottom"/>
          </w:tcPr>
          <w:p>
            <w:pPr>
              <w:spacing w:after="0"/>
              <w:rPr>
                <w:sz w:val="18"/>
                <w:szCs w:val="18"/>
                <w:color w:val="auto"/>
              </w:rPr>
            </w:pPr>
          </w:p>
        </w:tc>
      </w:tr>
      <w:tr>
        <w:trPr>
          <w:trHeight w:val="258"/>
        </w:trPr>
        <w:tc>
          <w:tcPr>
            <w:tcW w:w="1520" w:type="dxa"/>
            <w:vAlign w:val="bottom"/>
          </w:tcPr>
          <w:p>
            <w:pPr>
              <w:ind w:left="420"/>
              <w:spacing w:after="0"/>
              <w:rPr>
                <w:sz w:val="20"/>
                <w:szCs w:val="20"/>
                <w:color w:val="auto"/>
              </w:rPr>
            </w:pPr>
            <w:r>
              <w:rPr>
                <w:rFonts w:ascii="Arial" w:cs="Arial" w:eastAsia="Arial" w:hAnsi="Arial"/>
                <w:sz w:val="18"/>
                <w:szCs w:val="18"/>
                <w:color w:val="auto"/>
              </w:rPr>
              <w:t>31.2</w:t>
            </w:r>
          </w:p>
        </w:tc>
        <w:tc>
          <w:tcPr>
            <w:tcW w:w="498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91">
              <w:r>
                <w:rPr>
                  <w:rFonts w:ascii="Arial" w:cs="Arial" w:eastAsia="Arial" w:hAnsi="Arial"/>
                  <w:sz w:val="18"/>
                  <w:szCs w:val="18"/>
                  <w:color w:val="0000FF"/>
                  <w:w w:val="91"/>
                </w:rPr>
                <w:t>Certification of Executive Vice President and Chief Financial Officer*</w:t>
              </w:r>
            </w:hyperlink>
          </w:p>
        </w:tc>
      </w:tr>
      <w:tr>
        <w:trPr>
          <w:trHeight w:val="258"/>
        </w:trPr>
        <w:tc>
          <w:tcPr>
            <w:tcW w:w="6500" w:type="dxa"/>
            <w:vAlign w:val="bottom"/>
            <w:gridSpan w:val="4"/>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32 — Section 1350 Certification**</w:t>
              </w:r>
            </w:hyperlink>
          </w:p>
        </w:tc>
      </w:tr>
      <w:tr>
        <w:trPr>
          <w:trHeight w:val="20"/>
        </w:trPr>
        <w:tc>
          <w:tcPr>
            <w:tcW w:w="1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r>
      <w:tr>
        <w:trPr>
          <w:trHeight w:val="297"/>
        </w:trPr>
        <w:tc>
          <w:tcPr>
            <w:tcW w:w="1520" w:type="dxa"/>
            <w:vAlign w:val="bottom"/>
          </w:tcPr>
          <w:p>
            <w:pPr>
              <w:spacing w:after="0"/>
              <w:rPr>
                <w:sz w:val="20"/>
                <w:szCs w:val="20"/>
                <w:color w:val="auto"/>
              </w:rPr>
            </w:pPr>
            <w:r>
              <w:rPr>
                <w:rFonts w:ascii="Arial" w:cs="Arial" w:eastAsia="Arial" w:hAnsi="Arial"/>
                <w:sz w:val="18"/>
                <w:szCs w:val="18"/>
                <w:color w:val="auto"/>
              </w:rPr>
              <w:t>101.SCH</w:t>
            </w:r>
          </w:p>
        </w:tc>
        <w:tc>
          <w:tcPr>
            <w:tcW w:w="498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8"/>
        </w:trPr>
        <w:tc>
          <w:tcPr>
            <w:tcW w:w="1520" w:type="dxa"/>
            <w:vAlign w:val="bottom"/>
          </w:tcPr>
          <w:p>
            <w:pPr>
              <w:spacing w:after="0"/>
              <w:rPr>
                <w:sz w:val="20"/>
                <w:szCs w:val="20"/>
                <w:color w:val="auto"/>
              </w:rPr>
            </w:pPr>
            <w:r>
              <w:rPr>
                <w:rFonts w:ascii="Arial" w:cs="Arial" w:eastAsia="Arial" w:hAnsi="Arial"/>
                <w:sz w:val="18"/>
                <w:szCs w:val="18"/>
                <w:color w:val="auto"/>
              </w:rPr>
              <w:t>101.CAL</w:t>
            </w:r>
          </w:p>
        </w:tc>
        <w:tc>
          <w:tcPr>
            <w:tcW w:w="4980" w:type="dxa"/>
            <w:vAlign w:val="bottom"/>
            <w:gridSpan w:val="3"/>
          </w:tcPr>
          <w:p>
            <w:pPr>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278"/>
        </w:trPr>
        <w:tc>
          <w:tcPr>
            <w:tcW w:w="1520" w:type="dxa"/>
            <w:vAlign w:val="bottom"/>
          </w:tcPr>
          <w:p>
            <w:pPr>
              <w:spacing w:after="0"/>
              <w:rPr>
                <w:sz w:val="20"/>
                <w:szCs w:val="20"/>
                <w:color w:val="auto"/>
              </w:rPr>
            </w:pPr>
            <w:r>
              <w:rPr>
                <w:rFonts w:ascii="Arial" w:cs="Arial" w:eastAsia="Arial" w:hAnsi="Arial"/>
                <w:sz w:val="18"/>
                <w:szCs w:val="18"/>
                <w:color w:val="auto"/>
              </w:rPr>
              <w:t>101.DEF</w:t>
            </w:r>
          </w:p>
        </w:tc>
        <w:tc>
          <w:tcPr>
            <w:tcW w:w="498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78"/>
        </w:trPr>
        <w:tc>
          <w:tcPr>
            <w:tcW w:w="1520" w:type="dxa"/>
            <w:vAlign w:val="bottom"/>
          </w:tcPr>
          <w:p>
            <w:pPr>
              <w:spacing w:after="0"/>
              <w:rPr>
                <w:sz w:val="20"/>
                <w:szCs w:val="20"/>
                <w:color w:val="auto"/>
              </w:rPr>
            </w:pPr>
            <w:r>
              <w:rPr>
                <w:rFonts w:ascii="Arial" w:cs="Arial" w:eastAsia="Arial" w:hAnsi="Arial"/>
                <w:sz w:val="18"/>
                <w:szCs w:val="18"/>
                <w:color w:val="auto"/>
              </w:rPr>
              <w:t>101.LAB</w:t>
            </w:r>
          </w:p>
        </w:tc>
        <w:tc>
          <w:tcPr>
            <w:tcW w:w="498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8"/>
        </w:trPr>
        <w:tc>
          <w:tcPr>
            <w:tcW w:w="1520" w:type="dxa"/>
            <w:vAlign w:val="bottom"/>
          </w:tcPr>
          <w:p>
            <w:pPr>
              <w:spacing w:after="0"/>
              <w:rPr>
                <w:sz w:val="20"/>
                <w:szCs w:val="20"/>
                <w:color w:val="auto"/>
              </w:rPr>
            </w:pPr>
            <w:r>
              <w:rPr>
                <w:rFonts w:ascii="Arial" w:cs="Arial" w:eastAsia="Arial" w:hAnsi="Arial"/>
                <w:sz w:val="18"/>
                <w:szCs w:val="18"/>
                <w:color w:val="auto"/>
              </w:rPr>
              <w:t>101.PRE</w:t>
            </w:r>
          </w:p>
        </w:tc>
        <w:tc>
          <w:tcPr>
            <w:tcW w:w="4980" w:type="dxa"/>
            <w:vAlign w:val="bottom"/>
            <w:gridSpan w:val="3"/>
          </w:tcPr>
          <w:p>
            <w:pPr>
              <w:spacing w:after="0"/>
              <w:rPr>
                <w:sz w:val="20"/>
                <w:szCs w:val="20"/>
                <w:color w:val="auto"/>
              </w:rPr>
            </w:pPr>
            <w:r>
              <w:rPr>
                <w:rFonts w:ascii="Arial" w:cs="Arial" w:eastAsia="Arial" w:hAnsi="Arial"/>
                <w:sz w:val="18"/>
                <w:szCs w:val="18"/>
                <w:color w:val="auto"/>
                <w:w w:val="90"/>
              </w:rPr>
              <w:t>Inline XBRL Taxonomy Extension Presentation Linkbase Document*</w:t>
            </w:r>
          </w:p>
        </w:tc>
      </w:tr>
    </w:tbl>
    <w:p>
      <w:pPr>
        <w:spacing w:after="0" w:line="55" w:lineRule="exact"/>
        <w:rPr>
          <w:sz w:val="20"/>
          <w:szCs w:val="20"/>
          <w:color w:val="auto"/>
        </w:rPr>
      </w:pPr>
    </w:p>
    <w:p>
      <w:pPr>
        <w:ind w:left="1540" w:hanging="1516"/>
        <w:spacing w:after="0"/>
        <w:tabs>
          <w:tab w:leader="none" w:pos="1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9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sectPr>
      </w:pPr>
    </w:p>
    <w:bookmarkStart w:id="88" w:name="page89"/>
    <w:bookmarkEnd w:id="88"/>
    <w:p>
      <w:pPr>
        <w:ind w:left="680" w:hanging="656"/>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 w:lineRule="exact"/>
        <w:rPr>
          <w:sz w:val="20"/>
          <w:szCs w:val="20"/>
          <w:color w:val="auto"/>
        </w:rPr>
      </w:pPr>
    </w:p>
    <w:p>
      <w:pPr>
        <w:ind w:left="680" w:hanging="656"/>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8" w:lineRule="exact"/>
        <w:rPr>
          <w:rFonts w:ascii="Arial" w:cs="Arial" w:eastAsia="Arial" w:hAnsi="Arial"/>
          <w:sz w:val="18"/>
          <w:szCs w:val="18"/>
          <w:color w:val="auto"/>
        </w:rPr>
      </w:pPr>
    </w:p>
    <w:p>
      <w:pPr>
        <w:ind w:left="680" w:right="40" w:hanging="656"/>
        <w:spacing w:after="0" w:line="229" w:lineRule="auto"/>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Schedules and similar attachments to the agreement have been omitted pursuant to Item 601(a)(5) of Regulation S-K but will be provided to the U.S. Securities and Exchange Commission or its staff upon request.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LIBERTY GLOBAL PLC</w:t>
      </w:r>
    </w:p>
    <w:p>
      <w:pPr>
        <w:spacing w:after="0" w:line="283" w:lineRule="exact"/>
        <w:rPr>
          <w:sz w:val="20"/>
          <w:szCs w:val="20"/>
          <w:color w:val="auto"/>
        </w:rPr>
      </w:pPr>
    </w:p>
    <w:p>
      <w:pPr>
        <w:ind w:left="240"/>
        <w:spacing w:after="0"/>
        <w:tabs>
          <w:tab w:leader="none" w:pos="6900" w:val="left"/>
          <w:tab w:leader="none" w:pos="7240" w:val="left"/>
        </w:tabs>
        <w:rPr>
          <w:sz w:val="20"/>
          <w:szCs w:val="20"/>
          <w:color w:val="auto"/>
        </w:rPr>
      </w:pPr>
      <w:r>
        <w:rPr>
          <w:rFonts w:ascii="Arial" w:cs="Arial" w:eastAsia="Arial" w:hAnsi="Arial"/>
          <w:sz w:val="18"/>
          <w:szCs w:val="18"/>
          <w:color w:val="auto"/>
        </w:rPr>
        <w:t>Dated: July 29, 2021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T. F</w:t>
      </w:r>
      <w:r>
        <w:rPr>
          <w:rFonts w:ascii="Arial" w:cs="Arial" w:eastAsia="Arial" w:hAnsi="Arial"/>
          <w:sz w:val="13"/>
          <w:szCs w:val="13"/>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2990850</wp:posOffset>
            </wp:positionH>
            <wp:positionV relativeFrom="paragraph">
              <wp:posOffset>19685</wp:posOffset>
            </wp:positionV>
            <wp:extent cx="40303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4030345" cy="8255"/>
                    </a:xfrm>
                    <a:prstGeom prst="rect">
                      <a:avLst/>
                    </a:prstGeom>
                    <a:noFill/>
                  </pic:spPr>
                </pic:pic>
              </a:graphicData>
            </a:graphic>
          </wp:anchor>
        </w:drawing>
      </w:r>
    </w:p>
    <w:p>
      <w:pPr>
        <w:spacing w:after="0" w:line="4" w:lineRule="exact"/>
        <w:rPr>
          <w:sz w:val="20"/>
          <w:szCs w:val="20"/>
          <w:color w:val="auto"/>
        </w:rPr>
      </w:pPr>
    </w:p>
    <w:p>
      <w:pPr>
        <w:jc w:val="center"/>
        <w:ind w:left="4520"/>
        <w:spacing w:after="0"/>
        <w:rPr>
          <w:sz w:val="20"/>
          <w:szCs w:val="20"/>
          <w:color w:val="auto"/>
        </w:rPr>
      </w:pPr>
      <w:r>
        <w:rPr>
          <w:rFonts w:ascii="Arial" w:cs="Arial" w:eastAsia="Arial" w:hAnsi="Arial"/>
          <w:sz w:val="18"/>
          <w:szCs w:val="18"/>
          <w:color w:val="auto"/>
        </w:rPr>
        <w:t>Michael T. Fries</w:t>
      </w:r>
    </w:p>
    <w:p>
      <w:pPr>
        <w:jc w:val="center"/>
        <w:ind w:left="45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83" w:lineRule="exact"/>
        <w:rPr>
          <w:sz w:val="20"/>
          <w:szCs w:val="20"/>
          <w:color w:val="auto"/>
        </w:rPr>
      </w:pPr>
    </w:p>
    <w:p>
      <w:pPr>
        <w:ind w:left="240"/>
        <w:spacing w:after="0"/>
        <w:tabs>
          <w:tab w:leader="none" w:pos="6660" w:val="left"/>
          <w:tab w:leader="none" w:pos="7000" w:val="left"/>
        </w:tabs>
        <w:rPr>
          <w:sz w:val="20"/>
          <w:szCs w:val="20"/>
          <w:color w:val="auto"/>
        </w:rPr>
      </w:pPr>
      <w:r>
        <w:rPr>
          <w:rFonts w:ascii="Arial" w:cs="Arial" w:eastAsia="Arial" w:hAnsi="Arial"/>
          <w:sz w:val="18"/>
          <w:szCs w:val="18"/>
          <w:color w:val="auto"/>
        </w:rPr>
        <w:t>Dated: July 29, 2021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HARLES</w:t>
      </w:r>
      <w:r>
        <w:rPr>
          <w:rFonts w:ascii="Arial" w:cs="Arial" w:eastAsia="Arial" w:hAnsi="Arial"/>
          <w:sz w:val="17"/>
          <w:szCs w:val="17"/>
          <w:color w:val="auto"/>
        </w:rPr>
        <w:t xml:space="preserve"> H.R. B</w:t>
      </w:r>
      <w:r>
        <w:rPr>
          <w:rFonts w:ascii="Arial" w:cs="Arial" w:eastAsia="Arial" w:hAnsi="Arial"/>
          <w:sz w:val="13"/>
          <w:szCs w:val="13"/>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2990850</wp:posOffset>
            </wp:positionH>
            <wp:positionV relativeFrom="paragraph">
              <wp:posOffset>19685</wp:posOffset>
            </wp:positionV>
            <wp:extent cx="40303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4030345" cy="8255"/>
                    </a:xfrm>
                    <a:prstGeom prst="rect">
                      <a:avLst/>
                    </a:prstGeom>
                    <a:noFill/>
                  </pic:spPr>
                </pic:pic>
              </a:graphicData>
            </a:graphic>
          </wp:anchor>
        </w:drawing>
      </w:r>
    </w:p>
    <w:p>
      <w:pPr>
        <w:spacing w:after="0" w:line="4" w:lineRule="exact"/>
        <w:rPr>
          <w:sz w:val="20"/>
          <w:szCs w:val="20"/>
          <w:color w:val="auto"/>
        </w:rPr>
      </w:pPr>
    </w:p>
    <w:p>
      <w:pPr>
        <w:jc w:val="center"/>
        <w:ind w:left="4520"/>
        <w:spacing w:after="0"/>
        <w:rPr>
          <w:sz w:val="20"/>
          <w:szCs w:val="20"/>
          <w:color w:val="auto"/>
        </w:rPr>
      </w:pPr>
      <w:r>
        <w:rPr>
          <w:rFonts w:ascii="Arial" w:cs="Arial" w:eastAsia="Arial" w:hAnsi="Arial"/>
          <w:sz w:val="18"/>
          <w:szCs w:val="18"/>
          <w:color w:val="auto"/>
        </w:rPr>
        <w:t>Charles H.R. Bracken</w:t>
      </w:r>
    </w:p>
    <w:p>
      <w:pPr>
        <w:jc w:val="center"/>
        <w:ind w:left="4520"/>
        <w:spacing w:after="0" w:line="199" w:lineRule="auto"/>
        <w:rPr>
          <w:sz w:val="20"/>
          <w:szCs w:val="20"/>
          <w:color w:val="auto"/>
        </w:rPr>
      </w:pPr>
      <w:r>
        <w:rPr>
          <w:rFonts w:ascii="Arial" w:cs="Arial" w:eastAsia="Arial" w:hAnsi="Arial"/>
          <w:sz w:val="18"/>
          <w:szCs w:val="18"/>
          <w:i w:val="1"/>
          <w:iCs w:val="1"/>
          <w:color w:val="auto"/>
        </w:rPr>
        <w:t>Executive Vice President and Chief</w:t>
      </w:r>
    </w:p>
    <w:p>
      <w:pPr>
        <w:spacing w:after="0" w:line="1" w:lineRule="exact"/>
        <w:rPr>
          <w:sz w:val="20"/>
          <w:szCs w:val="20"/>
          <w:color w:val="auto"/>
        </w:rPr>
      </w:pPr>
    </w:p>
    <w:p>
      <w:pPr>
        <w:jc w:val="center"/>
        <w:ind w:left="4520"/>
        <w:spacing w:after="0"/>
        <w:rPr>
          <w:sz w:val="20"/>
          <w:szCs w:val="20"/>
          <w:color w:val="auto"/>
        </w:rPr>
      </w:pPr>
      <w:r>
        <w:rPr>
          <w:rFonts w:ascii="Arial" w:cs="Arial" w:eastAsia="Arial" w:hAnsi="Arial"/>
          <w:sz w:val="18"/>
          <w:szCs w:val="18"/>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293"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I, Michael T. Fries, certify that:</w:t>
      </w:r>
    </w:p>
    <w:p>
      <w:pPr>
        <w:spacing w:after="0" w:line="85" w:lineRule="exact"/>
        <w:rPr>
          <w:sz w:val="20"/>
          <w:szCs w:val="20"/>
          <w:color w:val="auto"/>
        </w:rPr>
      </w:pPr>
    </w:p>
    <w:p>
      <w:pPr>
        <w:ind w:left="640" w:hanging="31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97"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8" w:lineRule="exact"/>
        <w:rPr>
          <w:rFonts w:ascii="Arial" w:cs="Arial" w:eastAsia="Arial" w:hAnsi="Arial"/>
          <w:sz w:val="18"/>
          <w:szCs w:val="18"/>
          <w:color w:val="auto"/>
        </w:rPr>
      </w:pPr>
    </w:p>
    <w:p>
      <w:pPr>
        <w:ind w:left="640" w:hanging="316"/>
        <w:spacing w:after="0" w:line="350" w:lineRule="auto"/>
        <w:tabs>
          <w:tab w:leader="none" w:pos="6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40" w:hanging="316"/>
        <w:spacing w:after="0" w:line="255"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71"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68"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280" w:hanging="320"/>
        <w:spacing w:after="0" w:line="255" w:lineRule="auto"/>
        <w:tabs>
          <w:tab w:leader="none" w:pos="1271" w:val="left"/>
        </w:tabs>
        <w:numPr>
          <w:ilvl w:val="1"/>
          <w:numId w:val="8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68"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24" w:lineRule="exact"/>
        <w:rPr>
          <w:rFonts w:ascii="Arial" w:cs="Arial" w:eastAsia="Arial" w:hAnsi="Arial"/>
          <w:sz w:val="17"/>
          <w:szCs w:val="17"/>
          <w:color w:val="auto"/>
        </w:rPr>
      </w:pPr>
    </w:p>
    <w:p>
      <w:pPr>
        <w:ind w:left="1280" w:hanging="320"/>
        <w:spacing w:after="0" w:line="294" w:lineRule="auto"/>
        <w:tabs>
          <w:tab w:leader="none" w:pos="1271" w:val="left"/>
        </w:tabs>
        <w:numPr>
          <w:ilvl w:val="1"/>
          <w:numId w:val="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7"/>
          <w:szCs w:val="17"/>
          <w:color w:val="auto"/>
        </w:rPr>
      </w:pPr>
    </w:p>
    <w:p>
      <w:pPr>
        <w:ind w:left="1280" w:hanging="320"/>
        <w:spacing w:after="0" w:line="264" w:lineRule="auto"/>
        <w:tabs>
          <w:tab w:leader="none" w:pos="1268"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July 29, 2021</w:t>
      </w:r>
    </w:p>
    <w:p>
      <w:pPr>
        <w:spacing w:after="0" w:line="177"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10795</wp:posOffset>
            </wp:positionV>
            <wp:extent cx="26924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38"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Michael T. Fries</w:t>
      </w:r>
    </w:p>
    <w:p>
      <w:pPr>
        <w:spacing w:after="0" w:line="58"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76"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I, Charles H.R. Bracken, certify that:</w:t>
      </w:r>
    </w:p>
    <w:p>
      <w:pPr>
        <w:spacing w:after="0" w:line="85" w:lineRule="exact"/>
        <w:rPr>
          <w:sz w:val="20"/>
          <w:szCs w:val="20"/>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97"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8" w:lineRule="exact"/>
        <w:rPr>
          <w:rFonts w:ascii="Arial" w:cs="Arial" w:eastAsia="Arial" w:hAnsi="Arial"/>
          <w:sz w:val="18"/>
          <w:szCs w:val="18"/>
          <w:color w:val="auto"/>
        </w:rPr>
      </w:pPr>
    </w:p>
    <w:p>
      <w:pPr>
        <w:ind w:left="640" w:hanging="316"/>
        <w:spacing w:after="0" w:line="350" w:lineRule="auto"/>
        <w:tabs>
          <w:tab w:leader="none" w:pos="640" w:val="left"/>
        </w:tabs>
        <w:numPr>
          <w:ilvl w:val="0"/>
          <w:numId w:val="9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40" w:hanging="316"/>
        <w:spacing w:after="0" w:line="255"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71"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68"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280" w:hanging="320"/>
        <w:spacing w:after="0" w:line="255" w:lineRule="auto"/>
        <w:tabs>
          <w:tab w:leader="none" w:pos="1271"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68"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24" w:lineRule="exact"/>
        <w:rPr>
          <w:rFonts w:ascii="Arial" w:cs="Arial" w:eastAsia="Arial" w:hAnsi="Arial"/>
          <w:sz w:val="17"/>
          <w:szCs w:val="17"/>
          <w:color w:val="auto"/>
        </w:rPr>
      </w:pPr>
    </w:p>
    <w:p>
      <w:pPr>
        <w:ind w:left="1280" w:hanging="320"/>
        <w:spacing w:after="0" w:line="294" w:lineRule="auto"/>
        <w:tabs>
          <w:tab w:leader="none" w:pos="1271" w:val="left"/>
        </w:tabs>
        <w:numPr>
          <w:ilvl w:val="1"/>
          <w:numId w:val="9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7"/>
          <w:szCs w:val="17"/>
          <w:color w:val="auto"/>
        </w:rPr>
      </w:pPr>
    </w:p>
    <w:p>
      <w:pPr>
        <w:ind w:left="1280" w:hanging="320"/>
        <w:spacing w:after="0" w:line="264" w:lineRule="auto"/>
        <w:tabs>
          <w:tab w:leader="none" w:pos="1268"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17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10795</wp:posOffset>
            </wp:positionV>
            <wp:extent cx="26924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3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Charles H.R. Bracken</w:t>
      </w:r>
    </w:p>
    <w:p>
      <w:pPr>
        <w:spacing w:after="0" w:line="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76"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Quarterly Report on Form 10-Q for the period ended June 30, 2021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June 30, 2021 and December 31, 2020, and for the three and six months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980"/>
        <w:spacing w:after="0"/>
        <w:tabs>
          <w:tab w:leader="none" w:pos="6200" w:val="left"/>
        </w:tabs>
        <w:rPr>
          <w:sz w:val="20"/>
          <w:szCs w:val="20"/>
          <w:color w:val="auto"/>
        </w:rPr>
      </w:pPr>
      <w:r>
        <w:rPr>
          <w:rFonts w:ascii="Arial" w:cs="Arial" w:eastAsia="Arial" w:hAnsi="Arial"/>
          <w:sz w:val="18"/>
          <w:szCs w:val="18"/>
          <w:color w:val="auto"/>
        </w:rPr>
        <w:t>Dated: July 29, 2021</w:t>
      </w:r>
      <w:r>
        <w:rPr>
          <w:sz w:val="20"/>
          <w:szCs w:val="20"/>
          <w:color w:val="auto"/>
        </w:rPr>
        <w:tab/>
      </w:r>
      <w:r>
        <w:rPr>
          <w:rFonts w:ascii="Arial" w:cs="Arial" w:eastAsia="Arial" w:hAnsi="Arial"/>
          <w:sz w:val="15"/>
          <w:szCs w:val="15"/>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10795</wp:posOffset>
            </wp:positionV>
            <wp:extent cx="30454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38" w:lineRule="exact"/>
        <w:rPr>
          <w:sz w:val="20"/>
          <w:szCs w:val="20"/>
          <w:color w:val="auto"/>
        </w:rPr>
      </w:pPr>
    </w:p>
    <w:p>
      <w:pPr>
        <w:jc w:val="center"/>
        <w:ind w:left="2540"/>
        <w:spacing w:after="0"/>
        <w:rPr>
          <w:sz w:val="20"/>
          <w:szCs w:val="20"/>
          <w:color w:val="auto"/>
        </w:rPr>
      </w:pPr>
      <w:r>
        <w:rPr>
          <w:rFonts w:ascii="Arial" w:cs="Arial" w:eastAsia="Arial" w:hAnsi="Arial"/>
          <w:sz w:val="18"/>
          <w:szCs w:val="18"/>
          <w:color w:val="auto"/>
        </w:rPr>
        <w:t>Michael T. Fries</w:t>
      </w:r>
    </w:p>
    <w:p>
      <w:pPr>
        <w:spacing w:after="0" w:line="58"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88" w:lineRule="exact"/>
        <w:rPr>
          <w:sz w:val="20"/>
          <w:szCs w:val="20"/>
          <w:color w:val="auto"/>
        </w:rPr>
      </w:pPr>
    </w:p>
    <w:p>
      <w:pPr>
        <w:ind w:left="1980"/>
        <w:spacing w:after="0"/>
        <w:tabs>
          <w:tab w:leader="none" w:pos="6000" w:val="left"/>
        </w:tabs>
        <w:rPr>
          <w:sz w:val="20"/>
          <w:szCs w:val="20"/>
          <w:color w:val="auto"/>
        </w:rPr>
      </w:pPr>
      <w:r>
        <w:rPr>
          <w:rFonts w:ascii="Arial" w:cs="Arial" w:eastAsia="Arial" w:hAnsi="Arial"/>
          <w:sz w:val="18"/>
          <w:szCs w:val="18"/>
          <w:color w:val="auto"/>
        </w:rPr>
        <w:t>Dated: July 29, 2021</w:t>
      </w:r>
      <w:r>
        <w:rPr>
          <w:sz w:val="20"/>
          <w:szCs w:val="20"/>
          <w:color w:val="auto"/>
        </w:rPr>
        <w:tab/>
      </w:r>
      <w:r>
        <w:rPr>
          <w:rFonts w:ascii="Arial" w:cs="Arial" w:eastAsia="Arial" w:hAnsi="Arial"/>
          <w:sz w:val="15"/>
          <w:szCs w:val="15"/>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10795</wp:posOffset>
            </wp:positionV>
            <wp:extent cx="30454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38"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Charles H.R. Bracken</w:t>
      </w:r>
    </w:p>
    <w:p>
      <w:pPr>
        <w:spacing w:after="0" w:line="58"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Executive Vice President and Chief Financial Officer</w:t>
      </w:r>
    </w:p>
    <w:p>
      <w:pPr>
        <w:spacing w:after="0" w:line="336" w:lineRule="exact"/>
        <w:rPr>
          <w:sz w:val="20"/>
          <w:szCs w:val="20"/>
          <w:color w:val="auto"/>
        </w:rPr>
      </w:pPr>
    </w:p>
    <w:p>
      <w:pPr>
        <w:jc w:val="both"/>
        <w:ind w:right="20"/>
        <w:spacing w:after="0" w:line="294"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decimal"/>
      <w:start w:val="1"/>
    </w:lvl>
  </w:abstractNum>
  <w:abstractNum w:abstractNumId="3">
    <w:nsid w:val="6DE91B18"/>
    <w:multiLevelType w:val="hybridMultilevel"/>
    <w:lvl w:ilvl="0">
      <w:lvlJc w:val="left"/>
      <w:lvlText w:val="(%1)"/>
      <w:numFmt w:val="decimal"/>
      <w:start w:val="2"/>
    </w:lvl>
  </w:abstractNum>
  <w:abstractNum w:abstractNumId="4">
    <w:nsid w:val="38437FDB"/>
    <w:multiLevelType w:val="hybridMultilevel"/>
    <w:lvl w:ilvl="0">
      <w:lvlJc w:val="left"/>
      <w:lvlText w:val="(%1)"/>
      <w:numFmt w:val="decimal"/>
      <w:start w:val="3"/>
    </w:lvl>
  </w:abstractNum>
  <w:abstractNum w:abstractNumId="5">
    <w:nsid w:val="7644A45C"/>
    <w:multiLevelType w:val="hybridMultilevel"/>
    <w:lvl w:ilvl="0">
      <w:lvlJc w:val="left"/>
      <w:lvlText w:val="(%1)"/>
      <w:numFmt w:val="decimal"/>
      <w:start w:val="4"/>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1)"/>
      <w:numFmt w:val="lowerLetter"/>
      <w:start w:val="1"/>
    </w:lvl>
  </w:abstractNum>
  <w:abstractNum w:abstractNumId="8">
    <w:nsid w:val="579478FE"/>
    <w:multiLevelType w:val="hybridMultilevel"/>
    <w:lvl w:ilvl="0">
      <w:lvlJc w:val="left"/>
      <w:lvlText w:val="(%1)"/>
      <w:numFmt w:val="lowerLetter"/>
      <w:start w:val="3"/>
    </w:lvl>
  </w:abstractNum>
  <w:abstractNum w:abstractNumId="9">
    <w:nsid w:val="749ABB43"/>
    <w:multiLevelType w:val="hybridMultilevel"/>
    <w:lvl w:ilvl="0">
      <w:lvlJc w:val="left"/>
      <w:lvlText w:val="(%1)"/>
      <w:numFmt w:val="lowerLetter"/>
      <w:start w:val="1"/>
    </w:lvl>
  </w:abstractNum>
  <w:abstractNum w:abstractNumId="10">
    <w:nsid w:val="3DC240FB"/>
    <w:multiLevelType w:val="hybridMultilevel"/>
    <w:lvl w:ilvl="0">
      <w:lvlJc w:val="left"/>
      <w:lvlText w:val="(%1)"/>
      <w:numFmt w:val="decimal"/>
      <w:start w:val="6"/>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1)"/>
      <w:numFmt w:val="lowerLetter"/>
      <w:start w:val="1"/>
    </w:lvl>
  </w:abstractNum>
  <w:abstractNum w:abstractNumId="13">
    <w:nsid w:val="75C6C33A"/>
    <w:multiLevelType w:val="hybridMultilevel"/>
    <w:lvl w:ilvl="0">
      <w:lvlJc w:val="left"/>
      <w:lvlText w:val="(%1)"/>
      <w:numFmt w:val="lowerLetter"/>
      <w:start w:val="1"/>
    </w:lvl>
  </w:abstractNum>
  <w:abstractNum w:abstractNumId="14">
    <w:nsid w:val="12E685FB"/>
    <w:multiLevelType w:val="hybridMultilevel"/>
    <w:lvl w:ilvl="0">
      <w:lvlJc w:val="left"/>
      <w:lvlText w:val="(%1)"/>
      <w:numFmt w:val="lowerLetter"/>
      <w:start w:val="1"/>
    </w:lvl>
  </w:abstractNum>
  <w:abstractNum w:abstractNumId="15">
    <w:nsid w:val="70C6A529"/>
    <w:multiLevelType w:val="hybridMultilevel"/>
    <w:lvl w:ilvl="0">
      <w:lvlJc w:val="left"/>
      <w:lvlText w:val="(%1)"/>
      <w:numFmt w:val="lowerLetter"/>
      <w:start w:val="1"/>
    </w:lvl>
  </w:abstractNum>
  <w:abstractNum w:abstractNumId="16">
    <w:nsid w:val="520EEDD1"/>
    <w:multiLevelType w:val="hybridMultilevel"/>
    <w:lvl w:ilvl="0">
      <w:lvlJc w:val="left"/>
      <w:lvlText w:val="(%1)"/>
      <w:numFmt w:val="decimal"/>
      <w:start w:val="7"/>
    </w:lvl>
  </w:abstractNum>
  <w:abstractNum w:abstractNumId="17">
    <w:nsid w:val="374A3FE6"/>
    <w:multiLevelType w:val="hybridMultilevel"/>
    <w:lvl w:ilvl="0">
      <w:lvlJc w:val="left"/>
      <w:lvlText w:val="(%1)"/>
      <w:numFmt w:val="lowerLetter"/>
      <w:start w:val="1"/>
    </w:lvl>
  </w:abstractNum>
  <w:abstractNum w:abstractNumId="18">
    <w:nsid w:val="4F4EF005"/>
    <w:multiLevelType w:val="hybridMultilevel"/>
    <w:lvl w:ilvl="0">
      <w:lvlJc w:val="left"/>
      <w:lvlText w:val="(%1)"/>
      <w:numFmt w:val="decimal"/>
      <w:start w:val="9"/>
    </w:lvl>
  </w:abstractNum>
  <w:abstractNum w:abstractNumId="19">
    <w:nsid w:val="23F9C13C"/>
    <w:multiLevelType w:val="hybridMultilevel"/>
    <w:lvl w:ilvl="0">
      <w:lvlJc w:val="left"/>
      <w:lvlText w:val="(%1)"/>
      <w:numFmt w:val="lowerLetter"/>
      <w:start w:val="1"/>
    </w:lvl>
  </w:abstractNum>
  <w:abstractNum w:abstractNumId="20">
    <w:nsid w:val="649BB77C"/>
    <w:multiLevelType w:val="hybridMultilevel"/>
    <w:lvl w:ilvl="0">
      <w:lvlJc w:val="left"/>
      <w:lvlText w:val="(%1)"/>
      <w:numFmt w:val="lowerLetter"/>
      <w:start w:val="3"/>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1)"/>
      <w:numFmt w:val="lowerLetter"/>
      <w:start w:val="1"/>
    </w:lvl>
  </w:abstractNum>
  <w:abstractNum w:abstractNumId="23">
    <w:nsid w:val="1CF10FD8"/>
    <w:multiLevelType w:val="hybridMultilevel"/>
    <w:lvl w:ilvl="0">
      <w:lvlJc w:val="left"/>
      <w:lvlText w:val="(%1)"/>
      <w:numFmt w:val="lowerLetter"/>
      <w:start w:val="1"/>
    </w:lvl>
  </w:abstractNum>
  <w:abstractNum w:abstractNumId="24">
    <w:nsid w:val="180115BE"/>
    <w:multiLevelType w:val="hybridMultilevel"/>
    <w:lvl w:ilvl="0">
      <w:lvlJc w:val="left"/>
      <w:lvlText w:val="(%1)"/>
      <w:numFmt w:val="lowerLetter"/>
      <w:start w:val="2"/>
    </w:lvl>
  </w:abstractNum>
  <w:abstractNum w:abstractNumId="25">
    <w:nsid w:val="235BA861"/>
    <w:multiLevelType w:val="hybridMultilevel"/>
    <w:lvl w:ilvl="0">
      <w:lvlJc w:val="left"/>
      <w:lvlText w:val="(%1)"/>
      <w:numFmt w:val="decimal"/>
      <w:start w:val="10"/>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1)"/>
      <w:numFmt w:val="lowerLetter"/>
      <w:start w:val="3"/>
    </w:lvl>
  </w:abstractNum>
  <w:abstractNum w:abstractNumId="28">
    <w:nsid w:val="15B5AF5C"/>
    <w:multiLevelType w:val="hybridMultilevel"/>
    <w:lvl w:ilvl="0">
      <w:lvlJc w:val="left"/>
      <w:lvlText w:val="(%1)"/>
      <w:numFmt w:val="lowerLetter"/>
      <w:start w:val="1"/>
    </w:lvl>
  </w:abstractNum>
  <w:abstractNum w:abstractNumId="29">
    <w:nsid w:val="741226BB"/>
    <w:multiLevelType w:val="hybridMultilevel"/>
    <w:lvl w:ilvl="0">
      <w:lvlJc w:val="left"/>
      <w:lvlText w:val="(%1)"/>
      <w:numFmt w:val="decimal"/>
      <w:start w:val="11"/>
    </w:lvl>
  </w:abstractNum>
  <w:abstractNum w:abstractNumId="30">
    <w:nsid w:val="D34B6A8"/>
    <w:multiLevelType w:val="hybridMultilevel"/>
    <w:lvl w:ilvl="0">
      <w:lvlJc w:val="left"/>
      <w:lvlText w:val="(%1)"/>
      <w:numFmt w:val="lowerLetter"/>
      <w:start w:val="1"/>
    </w:lvl>
  </w:abstractNum>
  <w:abstractNum w:abstractNumId="31">
    <w:nsid w:val="10233C99"/>
    <w:multiLevelType w:val="hybridMultilevel"/>
    <w:lvl w:ilvl="0">
      <w:lvlJc w:val="left"/>
      <w:lvlText w:val="(%1)"/>
      <w:numFmt w:val="lowerLetter"/>
      <w:start w:val="2"/>
    </w:lvl>
  </w:abstractNum>
  <w:abstractNum w:abstractNumId="32">
    <w:nsid w:val="3F6AB60F"/>
    <w:multiLevelType w:val="hybridMultilevel"/>
    <w:lvl w:ilvl="0">
      <w:lvlJc w:val="left"/>
      <w:lvlText w:val="(%1)"/>
      <w:numFmt w:val="decimal"/>
      <w:start w:val="12"/>
    </w:lvl>
  </w:abstractNum>
  <w:abstractNum w:abstractNumId="33">
    <w:nsid w:val="61574095"/>
    <w:multiLevelType w:val="hybridMultilevel"/>
    <w:lvl w:ilvl="0">
      <w:lvlJc w:val="left"/>
      <w:lvlText w:val="(%1)"/>
      <w:numFmt w:val="decimal"/>
      <w:start w:val="13"/>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1)"/>
      <w:numFmt w:val="lowerLetter"/>
      <w:start w:val="1"/>
    </w:lvl>
  </w:abstractNum>
  <w:abstractNum w:abstractNumId="36">
    <w:nsid w:val="579BE4F1"/>
    <w:multiLevelType w:val="hybridMultilevel"/>
    <w:lvl w:ilvl="0">
      <w:lvlJc w:val="left"/>
      <w:lvlText w:val="(%1)"/>
      <w:numFmt w:val="lowerLetter"/>
      <w:start w:val="1"/>
    </w:lvl>
  </w:abstractNum>
  <w:abstractNum w:abstractNumId="37">
    <w:nsid w:val="310C50B3"/>
    <w:multiLevelType w:val="hybridMultilevel"/>
    <w:lvl w:ilvl="0">
      <w:lvlJc w:val="left"/>
      <w:lvlText w:val="(%1)"/>
      <w:numFmt w:val="decimal"/>
      <w:start w:val="14"/>
    </w:lvl>
  </w:abstractNum>
  <w:abstractNum w:abstractNumId="38">
    <w:nsid w:val="5FF87E05"/>
    <w:multiLevelType w:val="hybridMultilevel"/>
    <w:lvl w:ilvl="0">
      <w:lvlJc w:val="left"/>
      <w:lvlText w:val="(%1)"/>
      <w:numFmt w:val="decimal"/>
      <w:start w:val="15"/>
    </w:lvl>
  </w:abstractNum>
  <w:abstractNum w:abstractNumId="39">
    <w:nsid w:val="2F305DEF"/>
    <w:multiLevelType w:val="hybridMultilevel"/>
    <w:lvl w:ilvl="0">
      <w:lvlJc w:val="left"/>
      <w:lvlText w:val="(%1)"/>
      <w:numFmt w:val="decimal"/>
      <w:start w:val="16"/>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1)"/>
      <w:numFmt w:val="lowerLetter"/>
      <w:start w:val="1"/>
    </w:lvl>
  </w:abstractNum>
  <w:abstractNum w:abstractNumId="43">
    <w:nsid w:val="1F48EAA1"/>
    <w:multiLevelType w:val="hybridMultilevel"/>
    <w:lvl w:ilvl="0">
      <w:lvlJc w:val="left"/>
      <w:lvlText w:val="(%1)"/>
      <w:numFmt w:val="lowerLetter"/>
      <w:start w:val="1"/>
    </w:lvl>
  </w:abstractNum>
  <w:abstractNum w:abstractNumId="44">
    <w:nsid w:val="1381823A"/>
    <w:multiLevelType w:val="hybridMultilevel"/>
    <w:lvl w:ilvl="0">
      <w:lvlJc w:val="left"/>
      <w:lvlText w:val="(%1)"/>
      <w:numFmt w:val="lowerLetter"/>
      <w:start w:val="1"/>
    </w:lvl>
  </w:abstractNum>
  <w:abstractNum w:abstractNumId="45">
    <w:nsid w:val="5DB70AE5"/>
    <w:multiLevelType w:val="hybridMultilevel"/>
    <w:lvl w:ilvl="0">
      <w:lvlJc w:val="left"/>
      <w:lvlText w:val="(%1)"/>
      <w:numFmt w:val="lowerLetter"/>
      <w:start w:val="1"/>
    </w:lvl>
  </w:abstractNum>
  <w:abstractNum w:abstractNumId="46">
    <w:nsid w:val="100F8FCA"/>
    <w:multiLevelType w:val="hybridMultilevel"/>
    <w:lvl w:ilvl="0">
      <w:lvlJc w:val="left"/>
      <w:lvlText w:val="(%1)"/>
      <w:numFmt w:val="lowerLetter"/>
      <w:start w:val="5"/>
    </w:lvl>
  </w:abstractNum>
  <w:abstractNum w:abstractNumId="47">
    <w:nsid w:val="6590700B"/>
    <w:multiLevelType w:val="hybridMultilevel"/>
    <w:lvl w:ilvl="0">
      <w:lvlJc w:val="left"/>
      <w:lvlText w:val="(%1)"/>
      <w:numFmt w:val="lowerLetter"/>
      <w:start w:val="1"/>
    </w:lvl>
  </w:abstractNum>
  <w:abstractNum w:abstractNumId="48">
    <w:nsid w:val="15014ACB"/>
    <w:multiLevelType w:val="hybridMultilevel"/>
    <w:lvl w:ilvl="0">
      <w:lvlJc w:val="left"/>
      <w:lvlText w:val="(%1)"/>
      <w:numFmt w:val="decimal"/>
      <w:start w:val="17"/>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1)"/>
      <w:numFmt w:val="lowerLetter"/>
      <w:start w:val="1"/>
    </w:lvl>
  </w:abstractNum>
  <w:abstractNum w:abstractNumId="53">
    <w:nsid w:val="42C296BD"/>
    <w:multiLevelType w:val="hybridMultilevel"/>
    <w:lvl w:ilvl="0">
      <w:lvlJc w:val="left"/>
      <w:lvlText w:val="(%1)"/>
      <w:numFmt w:val="lowerLetter"/>
      <w:start w:val="1"/>
    </w:lvl>
  </w:abstractNum>
  <w:abstractNum w:abstractNumId="54">
    <w:nsid w:val="168E121F"/>
    <w:multiLevelType w:val="hybridMultilevel"/>
    <w:lvl w:ilvl="0">
      <w:lvlJc w:val="left"/>
      <w:lvlText w:val="(%1)"/>
      <w:numFmt w:val="lowerLetter"/>
      <w:start w:val="1"/>
    </w:lvl>
  </w:abstractNum>
  <w:abstractNum w:abstractNumId="55">
    <w:nsid w:val="1EBA5D23"/>
    <w:multiLevelType w:val="hybridMultilevel"/>
    <w:lvl w:ilvl="0">
      <w:lvlJc w:val="left"/>
      <w:lvlText w:val="(%1)"/>
      <w:numFmt w:val="lowerLetter"/>
      <w:start w:val="1"/>
    </w:lvl>
  </w:abstractNum>
  <w:abstractNum w:abstractNumId="56">
    <w:nsid w:val="661E3F1E"/>
    <w:multiLevelType w:val="hybridMultilevel"/>
    <w:lvl w:ilvl="0">
      <w:lvlJc w:val="left"/>
      <w:lvlText w:val="(%1)"/>
      <w:numFmt w:val="lowerLetter"/>
      <w:start w:val="1"/>
    </w:lvl>
  </w:abstractNum>
  <w:abstractNum w:abstractNumId="57">
    <w:nsid w:val="5DC79EA8"/>
    <w:multiLevelType w:val="hybridMultilevel"/>
    <w:lvl w:ilvl="0">
      <w:lvlJc w:val="left"/>
      <w:lvlText w:val="(%1)"/>
      <w:numFmt w:val="lowerLetter"/>
      <w:start w:val="1"/>
    </w:lvl>
  </w:abstractNum>
  <w:abstractNum w:abstractNumId="58">
    <w:nsid w:val="540A471C"/>
    <w:multiLevelType w:val="hybridMultilevel"/>
    <w:lvl w:ilvl="0">
      <w:lvlJc w:val="left"/>
      <w:lvlText w:val="(%1)"/>
      <w:numFmt w:val="lowerLetter"/>
      <w:start w:val="1"/>
    </w:lvl>
  </w:abstractNum>
  <w:abstractNum w:abstractNumId="59">
    <w:nsid w:val="7BD3EE7B"/>
    <w:multiLevelType w:val="hybridMultilevel"/>
    <w:lvl w:ilvl="0">
      <w:lvlJc w:val="left"/>
      <w:lvlText w:val="(%1)"/>
      <w:numFmt w:val="lowerLetter"/>
      <w:start w:val="1"/>
    </w:lvl>
  </w:abstractNum>
  <w:abstractNum w:abstractNumId="60">
    <w:nsid w:val="51D9C564"/>
    <w:multiLevelType w:val="hybridMultilevel"/>
    <w:lvl w:ilvl="0">
      <w:lvlJc w:val="left"/>
      <w:lvlText w:val="(%1)"/>
      <w:numFmt w:val="lowerLetter"/>
      <w:start w:val="5"/>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1)"/>
      <w:numFmt w:val="lowerLetter"/>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1)"/>
      <w:numFmt w:val="lowerLetter"/>
      <w:start w:val="1"/>
    </w:lvl>
  </w:abstractNum>
  <w:abstractNum w:abstractNumId="66">
    <w:nsid w:val="8F2B15E"/>
    <w:multiLevelType w:val="hybridMultilevel"/>
    <w:lvl w:ilvl="0">
      <w:lvlJc w:val="left"/>
      <w:lvlText w:val="(%1)"/>
      <w:numFmt w:val="lowerLetter"/>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1)"/>
      <w:numFmt w:val="lowerLetter"/>
      <w:start w:val="1"/>
    </w:lvl>
  </w:abstractNum>
  <w:abstractNum w:abstractNumId="69">
    <w:nsid w:val="68EB2F63"/>
    <w:multiLevelType w:val="hybridMultilevel"/>
    <w:lvl w:ilvl="0">
      <w:lvlJc w:val="left"/>
      <w:lvlText w:val="(%1)"/>
      <w:numFmt w:val="lowerLetter"/>
      <w:start w:val="4"/>
    </w:lvl>
  </w:abstractNum>
  <w:abstractNum w:abstractNumId="70">
    <w:nsid w:val="4962813B"/>
    <w:multiLevelType w:val="hybridMultilevel"/>
    <w:lvl w:ilvl="0">
      <w:lvlJc w:val="left"/>
      <w:lvlText w:val="(%1)"/>
      <w:numFmt w:val="lowerLetter"/>
      <w:start w:val="1"/>
    </w:lvl>
  </w:abstractNum>
  <w:abstractNum w:abstractNumId="71">
    <w:nsid w:val="60B6DF70"/>
    <w:multiLevelType w:val="hybridMultilevel"/>
    <w:lvl w:ilvl="0">
      <w:lvlJc w:val="left"/>
      <w:lvlText w:val="(%1)"/>
      <w:numFmt w:val="lowerLetter"/>
      <w:start w:val="1"/>
    </w:lvl>
  </w:abstractNum>
  <w:abstractNum w:abstractNumId="72">
    <w:nsid w:val="6A5EE64"/>
    <w:multiLevelType w:val="hybridMultilevel"/>
    <w:lvl w:ilvl="0">
      <w:lvlJc w:val="left"/>
      <w:lvlText w:val="(%1)"/>
      <w:numFmt w:val="lowerLetter"/>
      <w:start w:val="1"/>
    </w:lvl>
  </w:abstractNum>
  <w:abstractNum w:abstractNumId="73">
    <w:nsid w:val="14330624"/>
    <w:multiLevelType w:val="hybridMultilevel"/>
    <w:lvl w:ilvl="0">
      <w:lvlJc w:val="left"/>
      <w:lvlText w:val="(%1)"/>
      <w:numFmt w:val="decimal"/>
      <w:start w:val="1"/>
    </w:lvl>
  </w:abstractNum>
  <w:abstractNum w:abstractNumId="74">
    <w:nsid w:val="7FFFCA11"/>
    <w:multiLevelType w:val="hybridMultilevel"/>
    <w:lvl w:ilvl="0">
      <w:lvlJc w:val="left"/>
      <w:lvlText w:val="(%1)"/>
      <w:numFmt w:val="lowerLetter"/>
      <w:start w:val="2"/>
    </w:lvl>
  </w:abstractNum>
  <w:abstractNum w:abstractNumId="75">
    <w:nsid w:val="1A27709E"/>
    <w:multiLevelType w:val="hybridMultilevel"/>
    <w:lvl w:ilvl="0">
      <w:lvlJc w:val="left"/>
      <w:lvlText w:val="(%1)"/>
      <w:numFmt w:val="lowerLetter"/>
      <w:start w:val="1"/>
    </w:lvl>
  </w:abstractNum>
  <w:abstractNum w:abstractNumId="76">
    <w:nsid w:val="71EA1109"/>
    <w:multiLevelType w:val="hybridMultilevel"/>
    <w:lvl w:ilvl="0">
      <w:lvlJc w:val="left"/>
      <w:lvlText w:val="(%1)"/>
      <w:numFmt w:val="lowerRoman"/>
      <w:start w:val="1"/>
    </w:lvl>
  </w:abstractNum>
  <w:abstractNum w:abstractNumId="77">
    <w:nsid w:val="100F59DC"/>
    <w:multiLevelType w:val="hybridMultilevel"/>
    <w:lvl w:ilvl="0">
      <w:lvlJc w:val="left"/>
      <w:lvlText w:val="(%1)"/>
      <w:numFmt w:val="lowerRoman"/>
      <w:start w:val="2"/>
    </w:lvl>
  </w:abstractNum>
  <w:abstractNum w:abstractNumId="78">
    <w:nsid w:val="7FB7E0AA"/>
    <w:multiLevelType w:val="hybridMultilevel"/>
    <w:lvl w:ilvl="0">
      <w:lvlJc w:val="left"/>
      <w:lvlText w:val="(%1)"/>
      <w:numFmt w:val="lowerLetter"/>
      <w:start w:val="1"/>
    </w:lvl>
  </w:abstractNum>
  <w:abstractNum w:abstractNumId="79">
    <w:nsid w:val="6EB5BD4"/>
    <w:multiLevelType w:val="hybridMultilevel"/>
    <w:lvl w:ilvl="0">
      <w:lvlJc w:val="left"/>
      <w:lvlText w:val="(%1)"/>
      <w:numFmt w:val="lowerRoman"/>
      <w:start w:val="1"/>
    </w:lvl>
  </w:abstractNum>
  <w:abstractNum w:abstractNumId="80">
    <w:nsid w:val="6F6DD9AC"/>
    <w:multiLevelType w:val="hybridMultilevel"/>
    <w:lvl w:ilvl="0">
      <w:lvlJc w:val="left"/>
      <w:lvlText w:val="(%1)"/>
      <w:numFmt w:val="lowerRoman"/>
      <w:start w:val="1"/>
    </w:lvl>
  </w:abstractNum>
  <w:abstractNum w:abstractNumId="81">
    <w:nsid w:val="94211F2"/>
    <w:multiLevelType w:val="hybridMultilevel"/>
    <w:lvl w:ilvl="0">
      <w:lvlJc w:val="left"/>
      <w:lvlText w:val="(%1)"/>
      <w:numFmt w:val="lowerLetter"/>
      <w:start w:val="1"/>
    </w:lvl>
  </w:abstractNum>
  <w:abstractNum w:abstractNumId="82">
    <w:nsid w:val="885E1B"/>
    <w:multiLevelType w:val="hybridMultilevel"/>
    <w:lvl w:ilvl="0">
      <w:lvlJc w:val="left"/>
      <w:lvlText w:val="(%1)"/>
      <w:numFmt w:val="lowerLetter"/>
      <w:start w:val="3"/>
    </w:lvl>
  </w:abstractNum>
  <w:abstractNum w:abstractNumId="83">
    <w:nsid w:val="76272110"/>
    <w:multiLevelType w:val="hybridMultilevel"/>
    <w:lvl w:ilvl="0">
      <w:lvlJc w:val="left"/>
      <w:lvlText w:val="(%1)"/>
      <w:numFmt w:val="lowerLetter"/>
      <w:start w:val="1"/>
    </w:lvl>
  </w:abstractNum>
  <w:abstractNum w:abstractNumId="84">
    <w:nsid w:val="4C04A8AF"/>
    <w:multiLevelType w:val="hybridMultilevel"/>
    <w:lvl w:ilvl="0">
      <w:lvlJc w:val="left"/>
      <w:lvlText w:val="%1"/>
      <w:numFmt w:val="decimal"/>
      <w:start w:val="104"/>
    </w:lvl>
  </w:abstractNum>
  <w:abstractNum w:abstractNumId="85">
    <w:nsid w:val="1716703B"/>
    <w:multiLevelType w:val="hybridMultilevel"/>
    <w:lvl w:ilvl="0">
      <w:lvlJc w:val="left"/>
      <w:lvlText w:val="*"/>
      <w:numFmt w:val="bullet"/>
      <w:start w:val="1"/>
    </w:lvl>
  </w:abstractNum>
  <w:abstractNum w:abstractNumId="86">
    <w:nsid w:val="14E17E33"/>
    <w:multiLevelType w:val="hybridMultilevel"/>
    <w:lvl w:ilvl="0">
      <w:lvlJc w:val="left"/>
      <w:lvlText w:val="**"/>
      <w:numFmt w:val="bullet"/>
      <w:start w:val="1"/>
    </w:lvl>
  </w:abstractNum>
  <w:abstractNum w:abstractNumId="87">
    <w:nsid w:val="3222E7CD"/>
    <w:multiLevelType w:val="hybridMultilevel"/>
    <w:lvl w:ilvl="0">
      <w:lvlJc w:val="left"/>
      <w:lvlText w:val="***"/>
      <w:numFmt w:val="bullet"/>
      <w:start w:val="1"/>
    </w:lvl>
  </w:abstractNum>
  <w:abstractNum w:abstractNumId="88">
    <w:nsid w:val="74DE0EE3"/>
    <w:multiLevelType w:val="hybridMultilevel"/>
    <w:lvl w:ilvl="0">
      <w:lvlJc w:val="left"/>
      <w:lvlText w:val="%1."/>
      <w:numFmt w:val="decimal"/>
      <w:start w:val="1"/>
    </w:lvl>
    <w:lvl w:ilvl="1">
      <w:lvlJc w:val="left"/>
      <w:lvlText w:val="%2)"/>
      <w:numFmt w:val="lowerLetter"/>
      <w:start w:val="1"/>
    </w:lvl>
  </w:abstractNum>
  <w:abstractNum w:abstractNumId="89">
    <w:nsid w:val="68EBC55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04" Type="http://schemas.openxmlformats.org/officeDocument/2006/relationships/hyperlink" Target="http://www.sec.gov/Archives/edgar/data/1570585/000094787120000457/ss173285_ex201.htm" TargetMode="External"/><Relationship Id="rId105" Type="http://schemas.openxmlformats.org/officeDocument/2006/relationships/hyperlink" Target="http://www.sec.gov/Archives/edgar/data/1570585/000157058521000134/exhibit41upcfacilityav2.htm" TargetMode="External"/><Relationship Id="rId106" Type="http://schemas.openxmlformats.org/officeDocument/2006/relationships/hyperlink" Target="https://www.sec.gov/Archives/edgar/data/1570585/000157058521000134/exhibit42upcfacilityaw2.htm" TargetMode="External"/><Relationship Id="rId107" Type="http://schemas.openxmlformats.org/officeDocument/2006/relationships/hyperlink" Target="https://www.sec.gov/Archives/edgar/data/1570585/000157058521000134/exhibit43upcrcfamendment.htm" TargetMode="External"/><Relationship Id="rId108" Type="http://schemas.openxmlformats.org/officeDocument/2006/relationships/hyperlink" Target="http://www.sec.gov/Archives/edgar/data/1570585/000157058521000139/exhibit41facilityax.htm" TargetMode="External"/><Relationship Id="rId109" Type="http://schemas.openxmlformats.org/officeDocument/2006/relationships/hyperlink" Target="https://www.sec.gov/Archives/edgar/data/1570585/000157058521000139/exhibit42facilityay.htm" TargetMode="External"/><Relationship Id="rId110" Type="http://schemas.openxmlformats.org/officeDocument/2006/relationships/hyperlink" Target="https://www.sec.gov/Archives/edgar/data/1570585/000157058521000139/exhibit43facilityaz.htm" TargetMode="External"/><Relationship Id="rId111" Type="http://schemas.openxmlformats.org/officeDocument/2006/relationships/hyperlink" Target="https://www.sec.gov/ix?doc=/Archives/edgar/data/1570585/000157058521000115/lbtya-20210413.htm" TargetMode="External"/><Relationship Id="rId112" Type="http://schemas.openxmlformats.org/officeDocument/2006/relationships/hyperlink" Target="http://www.sec.gov/Archives/edgar/data/1570585/000157058521000209/exhibit101shareholdersag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2021-07-29T17:28:33Z</dcterms:created>
  <dcterms:modified xsi:type="dcterms:W3CDTF">2021-07-29T17:28:33Z</dcterms:modified>
</cp:coreProperties>
</file>