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706120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662940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ind w:left="880" w:hanging="854"/>
        <w:spacing w:after="0"/>
        <w:tabs>
          <w:tab w:leader="none" w:pos="88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4"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880" w:hanging="854"/>
        <w:spacing w:after="0"/>
        <w:tabs>
          <w:tab w:leader="none" w:pos="88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54" w:lineRule="exact"/>
        <w:rPr>
          <w:sz w:val="24"/>
          <w:szCs w:val="24"/>
          <w:color w:val="auto"/>
        </w:rPr>
      </w:pPr>
    </w:p>
    <w:p>
      <w:pPr>
        <w:ind w:left="880"/>
        <w:spacing w:after="0"/>
        <w:tabs>
          <w:tab w:leader="none" w:pos="38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20320</wp:posOffset>
            </wp:positionV>
            <wp:extent cx="6940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Liberty Global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1246" w:right="339" w:bottom="1440" w:gutter="0" w:footer="0" w:header="0"/>
        </w:sectPr>
      </w:pPr>
    </w:p>
    <w:p>
      <w:pPr>
        <w:spacing w:after="0" w:line="146" w:lineRule="exact"/>
        <w:rPr>
          <w:sz w:val="24"/>
          <w:szCs w:val="24"/>
          <w:color w:val="auto"/>
        </w:rPr>
      </w:pPr>
    </w:p>
    <w:p>
      <w:pPr>
        <w:ind w:left="3260"/>
        <w:spacing w:after="0"/>
        <w:rPr>
          <w:sz w:val="20"/>
          <w:szCs w:val="20"/>
          <w:color w:val="auto"/>
        </w:rPr>
      </w:pPr>
      <w:r>
        <w:rPr>
          <w:rFonts w:ascii="Arial" w:cs="Arial" w:eastAsia="Arial" w:hAnsi="Arial"/>
          <w:sz w:val="13"/>
          <w:szCs w:val="13"/>
          <w:b w:val="1"/>
          <w:bCs w:val="1"/>
          <w:color w:val="auto"/>
        </w:rPr>
        <w:t>England and Wales</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68" w:lineRule="exact"/>
        <w:rPr>
          <w:sz w:val="24"/>
          <w:szCs w:val="24"/>
          <w:color w:val="auto"/>
        </w:rPr>
      </w:pPr>
    </w:p>
    <w:p>
      <w:pPr>
        <w:sectPr>
          <w:pgSz w:w="11900" w:h="16838" w:orient="portrait"/>
          <w:cols w:equalWidth="0" w:num="2">
            <w:col w:w="6320" w:space="720"/>
            <w:col w:w="4200"/>
          </w:cols>
          <w:pgMar w:left="320" w:top="1246" w:right="339" w:bottom="1440" w:gutter="0" w:footer="0" w:header="0"/>
          <w:type w:val="continuous"/>
        </w:sectPr>
      </w:pPr>
    </w:p>
    <w:p>
      <w:pPr>
        <w:ind w:left="3020"/>
        <w:spacing w:after="0"/>
        <w:rPr>
          <w:sz w:val="20"/>
          <w:szCs w:val="20"/>
          <w:color w:val="auto"/>
        </w:rPr>
      </w:pPr>
      <w:r>
        <w:rPr>
          <w:rFonts w:ascii="Arial" w:cs="Arial" w:eastAsia="Arial" w:hAnsi="Arial"/>
          <w:sz w:val="13"/>
          <w:szCs w:val="13"/>
          <w:i w:val="1"/>
          <w:iCs w:val="1"/>
          <w:color w:val="auto"/>
        </w:rPr>
        <w:t>(State or other jurisdiction of</w:t>
      </w:r>
    </w:p>
    <w:p>
      <w:pPr>
        <w:spacing w:after="0" w:line="11" w:lineRule="exact"/>
        <w:rPr>
          <w:sz w:val="24"/>
          <w:szCs w:val="24"/>
          <w:color w:val="auto"/>
        </w:rPr>
      </w:pPr>
    </w:p>
    <w:p>
      <w:pPr>
        <w:ind w:left="296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20"/>
        <w:spacing w:after="0"/>
        <w:rPr>
          <w:sz w:val="20"/>
          <w:szCs w:val="20"/>
          <w:color w:val="auto"/>
        </w:rPr>
      </w:pPr>
      <w:r>
        <w:rPr>
          <w:rFonts w:ascii="Arial" w:cs="Arial" w:eastAsia="Arial" w:hAnsi="Arial"/>
          <w:sz w:val="14"/>
          <w:szCs w:val="14"/>
          <w:i w:val="1"/>
          <w:iCs w:val="1"/>
          <w:color w:val="auto"/>
        </w:rPr>
        <w:t>(I.R.S. Employer</w:t>
      </w:r>
    </w:p>
    <w:p>
      <w:pPr>
        <w:jc w:val="center"/>
        <w:ind w:right="3320"/>
        <w:spacing w:after="0"/>
        <w:rPr>
          <w:sz w:val="20"/>
          <w:szCs w:val="20"/>
          <w:color w:val="auto"/>
        </w:rPr>
      </w:pPr>
      <w:r>
        <w:rPr>
          <w:rFonts w:ascii="Arial" w:cs="Arial" w:eastAsia="Arial" w:hAnsi="Arial"/>
          <w:sz w:val="13"/>
          <w:szCs w:val="13"/>
          <w:i w:val="1"/>
          <w:iCs w:val="1"/>
          <w:color w:val="auto"/>
        </w:rPr>
        <w:t>Identification No.)</w:t>
      </w:r>
    </w:p>
    <w:p>
      <w:pPr>
        <w:spacing w:after="0" w:line="78" w:lineRule="exact"/>
        <w:rPr>
          <w:sz w:val="24"/>
          <w:szCs w:val="24"/>
          <w:color w:val="auto"/>
        </w:rPr>
      </w:pPr>
    </w:p>
    <w:p>
      <w:pPr>
        <w:sectPr>
          <w:pgSz w:w="11900" w:h="16838" w:orient="portrait"/>
          <w:cols w:equalWidth="0" w:num="2">
            <w:col w:w="6140" w:space="720"/>
            <w:col w:w="4380"/>
          </w:cols>
          <w:pgMar w:left="320" w:top="1246" w:right="339" w:bottom="1440" w:gutter="0" w:footer="0" w:header="0"/>
          <w:type w:val="continuous"/>
        </w:sectPr>
      </w:pPr>
    </w:p>
    <w:p>
      <w:pPr>
        <w:jc w:val="center"/>
        <w:ind w:right="3520"/>
        <w:spacing w:after="0"/>
        <w:rPr>
          <w:sz w:val="20"/>
          <w:szCs w:val="20"/>
          <w:color w:val="auto"/>
        </w:rPr>
      </w:pPr>
      <w:r>
        <w:rPr>
          <w:rFonts w:ascii="Arial" w:cs="Arial" w:eastAsia="Arial" w:hAnsi="Arial"/>
          <w:sz w:val="14"/>
          <w:szCs w:val="14"/>
          <w:b w:val="1"/>
          <w:bCs w:val="1"/>
          <w:color w:val="auto"/>
        </w:rPr>
        <w:t>Griffin House</w:t>
      </w:r>
    </w:p>
    <w:p>
      <w:pPr>
        <w:spacing w:after="0" w:line="42" w:lineRule="exact"/>
        <w:rPr>
          <w:sz w:val="24"/>
          <w:szCs w:val="24"/>
          <w:color w:val="auto"/>
        </w:rPr>
      </w:pPr>
    </w:p>
    <w:p>
      <w:pPr>
        <w:jc w:val="center"/>
        <w:ind w:right="3520"/>
        <w:spacing w:after="0"/>
        <w:rPr>
          <w:sz w:val="20"/>
          <w:szCs w:val="20"/>
          <w:color w:val="auto"/>
        </w:rPr>
      </w:pPr>
      <w:r>
        <w:rPr>
          <w:rFonts w:ascii="Arial" w:cs="Arial" w:eastAsia="Arial" w:hAnsi="Arial"/>
          <w:sz w:val="13"/>
          <w:szCs w:val="13"/>
          <w:b w:val="1"/>
          <w:bCs w:val="1"/>
          <w:color w:val="auto"/>
        </w:rPr>
        <w:t>161 Hammersmith Rd</w:t>
      </w:r>
    </w:p>
    <w:p>
      <w:pPr>
        <w:spacing w:after="0" w:line="53" w:lineRule="exact"/>
        <w:rPr>
          <w:sz w:val="24"/>
          <w:szCs w:val="24"/>
          <w:color w:val="auto"/>
        </w:rPr>
      </w:pPr>
    </w:p>
    <w:p>
      <w:pPr>
        <w:jc w:val="center"/>
        <w:ind w:right="3520"/>
        <w:spacing w:after="0"/>
        <w:rPr>
          <w:sz w:val="20"/>
          <w:szCs w:val="20"/>
          <w:color w:val="auto"/>
        </w:rPr>
      </w:pPr>
      <w:r>
        <w:rPr>
          <w:rFonts w:ascii="Arial" w:cs="Arial" w:eastAsia="Arial" w:hAnsi="Arial"/>
          <w:sz w:val="14"/>
          <w:szCs w:val="14"/>
          <w:b w:val="1"/>
          <w:bCs w:val="1"/>
          <w:color w:val="auto"/>
        </w:rPr>
        <w:t>London</w:t>
      </w:r>
    </w:p>
    <w:p>
      <w:pPr>
        <w:sectPr>
          <w:pgSz w:w="11900" w:h="16838" w:orient="portrait"/>
          <w:cols w:equalWidth="0" w:num="1">
            <w:col w:w="11240"/>
          </w:cols>
          <w:pgMar w:left="320" w:top="1246" w:right="339" w:bottom="1440" w:gutter="0" w:footer="0" w:header="0"/>
          <w:type w:val="continuous"/>
        </w:sectPr>
      </w:pPr>
    </w:p>
    <w:p>
      <w:pPr>
        <w:spacing w:after="0" w:line="42"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United Kingdom</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W6 8BS</w:t>
      </w:r>
    </w:p>
    <w:p>
      <w:pPr>
        <w:spacing w:after="0" w:line="57" w:lineRule="exact"/>
        <w:rPr>
          <w:sz w:val="24"/>
          <w:szCs w:val="24"/>
          <w:color w:val="auto"/>
        </w:rPr>
      </w:pPr>
    </w:p>
    <w:p>
      <w:pPr>
        <w:sectPr>
          <w:pgSz w:w="11900" w:h="16838" w:orient="portrait"/>
          <w:cols w:equalWidth="0" w:num="2">
            <w:col w:w="6420" w:space="720"/>
            <w:col w:w="4100"/>
          </w:cols>
          <w:pgMar w:left="320" w:top="1246" w:right="339" w:bottom="1440" w:gutter="0" w:footer="0" w:header="0"/>
          <w:type w:val="continuous"/>
        </w:sectPr>
      </w:pPr>
    </w:p>
    <w:p>
      <w:pPr>
        <w:ind w:left="274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4"/>
          <w:szCs w:val="24"/>
          <w:color w:val="auto"/>
        </w:rPr>
      </w:pPr>
    </w:p>
    <w:p>
      <w:pPr>
        <w:sectPr>
          <w:pgSz w:w="11900" w:h="16838" w:orient="portrait"/>
          <w:cols w:equalWidth="0" w:num="2">
            <w:col w:w="6360" w:space="720"/>
            <w:col w:w="4160"/>
          </w:cols>
          <w:pgMar w:left="320" w:top="1246" w:right="339" w:bottom="1440" w:gutter="0" w:footer="0" w:header="0"/>
          <w:type w:val="continuous"/>
        </w:sectPr>
      </w:pP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246" w:right="339" w:bottom="1440" w:gutter="0" w:footer="0" w:header="0"/>
          <w:type w:val="continuous"/>
        </w:sectPr>
      </w:pPr>
    </w:p>
    <w:p>
      <w:pPr>
        <w:spacing w:after="0" w:line="173"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13" w:lineRule="exact"/>
        <w:rPr>
          <w:sz w:val="24"/>
          <w:szCs w:val="24"/>
          <w:color w:val="auto"/>
        </w:rPr>
      </w:pPr>
    </w:p>
    <w:p>
      <w:pPr>
        <w:sectPr>
          <w:pgSz w:w="11900" w:h="16838" w:orient="portrait"/>
          <w:cols w:equalWidth="0" w:num="3">
            <w:col w:w="3880" w:space="720"/>
            <w:col w:w="1540" w:space="720"/>
            <w:col w:w="4380"/>
          </w:cols>
          <w:pgMar w:left="320" w:top="1246"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54" w:lineRule="exact"/>
        <w:rPr>
          <w:sz w:val="24"/>
          <w:szCs w:val="24"/>
          <w:color w:val="auto"/>
        </w:rPr>
      </w:pPr>
    </w:p>
    <w:p>
      <w:pPr>
        <w:sectPr>
          <w:pgSz w:w="11900" w:h="16838" w:orient="portrait"/>
          <w:cols w:equalWidth="0" w:num="3">
            <w:col w:w="4280" w:space="720"/>
            <w:col w:w="1680" w:space="720"/>
            <w:col w:w="3840"/>
          </w:cols>
          <w:pgMar w:left="320" w:top="1246"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54" w:lineRule="exact"/>
        <w:rPr>
          <w:sz w:val="24"/>
          <w:szCs w:val="24"/>
          <w:color w:val="auto"/>
        </w:rPr>
      </w:pPr>
    </w:p>
    <w:p>
      <w:pPr>
        <w:sectPr>
          <w:pgSz w:w="11900" w:h="16838" w:orient="portrait"/>
          <w:cols w:equalWidth="0" w:num="3">
            <w:col w:w="4260" w:space="720"/>
            <w:col w:w="1700" w:space="720"/>
            <w:col w:w="3840"/>
          </w:cols>
          <w:pgMar w:left="320" w:top="1246"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60" w:space="720"/>
            <w:col w:w="1700" w:space="720"/>
            <w:col w:w="3840"/>
          </w:cols>
          <w:pgMar w:left="320" w:top="1246" w:right="339" w:bottom="1440" w:gutter="0" w:footer="0" w:header="0"/>
          <w:type w:val="continuous"/>
        </w:sectPr>
      </w:pPr>
    </w:p>
    <w:p>
      <w:pPr>
        <w:spacing w:after="0" w:line="75" w:lineRule="exact"/>
        <w:rPr>
          <w:sz w:val="24"/>
          <w:szCs w:val="24"/>
          <w:color w:val="auto"/>
        </w:rPr>
      </w:pPr>
    </w:p>
    <w:p>
      <w:pPr>
        <w:ind w:right="42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right="40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1"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p>
      <w:pPr>
        <w:ind w:left="3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88" w:lineRule="exact"/>
        <w:rPr>
          <w:sz w:val="24"/>
          <w:szCs w:val="24"/>
          <w:color w:val="auto"/>
        </w:rPr>
      </w:pPr>
    </w:p>
    <w:p>
      <w:pPr>
        <w:ind w:left="352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57"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5" w:lineRule="exact"/>
        <w:rPr>
          <w:sz w:val="24"/>
          <w:szCs w:val="24"/>
          <w:color w:val="auto"/>
        </w:rPr>
      </w:pPr>
    </w:p>
    <w:p>
      <w:pPr>
        <w:ind w:right="20"/>
        <w:spacing w:after="0" w:line="293" w:lineRule="auto"/>
        <w:rPr>
          <w:sz w:val="20"/>
          <w:szCs w:val="20"/>
          <w:color w:val="auto"/>
        </w:rPr>
      </w:pPr>
      <w:r>
        <w:rPr>
          <w:rFonts w:ascii="Arial" w:cs="Arial" w:eastAsia="Arial" w:hAnsi="Arial"/>
          <w:sz w:val="16"/>
          <w:szCs w:val="16"/>
          <w:color w:val="auto"/>
        </w:rPr>
        <w:t>The number of outstanding ordinary shares of Liberty Global plc as of October 24, 2023 was: 171,379,159 class A ordinary shares, 12,988,658 class B ordinary shares and 210,836,412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1" w:name="page2"/>
    <w:bookmarkEnd w:id="1"/>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10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7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rPr>
              <w:t>PART I — FINANCIAL INFORMATION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7460" w:type="dxa"/>
            <w:vAlign w:val="bottom"/>
            <w:gridSpan w:val="9"/>
          </w:tcPr>
          <w:p>
            <w:pPr>
              <w:spacing w:after="0" w:line="190" w:lineRule="exact"/>
              <w:rPr>
                <w:sz w:val="20"/>
                <w:szCs w:val="20"/>
                <w:color w:val="auto"/>
              </w:rPr>
            </w:pPr>
            <w:r>
              <w:rPr>
                <w:rFonts w:ascii="Arial" w:cs="Arial" w:eastAsia="Arial" w:hAnsi="Arial"/>
                <w:sz w:val="18"/>
                <w:szCs w:val="18"/>
                <w:color w:val="0000FF"/>
                <w:w w:val="88"/>
              </w:rPr>
              <w:t>Condensed Consolidated Balance Sheets as of September 30, 2023 and December 31, 2022 (unaudited)</w:t>
            </w:r>
          </w:p>
        </w:tc>
        <w:tc>
          <w:tcPr>
            <w:tcW w:w="1840" w:type="dxa"/>
            <w:vAlign w:val="bottom"/>
            <w:gridSpan w:val="6"/>
          </w:tcPr>
          <w:p>
            <w:pPr>
              <w:spacing w:after="0"/>
              <w:rPr>
                <w:sz w:val="16"/>
                <w:szCs w:val="16"/>
                <w:color w:val="auto"/>
              </w:rPr>
            </w:pPr>
          </w:p>
        </w:tc>
        <w:tc>
          <w:tcPr>
            <w:tcW w:w="480" w:type="dxa"/>
            <w:vAlign w:val="bottom"/>
            <w:gridSpan w:val="2"/>
          </w:tcPr>
          <w:p>
            <w:pPr>
              <w:jc w:val="center"/>
              <w:ind w:left="311"/>
              <w:spacing w:after="0" w:line="190" w:lineRule="exact"/>
              <w:rPr>
                <w:sz w:val="20"/>
                <w:szCs w:val="20"/>
                <w:color w:val="auto"/>
              </w:rPr>
            </w:pPr>
            <w:r>
              <w:rPr>
                <w:rFonts w:ascii="Arial" w:cs="Arial" w:eastAsia="Arial" w:hAnsi="Arial"/>
                <w:sz w:val="18"/>
                <w:szCs w:val="18"/>
                <w:color w:val="0000FF"/>
                <w:w w:val="79"/>
              </w:rPr>
              <w:t>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w w:val="96"/>
              </w:rPr>
              <w:t>Condensed Consolidated Statements of Operations for the Three and Nine Months Ended September 30, 2023 and 2022</w:t>
            </w:r>
          </w:p>
        </w:tc>
        <w:tc>
          <w:tcPr>
            <w:tcW w:w="480" w:type="dxa"/>
            <w:vAlign w:val="bottom"/>
            <w:gridSpan w:val="2"/>
            <w:vMerge w:val="restart"/>
          </w:tcPr>
          <w:p>
            <w:pPr>
              <w:jc w:val="center"/>
              <w:ind w:left="311"/>
              <w:spacing w:after="0"/>
              <w:rPr>
                <w:sz w:val="20"/>
                <w:szCs w:val="20"/>
                <w:color w:val="auto"/>
              </w:rPr>
            </w:pPr>
            <w:r>
              <w:rPr>
                <w:rFonts w:ascii="Arial" w:cs="Arial" w:eastAsia="Arial" w:hAnsi="Arial"/>
                <w:sz w:val="18"/>
                <w:szCs w:val="18"/>
                <w:color w:val="0000FF"/>
                <w:w w:val="79"/>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(unaudited)</w:t>
            </w:r>
          </w:p>
        </w:tc>
        <w:tc>
          <w:tcPr>
            <w:tcW w:w="4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56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9300" w:type="dxa"/>
            <w:vAlign w:val="bottom"/>
            <w:gridSpan w:val="15"/>
            <w:vMerge w:val="restart"/>
          </w:tcPr>
          <w:p>
            <w:pPr>
              <w:spacing w:after="0"/>
              <w:rPr>
                <w:sz w:val="20"/>
                <w:szCs w:val="20"/>
                <w:color w:val="auto"/>
              </w:rPr>
            </w:pPr>
            <w:r>
              <w:rPr>
                <w:rFonts w:ascii="Arial" w:cs="Arial" w:eastAsia="Arial" w:hAnsi="Arial"/>
                <w:sz w:val="18"/>
                <w:szCs w:val="18"/>
                <w:color w:val="0000FF"/>
                <w:w w:val="92"/>
              </w:rPr>
              <w:t>Condensed Consolidated Statements of Comprehensive Loss for the Three and Nine Months Ended September 30, 2023 and</w:t>
            </w: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60" w:type="dxa"/>
            <w:vAlign w:val="bottom"/>
          </w:tcPr>
          <w:p>
            <w:pPr>
              <w:spacing w:after="0"/>
              <w:rPr>
                <w:sz w:val="17"/>
                <w:szCs w:val="17"/>
                <w:color w:val="auto"/>
              </w:rPr>
            </w:pPr>
          </w:p>
        </w:tc>
        <w:tc>
          <w:tcPr>
            <w:tcW w:w="9300" w:type="dxa"/>
            <w:vAlign w:val="bottom"/>
            <w:gridSpan w:val="15"/>
            <w:vMerge w:val="continue"/>
          </w:tcPr>
          <w:p>
            <w:pPr>
              <w:spacing w:after="0"/>
              <w:rPr>
                <w:sz w:val="17"/>
                <w:szCs w:val="17"/>
                <w:color w:val="auto"/>
              </w:rPr>
            </w:pPr>
          </w:p>
        </w:tc>
        <w:tc>
          <w:tcPr>
            <w:tcW w:w="480" w:type="dxa"/>
            <w:vAlign w:val="bottom"/>
            <w:gridSpan w:val="2"/>
            <w:vMerge w:val="restart"/>
          </w:tcPr>
          <w:p>
            <w:pPr>
              <w:jc w:val="center"/>
              <w:ind w:left="311"/>
              <w:spacing w:after="0"/>
              <w:rPr>
                <w:sz w:val="20"/>
                <w:szCs w:val="20"/>
                <w:color w:val="auto"/>
              </w:rPr>
            </w:pPr>
            <w:r>
              <w:rPr>
                <w:rFonts w:ascii="Arial" w:cs="Arial" w:eastAsia="Arial" w:hAnsi="Arial"/>
                <w:sz w:val="18"/>
                <w:szCs w:val="18"/>
                <w:color w:val="0000FF"/>
                <w:w w:val="79"/>
              </w:rPr>
              <w:t>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80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2022 (unaudited)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60" w:type="dxa"/>
            <w:vAlign w:val="bottom"/>
            <w:gridSpan w:val="3"/>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w w:val="90"/>
              </w:rPr>
              <w:t>Condensed Consolidated Statements of Equity for the Three and Nine Months Ended September 30, 2023 and 2022 (unaudited)</w:t>
            </w:r>
          </w:p>
        </w:tc>
        <w:tc>
          <w:tcPr>
            <w:tcW w:w="480" w:type="dxa"/>
            <w:vAlign w:val="bottom"/>
            <w:gridSpan w:val="2"/>
          </w:tcPr>
          <w:p>
            <w:pPr>
              <w:jc w:val="center"/>
              <w:ind w:left="311"/>
              <w:spacing w:after="0"/>
              <w:rPr>
                <w:sz w:val="20"/>
                <w:szCs w:val="20"/>
                <w:color w:val="auto"/>
              </w:rPr>
            </w:pPr>
            <w:r>
              <w:rPr>
                <w:rFonts w:ascii="Arial" w:cs="Arial" w:eastAsia="Arial" w:hAnsi="Arial"/>
                <w:sz w:val="18"/>
                <w:szCs w:val="18"/>
                <w:color w:val="0000FF"/>
                <w:w w:val="79"/>
              </w:rPr>
              <w:t>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9200" w:type="dxa"/>
            <w:vAlign w:val="bottom"/>
            <w:gridSpan w:val="14"/>
          </w:tcPr>
          <w:p>
            <w:pPr>
              <w:spacing w:after="0"/>
              <w:rPr>
                <w:sz w:val="20"/>
                <w:szCs w:val="20"/>
                <w:color w:val="auto"/>
              </w:rPr>
            </w:pPr>
            <w:r>
              <w:rPr>
                <w:rFonts w:ascii="Arial" w:cs="Arial" w:eastAsia="Arial" w:hAnsi="Arial"/>
                <w:sz w:val="18"/>
                <w:szCs w:val="18"/>
                <w:color w:val="0000FF"/>
                <w:w w:val="93"/>
              </w:rPr>
              <w:t>Condensed Consolidated Statements of Cash Flows for the Nine Months Ended September 30, 2023 and 2022 (unaudited)</w:t>
            </w:r>
          </w:p>
        </w:tc>
        <w:tc>
          <w:tcPr>
            <w:tcW w:w="100" w:type="dxa"/>
            <w:vAlign w:val="bottom"/>
          </w:tcPr>
          <w:p>
            <w:pPr>
              <w:spacing w:after="0"/>
              <w:rPr>
                <w:sz w:val="18"/>
                <w:szCs w:val="18"/>
                <w:color w:val="auto"/>
              </w:rPr>
            </w:pPr>
          </w:p>
        </w:tc>
        <w:tc>
          <w:tcPr>
            <w:tcW w:w="480" w:type="dxa"/>
            <w:vAlign w:val="bottom"/>
            <w:gridSpan w:val="2"/>
          </w:tcPr>
          <w:p>
            <w:pPr>
              <w:jc w:val="center"/>
              <w:ind w:left="311"/>
              <w:spacing w:after="0"/>
              <w:rPr>
                <w:sz w:val="20"/>
                <w:szCs w:val="20"/>
                <w:color w:val="auto"/>
              </w:rPr>
            </w:pPr>
            <w:r>
              <w:rPr>
                <w:rFonts w:ascii="Arial" w:cs="Arial" w:eastAsia="Arial" w:hAnsi="Arial"/>
                <w:sz w:val="18"/>
                <w:szCs w:val="18"/>
                <w:color w:val="0000FF"/>
                <w:w w:val="79"/>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4880" w:type="dxa"/>
            <w:vAlign w:val="bottom"/>
            <w:gridSpan w:val="7"/>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3920" w:type="dxa"/>
            <w:vAlign w:val="bottom"/>
            <w:gridSpan w:val="4"/>
          </w:tcPr>
          <w:p>
            <w:pPr>
              <w:spacing w:after="0"/>
              <w:rPr>
                <w:sz w:val="18"/>
                <w:szCs w:val="18"/>
                <w:color w:val="auto"/>
              </w:rPr>
            </w:pPr>
          </w:p>
        </w:tc>
        <w:tc>
          <w:tcPr>
            <w:tcW w:w="500" w:type="dxa"/>
            <w:vAlign w:val="bottom"/>
            <w:gridSpan w:val="4"/>
          </w:tcPr>
          <w:p>
            <w:pPr>
              <w:spacing w:after="0"/>
              <w:rPr>
                <w:sz w:val="18"/>
                <w:szCs w:val="18"/>
                <w:color w:val="auto"/>
              </w:rPr>
            </w:pPr>
          </w:p>
        </w:tc>
        <w:tc>
          <w:tcPr>
            <w:tcW w:w="480" w:type="dxa"/>
            <w:vAlign w:val="bottom"/>
            <w:gridSpan w:val="2"/>
          </w:tcPr>
          <w:p>
            <w:pPr>
              <w:jc w:val="center"/>
              <w:ind w:left="231"/>
              <w:spacing w:after="0"/>
              <w:rPr>
                <w:sz w:val="20"/>
                <w:szCs w:val="20"/>
                <w:color w:val="auto"/>
              </w:rPr>
            </w:pPr>
            <w:r>
              <w:rPr>
                <w:rFonts w:ascii="Arial" w:cs="Arial" w:eastAsia="Arial" w:hAnsi="Arial"/>
                <w:sz w:val="18"/>
                <w:szCs w:val="18"/>
                <w:color w:val="0000FF"/>
                <w:w w:val="79"/>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8920" w:type="dxa"/>
            <w:vAlign w:val="bottom"/>
            <w:gridSpan w:val="12"/>
          </w:tcPr>
          <w:p>
            <w:pPr>
              <w:spacing w:after="0"/>
              <w:rPr>
                <w:sz w:val="20"/>
                <w:szCs w:val="20"/>
                <w:color w:val="auto"/>
              </w:rPr>
            </w:pPr>
            <w:r>
              <w:rPr>
                <w:rFonts w:ascii="Arial" w:cs="Arial" w:eastAsia="Arial" w:hAnsi="Arial"/>
                <w:sz w:val="18"/>
                <w:szCs w:val="18"/>
                <w:color w:val="0000FF"/>
                <w:w w:val="97"/>
              </w:rPr>
              <w:t>MANAGEMENT’S DISCUSSION AND ANALYSIS OF FINANCIAL CONDITION AND RESULTS OF OPERATIONS</w:t>
            </w:r>
          </w:p>
        </w:tc>
        <w:tc>
          <w:tcPr>
            <w:tcW w:w="380" w:type="dxa"/>
            <w:vAlign w:val="bottom"/>
            <w:gridSpan w:val="3"/>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3.</w:t>
            </w:r>
          </w:p>
        </w:tc>
        <w:tc>
          <w:tcPr>
            <w:tcW w:w="8920" w:type="dxa"/>
            <w:vAlign w:val="bottom"/>
            <w:gridSpan w:val="1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80" w:type="dxa"/>
            <w:vAlign w:val="bottom"/>
            <w:gridSpan w:val="3"/>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3220" w:type="dxa"/>
            <w:vAlign w:val="bottom"/>
            <w:tcBorders>
              <w:left w:val="single" w:sz="8" w:color="0000FF"/>
            </w:tcBorders>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4.</w:t>
            </w:r>
          </w:p>
        </w:tc>
        <w:tc>
          <w:tcPr>
            <w:tcW w:w="608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220" w:type="dxa"/>
            <w:vAlign w:val="bottom"/>
            <w:gridSpan w:val="7"/>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49"/>
        </w:trPr>
        <w:tc>
          <w:tcPr>
            <w:tcW w:w="106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700" w:type="dxa"/>
            <w:vAlign w:val="bottom"/>
            <w:gridSpan w:val="9"/>
          </w:tcPr>
          <w:p>
            <w:pPr>
              <w:jc w:val="center"/>
              <w:ind w:right="2600"/>
              <w:spacing w:after="0"/>
              <w:rPr>
                <w:sz w:val="20"/>
                <w:szCs w:val="20"/>
                <w:color w:val="auto"/>
              </w:rPr>
            </w:pPr>
            <w:r>
              <w:rPr>
                <w:rFonts w:ascii="Arial" w:cs="Arial" w:eastAsia="Arial" w:hAnsi="Arial"/>
                <w:sz w:val="18"/>
                <w:szCs w:val="18"/>
                <w:b w:val="1"/>
                <w:bCs w:val="1"/>
                <w:color w:val="auto"/>
              </w:rPr>
              <w:t>PART II — OTHER INFORMATION</w:t>
            </w:r>
          </w:p>
        </w:tc>
        <w:tc>
          <w:tcPr>
            <w:tcW w:w="4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60" w:type="dxa"/>
            <w:vAlign w:val="bottom"/>
          </w:tcPr>
          <w:p>
            <w:pPr>
              <w:ind w:left="20"/>
              <w:spacing w:after="0" w:line="190" w:lineRule="exact"/>
              <w:rPr>
                <w:sz w:val="20"/>
                <w:szCs w:val="20"/>
                <w:color w:val="auto"/>
              </w:rPr>
            </w:pPr>
            <w:r>
              <w:rPr>
                <w:rFonts w:ascii="Arial" w:cs="Arial" w:eastAsia="Arial" w:hAnsi="Arial"/>
                <w:sz w:val="18"/>
                <w:szCs w:val="18"/>
                <w:color w:val="auto"/>
              </w:rPr>
              <w:t>ITEM 1.</w:t>
            </w:r>
          </w:p>
        </w:tc>
        <w:tc>
          <w:tcPr>
            <w:tcW w:w="1880" w:type="dxa"/>
            <w:vAlign w:val="bottom"/>
            <w:gridSpan w:val="5"/>
          </w:tcPr>
          <w:p>
            <w:pPr>
              <w:spacing w:after="0" w:line="190" w:lineRule="exact"/>
              <w:rPr>
                <w:sz w:val="20"/>
                <w:szCs w:val="20"/>
                <w:color w:val="auto"/>
              </w:rPr>
            </w:pPr>
            <w:r>
              <w:rPr>
                <w:rFonts w:ascii="Arial" w:cs="Arial" w:eastAsia="Arial" w:hAnsi="Arial"/>
                <w:sz w:val="18"/>
                <w:szCs w:val="18"/>
                <w:color w:val="0000FF"/>
                <w:w w:val="94"/>
              </w:rPr>
              <w:t>LEGAL PROCEEDINGS</w:t>
            </w:r>
          </w:p>
        </w:tc>
        <w:tc>
          <w:tcPr>
            <w:tcW w:w="7420" w:type="dxa"/>
            <w:vAlign w:val="bottom"/>
            <w:gridSpan w:val="10"/>
          </w:tcPr>
          <w:p>
            <w:pPr>
              <w:spacing w:after="0"/>
              <w:rPr>
                <w:sz w:val="16"/>
                <w:szCs w:val="16"/>
                <w:color w:val="auto"/>
              </w:rPr>
            </w:pPr>
          </w:p>
        </w:tc>
        <w:tc>
          <w:tcPr>
            <w:tcW w:w="880" w:type="dxa"/>
            <w:vAlign w:val="bottom"/>
            <w:gridSpan w:val="3"/>
          </w:tcPr>
          <w:p>
            <w:pPr>
              <w:jc w:val="center"/>
              <w:spacing w:after="0" w:line="190" w:lineRule="exact"/>
              <w:rPr>
                <w:sz w:val="20"/>
                <w:szCs w:val="20"/>
                <w:color w:val="auto"/>
              </w:rPr>
            </w:pPr>
            <w:r>
              <w:rPr>
                <w:rFonts w:ascii="Arial" w:cs="Arial" w:eastAsia="Arial" w:hAnsi="Arial"/>
                <w:sz w:val="18"/>
                <w:szCs w:val="18"/>
                <w:color w:val="0000FF"/>
                <w:w w:val="89"/>
              </w:rPr>
              <w:t>87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6080" w:type="dxa"/>
            <w:vAlign w:val="bottom"/>
            <w:gridSpan w:val="8"/>
          </w:tcPr>
          <w:p>
            <w:pPr>
              <w:spacing w:after="0"/>
              <w:rPr>
                <w:sz w:val="20"/>
                <w:szCs w:val="20"/>
                <w:color w:val="auto"/>
              </w:rPr>
            </w:pPr>
            <w:r>
              <w:rPr>
                <w:rFonts w:ascii="Arial" w:cs="Arial" w:eastAsia="Arial" w:hAnsi="Arial"/>
                <w:sz w:val="18"/>
                <w:szCs w:val="18"/>
                <w:color w:val="0000FF"/>
                <w:w w:val="94"/>
              </w:rPr>
              <w:t>UNREGISTERED SALES OF EQUITY SECURITIES AND USE OF PROCEEDS</w:t>
            </w:r>
          </w:p>
        </w:tc>
        <w:tc>
          <w:tcPr>
            <w:tcW w:w="3220" w:type="dxa"/>
            <w:vAlign w:val="bottom"/>
            <w:gridSpan w:val="7"/>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0000FF"/>
                <w:w w:val="89"/>
              </w:rPr>
              <w:t>87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5.</w:t>
            </w:r>
          </w:p>
        </w:tc>
        <w:tc>
          <w:tcPr>
            <w:tcW w:w="608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3220" w:type="dxa"/>
            <w:vAlign w:val="bottom"/>
            <w:gridSpan w:val="7"/>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0000FF"/>
                <w:w w:val="89"/>
              </w:rPr>
              <w:t>87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42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6.</w:t>
            </w:r>
          </w:p>
        </w:tc>
        <w:tc>
          <w:tcPr>
            <w:tcW w:w="188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420" w:type="dxa"/>
            <w:vAlign w:val="bottom"/>
            <w:gridSpan w:val="10"/>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0000FF"/>
                <w:w w:val="89"/>
              </w:rPr>
              <w:t>88</w:t>
            </w:r>
          </w:p>
        </w:tc>
        <w:tc>
          <w:tcPr>
            <w:tcW w:w="0" w:type="dxa"/>
            <w:vAlign w:val="bottom"/>
          </w:tcPr>
          <w:p>
            <w:pPr>
              <w:spacing w:after="0"/>
              <w:rPr>
                <w:sz w:val="1"/>
                <w:szCs w:val="1"/>
                <w:color w:val="auto"/>
              </w:rPr>
            </w:pPr>
          </w:p>
        </w:tc>
      </w:tr>
      <w:tr>
        <w:trPr>
          <w:trHeight w:val="1229"/>
        </w:trPr>
        <w:tc>
          <w:tcPr>
            <w:tcW w:w="106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r>
      <w:tr>
        <w:trPr>
          <w:trHeight w:val="207"/>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971"/>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8400" w:type="dxa"/>
            <w:vAlign w:val="bottom"/>
          </w:tcPr>
          <w:p>
            <w:pPr>
              <w:ind w:left="390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2"/>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1,726.2</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 (note 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2,621.6</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6)</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 (notes 3 and 5)</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736.3</w:t>
            </w:r>
          </w:p>
        </w:tc>
      </w:tr>
      <w:tr>
        <w:trPr>
          <w:trHeight w:val="223"/>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6,297.4</w:t>
            </w:r>
          </w:p>
        </w:tc>
      </w:tr>
      <w:tr>
        <w:trPr>
          <w:trHeight w:val="176"/>
        </w:trPr>
        <w:tc>
          <w:tcPr>
            <w:tcW w:w="8400" w:type="dxa"/>
            <w:vAlign w:val="bottom"/>
          </w:tcPr>
          <w:p>
            <w:pPr>
              <w:ind w:left="20"/>
              <w:spacing w:after="0" w:line="176" w:lineRule="exact"/>
              <w:rPr>
                <w:sz w:val="20"/>
                <w:szCs w:val="20"/>
                <w:color w:val="auto"/>
              </w:rPr>
            </w:pPr>
            <w:r>
              <w:rPr>
                <w:rFonts w:ascii="Arial" w:cs="Arial" w:eastAsia="Arial" w:hAnsi="Arial"/>
                <w:sz w:val="18"/>
                <w:szCs w:val="18"/>
                <w:color w:val="auto"/>
                <w:w w:val="92"/>
              </w:rPr>
              <w:t>Investments and related notes receivable (including $3,452.3 million and $2,271.4 million, respectively, measured</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at fair value on a recurring basis) (note 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14,948.5</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(notes 8 and 10)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6,504.5</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9,766.9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9,316.1</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 net (note 8)</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2,342.4</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 (notes 3, 6 and 10)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3,486.1</w:t>
            </w:r>
          </w:p>
        </w:tc>
      </w:tr>
      <w:tr>
        <w:trPr>
          <w:trHeight w:val="248"/>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42,895.0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r>
      <w:tr>
        <w:trPr>
          <w:trHeight w:val="207"/>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971"/>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8400" w:type="dxa"/>
            <w:vAlign w:val="bottom"/>
          </w:tcPr>
          <w:p>
            <w:pPr>
              <w:ind w:left="318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610.1</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799.7</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235.6</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6)</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and current liabilities (note 10)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w:t>
            </w:r>
          </w:p>
        </w:tc>
      </w:tr>
      <w:tr>
        <w:trPr>
          <w:trHeight w:val="22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3,921.0</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 (notes 9 and 10)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14,558.3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12,963.5</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 (note 10)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1,645.9</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 (notes 3 and 6)</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1,791.2</w:t>
            </w:r>
          </w:p>
        </w:tc>
      </w:tr>
      <w:tr>
        <w:trPr>
          <w:trHeight w:val="223"/>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20,321.6</w:t>
            </w:r>
          </w:p>
        </w:tc>
      </w:tr>
      <w:tr>
        <w:trPr>
          <w:trHeight w:val="183"/>
        </w:trPr>
        <w:tc>
          <w:tcPr>
            <w:tcW w:w="8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6, 9, 10, 11 and 15)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(note 12):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Liberty Global shareholders: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5"/>
        </w:trPr>
        <w:tc>
          <w:tcPr>
            <w:tcW w:w="8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Class A ordinary shares, $0.01 nominal value. Issued and outstanding 171,378,773 and 171,917,370 shares,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175"/>
        </w:trPr>
        <w:tc>
          <w:tcPr>
            <w:tcW w:w="8400" w:type="dxa"/>
            <w:vAlign w:val="bottom"/>
          </w:tcPr>
          <w:p>
            <w:pPr>
              <w:ind w:left="220"/>
              <w:spacing w:after="0" w:line="176" w:lineRule="exact"/>
              <w:rPr>
                <w:sz w:val="20"/>
                <w:szCs w:val="20"/>
                <w:color w:val="auto"/>
              </w:rPr>
            </w:pPr>
            <w:r>
              <w:rPr>
                <w:rFonts w:ascii="Arial" w:cs="Arial" w:eastAsia="Arial" w:hAnsi="Arial"/>
                <w:sz w:val="18"/>
                <w:szCs w:val="18"/>
                <w:color w:val="auto"/>
                <w:w w:val="96"/>
              </w:rPr>
              <w:t>Class B ordinary shares, $0.01 nominal value. Issued and outstanding 12,988,658 and 12,994,000 shares,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175"/>
        </w:trPr>
        <w:tc>
          <w:tcPr>
            <w:tcW w:w="8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Class C ordinary shares, $0.01 nominal value. Issued and outstanding 218,384,732 and 274,436,585 shares,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2,300.8</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earnings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19,617.7</w:t>
            </w: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Accumulated other comprehensive earnings, net of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513.4</w:t>
            </w:r>
          </w:p>
        </w:tc>
      </w:tr>
      <w:tr>
        <w:trPr>
          <w:trHeight w:val="230"/>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400" w:type="dxa"/>
            <w:vAlign w:val="bottom"/>
          </w:tcPr>
          <w:p>
            <w:pPr>
              <w:ind w:left="480"/>
              <w:spacing w:after="0"/>
              <w:rPr>
                <w:sz w:val="20"/>
                <w:szCs w:val="20"/>
                <w:color w:val="auto"/>
              </w:rPr>
            </w:pPr>
            <w:r>
              <w:rPr>
                <w:rFonts w:ascii="Arial" w:cs="Arial" w:eastAsia="Arial" w:hAnsi="Arial"/>
                <w:sz w:val="18"/>
                <w:szCs w:val="18"/>
                <w:color w:val="auto"/>
              </w:rPr>
              <w:t>Total Liberty Global shareholders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20,921.3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22,436.4</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2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22,573.4</w:t>
            </w:r>
          </w:p>
        </w:tc>
      </w:tr>
      <w:tr>
        <w:trPr>
          <w:trHeight w:val="248"/>
        </w:trPr>
        <w:tc>
          <w:tcPr>
            <w:tcW w:w="84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42,895.0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260" w:type="dxa"/>
            <w:vAlign w:val="bottom"/>
          </w:tcPr>
          <w:p>
            <w:pPr>
              <w:spacing w:after="0"/>
              <w:rPr>
                <w:sz w:val="16"/>
                <w:szCs w:val="16"/>
                <w:color w:val="auto"/>
              </w:rPr>
            </w:pPr>
          </w:p>
        </w:tc>
        <w:tc>
          <w:tcPr>
            <w:tcW w:w="210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Pr>
          <w:p>
            <w:pPr>
              <w:spacing w:after="0"/>
              <w:rPr>
                <w:sz w:val="18"/>
                <w:szCs w:val="18"/>
                <w:color w:val="auto"/>
              </w:rPr>
            </w:pPr>
          </w:p>
        </w:tc>
        <w:tc>
          <w:tcPr>
            <w:tcW w:w="210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2022</w:t>
            </w:r>
          </w:p>
        </w:tc>
      </w:tr>
      <w:tr>
        <w:trPr>
          <w:trHeight w:val="207"/>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80" w:type="dxa"/>
            <w:vAlign w:val="bottom"/>
            <w:gridSpan w:val="7"/>
          </w:tcPr>
          <w:p>
            <w:pPr>
              <w:ind w:left="20"/>
              <w:spacing w:after="0"/>
              <w:rPr>
                <w:sz w:val="20"/>
                <w:szCs w:val="20"/>
                <w:color w:val="auto"/>
              </w:rPr>
            </w:pPr>
            <w:r>
              <w:rPr>
                <w:rFonts w:ascii="Arial" w:cs="Arial" w:eastAsia="Arial" w:hAnsi="Arial"/>
                <w:sz w:val="16"/>
                <w:szCs w:val="16"/>
                <w:b w:val="1"/>
                <w:bCs w:val="1"/>
                <w:color w:val="auto"/>
                <w:w w:val="88"/>
              </w:rPr>
              <w:t>in millions, except per share amounts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3, 4, 5 and 16)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5,353.8</w:t>
            </w:r>
          </w:p>
        </w:tc>
      </w:tr>
      <w:tr>
        <w:trPr>
          <w:trHeight w:val="155"/>
        </w:trPr>
        <w:tc>
          <w:tcPr>
            <w:tcW w:w="6400" w:type="dxa"/>
            <w:vAlign w:val="bottom"/>
          </w:tcPr>
          <w:p>
            <w:pPr>
              <w:ind w:left="40"/>
              <w:spacing w:after="0" w:line="156" w:lineRule="exact"/>
              <w:rPr>
                <w:sz w:val="20"/>
                <w:szCs w:val="20"/>
                <w:color w:val="auto"/>
              </w:rPr>
            </w:pPr>
            <w:r>
              <w:rPr>
                <w:rFonts w:ascii="Arial" w:cs="Arial" w:eastAsia="Arial" w:hAnsi="Arial"/>
                <w:sz w:val="18"/>
                <w:szCs w:val="18"/>
                <w:color w:val="auto"/>
                <w:w w:val="97"/>
              </w:rPr>
              <w:t>Operating costs and expenses (exclusive of depreciation and amortization, shown</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separately below):</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other direct costs of services (note 10)</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1,501.7</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Other operating (notes 10 and 13)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816.1</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(notes 10 and 13)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1,588.4</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restructuring and other operating items, net (note 10)</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23"/>
        </w:trPr>
        <w:tc>
          <w:tcPr>
            <w:tcW w:w="6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5,161.6</w:t>
            </w:r>
          </w:p>
        </w:tc>
      </w:tr>
      <w:tr>
        <w:trPr>
          <w:trHeight w:val="223"/>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09"/>
        </w:trPr>
        <w:tc>
          <w:tcPr>
            <w:tcW w:w="640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Realized and unrealized gains on derivative instruments, net (note 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1,668.8</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3,186.4</w:t>
            </w:r>
          </w:p>
        </w:tc>
      </w:tr>
      <w:tr>
        <w:trPr>
          <w:trHeight w:val="176"/>
        </w:trPr>
        <w:tc>
          <w:tcPr>
            <w:tcW w:w="6400" w:type="dxa"/>
            <w:vAlign w:val="bottom"/>
          </w:tcPr>
          <w:p>
            <w:pPr>
              <w:ind w:left="140"/>
              <w:spacing w:after="0" w:line="176" w:lineRule="exact"/>
              <w:rPr>
                <w:sz w:val="20"/>
                <w:szCs w:val="20"/>
                <w:color w:val="auto"/>
              </w:rPr>
            </w:pPr>
            <w:r>
              <w:rPr>
                <w:rFonts w:ascii="Arial" w:cs="Arial" w:eastAsia="Arial" w:hAnsi="Arial"/>
                <w:sz w:val="18"/>
                <w:szCs w:val="18"/>
                <w:color w:val="auto"/>
              </w:rPr>
              <w:t>Realized and unrealized gains (losses) due to changes in fair values of certain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6400" w:type="dxa"/>
            <w:vAlign w:val="bottom"/>
          </w:tcPr>
          <w:p>
            <w:pPr>
              <w:ind w:left="300"/>
              <w:spacing w:after="0"/>
              <w:rPr>
                <w:sz w:val="20"/>
                <w:szCs w:val="20"/>
                <w:color w:val="auto"/>
              </w:rPr>
            </w:pPr>
            <w:r>
              <w:rPr>
                <w:rFonts w:ascii="Arial" w:cs="Arial" w:eastAsia="Arial" w:hAnsi="Arial"/>
                <w:sz w:val="18"/>
                <w:szCs w:val="18"/>
                <w:color w:val="auto"/>
              </w:rPr>
              <w:t>investments, net (notes 5 and 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(207.4)</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of results of affiliates, net (note 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Gain associated with the Telenet Wyre Transaction (note 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Telenet Tower Sale (note 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r>
      <w:tr>
        <w:trPr>
          <w:trHeight w:val="223"/>
        </w:trPr>
        <w:tc>
          <w:tcPr>
            <w:tcW w:w="6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5,807.0</w:t>
            </w:r>
          </w:p>
        </w:tc>
      </w:tr>
      <w:tr>
        <w:trPr>
          <w:trHeight w:val="223"/>
        </w:trPr>
        <w:tc>
          <w:tcPr>
            <w:tcW w:w="6400" w:type="dxa"/>
            <w:vAlign w:val="bottom"/>
          </w:tcPr>
          <w:p>
            <w:pPr>
              <w:ind w:left="260"/>
              <w:spacing w:after="0"/>
              <w:rPr>
                <w:sz w:val="20"/>
                <w:szCs w:val="20"/>
                <w:color w:val="auto"/>
              </w:rPr>
            </w:pPr>
            <w:r>
              <w:rPr>
                <w:rFonts w:ascii="Arial" w:cs="Arial" w:eastAsia="Arial" w:hAnsi="Arial"/>
                <w:sz w:val="18"/>
                <w:szCs w:val="18"/>
                <w:color w:val="auto"/>
              </w:rPr>
              <w:t>Earnings (loss) from continuing operations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5,999.2</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(note 11)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r>
      <w:tr>
        <w:trPr>
          <w:trHeight w:val="223"/>
        </w:trPr>
        <w:tc>
          <w:tcPr>
            <w:tcW w:w="6400" w:type="dxa"/>
            <w:vAlign w:val="bottom"/>
          </w:tcPr>
          <w:p>
            <w:pPr>
              <w:ind w:left="260"/>
              <w:spacing w:after="0"/>
              <w:rPr>
                <w:sz w:val="20"/>
                <w:szCs w:val="20"/>
                <w:color w:val="auto"/>
              </w:rPr>
            </w:pPr>
            <w:r>
              <w:rPr>
                <w:rFonts w:ascii="Arial" w:cs="Arial" w:eastAsia="Arial" w:hAnsi="Arial"/>
                <w:sz w:val="18"/>
                <w:szCs w:val="18"/>
                <w:color w:val="auto"/>
              </w:rPr>
              <w:t>Earnings (loss) from continuing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5,789.6</w:t>
            </w:r>
          </w:p>
        </w:tc>
      </w:tr>
      <w:tr>
        <w:trPr>
          <w:trHeight w:val="230"/>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Discontinued operations (note 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Earnings from discontinued operations, net of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disposal of discontinued operations, net of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r>
      <w:tr>
        <w:trPr>
          <w:trHeight w:val="223"/>
        </w:trPr>
        <w:tc>
          <w:tcPr>
            <w:tcW w:w="64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883.5</w:t>
            </w:r>
          </w:p>
        </w:tc>
      </w:tr>
      <w:tr>
        <w:trPr>
          <w:trHeight w:val="223"/>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6,673.1</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earnings (loss) attributable to Liberty Global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4"/>
          </w:tcPr>
          <w:p>
            <w:pPr>
              <w:ind w:left="22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2023</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r>
      <w:tr>
        <w:trPr>
          <w:trHeight w:val="207"/>
        </w:trPr>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20" w:type="dxa"/>
            <w:vAlign w:val="bottom"/>
            <w:gridSpan w:val="9"/>
          </w:tcPr>
          <w:p>
            <w:pPr>
              <w:jc w:val="right"/>
              <w:ind w:right="130"/>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840" w:type="dxa"/>
            <w:vAlign w:val="bottom"/>
          </w:tcPr>
          <w:p>
            <w:pPr>
              <w:spacing w:after="0"/>
              <w:rPr>
                <w:sz w:val="17"/>
                <w:szCs w:val="17"/>
                <w:color w:val="auto"/>
              </w:rPr>
            </w:pPr>
          </w:p>
        </w:tc>
      </w:tr>
      <w:tr>
        <w:trPr>
          <w:trHeight w:val="222"/>
        </w:trPr>
        <w:tc>
          <w:tcPr>
            <w:tcW w:w="6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Basic earnings (loss) attributable to Liberty Global shareholders per share (note 14):</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880" w:type="dxa"/>
            <w:vAlign w:val="bottom"/>
            <w:gridSpan w:val="3"/>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4.92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380"/>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65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4.92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5"/>
              </w:rPr>
              <w:t>Diluted earnings (loss) attributable to Liberty Global shareholders per share (note 14):</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880" w:type="dxa"/>
            <w:vAlign w:val="bottom"/>
            <w:gridSpan w:val="3"/>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4.87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380"/>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65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r>
      <w:tr>
        <w:trPr>
          <w:trHeight w:val="21"/>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6" w:name="page7"/>
    <w:bookmarkEnd w:id="6"/>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40" w:type="dxa"/>
            <w:vAlign w:val="bottom"/>
          </w:tcPr>
          <w:p>
            <w:pPr>
              <w:spacing w:after="0"/>
              <w:rPr>
                <w:sz w:val="16"/>
                <w:szCs w:val="16"/>
                <w:color w:val="auto"/>
              </w:rPr>
            </w:pPr>
          </w:p>
        </w:tc>
        <w:tc>
          <w:tcPr>
            <w:tcW w:w="202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w w:val="99"/>
              </w:rPr>
              <w:t>Nine months ended</w:t>
            </w:r>
          </w:p>
        </w:tc>
      </w:tr>
      <w:tr>
        <w:trPr>
          <w:trHeight w:val="213"/>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4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r>
      <w:tr>
        <w:trPr>
          <w:trHeight w:val="207"/>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6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6,673.1</w:t>
            </w:r>
          </w:p>
        </w:tc>
      </w:tr>
      <w:tr>
        <w:trPr>
          <w:trHeight w:val="209"/>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loss, net of taxes: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(7,174.5)</w:t>
            </w: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adjustments included in net earnings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from continuing operations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(7,156.5)</w:t>
            </w: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rPr>
              <w:t>Other comprehensive loss from discontinued operations (note 4)</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23"/>
        </w:trPr>
        <w:tc>
          <w:tcPr>
            <w:tcW w:w="64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(7,200.9)</w:t>
            </w:r>
          </w:p>
        </w:tc>
      </w:tr>
      <w:tr>
        <w:trPr>
          <w:trHeight w:val="223"/>
        </w:trPr>
        <w:tc>
          <w:tcPr>
            <w:tcW w:w="6400" w:type="dxa"/>
            <w:vAlign w:val="bottom"/>
          </w:tcPr>
          <w:p>
            <w:pPr>
              <w:ind w:left="60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(527.8)</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r>
      <w:tr>
        <w:trPr>
          <w:trHeight w:val="223"/>
        </w:trPr>
        <w:tc>
          <w:tcPr>
            <w:tcW w:w="6400" w:type="dxa"/>
            <w:vAlign w:val="bottom"/>
          </w:tcPr>
          <w:p>
            <w:pPr>
              <w:ind w:left="440"/>
              <w:spacing w:after="0"/>
              <w:rPr>
                <w:sz w:val="20"/>
                <w:szCs w:val="20"/>
                <w:color w:val="auto"/>
              </w:rPr>
            </w:pPr>
            <w:r>
              <w:rPr>
                <w:rFonts w:ascii="Arial" w:cs="Arial" w:eastAsia="Arial" w:hAnsi="Arial"/>
                <w:sz w:val="18"/>
                <w:szCs w:val="18"/>
                <w:color w:val="auto"/>
              </w:rPr>
              <w:t>Comprehensive loss attributable to Liberty Global shareholders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w w:val="94"/>
              </w:rPr>
              <w:t>Treasury</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rPr>
              <w:t>Ordinary shares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5"/>
              </w:rPr>
              <w:t>comprehensive</w:t>
            </w: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Liberty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paid-in</w:t>
            </w:r>
          </w:p>
        </w:tc>
        <w:tc>
          <w:tcPr>
            <w:tcW w:w="104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9"/>
              </w:rPr>
              <w:t>Accumulated</w:t>
            </w:r>
          </w:p>
        </w:tc>
        <w:tc>
          <w:tcPr>
            <w:tcW w:w="116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4"/>
              </w:rPr>
              <w:t>earnings (loss),</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Global</w:t>
            </w:r>
          </w:p>
        </w:tc>
        <w:tc>
          <w:tcPr>
            <w:tcW w:w="88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controlling</w:t>
            </w:r>
          </w:p>
        </w:tc>
        <w:tc>
          <w:tcPr>
            <w:tcW w:w="140" w:type="dxa"/>
            <w:vAlign w:val="bottom"/>
          </w:tcPr>
          <w:p>
            <w:pPr>
              <w:spacing w:after="0"/>
              <w:rPr>
                <w:sz w:val="12"/>
                <w:szCs w:val="12"/>
                <w:color w:val="auto"/>
              </w:rPr>
            </w:pPr>
          </w:p>
        </w:tc>
        <w:tc>
          <w:tcPr>
            <w:tcW w:w="68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680" w:type="dxa"/>
            <w:vAlign w:val="bottom"/>
          </w:tcPr>
          <w:p>
            <w:pPr>
              <w:spacing w:after="0"/>
              <w:rPr>
                <w:sz w:val="17"/>
                <w:szCs w:val="17"/>
                <w:color w:val="auto"/>
              </w:rPr>
            </w:pP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A</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B</w:t>
            </w: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91"/>
              </w:rPr>
              <w:t>Class C</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net 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9"/>
              </w:rPr>
              <w:t>shareholders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6"/>
              </w:rPr>
              <w:t>interests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equity</w:t>
            </w:r>
          </w:p>
        </w:tc>
        <w:tc>
          <w:tcPr>
            <w:tcW w:w="0" w:type="dxa"/>
            <w:vAlign w:val="bottom"/>
          </w:tcPr>
          <w:p>
            <w:pPr>
              <w:spacing w:after="0"/>
              <w:rPr>
                <w:sz w:val="1"/>
                <w:szCs w:val="1"/>
                <w:color w:val="auto"/>
              </w:rPr>
            </w:pPr>
          </w:p>
        </w:tc>
      </w:tr>
      <w:tr>
        <w:trPr>
          <w:trHeight w:val="207"/>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2022</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25,598.0</w:t>
            </w:r>
          </w:p>
        </w:tc>
        <w:tc>
          <w:tcPr>
            <w:tcW w:w="0" w:type="dxa"/>
            <w:vAlign w:val="bottom"/>
          </w:tcPr>
          <w:p>
            <w:pPr>
              <w:spacing w:after="0"/>
              <w:rPr>
                <w:sz w:val="1"/>
                <w:szCs w:val="1"/>
                <w:color w:val="auto"/>
              </w:rPr>
            </w:pPr>
          </w:p>
        </w:tc>
      </w:tr>
      <w:tr>
        <w:trPr>
          <w:trHeight w:val="213"/>
        </w:trPr>
        <w:tc>
          <w:tcPr>
            <w:tcW w:w="268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1,110.3</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0"/>
              </w:rPr>
              <w:t>Other comprehensive loss, net of taxes</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(1,217.8)</w:t>
            </w:r>
          </w:p>
        </w:tc>
        <w:tc>
          <w:tcPr>
            <w:tcW w:w="0" w:type="dxa"/>
            <w:vAlign w:val="bottom"/>
          </w:tcPr>
          <w:p>
            <w:pPr>
              <w:spacing w:after="0"/>
              <w:rPr>
                <w:sz w:val="1"/>
                <w:szCs w:val="1"/>
                <w:color w:val="auto"/>
              </w:rPr>
            </w:pPr>
          </w:p>
        </w:tc>
      </w:tr>
      <w:tr>
        <w:trPr>
          <w:trHeight w:val="166"/>
        </w:trPr>
        <w:tc>
          <w:tcPr>
            <w:tcW w:w="2680" w:type="dxa"/>
            <w:vAlign w:val="bottom"/>
          </w:tcPr>
          <w:p>
            <w:pPr>
              <w:ind w:left="140"/>
              <w:spacing w:after="0" w:line="166" w:lineRule="exact"/>
              <w:rPr>
                <w:sz w:val="20"/>
                <w:szCs w:val="20"/>
                <w:color w:val="auto"/>
              </w:rPr>
            </w:pPr>
            <w:r>
              <w:rPr>
                <w:rFonts w:ascii="Arial" w:cs="Arial" w:eastAsia="Arial" w:hAnsi="Arial"/>
                <w:sz w:val="16"/>
                <w:szCs w:val="16"/>
                <w:color w:val="auto"/>
              </w:rPr>
              <w:t>Repurchases and cancellations of</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w w:val="97"/>
              </w:rPr>
              <w:t>(0.2)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(495.9)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(496.1)</w:t>
            </w:r>
          </w:p>
        </w:tc>
        <w:tc>
          <w:tcPr>
            <w:tcW w:w="0" w:type="dxa"/>
            <w:vAlign w:val="bottom"/>
          </w:tcPr>
          <w:p>
            <w:pPr>
              <w:spacing w:after="0"/>
              <w:rPr>
                <w:sz w:val="1"/>
                <w:szCs w:val="1"/>
                <w:color w:val="auto"/>
              </w:rPr>
            </w:pPr>
          </w:p>
        </w:tc>
      </w:tr>
      <w:tr>
        <w:trPr>
          <w:trHeight w:val="209"/>
        </w:trPr>
        <w:tc>
          <w:tcPr>
            <w:tcW w:w="2680" w:type="dxa"/>
            <w:vAlign w:val="bottom"/>
          </w:tcPr>
          <w:p>
            <w:pPr>
              <w:ind w:left="300"/>
              <w:spacing w:after="0"/>
              <w:rPr>
                <w:sz w:val="20"/>
                <w:szCs w:val="20"/>
                <w:color w:val="auto"/>
              </w:rPr>
            </w:pPr>
            <w:r>
              <w:rPr>
                <w:rFonts w:ascii="Arial" w:cs="Arial" w:eastAsia="Arial" w:hAnsi="Arial"/>
                <w:sz w:val="16"/>
                <w:szCs w:val="16"/>
                <w:color w:val="auto"/>
              </w:rPr>
              <w:t>Liberty Global ordinary shares</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66"/>
        </w:trPr>
        <w:tc>
          <w:tcPr>
            <w:tcW w:w="2680" w:type="dxa"/>
            <w:vAlign w:val="bottom"/>
          </w:tcPr>
          <w:p>
            <w:pPr>
              <w:ind w:left="140"/>
              <w:spacing w:after="0" w:line="166" w:lineRule="exact"/>
              <w:rPr>
                <w:sz w:val="20"/>
                <w:szCs w:val="20"/>
                <w:color w:val="auto"/>
              </w:rPr>
            </w:pPr>
            <w:r>
              <w:rPr>
                <w:rFonts w:ascii="Arial" w:cs="Arial" w:eastAsia="Arial" w:hAnsi="Arial"/>
                <w:sz w:val="16"/>
                <w:szCs w:val="16"/>
                <w:color w:val="auto"/>
              </w:rPr>
              <w:t>Repurchases by Telenet of its</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9"/>
        </w:trPr>
        <w:tc>
          <w:tcPr>
            <w:tcW w:w="2680" w:type="dxa"/>
            <w:vAlign w:val="bottom"/>
          </w:tcPr>
          <w:p>
            <w:pPr>
              <w:ind w:left="300"/>
              <w:spacing w:after="0"/>
              <w:rPr>
                <w:sz w:val="20"/>
                <w:szCs w:val="20"/>
                <w:color w:val="auto"/>
              </w:rPr>
            </w:pPr>
            <w:r>
              <w:rPr>
                <w:rFonts w:ascii="Arial" w:cs="Arial" w:eastAsia="Arial" w:hAnsi="Arial"/>
                <w:sz w:val="16"/>
                <w:szCs w:val="16"/>
                <w:color w:val="auto"/>
              </w:rPr>
              <w:t>outstanding shares</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due to changes in</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subsidiaries’ equity and other, net</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8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3,406.1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19,182.8</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2,673.9</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25,267.8</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25,007.1</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3,131.1</w:t>
            </w:r>
          </w:p>
        </w:tc>
        <w:tc>
          <w:tcPr>
            <w:tcW w:w="0" w:type="dxa"/>
            <w:vAlign w:val="bottom"/>
          </w:tcPr>
          <w:p>
            <w:pPr>
              <w:spacing w:after="0"/>
              <w:rPr>
                <w:sz w:val="1"/>
                <w:szCs w:val="1"/>
                <w:color w:val="auto"/>
              </w:rPr>
            </w:pPr>
          </w:p>
        </w:tc>
      </w:tr>
      <w:tr>
        <w:trPr>
          <w:trHeight w:val="213"/>
        </w:trPr>
        <w:tc>
          <w:tcPr>
            <w:tcW w:w="2680" w:type="dxa"/>
            <w:vAlign w:val="bottom"/>
          </w:tcPr>
          <w:p>
            <w:pPr>
              <w:ind w:left="140"/>
              <w:spacing w:after="0"/>
              <w:rPr>
                <w:sz w:val="20"/>
                <w:szCs w:val="20"/>
                <w:color w:val="auto"/>
              </w:rPr>
            </w:pPr>
            <w:r>
              <w:rPr>
                <w:rFonts w:ascii="Arial" w:cs="Arial" w:eastAsia="Arial" w:hAnsi="Arial"/>
                <w:sz w:val="16"/>
                <w:szCs w:val="16"/>
                <w:color w:val="auto"/>
                <w:w w:val="90"/>
              </w:rPr>
              <w:t>Other comprehensive loss, net of taxes</w:t>
            </w:r>
          </w:p>
        </w:tc>
        <w:tc>
          <w:tcPr>
            <w:tcW w:w="2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(2,723.2)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9"/>
              </w:rPr>
              <w:t>(2,715.9)</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Repurchases and cancellations of</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Liberty Global ordinary shares</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40"/>
              <w:spacing w:after="0" w:line="166" w:lineRule="exact"/>
              <w:rPr>
                <w:sz w:val="20"/>
                <w:szCs w:val="20"/>
                <w:color w:val="auto"/>
              </w:rPr>
            </w:pPr>
            <w:r>
              <w:rPr>
                <w:rFonts w:ascii="Arial" w:cs="Arial" w:eastAsia="Arial" w:hAnsi="Arial"/>
                <w:sz w:val="16"/>
                <w:szCs w:val="16"/>
                <w:color w:val="auto"/>
                <w:w w:val="96"/>
              </w:rPr>
              <w:t>Dividend distributions by subsidiaries</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9"/>
        </w:trPr>
        <w:tc>
          <w:tcPr>
            <w:tcW w:w="2680" w:type="dxa"/>
            <w:vAlign w:val="bottom"/>
          </w:tcPr>
          <w:p>
            <w:pPr>
              <w:ind w:left="300"/>
              <w:spacing w:after="0"/>
              <w:rPr>
                <w:sz w:val="20"/>
                <w:szCs w:val="20"/>
                <w:color w:val="auto"/>
              </w:rPr>
            </w:pPr>
            <w:r>
              <w:rPr>
                <w:rFonts w:ascii="Arial" w:cs="Arial" w:eastAsia="Arial" w:hAnsi="Arial"/>
                <w:sz w:val="16"/>
                <w:szCs w:val="16"/>
                <w:color w:val="auto"/>
              </w:rPr>
              <w:t>to non-controlling interest owners</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66"/>
        </w:trPr>
        <w:tc>
          <w:tcPr>
            <w:tcW w:w="2680" w:type="dxa"/>
            <w:vAlign w:val="bottom"/>
          </w:tcPr>
          <w:p>
            <w:pPr>
              <w:ind w:left="140"/>
              <w:spacing w:after="0" w:line="166" w:lineRule="exact"/>
              <w:rPr>
                <w:sz w:val="20"/>
                <w:szCs w:val="20"/>
                <w:color w:val="auto"/>
              </w:rPr>
            </w:pPr>
            <w:r>
              <w:rPr>
                <w:rFonts w:ascii="Arial" w:cs="Arial" w:eastAsia="Arial" w:hAnsi="Arial"/>
                <w:sz w:val="16"/>
                <w:szCs w:val="16"/>
                <w:color w:val="auto"/>
              </w:rPr>
              <w:t>Adjustments due to changes in</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9"/>
        </w:trPr>
        <w:tc>
          <w:tcPr>
            <w:tcW w:w="2680" w:type="dxa"/>
            <w:vAlign w:val="bottom"/>
          </w:tcPr>
          <w:p>
            <w:pPr>
              <w:ind w:left="300"/>
              <w:spacing w:after="0"/>
              <w:rPr>
                <w:sz w:val="20"/>
                <w:szCs w:val="20"/>
                <w:color w:val="auto"/>
              </w:rPr>
            </w:pPr>
            <w:r>
              <w:rPr>
                <w:rFonts w:ascii="Arial" w:cs="Arial" w:eastAsia="Arial" w:hAnsi="Arial"/>
                <w:sz w:val="16"/>
                <w:szCs w:val="16"/>
                <w:color w:val="auto"/>
                <w:w w:val="98"/>
              </w:rPr>
              <w:t>subsidiaries’ equity and other, net</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21,969.4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24,805.6</w:t>
            </w:r>
          </w:p>
        </w:tc>
        <w:tc>
          <w:tcPr>
            <w:tcW w:w="0" w:type="dxa"/>
            <w:vAlign w:val="bottom"/>
          </w:tcPr>
          <w:p>
            <w:pPr>
              <w:spacing w:after="0"/>
              <w:rPr>
                <w:sz w:val="1"/>
                <w:szCs w:val="1"/>
                <w:color w:val="auto"/>
              </w:rPr>
            </w:pPr>
          </w:p>
        </w:tc>
      </w:tr>
      <w:tr>
        <w:trPr>
          <w:trHeight w:val="213"/>
        </w:trPr>
        <w:tc>
          <w:tcPr>
            <w:tcW w:w="268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2,431.7</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0"/>
              </w:rPr>
              <w:t>Other comprehensive loss, net of taxes</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(3,267.2)</w:t>
            </w:r>
          </w:p>
        </w:tc>
        <w:tc>
          <w:tcPr>
            <w:tcW w:w="0" w:type="dxa"/>
            <w:vAlign w:val="bottom"/>
          </w:tcPr>
          <w:p>
            <w:pPr>
              <w:spacing w:after="0"/>
              <w:rPr>
                <w:sz w:val="1"/>
                <w:szCs w:val="1"/>
                <w:color w:val="auto"/>
              </w:rPr>
            </w:pPr>
          </w:p>
        </w:tc>
      </w:tr>
      <w:tr>
        <w:trPr>
          <w:trHeight w:val="166"/>
        </w:trPr>
        <w:tc>
          <w:tcPr>
            <w:tcW w:w="2680" w:type="dxa"/>
            <w:vAlign w:val="bottom"/>
          </w:tcPr>
          <w:p>
            <w:pPr>
              <w:ind w:left="140"/>
              <w:spacing w:after="0" w:line="166" w:lineRule="exact"/>
              <w:rPr>
                <w:sz w:val="20"/>
                <w:szCs w:val="20"/>
                <w:color w:val="auto"/>
              </w:rPr>
            </w:pPr>
            <w:r>
              <w:rPr>
                <w:rFonts w:ascii="Arial" w:cs="Arial" w:eastAsia="Arial" w:hAnsi="Arial"/>
                <w:sz w:val="16"/>
                <w:szCs w:val="16"/>
                <w:color w:val="auto"/>
              </w:rPr>
              <w:t>Repurchases and cancellations of</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w w:val="97"/>
              </w:rPr>
              <w:t>(0.2)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(525.1)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(525.3)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(525.3)</w:t>
            </w:r>
          </w:p>
        </w:tc>
        <w:tc>
          <w:tcPr>
            <w:tcW w:w="0" w:type="dxa"/>
            <w:vAlign w:val="bottom"/>
          </w:tcPr>
          <w:p>
            <w:pPr>
              <w:spacing w:after="0"/>
              <w:rPr>
                <w:sz w:val="1"/>
                <w:szCs w:val="1"/>
                <w:color w:val="auto"/>
              </w:rPr>
            </w:pPr>
          </w:p>
        </w:tc>
      </w:tr>
      <w:tr>
        <w:trPr>
          <w:trHeight w:val="209"/>
        </w:trPr>
        <w:tc>
          <w:tcPr>
            <w:tcW w:w="2680" w:type="dxa"/>
            <w:vAlign w:val="bottom"/>
          </w:tcPr>
          <w:p>
            <w:pPr>
              <w:ind w:left="300"/>
              <w:spacing w:after="0"/>
              <w:rPr>
                <w:sz w:val="20"/>
                <w:szCs w:val="20"/>
                <w:color w:val="auto"/>
              </w:rPr>
            </w:pPr>
            <w:r>
              <w:rPr>
                <w:rFonts w:ascii="Arial" w:cs="Arial" w:eastAsia="Arial" w:hAnsi="Arial"/>
                <w:sz w:val="16"/>
                <w:szCs w:val="16"/>
                <w:color w:val="auto"/>
              </w:rPr>
              <w:t>Liberty Global ordinary shares</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66"/>
        </w:trPr>
        <w:tc>
          <w:tcPr>
            <w:tcW w:w="2680" w:type="dxa"/>
            <w:vAlign w:val="bottom"/>
          </w:tcPr>
          <w:p>
            <w:pPr>
              <w:ind w:left="140"/>
              <w:spacing w:after="0" w:line="166" w:lineRule="exact"/>
              <w:rPr>
                <w:sz w:val="20"/>
                <w:szCs w:val="20"/>
                <w:color w:val="auto"/>
              </w:rPr>
            </w:pPr>
            <w:r>
              <w:rPr>
                <w:rFonts w:ascii="Arial" w:cs="Arial" w:eastAsia="Arial" w:hAnsi="Arial"/>
                <w:sz w:val="16"/>
                <w:szCs w:val="16"/>
                <w:color w:val="auto"/>
                <w:w w:val="96"/>
              </w:rPr>
              <w:t>Dividend distributions by subsidiaries</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2680" w:type="dxa"/>
            <w:vAlign w:val="bottom"/>
          </w:tcPr>
          <w:p>
            <w:pPr>
              <w:ind w:left="300"/>
              <w:spacing w:after="0"/>
              <w:rPr>
                <w:sz w:val="20"/>
                <w:szCs w:val="20"/>
                <w:color w:val="auto"/>
              </w:rPr>
            </w:pPr>
            <w:r>
              <w:rPr>
                <w:rFonts w:ascii="Arial" w:cs="Arial" w:eastAsia="Arial" w:hAnsi="Arial"/>
                <w:sz w:val="16"/>
                <w:szCs w:val="16"/>
                <w:color w:val="auto"/>
              </w:rPr>
              <w:t>to non-controlling interest owners</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due to changes in</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subsidiaries’ equity and other, net</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8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2,371.2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24,317.4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(3,316.5)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23,376.7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23,489.1</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32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rPr>
              <w:t>Ordinary shares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other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8"/>
              </w:rPr>
              <w:t>comprehensive</w:t>
            </w:r>
          </w:p>
        </w:tc>
        <w:tc>
          <w:tcPr>
            <w:tcW w:w="780" w:type="dxa"/>
            <w:vAlign w:val="bottom"/>
            <w:gridSpan w:val="3"/>
          </w:tcPr>
          <w:p>
            <w:pPr>
              <w:jc w:val="right"/>
              <w:ind w:right="120"/>
              <w:spacing w:after="0" w:line="142" w:lineRule="exact"/>
              <w:rPr>
                <w:sz w:val="20"/>
                <w:szCs w:val="20"/>
                <w:color w:val="auto"/>
              </w:rPr>
            </w:pPr>
            <w:r>
              <w:rPr>
                <w:rFonts w:ascii="Arial" w:cs="Arial" w:eastAsia="Arial" w:hAnsi="Arial"/>
                <w:sz w:val="16"/>
                <w:szCs w:val="16"/>
                <w:b w:val="1"/>
                <w:bCs w:val="1"/>
                <w:color w:val="auto"/>
                <w:w w:val="94"/>
              </w:rPr>
              <w:t>Treasury</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Liberty</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2" w:lineRule="exact"/>
              <w:rPr>
                <w:sz w:val="20"/>
                <w:szCs w:val="20"/>
                <w:color w:val="auto"/>
              </w:rPr>
            </w:pPr>
            <w:r>
              <w:rPr>
                <w:rFonts w:ascii="Arial" w:cs="Arial" w:eastAsia="Arial" w:hAnsi="Arial"/>
                <w:sz w:val="16"/>
                <w:szCs w:val="16"/>
                <w:b w:val="1"/>
                <w:bCs w:val="1"/>
                <w:color w:val="auto"/>
                <w:w w:val="93"/>
              </w:rPr>
              <w:t>Non-</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Class A</w:t>
            </w:r>
          </w:p>
        </w:tc>
        <w:tc>
          <w:tcPr>
            <w:tcW w:w="6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Class B</w:t>
            </w:r>
          </w:p>
        </w:tc>
        <w:tc>
          <w:tcPr>
            <w:tcW w:w="640" w:type="dxa"/>
            <w:vAlign w:val="bottom"/>
            <w:gridSpan w:val="3"/>
          </w:tcPr>
          <w:p>
            <w:pPr>
              <w:ind w:left="100"/>
              <w:spacing w:after="0" w:line="155" w:lineRule="exact"/>
              <w:rPr>
                <w:sz w:val="20"/>
                <w:szCs w:val="20"/>
                <w:color w:val="auto"/>
              </w:rPr>
            </w:pPr>
            <w:r>
              <w:rPr>
                <w:rFonts w:ascii="Arial" w:cs="Arial" w:eastAsia="Arial" w:hAnsi="Arial"/>
                <w:sz w:val="16"/>
                <w:szCs w:val="16"/>
                <w:b w:val="1"/>
                <w:bCs w:val="1"/>
                <w:color w:val="auto"/>
              </w:rPr>
              <w:t>Class</w:t>
            </w:r>
          </w:p>
        </w:tc>
        <w:tc>
          <w:tcPr>
            <w:tcW w:w="120" w:type="dxa"/>
            <w:vAlign w:val="bottom"/>
          </w:tcPr>
          <w:p>
            <w:pPr>
              <w:spacing w:after="0"/>
              <w:rPr>
                <w:sz w:val="13"/>
                <w:szCs w:val="13"/>
                <w:color w:val="auto"/>
              </w:rPr>
            </w:pPr>
          </w:p>
        </w:tc>
        <w:tc>
          <w:tcPr>
            <w:tcW w:w="74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paid-in</w:t>
            </w:r>
          </w:p>
        </w:tc>
        <w:tc>
          <w:tcPr>
            <w:tcW w:w="104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16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8"/>
              </w:rPr>
              <w:t>earnings, net</w:t>
            </w:r>
          </w:p>
        </w:tc>
        <w:tc>
          <w:tcPr>
            <w:tcW w:w="100" w:type="dxa"/>
            <w:vAlign w:val="bottom"/>
          </w:tcPr>
          <w:p>
            <w:pPr>
              <w:spacing w:after="0"/>
              <w:rPr>
                <w:sz w:val="13"/>
                <w:szCs w:val="13"/>
                <w:color w:val="auto"/>
              </w:rPr>
            </w:pPr>
          </w:p>
        </w:tc>
        <w:tc>
          <w:tcPr>
            <w:tcW w:w="68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6"/>
              </w:rPr>
              <w:t>Global</w:t>
            </w:r>
          </w:p>
        </w:tc>
        <w:tc>
          <w:tcPr>
            <w:tcW w:w="88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controlling</w:t>
            </w:r>
          </w:p>
        </w:tc>
        <w:tc>
          <w:tcPr>
            <w:tcW w:w="76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660" w:type="dxa"/>
            <w:vAlign w:val="bottom"/>
            <w:tcBorders>
              <w:bottom w:val="single" w:sz="8" w:color="auto"/>
            </w:tcBorders>
            <w:gridSpan w:val="3"/>
            <w:vMerge w:val="continue"/>
          </w:tcPr>
          <w:p>
            <w:pPr>
              <w:spacing w:after="0"/>
              <w:rPr>
                <w:sz w:val="18"/>
                <w:szCs w:val="18"/>
                <w:color w:val="auto"/>
              </w:rPr>
            </w:pPr>
          </w:p>
        </w:tc>
        <w:tc>
          <w:tcPr>
            <w:tcW w:w="62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1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7"/>
              </w:rPr>
              <w:t>shareholders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6"/>
              </w:rPr>
              <w:t>interests</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2023</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$ 22,573.4</w:t>
            </w: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(713.5)</w:t>
            </w: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Other comprehensive earnings, net of</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taxes</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40" w:type="dxa"/>
            <w:vAlign w:val="bottom"/>
          </w:tcPr>
          <w:p>
            <w:pPr>
              <w:ind w:left="140"/>
              <w:spacing w:after="0" w:line="166" w:lineRule="exact"/>
              <w:rPr>
                <w:sz w:val="20"/>
                <w:szCs w:val="20"/>
                <w:color w:val="auto"/>
              </w:rPr>
            </w:pPr>
            <w:r>
              <w:rPr>
                <w:rFonts w:ascii="Arial" w:cs="Arial" w:eastAsia="Arial" w:hAnsi="Arial"/>
                <w:sz w:val="16"/>
                <w:szCs w:val="16"/>
                <w:color w:val="auto"/>
                <w:w w:val="91"/>
              </w:rPr>
              <w:t>Repurchases and cancellations of Liberty</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40" w:type="dxa"/>
            <w:vAlign w:val="bottom"/>
            <w:vMerge w:val="restart"/>
          </w:tcPr>
          <w:p>
            <w:pPr>
              <w:spacing w:after="0"/>
              <w:rPr>
                <w:sz w:val="20"/>
                <w:szCs w:val="20"/>
                <w:color w:val="auto"/>
              </w:rPr>
            </w:pPr>
            <w:r>
              <w:rPr>
                <w:rFonts w:ascii="Arial" w:cs="Arial" w:eastAsia="Arial" w:hAnsi="Arial"/>
                <w:sz w:val="16"/>
                <w:szCs w:val="16"/>
                <w:color w:val="auto"/>
                <w:w w:val="97"/>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(236.7)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6"/>
                <w:szCs w:val="16"/>
                <w:color w:val="auto"/>
              </w:rPr>
              <w:t>Global ordinary shares (note 12)</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166"/>
        </w:trPr>
        <w:tc>
          <w:tcPr>
            <w:tcW w:w="2840" w:type="dxa"/>
            <w:vAlign w:val="bottom"/>
          </w:tcPr>
          <w:p>
            <w:pPr>
              <w:ind w:left="140"/>
              <w:spacing w:after="0" w:line="166" w:lineRule="exact"/>
              <w:rPr>
                <w:sz w:val="20"/>
                <w:szCs w:val="20"/>
                <w:color w:val="auto"/>
              </w:rPr>
            </w:pPr>
            <w:r>
              <w:rPr>
                <w:rFonts w:ascii="Arial" w:cs="Arial" w:eastAsia="Arial" w:hAnsi="Arial"/>
                <w:sz w:val="16"/>
                <w:szCs w:val="16"/>
                <w:color w:val="auto"/>
              </w:rPr>
              <w:t>Adjustments due to changes in</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6"/>
                <w:szCs w:val="16"/>
                <w:color w:val="auto"/>
              </w:rPr>
              <w:t>subsidiaries’ equity and other, net</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18,896.3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22,369.5</w:t>
            </w: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Other comprehensive earnings, net of</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taxes</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40" w:type="dxa"/>
            <w:vAlign w:val="bottom"/>
          </w:tcPr>
          <w:p>
            <w:pPr>
              <w:ind w:left="140"/>
              <w:spacing w:after="0" w:line="166" w:lineRule="exact"/>
              <w:rPr>
                <w:sz w:val="20"/>
                <w:szCs w:val="20"/>
                <w:color w:val="auto"/>
              </w:rPr>
            </w:pPr>
            <w:r>
              <w:rPr>
                <w:rFonts w:ascii="Arial" w:cs="Arial" w:eastAsia="Arial" w:hAnsi="Arial"/>
                <w:sz w:val="16"/>
                <w:szCs w:val="16"/>
                <w:color w:val="auto"/>
                <w:w w:val="91"/>
              </w:rPr>
              <w:t>Repurchases and cancellations of Liberty</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40" w:type="dxa"/>
            <w:vAlign w:val="bottom"/>
            <w:vMerge w:val="restart"/>
          </w:tcPr>
          <w:p>
            <w:pPr>
              <w:spacing w:after="0"/>
              <w:rPr>
                <w:sz w:val="20"/>
                <w:szCs w:val="20"/>
                <w:color w:val="auto"/>
              </w:rPr>
            </w:pPr>
            <w:r>
              <w:rPr>
                <w:rFonts w:ascii="Arial" w:cs="Arial" w:eastAsia="Arial" w:hAnsi="Arial"/>
                <w:sz w:val="16"/>
                <w:szCs w:val="16"/>
                <w:color w:val="auto"/>
                <w:w w:val="97"/>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(388.6)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(388.7)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(388.7)</w:t>
            </w: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6"/>
                <w:szCs w:val="16"/>
                <w:color w:val="auto"/>
              </w:rPr>
              <w:t>Global ordinary shares (note 12)</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166"/>
        </w:trPr>
        <w:tc>
          <w:tcPr>
            <w:tcW w:w="2840" w:type="dxa"/>
            <w:vAlign w:val="bottom"/>
          </w:tcPr>
          <w:p>
            <w:pPr>
              <w:ind w:left="140"/>
              <w:spacing w:after="0" w:line="166" w:lineRule="exact"/>
              <w:rPr>
                <w:sz w:val="20"/>
                <w:szCs w:val="20"/>
                <w:color w:val="auto"/>
              </w:rPr>
            </w:pPr>
            <w:r>
              <w:rPr>
                <w:rFonts w:ascii="Arial" w:cs="Arial" w:eastAsia="Arial" w:hAnsi="Arial"/>
                <w:sz w:val="16"/>
                <w:szCs w:val="16"/>
                <w:color w:val="auto"/>
                <w:w w:val="95"/>
              </w:rPr>
              <w:t>Dividend distributions by subsidiaries to</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6"/>
                <w:szCs w:val="16"/>
                <w:color w:val="auto"/>
              </w:rPr>
              <w:t>non-controlling interest owners</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due to changes in</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subsidiaries’ equity and other, net</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tcPr>
          <w:p>
            <w:pPr>
              <w:ind w:left="20"/>
              <w:spacing w:after="0"/>
              <w:rPr>
                <w:sz w:val="20"/>
                <w:szCs w:val="20"/>
                <w:color w:val="auto"/>
              </w:rPr>
            </w:pPr>
            <w:r>
              <w:rPr>
                <w:rFonts w:ascii="Arial" w:cs="Arial" w:eastAsia="Arial" w:hAnsi="Arial"/>
                <w:sz w:val="16"/>
                <w:szCs w:val="16"/>
                <w:color w:val="auto"/>
              </w:rPr>
              <w:t>Balance at June 30, 2023</w:t>
            </w: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1,754.6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18,396.7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1,700.6</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21,856.2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21,940.7</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822.7</w:t>
            </w: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w w:val="96"/>
              </w:rPr>
              <w:t>Other comprehensive loss, net of taxes</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(1,486.6)</w:t>
            </w: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Impact of the Telenet Wyre Transaction</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1,037.5</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(note 4)</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40" w:type="dxa"/>
            <w:vAlign w:val="bottom"/>
          </w:tcPr>
          <w:p>
            <w:pPr>
              <w:ind w:left="140"/>
              <w:spacing w:after="0" w:line="166" w:lineRule="exact"/>
              <w:rPr>
                <w:sz w:val="20"/>
                <w:szCs w:val="20"/>
                <w:color w:val="auto"/>
              </w:rPr>
            </w:pPr>
            <w:r>
              <w:rPr>
                <w:rFonts w:ascii="Arial" w:cs="Arial" w:eastAsia="Arial" w:hAnsi="Arial"/>
                <w:sz w:val="16"/>
                <w:szCs w:val="16"/>
                <w:color w:val="auto"/>
                <w:w w:val="92"/>
              </w:rPr>
              <w:t>Impact of the Telenet Takeover Bid (note</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(340.7)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(340.7)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(652.2)</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(992.9)</w:t>
            </w: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Repurchases and cancellations of Liberty</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97"/>
              </w:rPr>
              <w:t>(0.3)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(523.7)</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Global ordinary shares (note 12)</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Share-based compensation (note 13)</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due to changes in</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subsidiaries’ equity and other, net</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Arial" w:cs="Arial" w:eastAsia="Arial" w:hAnsi="Arial"/>
                <w:sz w:val="16"/>
                <w:szCs w:val="16"/>
                <w:color w:val="auto"/>
              </w:rPr>
              <w:t>Balance at September 30, 2023</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1,646.2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19,055.9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20,921.3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$ 20,847.6</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720"/>
        <w:spacing w:after="0"/>
        <w:rPr>
          <w:sz w:val="20"/>
          <w:szCs w:val="20"/>
          <w:color w:val="auto"/>
        </w:rPr>
      </w:pPr>
      <w:r>
        <w:rPr>
          <w:rFonts w:ascii="Arial" w:cs="Arial" w:eastAsia="Arial" w:hAnsi="Arial"/>
          <w:sz w:val="16"/>
          <w:szCs w:val="16"/>
          <w:b w:val="1"/>
          <w:bCs w:val="1"/>
          <w:color w:val="auto"/>
        </w:rPr>
        <w:t>Nine months ended</w:t>
      </w:r>
    </w:p>
    <w:p>
      <w:pPr>
        <w:jc w:val="center"/>
        <w:ind w:left="872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2022</w:t>
            </w:r>
          </w:p>
        </w:tc>
      </w:tr>
      <w:tr>
        <w:trPr>
          <w:trHeight w:val="206"/>
        </w:trPr>
        <w:tc>
          <w:tcPr>
            <w:tcW w:w="8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8"/>
        </w:trPr>
        <w:tc>
          <w:tcPr>
            <w:tcW w:w="8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74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6,673.1</w:t>
            </w:r>
          </w:p>
        </w:tc>
      </w:tr>
      <w:tr>
        <w:trPr>
          <w:trHeight w:val="230"/>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from discontinued operations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r>
      <w:tr>
        <w:trPr>
          <w:trHeight w:val="223"/>
        </w:trPr>
        <w:tc>
          <w:tcPr>
            <w:tcW w:w="8740" w:type="dxa"/>
            <w:vAlign w:val="bottom"/>
          </w:tcPr>
          <w:p>
            <w:pPr>
              <w:ind w:left="26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5,789.6</w:t>
            </w:r>
          </w:p>
        </w:tc>
      </w:tr>
      <w:tr>
        <w:trPr>
          <w:trHeight w:val="176"/>
        </w:trPr>
        <w:tc>
          <w:tcPr>
            <w:tcW w:w="874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Adjustments to reconcile earnings (loss) from continuing operations to net cash provided by operating activities of</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9"/>
        </w:trPr>
        <w:tc>
          <w:tcPr>
            <w:tcW w:w="874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29"/>
        </w:trPr>
        <w:tc>
          <w:tcPr>
            <w:tcW w:w="8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r>
      <w:tr>
        <w:trPr>
          <w:trHeight w:val="230"/>
        </w:trPr>
        <w:tc>
          <w:tcPr>
            <w:tcW w:w="8740" w:type="dxa"/>
            <w:vAlign w:val="bottom"/>
          </w:tcPr>
          <w:p>
            <w:pPr>
              <w:ind w:left="38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29"/>
        </w:trPr>
        <w:tc>
          <w:tcPr>
            <w:tcW w:w="8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non-cash interest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8740" w:type="dxa"/>
            <w:vAlign w:val="bottom"/>
          </w:tcPr>
          <w:p>
            <w:pPr>
              <w:ind w:left="380"/>
              <w:spacing w:after="0"/>
              <w:rPr>
                <w:sz w:val="20"/>
                <w:szCs w:val="20"/>
                <w:color w:val="auto"/>
              </w:rPr>
            </w:pPr>
            <w:r>
              <w:rPr>
                <w:rFonts w:ascii="Arial" w:cs="Arial" w:eastAsia="Arial" w:hAnsi="Arial"/>
                <w:sz w:val="18"/>
                <w:szCs w:val="18"/>
                <w:color w:val="auto"/>
              </w:rPr>
              <w:t>Realized and unrealized gains on derivative instruments,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(1,668.8)</w:t>
            </w:r>
          </w:p>
        </w:tc>
      </w:tr>
      <w:tr>
        <w:trPr>
          <w:trHeight w:val="230"/>
        </w:trPr>
        <w:tc>
          <w:tcPr>
            <w:tcW w:w="8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transaction gains,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(3,186.4)</w:t>
            </w:r>
          </w:p>
        </w:tc>
      </w:tr>
      <w:tr>
        <w:trPr>
          <w:trHeight w:val="229"/>
        </w:trPr>
        <w:tc>
          <w:tcPr>
            <w:tcW w:w="8740" w:type="dxa"/>
            <w:vAlign w:val="bottom"/>
          </w:tcPr>
          <w:p>
            <w:pPr>
              <w:ind w:left="380"/>
              <w:spacing w:after="0"/>
              <w:rPr>
                <w:sz w:val="20"/>
                <w:szCs w:val="20"/>
                <w:color w:val="auto"/>
              </w:rPr>
            </w:pPr>
            <w:r>
              <w:rPr>
                <w:rFonts w:ascii="Arial" w:cs="Arial" w:eastAsia="Arial" w:hAnsi="Arial"/>
                <w:sz w:val="18"/>
                <w:szCs w:val="18"/>
                <w:color w:val="auto"/>
              </w:rPr>
              <w:t>Realized and unrealized losses due to changes in fair values of certain investments,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207.4</w:t>
            </w:r>
          </w:p>
        </w:tc>
      </w:tr>
      <w:tr>
        <w:trPr>
          <w:trHeight w:val="230"/>
        </w:trPr>
        <w:tc>
          <w:tcPr>
            <w:tcW w:w="8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r>
      <w:tr>
        <w:trPr>
          <w:trHeight w:val="229"/>
        </w:trPr>
        <w:tc>
          <w:tcPr>
            <w:tcW w:w="8740" w:type="dxa"/>
            <w:vAlign w:val="bottom"/>
          </w:tcPr>
          <w:p>
            <w:pPr>
              <w:ind w:left="380"/>
              <w:spacing w:after="0"/>
              <w:rPr>
                <w:sz w:val="20"/>
                <w:szCs w:val="20"/>
                <w:color w:val="auto"/>
              </w:rPr>
            </w:pPr>
            <w:r>
              <w:rPr>
                <w:rFonts w:ascii="Arial" w:cs="Arial" w:eastAsia="Arial" w:hAnsi="Arial"/>
                <w:sz w:val="18"/>
                <w:szCs w:val="18"/>
                <w:color w:val="auto"/>
              </w:rPr>
              <w:t>Deferred income tax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30"/>
        </w:trPr>
        <w:tc>
          <w:tcPr>
            <w:tcW w:w="8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associated with the Telenet Wyre Transaction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40" w:type="dxa"/>
            <w:vAlign w:val="bottom"/>
          </w:tcPr>
          <w:p>
            <w:pPr>
              <w:ind w:left="380"/>
              <w:spacing w:after="0"/>
              <w:rPr>
                <w:sz w:val="20"/>
                <w:szCs w:val="20"/>
                <w:color w:val="auto"/>
              </w:rPr>
            </w:pPr>
            <w:r>
              <w:rPr>
                <w:rFonts w:ascii="Arial" w:cs="Arial" w:eastAsia="Arial" w:hAnsi="Arial"/>
                <w:sz w:val="18"/>
                <w:szCs w:val="18"/>
                <w:color w:val="auto"/>
              </w:rPr>
              <w:t>Gain on Telenet Tower Sale</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(700.4)</w:t>
            </w:r>
          </w:p>
        </w:tc>
      </w:tr>
      <w:tr>
        <w:trPr>
          <w:trHeight w:val="230"/>
        </w:trPr>
        <w:tc>
          <w:tcPr>
            <w:tcW w:w="8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8740" w:type="dxa"/>
            <w:vAlign w:val="bottom"/>
          </w:tcPr>
          <w:p>
            <w:pPr>
              <w:ind w:left="380"/>
              <w:spacing w:after="0"/>
              <w:rPr>
                <w:sz w:val="20"/>
                <w:szCs w:val="20"/>
                <w:color w:val="auto"/>
              </w:rPr>
            </w:pPr>
            <w:r>
              <w:rPr>
                <w:rFonts w:ascii="Arial" w:cs="Arial" w:eastAsia="Arial" w:hAnsi="Arial"/>
                <w:sz w:val="18"/>
                <w:szCs w:val="18"/>
                <w:color w:val="auto"/>
              </w:rPr>
              <w:t>Dividend distributions received from the VMO2 JV</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30"/>
        </w:trPr>
        <w:tc>
          <w:tcPr>
            <w:tcW w:w="8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 distributions received from the VodafoneZiggo JV</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23"/>
        </w:trPr>
        <w:tc>
          <w:tcPr>
            <w:tcW w:w="874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1,903.5</w:t>
            </w:r>
          </w:p>
        </w:tc>
      </w:tr>
      <w:tr>
        <w:trPr>
          <w:trHeight w:val="230"/>
        </w:trPr>
        <w:tc>
          <w:tcPr>
            <w:tcW w:w="8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874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Nine months ended</w:t>
      </w:r>
    </w:p>
    <w:p>
      <w:pPr>
        <w:jc w:val="center"/>
        <w:ind w:left="870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2022</w:t>
            </w:r>
          </w:p>
        </w:tc>
      </w:tr>
      <w:tr>
        <w:trPr>
          <w:trHeight w:val="206"/>
        </w:trPr>
        <w:tc>
          <w:tcPr>
            <w:tcW w:w="8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8"/>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Cash paid for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(6,677.9)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(7,295.3)</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from the sale of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7,560.4</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(929.3)</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distributions received from the VMO2 JV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Cash paid in connection with acquisitions, net of cash acquired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in connection with the sale of UPC Poland</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Cash received in connection with the Telenet Tower Sale</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779.9</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720" w:type="dxa"/>
            <w:vAlign w:val="bottom"/>
          </w:tcPr>
          <w:p>
            <w:pPr>
              <w:ind w:left="260"/>
              <w:spacing w:after="0"/>
              <w:rPr>
                <w:sz w:val="20"/>
                <w:szCs w:val="20"/>
                <w:color w:val="auto"/>
              </w:rPr>
            </w:pPr>
            <w:r>
              <w:rPr>
                <w:rFonts w:ascii="Arial" w:cs="Arial" w:eastAsia="Arial" w:hAnsi="Arial"/>
                <w:sz w:val="18"/>
                <w:szCs w:val="18"/>
                <w:color w:val="auto"/>
              </w:rPr>
              <w:t>Net cash provided (used) by investing activities of continuing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1,947.8</w:t>
            </w:r>
          </w:p>
        </w:tc>
      </w:tr>
      <w:tr>
        <w:trPr>
          <w:trHeight w:val="230"/>
        </w:trPr>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87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(used) by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1,932.2</w:t>
            </w:r>
          </w:p>
        </w:tc>
      </w:tr>
      <w:tr>
        <w:trPr>
          <w:trHeight w:val="250"/>
        </w:trPr>
        <w:tc>
          <w:tcPr>
            <w:tcW w:w="8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Operating-related vendor financing additions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397.1</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720" w:type="dxa"/>
            <w:vAlign w:val="bottom"/>
          </w:tcPr>
          <w:p>
            <w:pPr>
              <w:ind w:left="260"/>
              <w:spacing w:after="0"/>
              <w:rPr>
                <w:sz w:val="20"/>
                <w:szCs w:val="20"/>
                <w:color w:val="auto"/>
              </w:rPr>
            </w:pPr>
            <w:r>
              <w:rPr>
                <w:rFonts w:ascii="Arial" w:cs="Arial" w:eastAsia="Arial" w:hAnsi="Arial"/>
                <w:sz w:val="18"/>
                <w:szCs w:val="18"/>
                <w:color w:val="auto"/>
              </w:rPr>
              <w:t>Debt (excluding vendor financing)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(973.0)</w:t>
            </w:r>
          </w:p>
        </w:tc>
      </w:tr>
      <w:tr>
        <w:trPr>
          <w:trHeight w:val="229"/>
        </w:trPr>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r>
      <w:tr>
        <w:trPr>
          <w:trHeight w:val="230"/>
        </w:trPr>
        <w:tc>
          <w:tcPr>
            <w:tcW w:w="8720" w:type="dxa"/>
            <w:vAlign w:val="bottom"/>
          </w:tcPr>
          <w:p>
            <w:pPr>
              <w:ind w:left="26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finance leases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(1,573.8)</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shares in connection with the Telenet Takeover Bid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Net cash paid related to derivative instruments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distributions by subsidiaries to noncontrolling interest owners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23"/>
        </w:trPr>
        <w:tc>
          <w:tcPr>
            <w:tcW w:w="8720" w:type="dxa"/>
            <w:vAlign w:val="bottom"/>
          </w:tcPr>
          <w:p>
            <w:pPr>
              <w:ind w:left="260"/>
              <w:spacing w:after="0"/>
              <w:rPr>
                <w:sz w:val="20"/>
                <w:szCs w:val="20"/>
                <w:color w:val="auto"/>
              </w:rPr>
            </w:pPr>
            <w:r>
              <w:rPr>
                <w:rFonts w:ascii="Arial" w:cs="Arial" w:eastAsia="Arial" w:hAnsi="Arial"/>
                <w:sz w:val="18"/>
                <w:szCs w:val="18"/>
                <w:color w:val="auto"/>
              </w:rPr>
              <w:t>Net cash used by financing activities of continuing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(3,060.0)</w:t>
            </w:r>
          </w:p>
        </w:tc>
      </w:tr>
      <w:tr>
        <w:trPr>
          <w:trHeight w:val="229"/>
        </w:trPr>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financing activities of 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720" w:type="dxa"/>
            <w:vAlign w:val="bottom"/>
          </w:tcPr>
          <w:p>
            <w:pPr>
              <w:ind w:left="440"/>
              <w:spacing w:after="0"/>
              <w:rPr>
                <w:sz w:val="20"/>
                <w:szCs w:val="20"/>
                <w:color w:val="auto"/>
              </w:rPr>
            </w:pPr>
            <w:r>
              <w:rPr>
                <w:rFonts w:ascii="Arial" w:cs="Arial" w:eastAsia="Arial" w:hAnsi="Arial"/>
                <w:sz w:val="18"/>
                <w:szCs w:val="18"/>
                <w:color w:val="auto"/>
              </w:rPr>
              <w:t>Net cash used by financing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Nine months ended</w:t>
      </w:r>
    </w:p>
    <w:p>
      <w:pPr>
        <w:jc w:val="center"/>
        <w:ind w:left="870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8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32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23"/>
        </w:trPr>
        <w:tc>
          <w:tcPr>
            <w:tcW w:w="8720" w:type="dxa"/>
            <w:vAlign w:val="bottom"/>
          </w:tcPr>
          <w:p>
            <w:pPr>
              <w:ind w:left="52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1"/>
        </w:trPr>
        <w:tc>
          <w:tcPr>
            <w:tcW w:w="8720" w:type="dxa"/>
            <w:vAlign w:val="bottom"/>
            <w:tcBorders>
              <w:top w:val="single" w:sz="8" w:color="CCEEFF"/>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cash paid for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8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1,741.6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1,594.1</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720" w:type="dxa"/>
            <w:vAlign w:val="bottom"/>
          </w:tcPr>
          <w:p>
            <w:pPr>
              <w:ind w:left="340"/>
              <w:spacing w:after="0"/>
              <w:rPr>
                <w:sz w:val="20"/>
                <w:szCs w:val="20"/>
                <w:color w:val="auto"/>
              </w:rPr>
            </w:pPr>
            <w:r>
              <w:rPr>
                <w:rFonts w:ascii="Arial" w:cs="Arial" w:eastAsia="Arial" w:hAnsi="Arial"/>
                <w:sz w:val="18"/>
                <w:szCs w:val="18"/>
                <w:color w:val="auto"/>
              </w:rPr>
              <w:t>Total cash and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5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2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continuing operations comprise businesses that provide residential and business-to-business (</w:t>
      </w:r>
      <w:r>
        <w:rPr>
          <w:rFonts w:ascii="Arial" w:cs="Arial" w:eastAsia="Arial" w:hAnsi="Arial"/>
          <w:sz w:val="17"/>
          <w:szCs w:val="17"/>
          <w:b w:val="1"/>
          <w:bCs w:val="1"/>
          <w:color w:val="auto"/>
        </w:rPr>
        <w:t>B2B</w:t>
      </w:r>
      <w:r>
        <w:rPr>
          <w:rFonts w:ascii="Arial" w:cs="Arial" w:eastAsia="Arial" w:hAnsi="Arial"/>
          <w:sz w:val="17"/>
          <w:szCs w:val="17"/>
          <w:color w:val="auto"/>
        </w:rPr>
        <w:t>) communications services in (i) Switzerland and Slovakia through certain wholly-owned subsidiaries that we collectively refer to as “</w:t>
      </w:r>
      <w:r>
        <w:rPr>
          <w:rFonts w:ascii="Arial" w:cs="Arial" w:eastAsia="Arial" w:hAnsi="Arial"/>
          <w:sz w:val="17"/>
          <w:szCs w:val="17"/>
          <w:b w:val="1"/>
          <w:bCs w:val="1"/>
          <w:color w:val="auto"/>
        </w:rPr>
        <w:t>UPC Holding</w:t>
      </w:r>
      <w:r>
        <w:rPr>
          <w:rFonts w:ascii="Arial" w:cs="Arial" w:eastAsia="Arial" w:hAnsi="Arial"/>
          <w:sz w:val="17"/>
          <w:szCs w:val="17"/>
          <w:color w:val="auto"/>
        </w:rPr>
        <w:t>”, (ii) Belgium and Luxembourg through certain wholly-owned subsidiaries that we collectively refer to as “</w:t>
      </w:r>
      <w:r>
        <w:rPr>
          <w:rFonts w:ascii="Arial" w:cs="Arial" w:eastAsia="Arial" w:hAnsi="Arial"/>
          <w:sz w:val="17"/>
          <w:szCs w:val="17"/>
          <w:b w:val="1"/>
          <w:bCs w:val="1"/>
          <w:color w:val="auto"/>
        </w:rPr>
        <w:t>Telenet</w:t>
      </w:r>
      <w:r>
        <w:rPr>
          <w:rFonts w:ascii="Arial" w:cs="Arial" w:eastAsia="Arial" w:hAnsi="Arial"/>
          <w:sz w:val="17"/>
          <w:szCs w:val="17"/>
          <w:color w:val="auto"/>
        </w:rPr>
        <w:t>” and (iii) Ireland through another wholly-owned subsidiary (</w:t>
      </w:r>
      <w:r>
        <w:rPr>
          <w:rFonts w:ascii="Arial" w:cs="Arial" w:eastAsia="Arial" w:hAnsi="Arial"/>
          <w:sz w:val="17"/>
          <w:szCs w:val="17"/>
          <w:b w:val="1"/>
          <w:bCs w:val="1"/>
          <w:color w:val="auto"/>
        </w:rPr>
        <w:t>VM Ireland</w:t>
      </w:r>
      <w:r>
        <w:rPr>
          <w:rFonts w:ascii="Arial" w:cs="Arial" w:eastAsia="Arial" w:hAnsi="Arial"/>
          <w:sz w:val="17"/>
          <w:szCs w:val="17"/>
          <w:color w:val="auto"/>
        </w:rPr>
        <w:t xml:space="preserve">). In addition, we own 50% noncontrolling interests in (a) a 50:50 joint venture (the </w:t>
      </w:r>
      <w:r>
        <w:rPr>
          <w:rFonts w:ascii="Arial" w:cs="Arial" w:eastAsia="Arial" w:hAnsi="Arial"/>
          <w:sz w:val="17"/>
          <w:szCs w:val="17"/>
          <w:b w:val="1"/>
          <w:bCs w:val="1"/>
          <w:color w:val="auto"/>
        </w:rPr>
        <w:t>VMO2 JV</w:t>
      </w:r>
      <w:r>
        <w:rPr>
          <w:rFonts w:ascii="Arial" w:cs="Arial" w:eastAsia="Arial" w:hAnsi="Arial"/>
          <w:sz w:val="17"/>
          <w:szCs w:val="17"/>
          <w:color w:val="auto"/>
        </w:rPr>
        <w:t>) with Telefónica SA (</w:t>
      </w:r>
      <w:r>
        <w:rPr>
          <w:rFonts w:ascii="Arial" w:cs="Arial" w:eastAsia="Arial" w:hAnsi="Arial"/>
          <w:sz w:val="17"/>
          <w:szCs w:val="17"/>
          <w:b w:val="1"/>
          <w:bCs w:val="1"/>
          <w:color w:val="auto"/>
        </w:rPr>
        <w:t>Telefónica</w:t>
      </w:r>
      <w:r>
        <w:rPr>
          <w:rFonts w:ascii="Arial" w:cs="Arial" w:eastAsia="Arial" w:hAnsi="Arial"/>
          <w:sz w:val="17"/>
          <w:szCs w:val="17"/>
          <w:color w:val="auto"/>
        </w:rPr>
        <w:t>), which provides residential and B2B communications services in the United Kingdom (</w:t>
      </w:r>
      <w:r>
        <w:rPr>
          <w:rFonts w:ascii="Arial" w:cs="Arial" w:eastAsia="Arial" w:hAnsi="Arial"/>
          <w:sz w:val="17"/>
          <w:szCs w:val="17"/>
          <w:b w:val="1"/>
          <w:bCs w:val="1"/>
          <w:color w:val="auto"/>
        </w:rPr>
        <w:t>U.K.</w:t>
      </w:r>
      <w:r>
        <w:rPr>
          <w:rFonts w:ascii="Arial" w:cs="Arial" w:eastAsia="Arial" w:hAnsi="Arial"/>
          <w:sz w:val="17"/>
          <w:szCs w:val="17"/>
          <w:color w:val="auto"/>
        </w:rPr>
        <w:t xml:space="preserve">), and (b) a 50:50 joint venture (the </w:t>
      </w:r>
      <w:r>
        <w:rPr>
          <w:rFonts w:ascii="Arial" w:cs="Arial" w:eastAsia="Arial" w:hAnsi="Arial"/>
          <w:sz w:val="17"/>
          <w:szCs w:val="17"/>
          <w:b w:val="1"/>
          <w:bCs w:val="1"/>
          <w:color w:val="auto"/>
        </w:rPr>
        <w:t>VodafoneZiggo JV</w:t>
      </w:r>
      <w:r>
        <w:rPr>
          <w:rFonts w:ascii="Arial" w:cs="Arial" w:eastAsia="Arial" w:hAnsi="Arial"/>
          <w:sz w:val="17"/>
          <w:szCs w:val="17"/>
          <w:color w:val="auto"/>
        </w:rPr>
        <w:t>) with Vodafone Group plc (</w:t>
      </w:r>
      <w:r>
        <w:rPr>
          <w:rFonts w:ascii="Arial" w:cs="Arial" w:eastAsia="Arial" w:hAnsi="Arial"/>
          <w:sz w:val="17"/>
          <w:szCs w:val="17"/>
          <w:b w:val="1"/>
          <w:bCs w:val="1"/>
          <w:color w:val="auto"/>
        </w:rPr>
        <w:t>Vodafone</w:t>
      </w:r>
      <w:r>
        <w:rPr>
          <w:rFonts w:ascii="Arial" w:cs="Arial" w:eastAsia="Arial" w:hAnsi="Arial"/>
          <w:sz w:val="17"/>
          <w:szCs w:val="17"/>
          <w:color w:val="auto"/>
        </w:rPr>
        <w:t xml:space="preserve">), which provides residential and B2B communications services in the Netherlands. We also own (1) a 50% noncontrolling voting interest in a joint venture (the </w:t>
      </w:r>
      <w:r>
        <w:rPr>
          <w:rFonts w:ascii="Arial" w:cs="Arial" w:eastAsia="Arial" w:hAnsi="Arial"/>
          <w:sz w:val="17"/>
          <w:szCs w:val="17"/>
          <w:b w:val="1"/>
          <w:bCs w:val="1"/>
          <w:color w:val="auto"/>
        </w:rPr>
        <w:t>AtlasEdge JV</w:t>
      </w:r>
      <w:r>
        <w:rPr>
          <w:rFonts w:ascii="Arial" w:cs="Arial" w:eastAsia="Arial" w:hAnsi="Arial"/>
          <w:sz w:val="17"/>
          <w:szCs w:val="17"/>
          <w:color w:val="auto"/>
        </w:rPr>
        <w:t xml:space="preserve">), which is a leading European Edge data center platform, and (2) a 25% noncontrolling interest in a joint venture (the </w:t>
      </w:r>
      <w:r>
        <w:rPr>
          <w:rFonts w:ascii="Arial" w:cs="Arial" w:eastAsia="Arial" w:hAnsi="Arial"/>
          <w:sz w:val="17"/>
          <w:szCs w:val="17"/>
          <w:b w:val="1"/>
          <w:bCs w:val="1"/>
          <w:color w:val="auto"/>
        </w:rPr>
        <w:t>nexfibre JV</w:t>
      </w:r>
      <w:r>
        <w:rPr>
          <w:rFonts w:ascii="Arial" w:cs="Arial" w:eastAsia="Arial" w:hAnsi="Arial"/>
          <w:sz w:val="17"/>
          <w:szCs w:val="17"/>
          <w:color w:val="auto"/>
        </w:rPr>
        <w:t>), which is constructing a new fiber network in the U.K. outside of the existing footprint of the VMO2 JV.</w:t>
      </w:r>
    </w:p>
    <w:p>
      <w:pPr>
        <w:spacing w:after="0" w:line="2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October 2023, we completed the Telenet Takeover Bid (as defined and described in note 12), pursuant to which we increased our ownership interest in Telenet to 100%.</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in these condensed consolidated financial statements, our operations in Poland are reflected as discontinued operations for all applicable periods. For additional information, see note 4.</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unaudited condensed consolidated financial statements have been prepared in accordance with accounting principles generally accepted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2022 consolidated financial statements and notes thereto included in our 2022 Annual Report on Form 10-K, as amended (our </w:t>
      </w:r>
      <w:r>
        <w:rPr>
          <w:rFonts w:ascii="Arial" w:cs="Arial" w:eastAsia="Arial" w:hAnsi="Arial"/>
          <w:sz w:val="16"/>
          <w:szCs w:val="16"/>
          <w:b w:val="1"/>
          <w:bCs w:val="1"/>
          <w:color w:val="auto"/>
        </w:rPr>
        <w:t>10-K</w:t>
      </w:r>
      <w:r>
        <w:rPr>
          <w:rFonts w:ascii="Arial" w:cs="Arial" w:eastAsia="Arial" w:hAnsi="Arial"/>
          <w:sz w:val="16"/>
          <w:szCs w:val="16"/>
          <w:color w:val="auto"/>
        </w:rPr>
        <w: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September 30, 2023. 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2022-04</w:t>
      </w:r>
    </w:p>
    <w:p>
      <w:pPr>
        <w:spacing w:after="0" w:line="2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September 2022, the Financial Accounting Standards Board (the </w:t>
      </w:r>
      <w:r>
        <w:rPr>
          <w:rFonts w:ascii="Arial" w:cs="Arial" w:eastAsia="Arial" w:hAnsi="Arial"/>
          <w:sz w:val="18"/>
          <w:szCs w:val="18"/>
          <w:b w:val="1"/>
          <w:b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color w:val="auto"/>
        </w:rPr>
        <w:t>ASU</w:t>
      </w:r>
      <w:r>
        <w:rPr>
          <w:rFonts w:ascii="Arial" w:cs="Arial" w:eastAsia="Arial" w:hAnsi="Arial"/>
          <w:sz w:val="18"/>
          <w:szCs w:val="18"/>
          <w:color w:val="auto"/>
        </w:rPr>
        <w:t xml:space="preserve">) No. 2022-04, </w:t>
      </w:r>
      <w:r>
        <w:rPr>
          <w:rFonts w:ascii="Arial" w:cs="Arial" w:eastAsia="Arial" w:hAnsi="Arial"/>
          <w:sz w:val="18"/>
          <w:szCs w:val="18"/>
          <w:i w:val="1"/>
          <w:iCs w:val="1"/>
          <w:color w:val="auto"/>
        </w:rPr>
        <w:t>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Supplier Finance Programs </w:t>
      </w:r>
      <w:r>
        <w:rPr>
          <w:rFonts w:ascii="Arial" w:cs="Arial" w:eastAsia="Arial" w:hAnsi="Arial"/>
          <w:sz w:val="18"/>
          <w:szCs w:val="18"/>
          <w:color w:val="auto"/>
        </w:rPr>
        <w:t>(</w:t>
      </w:r>
      <w:r>
        <w:rPr>
          <w:rFonts w:ascii="Arial" w:cs="Arial" w:eastAsia="Arial" w:hAnsi="Arial"/>
          <w:sz w:val="18"/>
          <w:szCs w:val="18"/>
          <w:b w:val="1"/>
          <w:bCs w:val="1"/>
          <w:color w:val="auto"/>
        </w:rPr>
        <w:t>ASU 2022-04</w:t>
      </w:r>
      <w:r>
        <w:rPr>
          <w:rFonts w:ascii="Arial" w:cs="Arial" w:eastAsia="Arial" w:hAnsi="Arial"/>
          <w:sz w:val="18"/>
          <w:szCs w:val="18"/>
          <w:color w:val="auto"/>
        </w:rPr>
        <w:t>), which requires additional disclosures for buyers participating in supplier financing programs, which we refer</w:t>
      </w:r>
      <w:r>
        <w:rPr>
          <w:rFonts w:ascii="Arial" w:cs="Arial" w:eastAsia="Arial" w:hAnsi="Arial"/>
          <w:sz w:val="18"/>
          <w:szCs w:val="18"/>
          <w:i w:val="1"/>
          <w:iCs w:val="1"/>
          <w:color w:val="auto"/>
        </w:rPr>
        <w:t xml:space="preserve"> </w:t>
      </w:r>
      <w:r>
        <w:rPr>
          <w:rFonts w:ascii="Arial" w:cs="Arial" w:eastAsia="Arial" w:hAnsi="Arial"/>
          <w:sz w:val="18"/>
          <w:szCs w:val="18"/>
          <w:color w:val="auto"/>
        </w:rPr>
        <w:t>to as vendor financing, including (i) the key terms of the arrangement, (ii) the confirmed amount outstanding at the end of the period, (iii) the balance sheet presentation of related amounts and (iv) a reconciliation of the balances from period to period. We adopted ASU 2022-04 on January 1, 2023, and such adoption did not have a significant impact on our consolidated financial statements. For additional information regarding our vendor financing obligations, see note 9.</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2021-08</w:t>
      </w:r>
    </w:p>
    <w:p>
      <w:pPr>
        <w:spacing w:after="0" w:line="23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Accounting for Contract Assets and Contract Liabilities from Contracts with Customers</w:t>
      </w:r>
      <w:r>
        <w:rPr>
          <w:rFonts w:ascii="Arial" w:cs="Arial" w:eastAsia="Arial" w:hAnsi="Arial"/>
          <w:sz w:val="16"/>
          <w:szCs w:val="16"/>
          <w:color w:val="auto"/>
        </w:rPr>
        <w:t xml:space="preserve"> (</w:t>
      </w:r>
      <w:r>
        <w:rPr>
          <w:rFonts w:ascii="Arial" w:cs="Arial" w:eastAsia="Arial" w:hAnsi="Arial"/>
          <w:sz w:val="16"/>
          <w:szCs w:val="16"/>
          <w:b w:val="1"/>
          <w:bCs w:val="1"/>
          <w:color w:val="auto"/>
        </w:rPr>
        <w:t>ASU</w:t>
      </w:r>
      <w:r>
        <w:rPr>
          <w:rFonts w:ascii="Arial" w:cs="Arial" w:eastAsia="Arial" w:hAnsi="Arial"/>
          <w:sz w:val="16"/>
          <w:szCs w:val="16"/>
          <w:color w:val="auto"/>
        </w:rPr>
        <w:t xml:space="preserve"> </w:t>
      </w:r>
      <w:r>
        <w:rPr>
          <w:rFonts w:ascii="Arial" w:cs="Arial" w:eastAsia="Arial" w:hAnsi="Arial"/>
          <w:sz w:val="16"/>
          <w:szCs w:val="16"/>
          <w:b w:val="1"/>
          <w:bCs w:val="1"/>
          <w:color w:val="auto"/>
        </w:rPr>
        <w:t>2021-08</w:t>
      </w:r>
      <w:r>
        <w:rPr>
          <w:rFonts w:ascii="Arial" w:cs="Arial" w:eastAsia="Arial" w:hAnsi="Arial"/>
          <w:sz w:val="16"/>
          <w:szCs w:val="16"/>
          <w:color w:val="auto"/>
        </w:rPr>
        <w:t>), which requires contract assets and contract liabilities acquired in a business combination to be recognized and measured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if the acquirer had originated the contracts. We adopted ASU 2021-08 on January 1, 2023. The main impact of the adoption of ASU 2021-08 is the recognition of contract assets and contract liabilities in business combinations at amounts generally consistent with the carrying value of such assets and liabilities of the acquiree immediately before the acquisition date.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2020-04</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w:t>
      </w:r>
      <w:r>
        <w:rPr>
          <w:rFonts w:ascii="Arial" w:cs="Arial" w:eastAsia="Arial" w:hAnsi="Arial"/>
          <w:sz w:val="18"/>
          <w:szCs w:val="18"/>
          <w:b w:val="1"/>
          <w:bCs w:val="1"/>
          <w:color w:val="auto"/>
        </w:rPr>
        <w:t>ASU 2020-04</w:t>
      </w:r>
      <w:r>
        <w:rPr>
          <w:rFonts w:ascii="Arial" w:cs="Arial" w:eastAsia="Arial" w:hAnsi="Arial"/>
          <w:sz w:val="18"/>
          <w:szCs w:val="18"/>
          <w:color w:val="auto"/>
        </w:rPr>
        <w:t>), which provides, for a limited time, optional expedients and exceptions for certain contract modifications that reference the</w:t>
      </w:r>
      <w:r>
        <w:rPr>
          <w:rFonts w:ascii="Arial" w:cs="Arial" w:eastAsia="Arial" w:hAnsi="Arial"/>
          <w:sz w:val="18"/>
          <w:szCs w:val="18"/>
          <w:i w:val="1"/>
          <w:iCs w:val="1"/>
          <w:color w:val="auto"/>
        </w:rPr>
        <w:t xml:space="preserve"> </w:t>
      </w:r>
      <w:r>
        <w:rPr>
          <w:rFonts w:ascii="Arial" w:cs="Arial" w:eastAsia="Arial" w:hAnsi="Arial"/>
          <w:sz w:val="18"/>
          <w:szCs w:val="18"/>
          <w:color w:val="auto"/>
        </w:rPr>
        <w:t>London Interbank Offered Rate (</w:t>
      </w:r>
      <w:r>
        <w:rPr>
          <w:rFonts w:ascii="Arial" w:cs="Arial" w:eastAsia="Arial" w:hAnsi="Arial"/>
          <w:sz w:val="18"/>
          <w:szCs w:val="18"/>
          <w:b w:val="1"/>
          <w:bCs w:val="1"/>
          <w:color w:val="auto"/>
        </w:rPr>
        <w:t>LIBOR</w:t>
      </w:r>
      <w:r>
        <w:rPr>
          <w:rFonts w:ascii="Arial" w:cs="Arial" w:eastAsia="Arial" w:hAnsi="Arial"/>
          <w:sz w:val="18"/>
          <w:szCs w:val="18"/>
          <w:color w:val="auto"/>
        </w:rPr>
        <w:t>) or another reference rate expected to be discontinued. In December 2022, the FASB deferred the expiration date of ASU 2020-04 from December 31, 2022 to December 31, 2024. In accordance with the optional expedients in ASU 2020-04, we have modified all applicable debt agreements to replace LIBOR with another reference rate and applied the practical expedient to account for the modification as a continuation of the existing contract. The use of optional expedients in ASU 2020-04 has not had a significant impact on our consolidated financial statements to date. For additional information regarding our debt, see note 9.</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2023-05</w:t>
      </w:r>
    </w:p>
    <w:p>
      <w:pPr>
        <w:spacing w:after="0" w:line="248"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In August 2023, the FASB issued ASU No. 2023-05</w:t>
      </w:r>
      <w:r>
        <w:rPr>
          <w:rFonts w:ascii="Arial" w:cs="Arial" w:eastAsia="Arial" w:hAnsi="Arial"/>
          <w:sz w:val="16"/>
          <w:szCs w:val="16"/>
          <w:i w:val="1"/>
          <w:iCs w:val="1"/>
          <w:color w:val="auto"/>
        </w:rPr>
        <w:t>, Business Combinations - Joint Venture Formations: Recognition and Initial Measurement</w:t>
      </w:r>
      <w:r>
        <w:rPr>
          <w:rFonts w:ascii="Arial" w:cs="Arial" w:eastAsia="Arial" w:hAnsi="Arial"/>
          <w:sz w:val="16"/>
          <w:szCs w:val="16"/>
          <w:color w:val="auto"/>
        </w:rPr>
        <w:t xml:space="preserve"> (</w:t>
      </w:r>
      <w:r>
        <w:rPr>
          <w:rFonts w:ascii="Arial" w:cs="Arial" w:eastAsia="Arial" w:hAnsi="Arial"/>
          <w:sz w:val="16"/>
          <w:szCs w:val="16"/>
          <w:b w:val="1"/>
          <w:bCs w:val="1"/>
          <w:color w:val="auto"/>
        </w:rPr>
        <w:t>ASU</w:t>
      </w:r>
      <w:r>
        <w:rPr>
          <w:rFonts w:ascii="Arial" w:cs="Arial" w:eastAsia="Arial" w:hAnsi="Arial"/>
          <w:sz w:val="16"/>
          <w:szCs w:val="16"/>
          <w:color w:val="auto"/>
        </w:rPr>
        <w:t xml:space="preserve"> </w:t>
      </w:r>
      <w:r>
        <w:rPr>
          <w:rFonts w:ascii="Arial" w:cs="Arial" w:eastAsia="Arial" w:hAnsi="Arial"/>
          <w:sz w:val="16"/>
          <w:szCs w:val="16"/>
          <w:b w:val="1"/>
          <w:bCs w:val="1"/>
          <w:color w:val="auto"/>
        </w:rPr>
        <w:t>2023-05</w:t>
      </w:r>
      <w:r>
        <w:rPr>
          <w:rFonts w:ascii="Arial" w:cs="Arial" w:eastAsia="Arial" w:hAnsi="Arial"/>
          <w:sz w:val="16"/>
          <w:szCs w:val="16"/>
          <w:color w:val="auto"/>
        </w:rPr>
        <w:t>), which outlines updates to the formation of entities that meet the definition of a joint venture as defined by the FASB. ASU 2023-05 requires a</w:t>
      </w:r>
      <w:r>
        <w:rPr>
          <w:rFonts w:ascii="Arial" w:cs="Arial" w:eastAsia="Arial" w:hAnsi="Arial"/>
          <w:sz w:val="16"/>
          <w:szCs w:val="16"/>
          <w:b w:val="1"/>
          <w:bCs w:val="1"/>
          <w:color w:val="auto"/>
        </w:rPr>
        <w:t xml:space="preserve"> </w:t>
      </w:r>
      <w:r>
        <w:rPr>
          <w:rFonts w:ascii="Arial" w:cs="Arial" w:eastAsia="Arial" w:hAnsi="Arial"/>
          <w:sz w:val="16"/>
          <w:szCs w:val="16"/>
          <w:color w:val="auto"/>
        </w:rPr>
        <w:t>joint venture to measure its assets and liabilities at fair value upon formation. ASU 2023-05 is effective prospectively for joint venture formations with a formation date on or after January 1, 2025. We do not expect ASU 2023-05 to have a significant impact on our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7"/>
          <w:szCs w:val="17"/>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$63.1 million and $43.1 million at September 30, 2023 and December 31, 2022, respectively.</w:t>
      </w:r>
    </w:p>
    <w:p>
      <w:pPr>
        <w:jc w:val="both"/>
        <w:ind w:firstLine="324"/>
        <w:spacing w:after="0" w:line="281"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$37.3 million and $33.3 million as of September 30, 2023 and December 31, 2022, respectively. The current and long-term portions of our contract asset balances are included within other current assets and other assets, net, respectively, on our condensed consolidated balance sheets.</w:t>
      </w:r>
    </w:p>
    <w:p>
      <w:pPr>
        <w:spacing w:after="0" w:line="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$279.8 million and $272.5 million as of September 30, 2023 and December 31, 2022, respectively. The increase in deferred revenue for the nine months ended September 30, 2023 is primarily due to the net effect of (a) the impact of additions during the period and (b) the recognition of $223.6 million of revenue that was included in our deferred revenue balance at December 31, 2022. The long-term portions of our deferred revenue balances are included within other long-term liabilities on our condensed consolidated balance sheets.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aggregate assets associated with incremental costs to obtain and fulfill our contracts were $71.0 million and $69.4 million at September 30, 2023 and December 31, 2022, respectively. The current and long-term portions of our assets related to contract costs are included within other current assets and other assets, net, respectively, on our condensed consolidated balance sheets. We amortized $1.8 million and $7.3 million during the three and nine months ended September 30, 2023, respectively, and $3.9 million and $12.5 million during the three and nine months ended September 30, 2022, respectively, to operating costs and expenses related to these assets.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2023 Acquisition</w:t>
      </w:r>
    </w:p>
    <w:p>
      <w:pPr>
        <w:spacing w:after="0" w:line="2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Telenet Wyre Transaction. </w:t>
      </w:r>
      <w:r>
        <w:rPr>
          <w:rFonts w:ascii="Arial" w:cs="Arial" w:eastAsia="Arial" w:hAnsi="Arial"/>
          <w:sz w:val="18"/>
          <w:szCs w:val="18"/>
          <w:color w:val="auto"/>
        </w:rPr>
        <w:t>On July 1, 2023, pursuant to an agreement dated July 19, 2022, Telenet and Fluvius System Operator CV (</w:t>
      </w:r>
      <w:r>
        <w:rPr>
          <w:rFonts w:ascii="Arial" w:cs="Arial" w:eastAsia="Arial" w:hAnsi="Arial"/>
          <w:sz w:val="18"/>
          <w:szCs w:val="18"/>
          <w:b w:val="1"/>
          <w:bCs w:val="1"/>
          <w:color w:val="auto"/>
        </w:rPr>
        <w:t>Fluvius</w:t>
      </w:r>
      <w:r>
        <w:rPr>
          <w:rFonts w:ascii="Arial" w:cs="Arial" w:eastAsia="Arial" w:hAnsi="Arial"/>
          <w:sz w:val="18"/>
          <w:szCs w:val="18"/>
          <w:color w:val="auto"/>
        </w:rPr>
        <w:t>)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an independent, self-funding infrastructure company (</w:t>
      </w:r>
      <w:r>
        <w:rPr>
          <w:rFonts w:ascii="Arial" w:cs="Arial" w:eastAsia="Arial" w:hAnsi="Arial"/>
          <w:sz w:val="18"/>
          <w:szCs w:val="18"/>
          <w:b w:val="1"/>
          <w:bCs w:val="1"/>
          <w:color w:val="auto"/>
        </w:rPr>
        <w:t>Wyre</w:t>
      </w:r>
      <w:r>
        <w:rPr>
          <w:rFonts w:ascii="Arial" w:cs="Arial" w:eastAsia="Arial" w:hAnsi="Arial"/>
          <w:sz w:val="18"/>
          <w:szCs w:val="18"/>
          <w:color w:val="auto"/>
        </w:rPr>
        <w:t xml:space="preserve">) within their combined geographic footprint in Belgium (the </w:t>
      </w:r>
      <w:r>
        <w:rPr>
          <w:rFonts w:ascii="Arial" w:cs="Arial" w:eastAsia="Arial" w:hAnsi="Arial"/>
          <w:sz w:val="18"/>
          <w:szCs w:val="18"/>
          <w:b w:val="1"/>
          <w:bCs w:val="1"/>
          <w:color w:val="auto"/>
        </w:rPr>
        <w:t>Telenet Wyre Transaction</w:t>
      </w:r>
      <w:r>
        <w:rPr>
          <w:rFonts w:ascii="Arial" w:cs="Arial" w:eastAsia="Arial" w:hAnsi="Arial"/>
          <w:sz w:val="18"/>
          <w:szCs w:val="18"/>
          <w:color w:val="auto"/>
        </w:rPr>
        <w:t>). The companies each contributed certain cable infrastructure assets with Telenet and Fluvius initially owning 66.8% and 33.2% of Wyre, respectively. Telenet and Liberty Global began consolidating Wyre’s results upon the closing of the transaction.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the closing of the Telenet Wyre Transaction, Telenet early terminated and effectively settled certain pre-existing contractual relationships with Fluvius, principally related to Telenet’s leased network, and began consolidating certain infrastructure cable assets contributed by Fluvius to Wyre, as described above. Primarily due to Telenet’s aforementioned pre-existing network leasing relationship with Fluvius, the Telenet Wyre Transaction does not have a significant impact on our operating income during the nine months ended September 30, 2023 or 2022. Accordingly, the pro forma effect of the Telenet Wyre Transaction is not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Telenet Wyre Transaction, we recognized a net gain of $377.8 million, which represents the difference between the fair value and carrying amount of a pre-existing network leasing relationship between Telenet and Fluvius. No income taxes were required to be provided on this gain.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2022 Dispositions</w:t>
      </w:r>
    </w:p>
    <w:p>
      <w:pPr>
        <w:spacing w:after="0" w:line="24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UPC Poland. </w:t>
      </w:r>
      <w:r>
        <w:rPr>
          <w:rFonts w:ascii="Arial" w:cs="Arial" w:eastAsia="Arial" w:hAnsi="Arial"/>
          <w:sz w:val="18"/>
          <w:szCs w:val="18"/>
          <w:color w:val="auto"/>
        </w:rPr>
        <w:t>On April 1, 2022, we completed the sale of 100%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subsidiary of iliad S.A. (</w:t>
      </w:r>
      <w:r>
        <w:rPr>
          <w:rFonts w:ascii="Arial" w:cs="Arial" w:eastAsia="Arial" w:hAnsi="Arial"/>
          <w:sz w:val="18"/>
          <w:szCs w:val="18"/>
          <w:b w:val="1"/>
          <w:bCs w:val="1"/>
          <w:color w:val="auto"/>
        </w:rPr>
        <w:t>iliad</w:t>
      </w:r>
      <w:r>
        <w:rPr>
          <w:rFonts w:ascii="Arial" w:cs="Arial" w:eastAsia="Arial" w:hAnsi="Arial"/>
          <w:sz w:val="18"/>
          <w:szCs w:val="18"/>
          <w:color w:val="auto"/>
        </w:rPr>
        <w:t>). After</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debt and working capital adjustments (including cash disposed), we received net cash proceeds of Polish zloty 6,566.7 million ($1,563.0 million at the transaction date) during the nine months ended September 30, 2022.</w:t>
      </w:r>
    </w:p>
    <w:p>
      <w:pPr>
        <w:spacing w:after="0" w:line="2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sale of UPC Poland, we recognized a gain of $848.9 million during the nine months ended September 30, 2022, which includes a cumulative foreign currency translation gain of $10.9 million. No income taxes were required to be provided on this gain.</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sale of UPC Poland, we have agreed to provide certain transitional services to iliad for a period of up to five years, depending on the service. These services principally comprise network and information technology-related functions. During the nine months ended September 30, 2023 and 2022, we recorded revenue of $20.1 million and $17.1 million, respectively, associated with these transitional services.</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UPC Poland is presented as a discontinued operation in our condensed consolidated financial statements for all applicable periods. Effective with the signing of the sale and purchase agreement on September 22, 2021, we ceased to depreciate or amortize the associated long-lived assets. Our operations in Poland were held through UPC Holding prior to the disposal date. No debt, interest or derivative instruments of the UPC Holding borrowing group have been allocated to discontinued operations.</w:t>
      </w:r>
    </w:p>
    <w:p>
      <w:pPr>
        <w:spacing w:after="0" w:line="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operating results of UPC Poland for the period from January 1, 2022 to April 1, 2022, the date UPC Poland was sold, are summarized in the following table (in millions). These amounts exclude intercompany revenue and expenses that are eliminated within our condensed consolidated statement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720" w:type="dxa"/>
            <w:vAlign w:val="bottom"/>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45.0</w:t>
            </w: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earnings attributable to Liberty Global shareholders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Telenet Tower Sale. </w:t>
      </w:r>
      <w:r>
        <w:rPr>
          <w:rFonts w:ascii="Arial" w:cs="Arial" w:eastAsia="Arial" w:hAnsi="Arial"/>
          <w:sz w:val="18"/>
          <w:szCs w:val="18"/>
          <w:color w:val="auto"/>
        </w:rPr>
        <w:t>On June 1, 2022, Telenet completed the sale of substantially all of their passive infrastructure and tower assets to DigitalBridge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LLC (</w:t>
      </w:r>
      <w:r>
        <w:rPr>
          <w:rFonts w:ascii="Arial" w:cs="Arial" w:eastAsia="Arial" w:hAnsi="Arial"/>
          <w:sz w:val="18"/>
          <w:szCs w:val="18"/>
          <w:b w:val="1"/>
          <w:bCs w:val="1"/>
          <w:color w:val="auto"/>
        </w:rPr>
        <w:t>DigitalBridge</w:t>
      </w:r>
      <w:r>
        <w:rPr>
          <w:rFonts w:ascii="Arial" w:cs="Arial" w:eastAsia="Arial" w:hAnsi="Arial"/>
          <w:sz w:val="18"/>
          <w:szCs w:val="18"/>
          <w:color w:val="auto"/>
        </w:rPr>
        <w:t xml:space="preserve">) (the </w:t>
      </w:r>
      <w:r>
        <w:rPr>
          <w:rFonts w:ascii="Arial" w:cs="Arial" w:eastAsia="Arial" w:hAnsi="Arial"/>
          <w:sz w:val="18"/>
          <w:szCs w:val="18"/>
          <w:b w:val="1"/>
          <w:bCs w:val="1"/>
          <w:color w:val="auto"/>
        </w:rPr>
        <w:t>Telenet Tower Sale</w:t>
      </w:r>
      <w:r>
        <w:rPr>
          <w:rFonts w:ascii="Arial" w:cs="Arial" w:eastAsia="Arial" w:hAnsi="Arial"/>
          <w:sz w:val="18"/>
          <w:szCs w:val="18"/>
          <w:color w:val="auto"/>
        </w:rPr>
        <w:t>). After considering working capital adjustments, we received net cash proceeds of €733.0 million ($779.9 million at the transaction date) in the second quarter of 2022. Effective with the signing of the sale and purchase agreement on March 25, 2022, we began accounting for the associated assets and liabilities as held for sale and, accordingly, we ceased to depreciate or amortize these long-lived assets.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completion of the Telenet Tower Sale, we recognized a gain of $700.4 million during the nine months ended September 30, 2022. No income taxes were required to be provided on this gain.</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part of the Telenet Tower Sale, Telenet entered into a master lease agreement to lease back the passive infrastructure and tower assets from DigitalBridge for an initial period of 15 years (the </w:t>
      </w:r>
      <w:r>
        <w:rPr>
          <w:rFonts w:ascii="Arial" w:cs="Arial" w:eastAsia="Arial" w:hAnsi="Arial"/>
          <w:sz w:val="18"/>
          <w:szCs w:val="18"/>
          <w:b w:val="1"/>
          <w:bCs w:val="1"/>
          <w:color w:val="auto"/>
        </w:rPr>
        <w:t>Telenet Tower Lease Agreement</w:t>
      </w:r>
      <w:r>
        <w:rPr>
          <w:rFonts w:ascii="Arial" w:cs="Arial" w:eastAsia="Arial" w:hAnsi="Arial"/>
          <w:sz w:val="18"/>
          <w:szCs w:val="18"/>
          <w:color w:val="auto"/>
        </w:rPr>
        <w:t>). In connection with the Telenet Tower Lease Agreement, during the second quarter of 2022, we recorded non-cash additions to our operating lease right-of-use (</w:t>
      </w:r>
      <w:r>
        <w:rPr>
          <w:rFonts w:ascii="Arial" w:cs="Arial" w:eastAsia="Arial" w:hAnsi="Arial"/>
          <w:sz w:val="18"/>
          <w:szCs w:val="18"/>
          <w:b w:val="1"/>
          <w:bCs w:val="1"/>
          <w:color w:val="auto"/>
        </w:rPr>
        <w:t>ROU</w:t>
      </w:r>
      <w:r>
        <w:rPr>
          <w:rFonts w:ascii="Arial" w:cs="Arial" w:eastAsia="Arial" w:hAnsi="Arial"/>
          <w:sz w:val="18"/>
          <w:szCs w:val="18"/>
          <w:color w:val="auto"/>
        </w:rPr>
        <w:t>) assets of $615.1 million and a corresponding increase to our operating lease liabilities of the same amount.</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as part of the Telenet Tower Lease Agreement, Telenet has also committed to lease back 475 build-to-suit sites over the term of the lease. As of September 30, 2023 the total U.S. dollar equivalent of the estimated future payments for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build-to-suit sites over the term of the lease was $116.7 million, the majority of which are due after 2028. Telenet will act as an agent over the construction of future towers on the build-to-suit sites.</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00" w:type="dxa"/>
            <w:vAlign w:val="bottom"/>
            <w:vMerge w:val="restart"/>
          </w:tcPr>
          <w:p>
            <w:pPr>
              <w:spacing w:after="0"/>
              <w:rPr>
                <w:sz w:val="20"/>
                <w:szCs w:val="20"/>
                <w:color w:val="auto"/>
              </w:rPr>
            </w:pPr>
            <w:r>
              <w:rPr>
                <w:rFonts w:ascii="Arial" w:cs="Arial" w:eastAsia="Arial" w:hAnsi="Arial"/>
                <w:sz w:val="16"/>
                <w:szCs w:val="16"/>
                <w:b w:val="1"/>
                <w:bCs w:val="1"/>
                <w:color w:val="auto"/>
              </w:rPr>
              <w:t>Accounting Method</w:t>
            </w: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32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1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2"/>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Equity (b):</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60"/>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VMO2 JV</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9,790.9</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VodafoneZiggo JV (c)</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2,345.8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AtlasEdge JV</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48.0</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rPr>
              <w:t>All3Media Ltd.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143.9</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35.9</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rPr>
              <w:t>nexfibre JV</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25.0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 equity</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12,677.1</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160"/>
              <w:spacing w:after="0"/>
              <w:rPr>
                <w:sz w:val="20"/>
                <w:szCs w:val="20"/>
                <w:color w:val="auto"/>
              </w:rPr>
            </w:pPr>
            <w:r>
              <w:rPr>
                <w:rFonts w:ascii="Arial" w:cs="Arial" w:eastAsia="Arial" w:hAnsi="Arial"/>
                <w:sz w:val="18"/>
                <w:szCs w:val="18"/>
                <w:color w:val="auto"/>
              </w:rPr>
              <w:t>Short-term:</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160"/>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Vodafone - subject to re-use rights (e)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Televisa Univision, Inc. (</w:t>
            </w:r>
            <w:r>
              <w:rPr>
                <w:rFonts w:ascii="Arial" w:cs="Arial" w:eastAsia="Arial" w:hAnsi="Arial"/>
                <w:sz w:val="18"/>
                <w:szCs w:val="18"/>
                <w:b w:val="1"/>
                <w:bCs w:val="1"/>
                <w:color w:val="auto"/>
              </w:rPr>
              <w:t>Televisa Univision</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385.5</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SMAs (d)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 (f)</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246.2</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Lacework, Inc. (</w:t>
            </w:r>
            <w:r>
              <w:rPr>
                <w:rFonts w:ascii="Arial" w:cs="Arial" w:eastAsia="Arial" w:hAnsi="Arial"/>
                <w:sz w:val="18"/>
                <w:szCs w:val="18"/>
                <w:b w:val="1"/>
                <w:bCs w:val="1"/>
                <w:color w:val="auto"/>
              </w:rPr>
              <w:t>Lacework</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Pax8, Inc.</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5.6</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CANAL+ Polska S.A.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Aviatrix Systems, Inc.</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78.2</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 fair value</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500"/>
              <w:spacing w:after="0"/>
              <w:rPr>
                <w:sz w:val="20"/>
                <w:szCs w:val="20"/>
                <w:color w:val="auto"/>
              </w:rPr>
            </w:pPr>
            <w:r>
              <w:rPr>
                <w:rFonts w:ascii="Arial" w:cs="Arial" w:eastAsia="Arial" w:hAnsi="Arial"/>
                <w:sz w:val="18"/>
                <w:szCs w:val="18"/>
                <w:color w:val="auto"/>
              </w:rPr>
              <w:t>Total investments (g)</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17,570.1</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15,186.9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14,948.5</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197"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equity method investments are originally recorded at cost and are adjusted to recognize our share of net earnings or losses of the affiliates as they occur rather than as dividend distributions are received, with our recognition of losses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generally limited to the extent of our investment in, and loans and commitments to, the investee. Accordingly, the carrying values of our equity method investments may not equal the respective fair values. At September 30, 2023 and December 31, 2022, the aggregate carrying amounts of our equity method investments exceeded our proportionate share of the respective investee’s net assets by $1,170.5 million and $1,196.8 million, respectively, which primarily includes amounts associated with the VodafoneZiggo JV Receivables, as defined below, and amounts we are owed under a long-term note receivable from All3Media.</w:t>
      </w:r>
    </w:p>
    <w:p>
      <w:pPr>
        <w:spacing w:after="0" w:line="215" w:lineRule="exact"/>
        <w:rPr>
          <w:sz w:val="20"/>
          <w:szCs w:val="20"/>
          <w:color w:val="auto"/>
        </w:rPr>
      </w:pPr>
    </w:p>
    <w:p>
      <w:pPr>
        <w:jc w:val="both"/>
        <w:ind w:left="500" w:hanging="492"/>
        <w:spacing w:after="0" w:line="254" w:lineRule="auto"/>
        <w:tabs>
          <w:tab w:leader="none" w:pos="49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Amounts include certain notes receivable due from a subsidiary of the VodafoneZiggo JV to a subsidiary of Liberty Global comprising (i) a euro-denominated note receivable with a principal amount of $740.4 million and $749.7 million at September 30, 2023 and December 31, 2022, respectively, (the </w:t>
      </w:r>
      <w:r>
        <w:rPr>
          <w:rFonts w:ascii="Arial" w:cs="Arial" w:eastAsia="Arial" w:hAnsi="Arial"/>
          <w:sz w:val="18"/>
          <w:szCs w:val="18"/>
          <w:b w:val="1"/>
          <w:bCs w:val="1"/>
          <w:color w:val="auto"/>
        </w:rPr>
        <w:t>VodafoneZiggo JV Receivable I</w:t>
      </w:r>
      <w:r>
        <w:rPr>
          <w:rFonts w:ascii="Arial" w:cs="Arial" w:eastAsia="Arial" w:hAnsi="Arial"/>
          <w:sz w:val="18"/>
          <w:szCs w:val="18"/>
          <w:color w:val="auto"/>
        </w:rPr>
        <w:t xml:space="preserve">) and (ii) a euro-denominated note receivable with a principal amount of $219.9 million and $222.7 million at September 30, 2023 and December 31, 2022, respectively, (the </w:t>
      </w:r>
      <w:r>
        <w:rPr>
          <w:rFonts w:ascii="Arial" w:cs="Arial" w:eastAsia="Arial" w:hAnsi="Arial"/>
          <w:sz w:val="18"/>
          <w:szCs w:val="18"/>
          <w:b w:val="1"/>
          <w:bCs w:val="1"/>
          <w:color w:val="auto"/>
        </w:rPr>
        <w:t>VodafoneZiggo JV Receivable II</w:t>
      </w:r>
      <w:r>
        <w:rPr>
          <w:rFonts w:ascii="Arial" w:cs="Arial" w:eastAsia="Arial" w:hAnsi="Arial"/>
          <w:sz w:val="18"/>
          <w:szCs w:val="18"/>
          <w:color w:val="auto"/>
        </w:rPr>
        <w:t xml:space="preserve"> and, together with the VodafoneZiggo JV Receivable I, the </w:t>
      </w:r>
      <w:r>
        <w:rPr>
          <w:rFonts w:ascii="Arial" w:cs="Arial" w:eastAsia="Arial" w:hAnsi="Arial"/>
          <w:sz w:val="18"/>
          <w:szCs w:val="18"/>
          <w:b w:val="1"/>
          <w:bCs w:val="1"/>
          <w:color w:val="auto"/>
        </w:rPr>
        <w:t>VodafoneZiggo JV Receivables</w:t>
      </w:r>
      <w:r>
        <w:rPr>
          <w:rFonts w:ascii="Arial" w:cs="Arial" w:eastAsia="Arial" w:hAnsi="Arial"/>
          <w:sz w:val="18"/>
          <w:szCs w:val="18"/>
          <w:color w:val="auto"/>
        </w:rPr>
        <w:t>). The VodafoneZiggo JV Receivables bear interest at 5.55% and have a final maturity date of December 31, 2030. During the nine months ended September 30, 2023, interest accrued on the VodafoneZiggo JV Receivables was $41.4 million, all of which has been cash settled.</w:t>
      </w:r>
    </w:p>
    <w:p>
      <w:pPr>
        <w:spacing w:after="0" w:line="221" w:lineRule="exact"/>
        <w:rPr>
          <w:rFonts w:ascii="Arial" w:cs="Arial" w:eastAsia="Arial" w:hAnsi="Arial"/>
          <w:sz w:val="18"/>
          <w:szCs w:val="18"/>
          <w:color w:val="auto"/>
        </w:rPr>
      </w:pPr>
    </w:p>
    <w:p>
      <w:pPr>
        <w:jc w:val="both"/>
        <w:ind w:left="500" w:hanging="492"/>
        <w:spacing w:after="0" w:line="291" w:lineRule="auto"/>
        <w:tabs>
          <w:tab w:leader="none" w:pos="494"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classified as available-for-sale debt securities as of September 30, 2023. Our SMA held in a leveraged structured note is accounted for at fair value and the associated gains or losses are included in realized and unrealized gains (losses) due to changes in fair values of certain investments, net, in our condensed consolidated statements of operations. At September 30, 2023 and December 31, 2022, interest accrued on our debt securities, which is included in other current assets on our condensed consolidated balance sheets, was $26.3 million and $18.5 million, respectively.</w:t>
      </w:r>
    </w:p>
    <w:p>
      <w:pPr>
        <w:spacing w:after="0" w:line="193" w:lineRule="exact"/>
        <w:rPr>
          <w:rFonts w:ascii="Arial" w:cs="Arial" w:eastAsia="Arial" w:hAnsi="Arial"/>
          <w:sz w:val="16"/>
          <w:szCs w:val="16"/>
          <w:color w:val="auto"/>
        </w:rPr>
      </w:pPr>
    </w:p>
    <w:p>
      <w:pPr>
        <w:jc w:val="both"/>
        <w:ind w:left="500" w:hanging="492"/>
        <w:spacing w:after="0" w:line="271" w:lineRule="auto"/>
        <w:tabs>
          <w:tab w:leader="none" w:pos="497"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During the first quarter of 2023, we acquired 1,335 million shares of Vodafone at an average purchase price of £0.9195 ($1.1151 at the transaction date) per share. The aggregate purchase price of £1,227.6 million ($1,488.7 million at the transaction date) was funded with $269.2 million of cash on hand, net of a $0.3 million collar premium, and the remainder through a collar transaction (the </w:t>
      </w:r>
      <w:r>
        <w:rPr>
          <w:rFonts w:ascii="Arial" w:cs="Arial" w:eastAsia="Arial" w:hAnsi="Arial"/>
          <w:sz w:val="17"/>
          <w:szCs w:val="17"/>
          <w:b w:val="1"/>
          <w:bCs w:val="1"/>
          <w:color w:val="auto"/>
        </w:rPr>
        <w:t>Vodafone Collar Transaction</w:t>
      </w:r>
      <w:r>
        <w:rPr>
          <w:rFonts w:ascii="Arial" w:cs="Arial" w:eastAsia="Arial" w:hAnsi="Arial"/>
          <w:sz w:val="17"/>
          <w:szCs w:val="17"/>
          <w:color w:val="auto"/>
        </w:rPr>
        <w:t xml:space="preserve">). The Vodafone Collar Transaction includes a collar on the full amount of our Vodafone shares (the </w:t>
      </w:r>
      <w:r>
        <w:rPr>
          <w:rFonts w:ascii="Arial" w:cs="Arial" w:eastAsia="Arial" w:hAnsi="Arial"/>
          <w:sz w:val="17"/>
          <w:szCs w:val="17"/>
          <w:b w:val="1"/>
          <w:bCs w:val="1"/>
          <w:color w:val="auto"/>
        </w:rPr>
        <w:t>Vodafone Collar</w:t>
      </w:r>
      <w:r>
        <w:rPr>
          <w:rFonts w:ascii="Arial" w:cs="Arial" w:eastAsia="Arial" w:hAnsi="Arial"/>
          <w:sz w:val="17"/>
          <w:szCs w:val="17"/>
          <w:color w:val="auto"/>
        </w:rPr>
        <w:t xml:space="preserve">) and a loan (the </w:t>
      </w:r>
      <w:r>
        <w:rPr>
          <w:rFonts w:ascii="Arial" w:cs="Arial" w:eastAsia="Arial" w:hAnsi="Arial"/>
          <w:sz w:val="17"/>
          <w:szCs w:val="17"/>
          <w:b w:val="1"/>
          <w:bCs w:val="1"/>
          <w:color w:val="auto"/>
        </w:rPr>
        <w:t>Vodafone Collar Loan</w:t>
      </w:r>
      <w:r>
        <w:rPr>
          <w:rFonts w:ascii="Arial" w:cs="Arial" w:eastAsia="Arial" w:hAnsi="Arial"/>
          <w:sz w:val="17"/>
          <w:szCs w:val="17"/>
          <w:color w:val="auto"/>
        </w:rPr>
        <w:t>) collateralized by the Vodafone shares. Under the terms of the Vodafone Collar, the counterparty has the right to re-use pledged Vodafone shares. At September 30, 2023, after consideration of the Vodafone Collar Transaction, the net fair value of our investment in Vodafone is $168.8 million. For additional information regarding the Vodafone Collar Transaction, including a description of the related re-use rights and the impact on the dividends we receive on our Vodafone shares, see note 6.</w:t>
      </w:r>
    </w:p>
    <w:p>
      <w:pPr>
        <w:spacing w:after="0" w:line="205" w:lineRule="exact"/>
        <w:rPr>
          <w:rFonts w:ascii="Arial" w:cs="Arial" w:eastAsia="Arial" w:hAnsi="Arial"/>
          <w:sz w:val="17"/>
          <w:szCs w:val="17"/>
          <w:color w:val="auto"/>
        </w:rPr>
      </w:pPr>
    </w:p>
    <w:p>
      <w:pPr>
        <w:ind w:left="500" w:hanging="492"/>
        <w:spacing w:after="0" w:line="277" w:lineRule="auto"/>
        <w:tabs>
          <w:tab w:leader="none" w:pos="49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investment in Plume includes warrants with a fair value of $70.5 million and $92.2 million at September 30, 2023 and December 31, 2022, respectively.</w:t>
      </w:r>
    </w:p>
    <w:p>
      <w:pPr>
        <w:spacing w:after="0" w:line="197"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condensed consolidated statements of cash flows, including amounts associated with SMAs.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224.6</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AtlasEdge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nexfibre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610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w:t>
      </w:r>
    </w:p>
    <w:p>
      <w:pPr>
        <w:spacing w:after="0" w:line="210"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100% of the interest income earned on the VodafoneZiggo JV Receivables.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VMO2 JV</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U.K. JV Framework Agreement</w:t>
      </w:r>
      <w:r>
        <w:rPr>
          <w:rFonts w:ascii="Arial" w:cs="Arial" w:eastAsia="Arial" w:hAnsi="Arial"/>
          <w:sz w:val="17"/>
          <w:szCs w:val="17"/>
          <w:color w:val="auto"/>
        </w:rPr>
        <w:t xml:space="preserve">), Liberty Global provides certain services to the VMO2 JV on a transitional or ongoing basis (collectively, the </w:t>
      </w:r>
      <w:r>
        <w:rPr>
          <w:rFonts w:ascii="Arial" w:cs="Arial" w:eastAsia="Arial" w:hAnsi="Arial"/>
          <w:sz w:val="17"/>
          <w:szCs w:val="17"/>
          <w:b w:val="1"/>
          <w:bCs w:val="1"/>
          <w:color w:val="auto"/>
        </w:rPr>
        <w:t>U.K. JV Services</w:t>
      </w:r>
      <w:r>
        <w:rPr>
          <w:rFonts w:ascii="Arial" w:cs="Arial" w:eastAsia="Arial" w:hAnsi="Arial"/>
          <w:sz w:val="17"/>
          <w:szCs w:val="17"/>
          <w:color w:val="auto"/>
        </w:rPr>
        <w:t>).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We recorded revenue related to the U.K. JV Services of $34.2 million and $59.8 million during the three months ended September 30, 2023 and 2022, respectively, and $155.4 million and $192.4 million during the nine months ended September 30, 2023 and 2022, respectively. At September 30, 2023 and December 31, 2022, $33.3 million and $37.0 million, respectively, was due from the VMO2 JV, primarily related to (a) the U.K. JV Services and (b) amounts incurred by Liberty Global for certain equipment and licenses purchased on behalf of the VMO2 JV. The amounts due from the VMO2 JV, which are periodically cash settled, are included in other current assets on our condensed consolidated balance sheets. In addition, during the nine months ended September 30, 2023, we received dividend distributions from the VMO2 JV aggregating $815.2 million, all of which was accounted for as a return of capital for purposes of our condensed consolidated statement of cash flows. During the nine months ended September 30, 2022, we received a dividend distribution from the VMO2 JV aggregating $467.9 million, of which $201.0 million was accounted for as a return on capital and $266.9 million was accounted for as a return of capital for purposes of our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VMO2 JV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(503.2)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1,646.4</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VodafoneZiggo JV</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NL JV Framework Agreement</w:t>
      </w:r>
      <w:r>
        <w:rPr>
          <w:rFonts w:ascii="Arial" w:cs="Arial" w:eastAsia="Arial" w:hAnsi="Arial"/>
          <w:sz w:val="17"/>
          <w:szCs w:val="17"/>
          <w:color w:val="auto"/>
        </w:rPr>
        <w:t xml:space="preserve">), Liberty Global provides certain services to the VodafoneZiggo JV (collectively, the </w:t>
      </w:r>
      <w:r>
        <w:rPr>
          <w:rFonts w:ascii="Arial" w:cs="Arial" w:eastAsia="Arial" w:hAnsi="Arial"/>
          <w:sz w:val="17"/>
          <w:szCs w:val="17"/>
          <w:b w:val="1"/>
          <w:bCs w:val="1"/>
          <w:color w:val="auto"/>
        </w:rPr>
        <w:t>NL JV Services</w:t>
      </w:r>
      <w:r>
        <w:rPr>
          <w:rFonts w:ascii="Arial" w:cs="Arial" w:eastAsia="Arial" w:hAnsi="Arial"/>
          <w:sz w:val="17"/>
          <w:szCs w:val="17"/>
          <w:color w:val="auto"/>
        </w:rPr>
        <w:t>). The NL JV Services provided by Liberty Global consist primarily of (i) technology and other services and (ii) capital-related</w:t>
      </w:r>
      <w:r>
        <w:rPr>
          <w:rFonts w:ascii="Arial" w:cs="Arial" w:eastAsia="Arial" w:hAnsi="Arial"/>
          <w:sz w:val="17"/>
          <w:szCs w:val="17"/>
          <w:b w:val="1"/>
          <w:bCs w:val="1"/>
          <w:color w:val="auto"/>
        </w:rPr>
        <w:t xml:space="preserve"> </w:t>
      </w:r>
      <w:r>
        <w:rPr>
          <w:rFonts w:ascii="Arial" w:cs="Arial" w:eastAsia="Arial" w:hAnsi="Arial"/>
          <w:sz w:val="17"/>
          <w:szCs w:val="17"/>
          <w:color w:val="auto"/>
        </w:rPr>
        <w:t>expenditures for assets that will be used by, or will otherwise benefit, the VodafoneZiggo JV. Liberty Global charges both fixed and usage-based fees to the VodafoneZiggo JV for the NL JV Services provided during the term of the NL JV Framework Agreement. We recorded revenue from the VodafoneZiggo JV of $37.3 million and $75.4 million during the three months ended September 30, 2023 and 2022, respectively, and $157.8 million and $192.7 million during the nine months ended September 30, 2023 and 2022, respectively, primarily related to (a) the NL JV Services and (b) the sale of customer premises equipment (</w:t>
      </w:r>
      <w:r>
        <w:rPr>
          <w:rFonts w:ascii="Arial" w:cs="Arial" w:eastAsia="Arial" w:hAnsi="Arial"/>
          <w:sz w:val="17"/>
          <w:szCs w:val="17"/>
          <w:b w:val="1"/>
          <w:bCs w:val="1"/>
          <w:color w:val="auto"/>
        </w:rPr>
        <w:t>CPE</w:t>
      </w:r>
      <w:r>
        <w:rPr>
          <w:rFonts w:ascii="Arial" w:cs="Arial" w:eastAsia="Arial" w:hAnsi="Arial"/>
          <w:sz w:val="17"/>
          <w:szCs w:val="17"/>
          <w:color w:val="auto"/>
        </w:rPr>
        <w:t>) to the VodafoneZiggo JV at a mark-up. At September 30, 2023 and December 31, 2022, $37.9 million and $35.0 million, respectively, was due from the VodafoneZiggo JV related to the aforementioned transactions. The amounts due from the VodafoneZiggo JV, which are periodically cash settled, are included in other current assets on our condensed consolidated balance sheets. In addition, during the nine months ended September 30, 2022, we received dividend distributions from the VodafoneZiggo JV aggregating $186.9 million, all of which was accounted for as a return on capital for purposes of our condensed consolidated statement of cash flows.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ind w:left="2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ind w:left="50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9"/>
              </w:rPr>
              <w:t>3,297.0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480"/>
              <w:spacing w:after="0" w:line="203" w:lineRule="exact"/>
              <w:rPr>
                <w:sz w:val="20"/>
                <w:szCs w:val="20"/>
                <w:color w:val="auto"/>
              </w:rPr>
            </w:pPr>
            <w:r>
              <w:rPr>
                <w:rFonts w:ascii="Arial" w:cs="Arial" w:eastAsia="Arial" w:hAnsi="Arial"/>
                <w:sz w:val="18"/>
                <w:szCs w:val="18"/>
                <w:color w:val="auto"/>
                <w:w w:val="93"/>
              </w:rPr>
              <w:t>(82.2)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3"/>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realized and unrealized gains (losses) due to changes in fair value,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54"/>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Lacework</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Plume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Lionsgate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Televisa Univision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SMAs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(a)</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3"/>
        </w:trPr>
        <w:tc>
          <w:tcPr>
            <w:tcW w:w="610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nine-month periods include gains of $8.0 million and $12.0 million, respectively, related to investments that were sold during the second quarter of 2023 and 2022.</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Securities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a summary of our debt securities at September 30, 2023 and December 31,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 2023</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2"/>
              <w:spacing w:after="0" w:line="158" w:lineRule="exact"/>
              <w:rPr>
                <w:sz w:val="20"/>
                <w:szCs w:val="20"/>
                <w:color w:val="auto"/>
              </w:rPr>
            </w:pPr>
            <w:r>
              <w:rPr>
                <w:rFonts w:ascii="Arial" w:cs="Arial" w:eastAsia="Arial" w:hAnsi="Arial"/>
                <w:sz w:val="16"/>
                <w:szCs w:val="16"/>
                <w:b w:val="1"/>
                <w:bCs w:val="1"/>
                <w:color w:val="auto"/>
                <w:w w:val="91"/>
              </w:rPr>
              <w:t>Amortized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3"/>
                <w:szCs w:val="13"/>
                <w:color w:val="auto"/>
              </w:rPr>
            </w:pPr>
          </w:p>
        </w:tc>
        <w:tc>
          <w:tcPr>
            <w:tcW w:w="108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2"/>
              </w:rPr>
              <w:t>basis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unrealized loss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Structured note (a)</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(a)</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8"/>
        </w:trPr>
        <w:tc>
          <w:tcPr>
            <w:tcW w:w="7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52" w:lineRule="exact"/>
        <w:rPr>
          <w:sz w:val="20"/>
          <w:szCs w:val="20"/>
          <w:color w:val="auto"/>
        </w:rPr>
      </w:pPr>
    </w:p>
    <w:p>
      <w:pPr>
        <w:jc w:val="both"/>
        <w:ind w:left="500" w:hanging="492"/>
        <w:spacing w:after="0" w:line="273" w:lineRule="auto"/>
        <w:tabs>
          <w:tab w:leader="none" w:pos="49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 represents an investment in a leveraged structured note issued by a third party investment bank, which is accounted for at fair value and classified within Level 2 of the fair value hierarchy. For further information regarding our fair value measurements, see note 7. The return on the leveraged structured note is based on changes in the fair value of a proportionate amount of debt issued by various Liberty Global consolidated subsidiaries and affiliates (including the VMO2 JV and the VodafoneZiggo JV). While the structured note itself contains leverage, our at-risk investment is the estimated fair value as reported. At September 30, 2023, the proportionate amount of debt issued by Liberty Global consolidated subsidiaries and affiliates associated with the return on the leveraged structured note is summarized in the following table: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ind w:right="60"/>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Proportion of debt</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6"/>
          </w:tcPr>
          <w:p>
            <w:pPr>
              <w:jc w:val="center"/>
              <w:spacing w:after="0" w:line="162" w:lineRule="exact"/>
              <w:rPr>
                <w:sz w:val="20"/>
                <w:szCs w:val="20"/>
                <w:color w:val="auto"/>
              </w:rPr>
            </w:pPr>
            <w:r>
              <w:rPr>
                <w:rFonts w:ascii="Arial" w:cs="Arial" w:eastAsia="Arial" w:hAnsi="Arial"/>
                <w:sz w:val="16"/>
                <w:szCs w:val="16"/>
                <w:b w:val="1"/>
                <w:bCs w:val="1"/>
                <w:color w:val="auto"/>
                <w:w w:val="90"/>
              </w:rPr>
              <w:t>associated with the return</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6"/>
          </w:tcPr>
          <w:p>
            <w:pPr>
              <w:jc w:val="center"/>
              <w:ind w:right="20"/>
              <w:spacing w:after="0" w:line="162" w:lineRule="exact"/>
              <w:rPr>
                <w:sz w:val="20"/>
                <w:szCs w:val="20"/>
                <w:color w:val="auto"/>
              </w:rPr>
            </w:pPr>
            <w:r>
              <w:rPr>
                <w:rFonts w:ascii="Arial" w:cs="Arial" w:eastAsia="Arial" w:hAnsi="Arial"/>
                <w:sz w:val="16"/>
                <w:szCs w:val="16"/>
                <w:b w:val="1"/>
                <w:bCs w:val="1"/>
                <w:color w:val="auto"/>
                <w:w w:val="89"/>
              </w:rPr>
              <w:t>on the leveraged</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6"/>
                <w:szCs w:val="16"/>
                <w:b w:val="1"/>
                <w:bCs w:val="1"/>
                <w:color w:val="auto"/>
                <w:w w:val="90"/>
              </w:rPr>
              <w:t>structured note</w:t>
            </w:r>
          </w:p>
        </w:tc>
        <w:tc>
          <w:tcPr>
            <w:tcW w:w="0" w:type="dxa"/>
            <w:vAlign w:val="bottom"/>
          </w:tcPr>
          <w:p>
            <w:pPr>
              <w:spacing w:after="0"/>
              <w:rPr>
                <w:sz w:val="1"/>
                <w:szCs w:val="1"/>
                <w:color w:val="auto"/>
              </w:rPr>
            </w:pPr>
          </w:p>
        </w:tc>
      </w:tr>
      <w:tr>
        <w:trPr>
          <w:trHeight w:val="199"/>
        </w:trPr>
        <w:tc>
          <w:tcPr>
            <w:tcW w:w="6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Subsidiary:</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Telenet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29.16 %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UPC Holding</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10.30 %</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VMO2 JV</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57.63 %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VodafoneZiggo JV</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6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6"/>
                <w:szCs w:val="16"/>
                <w:b w:val="1"/>
                <w:bCs w:val="1"/>
                <w:color w:val="auto"/>
                <w:w w:val="90"/>
              </w:rPr>
              <w:t>December 31, 2022</w:t>
            </w: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12"/>
              <w:spacing w:after="0" w:line="158" w:lineRule="exact"/>
              <w:rPr>
                <w:sz w:val="20"/>
                <w:szCs w:val="20"/>
                <w:color w:val="auto"/>
              </w:rPr>
            </w:pPr>
            <w:r>
              <w:rPr>
                <w:rFonts w:ascii="Arial" w:cs="Arial" w:eastAsia="Arial" w:hAnsi="Arial"/>
                <w:sz w:val="16"/>
                <w:szCs w:val="16"/>
                <w:b w:val="1"/>
                <w:bCs w:val="1"/>
                <w:color w:val="auto"/>
                <w:w w:val="89"/>
              </w:rPr>
              <w:t>Amortized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9"/>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72"/>
              <w:spacing w:after="0"/>
              <w:rPr>
                <w:sz w:val="20"/>
                <w:szCs w:val="20"/>
                <w:color w:val="auto"/>
              </w:rPr>
            </w:pPr>
            <w:r>
              <w:rPr>
                <w:rFonts w:ascii="Arial" w:cs="Arial" w:eastAsia="Arial" w:hAnsi="Arial"/>
                <w:sz w:val="16"/>
                <w:szCs w:val="16"/>
                <w:b w:val="1"/>
                <w:bCs w:val="1"/>
                <w:color w:val="auto"/>
              </w:rPr>
              <w:t>basis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8"/>
              </w:rPr>
              <w:t>unrealized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93"/>
              </w:rPr>
              <w:t>in millions</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2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5"/>
              </w:rPr>
              <w:t>2.1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Government bonds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left="693"/>
              <w:spacing w:after="0"/>
              <w:rPr>
                <w:sz w:val="20"/>
                <w:szCs w:val="20"/>
                <w:color w:val="auto"/>
              </w:rPr>
            </w:pPr>
            <w:r>
              <w:rPr>
                <w:rFonts w:ascii="Arial" w:cs="Arial" w:eastAsia="Arial" w:hAnsi="Arial"/>
                <w:sz w:val="18"/>
                <w:szCs w:val="18"/>
                <w:color w:val="auto"/>
                <w:w w:val="91"/>
              </w:rPr>
              <w:t>(1.4)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693"/>
              <w:spacing w:after="0"/>
              <w:rPr>
                <w:sz w:val="20"/>
                <w:szCs w:val="20"/>
                <w:color w:val="auto"/>
              </w:rPr>
            </w:pPr>
            <w:r>
              <w:rPr>
                <w:rFonts w:ascii="Arial" w:cs="Arial" w:eastAsia="Arial" w:hAnsi="Arial"/>
                <w:sz w:val="18"/>
                <w:szCs w:val="18"/>
                <w:color w:val="auto"/>
                <w:w w:val="91"/>
              </w:rPr>
              <w:t>(0.6)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left="693"/>
              <w:spacing w:after="0"/>
              <w:rPr>
                <w:sz w:val="20"/>
                <w:szCs w:val="20"/>
                <w:color w:val="auto"/>
              </w:rPr>
            </w:pPr>
            <w:r>
              <w:rPr>
                <w:rFonts w:ascii="Arial" w:cs="Arial" w:eastAsia="Arial" w:hAnsi="Arial"/>
                <w:sz w:val="18"/>
                <w:szCs w:val="18"/>
                <w:color w:val="auto"/>
                <w:w w:val="91"/>
              </w:rPr>
              <w:t>(4.8)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5"/>
              </w:rPr>
              <w:t>0.4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center"/>
              <w:ind w:left="693"/>
              <w:spacing w:after="0"/>
              <w:rPr>
                <w:sz w:val="20"/>
                <w:szCs w:val="20"/>
                <w:color w:val="auto"/>
              </w:rPr>
            </w:pPr>
            <w:r>
              <w:rPr>
                <w:rFonts w:ascii="Arial" w:cs="Arial" w:eastAsia="Arial" w:hAnsi="Arial"/>
                <w:sz w:val="18"/>
                <w:szCs w:val="18"/>
                <w:color w:val="auto"/>
                <w:w w:val="91"/>
              </w:rPr>
              <w:t>(4.3)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We received proceeds from the sale of debt securities of $1.8 billion and $2.6 billion during the three months ended September 30, 2023 and 2022, respectively, and $6.0 billion and $7.5 billion during the nine months ended September 30, 2023 and 2022, respectively, the majority of which were reinvested in new debt securities held under SMAs. The sale of debt securities resulted in realized net losses of $20.1 million and $1.5 million during the three months ended September 30, 2023 and 2022, respectively, and $52.8 million and $7.6 million during the nine months ended September 30, 2023 and 2022, respectively.</w:t>
      </w:r>
    </w:p>
    <w:p>
      <w:pPr>
        <w:sectPr>
          <w:pgSz w:w="11900" w:h="16838" w:orient="portrait"/>
          <w:cols w:equalWidth="0" w:num="1">
            <w:col w:w="11300"/>
          </w:cols>
          <w:pgMar w:left="320" w:top="364" w:right="279" w:bottom="1440" w:gutter="0" w:footer="0" w:header="0"/>
        </w:sect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values of our debt securities as of September 30, 2023 by contractual maturity are shown below (in millions):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in one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in one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in five to ten years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life of our total debt securities was 0.6 years as of September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99" w:hanging="699"/>
        <w:spacing w:after="0"/>
        <w:tabs>
          <w:tab w:leader="none" w:pos="699" w:val="left"/>
        </w:tabs>
        <w:numPr>
          <w:ilvl w:val="0"/>
          <w:numId w:val="13"/>
        </w:numPr>
        <w:rPr>
          <w:rFonts w:ascii="Arial" w:cs="Arial" w:eastAsia="Arial" w:hAnsi="Arial"/>
          <w:sz w:val="16"/>
          <w:szCs w:val="16"/>
          <w:color w:val="auto"/>
        </w:rPr>
      </w:pPr>
      <w:r>
        <w:rPr>
          <w:rFonts w:ascii="Arial" w:cs="Arial" w:eastAsia="Arial" w:hAnsi="Arial"/>
          <w:sz w:val="16"/>
          <w:szCs w:val="16"/>
          <w:color w:val="auto"/>
        </w:rPr>
        <w:t>1,557.0</w:t>
      </w:r>
    </w:p>
    <w:p>
      <w:pPr>
        <w:spacing w:after="0" w:line="46" w:lineRule="exact"/>
        <w:rPr>
          <w:rFonts w:ascii="Arial" w:cs="Arial" w:eastAsia="Arial" w:hAnsi="Arial"/>
          <w:sz w:val="16"/>
          <w:szCs w:val="16"/>
          <w:color w:val="auto"/>
        </w:rPr>
      </w:pPr>
    </w:p>
    <w:p>
      <w:pPr>
        <w:ind w:left="839"/>
        <w:spacing w:after="0"/>
        <w:rPr>
          <w:rFonts w:ascii="Arial" w:cs="Arial" w:eastAsia="Arial" w:hAnsi="Arial"/>
          <w:sz w:val="16"/>
          <w:szCs w:val="16"/>
          <w:color w:val="auto"/>
        </w:rPr>
      </w:pPr>
      <w:r>
        <w:rPr>
          <w:rFonts w:ascii="Arial" w:cs="Arial" w:eastAsia="Arial" w:hAnsi="Arial"/>
          <w:sz w:val="15"/>
          <w:szCs w:val="15"/>
          <w:color w:val="auto"/>
        </w:rPr>
        <w:t>238.4</w:t>
      </w:r>
    </w:p>
    <w:p>
      <w:pPr>
        <w:spacing w:after="0" w:line="57" w:lineRule="exact"/>
        <w:rPr>
          <w:rFonts w:ascii="Arial" w:cs="Arial" w:eastAsia="Arial" w:hAnsi="Arial"/>
          <w:sz w:val="16"/>
          <w:szCs w:val="16"/>
          <w:color w:val="auto"/>
        </w:rPr>
      </w:pPr>
    </w:p>
    <w:p>
      <w:pPr>
        <w:ind w:left="1019"/>
        <w:spacing w:after="0"/>
        <w:rPr>
          <w:rFonts w:ascii="Arial" w:cs="Arial" w:eastAsia="Arial" w:hAnsi="Arial"/>
          <w:sz w:val="16"/>
          <w:szCs w:val="16"/>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8483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50" w:lineRule="exact"/>
        <w:rPr>
          <w:sz w:val="20"/>
          <w:szCs w:val="20"/>
          <w:color w:val="auto"/>
        </w:rPr>
      </w:pPr>
    </w:p>
    <w:p>
      <w:pPr>
        <w:ind w:left="699" w:hanging="699"/>
        <w:spacing w:after="0"/>
        <w:tabs>
          <w:tab w:leader="none" w:pos="6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1,797.7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483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8483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046" w:lineRule="exact"/>
        <w:rPr>
          <w:sz w:val="20"/>
          <w:szCs w:val="20"/>
          <w:color w:val="auto"/>
        </w:rPr>
      </w:pPr>
    </w:p>
    <w:p>
      <w:pPr>
        <w:sectPr>
          <w:pgSz w:w="11900" w:h="16838" w:orient="portrait"/>
          <w:cols w:equalWidth="0" w:num="2">
            <w:col w:w="9201" w:space="720"/>
            <w:col w:w="1379"/>
          </w:cols>
          <w:pgMar w:left="320" w:top="364" w:right="279" w:bottom="1440" w:gutter="0" w:footer="0" w:header="0"/>
          <w:type w:val="continuous"/>
        </w:sectPr>
      </w:pPr>
    </w:p>
    <w:p>
      <w:pPr>
        <w:spacing w:after="0" w:line="52"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4" w:right="27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5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and the Swiss franc (</w:t>
      </w:r>
      <w:r>
        <w:rPr>
          <w:rFonts w:ascii="Arial" w:cs="Arial" w:eastAsia="Arial" w:hAnsi="Arial"/>
          <w:sz w:val="18"/>
          <w:szCs w:val="18"/>
          <w:b w:val="1"/>
          <w:bCs w:val="1"/>
          <w:color w:val="auto"/>
        </w:rPr>
        <w:t>CHF</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6"/>
                <w:szCs w:val="16"/>
                <w:b w:val="1"/>
                <w:bCs w:val="1"/>
                <w:color w:val="auto"/>
                <w:w w:val="90"/>
              </w:rPr>
              <w:t>September 30, 2023</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Current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6"/>
              </w:rPr>
              <w:t>Long-term</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207"/>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8"/>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5"/>
        </w:trPr>
        <w:tc>
          <w:tcPr>
            <w:tcW w:w="4120" w:type="dxa"/>
            <w:vAlign w:val="bottom"/>
          </w:tcPr>
          <w:p>
            <w:pPr>
              <w:ind w:left="140"/>
              <w:spacing w:after="0" w:line="176" w:lineRule="exact"/>
              <w:rPr>
                <w:sz w:val="20"/>
                <w:szCs w:val="20"/>
                <w:color w:val="auto"/>
              </w:rPr>
            </w:pPr>
            <w:r>
              <w:rPr>
                <w:rFonts w:ascii="Arial" w:cs="Arial" w:eastAsia="Arial" w:hAnsi="Arial"/>
                <w:sz w:val="18"/>
                <w:szCs w:val="18"/>
                <w:color w:val="auto"/>
                <w:w w:val="94"/>
              </w:rPr>
              <w:t>Cross-currency and interest rate derivative contracts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554.8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802.0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1,087.6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1,469.0</w:t>
            </w: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196"/>
        </w:trPr>
        <w:tc>
          <w:tcPr>
            <w:tcW w:w="4120" w:type="dxa"/>
            <w:vAlign w:val="bottom"/>
          </w:tcPr>
          <w:p>
            <w:pPr>
              <w:jc w:val="center"/>
              <w:ind w:right="2950"/>
              <w:spacing w:after="0" w:line="196" w:lineRule="exact"/>
              <w:rPr>
                <w:sz w:val="20"/>
                <w:szCs w:val="20"/>
                <w:color w:val="auto"/>
              </w:rPr>
            </w:pPr>
            <w:r>
              <w:rPr>
                <w:rFonts w:ascii="Arial" w:cs="Arial" w:eastAsia="Arial" w:hAnsi="Arial"/>
                <w:sz w:val="18"/>
                <w:szCs w:val="18"/>
                <w:color w:val="auto"/>
                <w:w w:val="89"/>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556.8</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1,032.7</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1,589.5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1,087.6</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1,470.3</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4120" w:type="dxa"/>
            <w:vAlign w:val="bottom"/>
            <w:shd w:val="clear" w:color="auto" w:fill="CCEEFF"/>
          </w:tcPr>
          <w:p>
            <w:pPr>
              <w:jc w:val="center"/>
              <w:ind w:right="2950"/>
              <w:spacing w:after="0" w:line="196" w:lineRule="exact"/>
              <w:rPr>
                <w:sz w:val="20"/>
                <w:szCs w:val="20"/>
                <w:color w:val="auto"/>
              </w:rPr>
            </w:pPr>
            <w:r>
              <w:rPr>
                <w:rFonts w:ascii="Arial" w:cs="Arial" w:eastAsia="Arial" w:hAnsi="Arial"/>
                <w:sz w:val="18"/>
                <w:szCs w:val="18"/>
                <w:color w:val="auto"/>
                <w:w w:val="98"/>
              </w:rPr>
              <w:t>Liabilities (a):</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75"/>
        </w:trPr>
        <w:tc>
          <w:tcPr>
            <w:tcW w:w="4120" w:type="dxa"/>
            <w:vAlign w:val="bottom"/>
          </w:tcPr>
          <w:p>
            <w:pPr>
              <w:ind w:left="140"/>
              <w:spacing w:after="0" w:line="176" w:lineRule="exact"/>
              <w:rPr>
                <w:sz w:val="20"/>
                <w:szCs w:val="20"/>
                <w:color w:val="auto"/>
              </w:rPr>
            </w:pPr>
            <w:r>
              <w:rPr>
                <w:rFonts w:ascii="Arial" w:cs="Arial" w:eastAsia="Arial" w:hAnsi="Arial"/>
                <w:sz w:val="18"/>
                <w:szCs w:val="18"/>
                <w:color w:val="auto"/>
                <w:w w:val="94"/>
              </w:rPr>
              <w:t>Cross-currency and interest rate derivative contracts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239.0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735.5</w:t>
            </w: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48"/>
        </w:trPr>
        <w:tc>
          <w:tcPr>
            <w:tcW w:w="4120" w:type="dxa"/>
            <w:vAlign w:val="bottom"/>
            <w:tcBorders>
              <w:bottom w:val="single" w:sz="8" w:color="CCEEFF"/>
            </w:tcBorders>
            <w:shd w:val="clear" w:color="auto" w:fill="CCEEFF"/>
          </w:tcPr>
          <w:p>
            <w:pPr>
              <w:jc w:val="center"/>
              <w:ind w:right="2950"/>
              <w:spacing w:after="0"/>
              <w:rPr>
                <w:sz w:val="20"/>
                <w:szCs w:val="20"/>
                <w:color w:val="auto"/>
              </w:rPr>
            </w:pPr>
            <w:r>
              <w:rPr>
                <w:rFonts w:ascii="Arial" w:cs="Arial" w:eastAsia="Arial" w:hAnsi="Arial"/>
                <w:sz w:val="18"/>
                <w:szCs w:val="18"/>
                <w:color w:val="auto"/>
                <w:w w:val="89"/>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long-term derivative assets and long-term derivative liabilities are included in other assets, net, and other long-term liabilities, respectively, on our condensed consolidated balance sheets.</w:t>
      </w:r>
    </w:p>
    <w:p>
      <w:pPr>
        <w:spacing w:after="0" w:line="197" w:lineRule="exact"/>
        <w:rPr>
          <w:rFonts w:ascii="Arial" w:cs="Arial" w:eastAsia="Arial" w:hAnsi="Arial"/>
          <w:sz w:val="18"/>
          <w:szCs w:val="18"/>
          <w:color w:val="auto"/>
        </w:rPr>
      </w:pPr>
    </w:p>
    <w:p>
      <w:pPr>
        <w:jc w:val="both"/>
        <w:ind w:left="500" w:hanging="492"/>
        <w:spacing w:after="0" w:line="25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losses of $6.9 million and $16.3 million during the three months ended September 30, 2023 and 2022, respectively, and a net gain (loss) of $15.3 million and ($7.0 million) during the nine months ended September 30, 2023 and 2022, respectively. These amounts are included in realized and unrealized gains on derivative instruments, net, in our condensed consolidated statements of operations. For further information regarding our fair value measurements, see note 7.</w:t>
      </w:r>
    </w:p>
    <w:p>
      <w:pPr>
        <w:spacing w:after="0" w:line="221" w:lineRule="exact"/>
        <w:rPr>
          <w:rFonts w:ascii="Arial" w:cs="Arial" w:eastAsia="Arial" w:hAnsi="Arial"/>
          <w:sz w:val="18"/>
          <w:szCs w:val="18"/>
          <w:color w:val="auto"/>
        </w:rPr>
      </w:pPr>
    </w:p>
    <w:p>
      <w:pPr>
        <w:jc w:val="both"/>
        <w:ind w:left="500" w:right="20" w:hanging="492"/>
        <w:spacing w:after="0" w:line="311" w:lineRule="auto"/>
        <w:tabs>
          <w:tab w:leader="none" w:pos="4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equity-related derivative instruments include the Vodafone Collar. The fair value of the Vodafone Collar does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on derivative instruments, net,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07"/>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Equity-related derivative instruments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1,640.6</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61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(outflows) of our derivative instruments:</w:t>
      </w:r>
    </w:p>
    <w:p>
      <w:pPr>
        <w:spacing w:after="0" w:line="9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Nine months ended</w:t>
      </w:r>
    </w:p>
    <w:p>
      <w:pPr>
        <w:jc w:val="center"/>
        <w:ind w:left="862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r>
      <w:tr>
        <w:trPr>
          <w:trHeight w:val="20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8"/>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September 30, 2023, our exposure to counterparty credit risk included derivative assets with an aggregate fair value of $726.4 million.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September 30, 2023,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September 30,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right"/>
              <w:ind w:right="453"/>
              <w:spacing w:after="0"/>
              <w:rPr>
                <w:sz w:val="20"/>
                <w:szCs w:val="20"/>
                <w:color w:val="auto"/>
              </w:rPr>
            </w:pPr>
            <w:r>
              <w:rPr>
                <w:rFonts w:ascii="Arial" w:cs="Arial" w:eastAsia="Arial" w:hAnsi="Arial"/>
                <w:sz w:val="16"/>
                <w:szCs w:val="16"/>
                <w:b w:val="1"/>
                <w:bCs w:val="1"/>
                <w:color w:val="auto"/>
              </w:rPr>
              <w:t>Notional amount</w:t>
            </w:r>
          </w:p>
        </w:tc>
        <w:tc>
          <w:tcPr>
            <w:tcW w:w="540" w:type="dxa"/>
            <w:vAlign w:val="bottom"/>
          </w:tcPr>
          <w:p>
            <w:pPr>
              <w:spacing w:after="0"/>
              <w:rPr>
                <w:sz w:val="16"/>
                <w:szCs w:val="16"/>
                <w:color w:val="auto"/>
              </w:rPr>
            </w:pPr>
          </w:p>
        </w:tc>
        <w:tc>
          <w:tcPr>
            <w:tcW w:w="1460" w:type="dxa"/>
            <w:vAlign w:val="bottom"/>
          </w:tcPr>
          <w:p>
            <w:pPr>
              <w:jc w:val="right"/>
              <w:ind w:right="73"/>
              <w:spacing w:after="0"/>
              <w:rPr>
                <w:sz w:val="20"/>
                <w:szCs w:val="20"/>
                <w:color w:val="auto"/>
              </w:rPr>
            </w:pPr>
            <w:r>
              <w:rPr>
                <w:rFonts w:ascii="Arial" w:cs="Arial" w:eastAsia="Arial" w:hAnsi="Arial"/>
                <w:sz w:val="16"/>
                <w:szCs w:val="16"/>
                <w:b w:val="1"/>
                <w:bCs w:val="1"/>
                <w:color w:val="auto"/>
              </w:rPr>
              <w:t>Notional amount</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4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6"/>
              </w:rPr>
              <w:t>due from counterparty</w:t>
            </w: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due to counterparty</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remaining life</w:t>
            </w:r>
          </w:p>
        </w:tc>
      </w:tr>
      <w:tr>
        <w:trPr>
          <w:trHeight w:val="207"/>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2"/>
          </w:tcPr>
          <w:p>
            <w:pPr>
              <w:ind w:left="1560"/>
              <w:spacing w:after="0"/>
              <w:rPr>
                <w:sz w:val="20"/>
                <w:szCs w:val="20"/>
                <w:color w:val="auto"/>
              </w:rPr>
            </w:pPr>
            <w:r>
              <w:rPr>
                <w:rFonts w:ascii="Arial" w:cs="Arial" w:eastAsia="Arial" w:hAnsi="Arial"/>
                <w:sz w:val="16"/>
                <w:szCs w:val="16"/>
                <w:b w:val="1"/>
                <w:bCs w:val="1"/>
                <w:color w:val="auto"/>
              </w:rPr>
              <w:t>in millions</w:t>
            </w: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08"/>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250.0</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230"/>
        </w:trPr>
        <w:tc>
          <w:tcPr>
            <w:tcW w:w="45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3"/>
              <w:spacing w:after="0"/>
              <w:rPr>
                <w:sz w:val="20"/>
                <w:szCs w:val="20"/>
                <w:color w:val="auto"/>
              </w:rPr>
            </w:pPr>
            <w:r>
              <w:rPr>
                <w:rFonts w:ascii="Arial" w:cs="Arial" w:eastAsia="Arial" w:hAnsi="Arial"/>
                <w:sz w:val="18"/>
                <w:szCs w:val="18"/>
                <w:color w:val="auto"/>
              </w:rPr>
              <w:t>4,275.0</w:t>
            </w:r>
          </w:p>
        </w:tc>
        <w:tc>
          <w:tcPr>
            <w:tcW w:w="540" w:type="dxa"/>
            <w:vAlign w:val="bottom"/>
          </w:tcPr>
          <w:p>
            <w:pPr>
              <w:ind w:left="140"/>
              <w:spacing w:after="0"/>
              <w:rPr>
                <w:sz w:val="20"/>
                <w:szCs w:val="20"/>
                <w:color w:val="auto"/>
              </w:rPr>
            </w:pPr>
            <w:r>
              <w:rPr>
                <w:rFonts w:ascii="Arial" w:cs="Arial" w:eastAsia="Arial" w:hAnsi="Arial"/>
                <w:sz w:val="18"/>
                <w:szCs w:val="18"/>
                <w:color w:val="auto"/>
              </w:rPr>
              <w:t>CHF</w:t>
            </w:r>
          </w:p>
        </w:tc>
        <w:tc>
          <w:tcPr>
            <w:tcW w:w="1460" w:type="dxa"/>
            <w:vAlign w:val="bottom"/>
          </w:tcPr>
          <w:p>
            <w:pPr>
              <w:jc w:val="right"/>
              <w:spacing w:after="0"/>
              <w:rPr>
                <w:sz w:val="20"/>
                <w:szCs w:val="20"/>
                <w:color w:val="auto"/>
              </w:rPr>
            </w:pPr>
            <w:r>
              <w:rPr>
                <w:rFonts w:ascii="Arial" w:cs="Arial" w:eastAsia="Arial" w:hAnsi="Arial"/>
                <w:sz w:val="18"/>
                <w:szCs w:val="18"/>
                <w:color w:val="auto"/>
              </w:rPr>
              <w:t>3,912.7</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5.0</w:t>
            </w:r>
          </w:p>
        </w:tc>
      </w:tr>
      <w:tr>
        <w:trPr>
          <w:trHeight w:val="229"/>
        </w:trPr>
        <w:tc>
          <w:tcPr>
            <w:tcW w:w="45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1,952.6</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r>
      <w:tr>
        <w:trPr>
          <w:trHeight w:val="270"/>
        </w:trPr>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3,940.0</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r>
      <w:tr>
        <w:trPr>
          <w:trHeight w:val="230"/>
        </w:trPr>
        <w:tc>
          <w:tcPr>
            <w:tcW w:w="45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3"/>
              <w:spacing w:after="0"/>
              <w:rPr>
                <w:sz w:val="20"/>
                <w:szCs w:val="20"/>
                <w:color w:val="auto"/>
              </w:rPr>
            </w:pPr>
            <w:r>
              <w:rPr>
                <w:rFonts w:ascii="Arial" w:cs="Arial" w:eastAsia="Arial" w:hAnsi="Arial"/>
                <w:sz w:val="18"/>
                <w:szCs w:val="18"/>
                <w:color w:val="auto"/>
              </w:rPr>
              <w:t>45.2</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50.0</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1.3</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right="20" w:hanging="492"/>
        <w:spacing w:after="0" w:line="308" w:lineRule="auto"/>
        <w:tabs>
          <w:tab w:leader="none" w:pos="497"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September 30, 2023. These instruments are typically entered into in order to extend existing hedges without the need to amend existing contracts.</w:t>
      </w:r>
    </w:p>
    <w:p>
      <w:pPr>
        <w:spacing w:after="0" w:line="173" w:lineRule="exact"/>
        <w:rPr>
          <w:rFonts w:ascii="Arial" w:cs="Arial" w:eastAsia="Arial" w:hAnsi="Arial"/>
          <w:sz w:val="17"/>
          <w:szCs w:val="17"/>
          <w:color w:val="auto"/>
        </w:rPr>
      </w:pPr>
    </w:p>
    <w:p>
      <w:pPr>
        <w:ind w:left="500" w:hanging="492"/>
        <w:spacing w:after="0" w:line="277" w:lineRule="auto"/>
        <w:tabs>
          <w:tab w:leader="none" w:pos="4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September 30,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60"/>
              <w:spacing w:after="0"/>
              <w:rPr>
                <w:sz w:val="20"/>
                <w:szCs w:val="20"/>
                <w:color w:val="auto"/>
              </w:rPr>
            </w:pPr>
            <w:r>
              <w:rPr>
                <w:rFonts w:ascii="Arial" w:cs="Arial" w:eastAsia="Arial" w:hAnsi="Arial"/>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Arial" w:cs="Arial" w:eastAsia="Arial" w:hAnsi="Arial"/>
                <w:sz w:val="16"/>
                <w:szCs w:val="16"/>
                <w:b w:val="1"/>
                <w:bCs w:val="1"/>
                <w:color w:val="auto"/>
              </w:rPr>
              <w:t>Receives fixed rate</w:t>
            </w:r>
          </w:p>
        </w:tc>
      </w:tr>
      <w:tr>
        <w:trPr>
          <w:trHeight w:val="158"/>
        </w:trPr>
        <w:tc>
          <w:tcPr>
            <w:tcW w:w="33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Notional</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480"/>
              <w:spacing w:after="0" w:line="158" w:lineRule="exact"/>
              <w:rPr>
                <w:sz w:val="20"/>
                <w:szCs w:val="20"/>
                <w:color w:val="auto"/>
              </w:rPr>
            </w:pPr>
            <w:r>
              <w:rPr>
                <w:rFonts w:ascii="Arial" w:cs="Arial" w:eastAsia="Arial" w:hAnsi="Arial"/>
                <w:sz w:val="16"/>
                <w:szCs w:val="16"/>
                <w:b w:val="1"/>
                <w:bCs w:val="1"/>
                <w:color w:val="auto"/>
                <w:w w:val="93"/>
              </w:rPr>
              <w:t>Notional</w:t>
            </w:r>
          </w:p>
        </w:tc>
        <w:tc>
          <w:tcPr>
            <w:tcW w:w="18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 life</w:t>
            </w:r>
          </w:p>
        </w:tc>
        <w:tc>
          <w:tcPr>
            <w:tcW w:w="3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amount</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7"/>
        </w:trPr>
        <w:tc>
          <w:tcPr>
            <w:tcW w:w="33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millions</w:t>
            </w: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75"/>
              <w:spacing w:after="0"/>
              <w:rPr>
                <w:sz w:val="20"/>
                <w:szCs w:val="20"/>
                <w:color w:val="auto"/>
              </w:rPr>
            </w:pPr>
            <w:r>
              <w:rPr>
                <w:rFonts w:ascii="Arial" w:cs="Arial" w:eastAsia="Arial" w:hAnsi="Arial"/>
                <w:sz w:val="16"/>
                <w:szCs w:val="16"/>
                <w:b w:val="1"/>
                <w:bCs w:val="1"/>
                <w:color w:val="auto"/>
                <w:w w:val="90"/>
              </w:rPr>
              <w:t>in millions</w:t>
            </w:r>
          </w:p>
        </w:tc>
        <w:tc>
          <w:tcPr>
            <w:tcW w:w="120" w:type="dxa"/>
            <w:vAlign w:val="bottom"/>
          </w:tcPr>
          <w:p>
            <w:pPr>
              <w:spacing w:after="0"/>
              <w:rPr>
                <w:sz w:val="17"/>
                <w:szCs w:val="17"/>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8"/>
        </w:trPr>
        <w:tc>
          <w:tcPr>
            <w:tcW w:w="3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3,370.1</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3,219.0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r>
      <w:tr>
        <w:trPr>
          <w:trHeight w:val="162"/>
        </w:trPr>
        <w:tc>
          <w:tcPr>
            <w:tcW w:w="3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w:t>
            </w:r>
          </w:p>
        </w:tc>
      </w:tr>
      <w:tr>
        <w:trPr>
          <w:trHeight w:val="162"/>
        </w:trPr>
        <w:tc>
          <w:tcPr>
            <w:tcW w:w="3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311"/>
        </w:trPr>
        <w:tc>
          <w:tcPr>
            <w:tcW w:w="338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29"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contracts associated with our investment in a leveraged structured note. For additional information,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September 30, 2023: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Notional amount due from</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counterparty</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 life</w:t>
            </w:r>
          </w:p>
        </w:tc>
      </w:tr>
      <w:tr>
        <w:trPr>
          <w:trHeight w:val="207"/>
        </w:trPr>
        <w:tc>
          <w:tcPr>
            <w:tcW w:w="7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center"/>
              <w:ind w:right="214"/>
              <w:spacing w:after="0"/>
              <w:rPr>
                <w:sz w:val="20"/>
                <w:szCs w:val="20"/>
                <w:color w:val="auto"/>
              </w:rPr>
            </w:pPr>
            <w:r>
              <w:rPr>
                <w:rFonts w:ascii="Arial" w:cs="Arial" w:eastAsia="Arial" w:hAnsi="Arial"/>
                <w:sz w:val="16"/>
                <w:szCs w:val="16"/>
                <w:b w:val="1"/>
                <w:bCs w:val="1"/>
                <w:color w:val="auto"/>
                <w:w w:val="93"/>
              </w:rPr>
              <w:t>in millions</w:t>
            </w:r>
          </w:p>
        </w:tc>
        <w:tc>
          <w:tcPr>
            <w:tcW w:w="140" w:type="dxa"/>
            <w:vAlign w:val="bottom"/>
          </w:tcPr>
          <w:p>
            <w:pPr>
              <w:spacing w:after="0"/>
              <w:rPr>
                <w:sz w:val="17"/>
                <w:szCs w:val="17"/>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8"/>
        </w:trPr>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3,573.2</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3,469.1</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September 30, 2023, we had no interest rate collar agreements, and the total U.S. dollar equivalents of the notional amounts of our purchased interest rate caps and floors were $1.2 billion and $5.8 billion, respectively.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5"/>
              </w:rPr>
              <w:t>Decrease to</w:t>
            </w:r>
          </w:p>
        </w:tc>
      </w:tr>
      <w:tr>
        <w:trPr>
          <w:trHeight w:val="162"/>
        </w:trPr>
        <w:tc>
          <w:tcPr>
            <w:tcW w:w="9380" w:type="dxa"/>
            <w:vAlign w:val="bottom"/>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borrowing costs at</w:t>
            </w:r>
          </w:p>
        </w:tc>
      </w:tr>
      <w:tr>
        <w:trPr>
          <w:trHeight w:val="213"/>
        </w:trPr>
        <w:tc>
          <w:tcPr>
            <w:tcW w:w="938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September 30, 2023 (a)</w:t>
            </w:r>
          </w:p>
        </w:tc>
      </w:tr>
      <w:tr>
        <w:trPr>
          <w:trHeight w:val="199"/>
        </w:trPr>
        <w:tc>
          <w:tcPr>
            <w:tcW w:w="93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VM Ireland</w:t>
            </w:r>
          </w:p>
        </w:tc>
        <w:tc>
          <w:tcPr>
            <w:tcW w:w="186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4"/>
        </w:trPr>
        <w:tc>
          <w:tcPr>
            <w:tcW w:w="9380" w:type="dxa"/>
            <w:vAlign w:val="bottom"/>
          </w:tcPr>
          <w:p>
            <w:pPr>
              <w:ind w:left="180"/>
              <w:spacing w:after="0"/>
              <w:rPr>
                <w:sz w:val="20"/>
                <w:szCs w:val="20"/>
                <w:color w:val="auto"/>
              </w:rPr>
            </w:pPr>
            <w:r>
              <w:rPr>
                <w:rFonts w:ascii="Arial" w:cs="Arial" w:eastAsia="Arial" w:hAnsi="Arial"/>
                <w:sz w:val="18"/>
                <w:szCs w:val="18"/>
                <w:color w:val="auto"/>
              </w:rPr>
              <w:t>Total decrease to borrowing costs</w:t>
            </w:r>
          </w:p>
        </w:tc>
        <w:tc>
          <w:tcPr>
            <w:tcW w:w="1860" w:type="dxa"/>
            <w:vAlign w:val="bottom"/>
          </w:tcPr>
          <w:p>
            <w:pPr>
              <w:jc w:val="right"/>
              <w:spacing w:after="0"/>
              <w:rPr>
                <w:sz w:val="20"/>
                <w:szCs w:val="20"/>
                <w:color w:val="auto"/>
              </w:rPr>
            </w:pPr>
            <w:r>
              <w:rPr>
                <w:rFonts w:ascii="Arial" w:cs="Arial" w:eastAsia="Arial" w:hAnsi="Arial"/>
                <w:sz w:val="18"/>
                <w:szCs w:val="18"/>
                <w:color w:val="auto"/>
              </w:rPr>
              <w:t>(3.50)%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effect of derivative instruments in effect at September 30, 2023 and does not include forward-starting derivative instruments.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September 30, 2023, the total U.S. dollar equivalent of the notional amounts of our foreign currency forward and option contracts was $491.2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Equity-related Derivative Instruments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Vodafone Collar and Vodafone Collar Loan. </w:t>
      </w:r>
      <w:r>
        <w:rPr>
          <w:rFonts w:ascii="Arial" w:cs="Arial" w:eastAsia="Arial" w:hAnsi="Arial"/>
          <w:sz w:val="18"/>
          <w:szCs w:val="18"/>
          <w:color w:val="auto"/>
        </w:rPr>
        <w:t>As part of the Vodafone Collar Transaction, on February 11, 2023, we entered into the Vodafone Collar</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all 1,335 million of our Vodafone shares. The Vodafone Collar is comprised of (i) purchase put options that we can exercise and (ii) written call options exercisable by the counterparty. The Vodafone Collar effectively hedges the value of our investment in Vodafone shares from potential losses due to market price decreases below the put option price while retaining a portion of the gains from market price increases up to the call option price. For additional information regarding our investment in Vodafone, see note 5.</w:t>
      </w:r>
    </w:p>
    <w:p>
      <w:pPr>
        <w:spacing w:after="0" w:line="21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Vodafone Collar Transaction also provided us with the ability to effectively finance the purchase of the Vodafone shares. In this regard, on February 11, 2023, we borrowed €1,143.6 million ($1,219.8 million at the transaction date) under the Vodafone Collar Loan. At September 30, 2023, borrowings under the Vodafone Collar Loan were collateralized by our Vodafone shares. The Vodafone Collar Loan has a face value of €1,258.0 million ($1,341.8 million at the transaction date) and was issued at a discount of €114.4 million ($122.0 million at the transaction date) with a zero coupon rate and an average implied yield of 295 basis points (2.95%). The Vodafone Collar Loan has settlement dates from July 2025 to December 2026, contains no financial covenants and provides for customary representations and warranties, events of default and certain adjustment and termination events. Under the terms of the Vodafone Collar, the counterparty has the right to re-use the pledged Vodafone shares, but we have the right to recall the shares that are re-used by the counterparty subject to certain costs. In addition, we will retain a portion of the dividends on the Vodafone shares, dependent on the value of the collar on the ex-dividend date.</w:t>
      </w:r>
    </w:p>
    <w:p>
      <w:pPr>
        <w:spacing w:after="0" w:line="204"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the fair value method to account for (i) certain of our investments and (ii) our derivative instruments. The reported fair values of these investments and derivative instruments as of September 30, 2023 are unlikely to represent the value that will be paid or received upon the ultimate settlement or disposition of these assets and liabilities.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6.</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nonrecurring valuations use significant unobservable inputs and therefore fall under Level 3 of the fair value hierarchy. During the nine months ended September 30, 2023 and 2022, we did not perform any significant nonrecurring fair value measurements.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Arial" w:cs="Arial" w:eastAsia="Arial" w:hAnsi="Arial"/>
                <w:sz w:val="16"/>
                <w:szCs w:val="16"/>
                <w:b w:val="1"/>
                <w:bCs w:val="1"/>
                <w:color w:val="auto"/>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September 30, 2023 using:</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Quoted prices in</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Significant other</w:t>
            </w:r>
          </w:p>
        </w:tc>
        <w:tc>
          <w:tcPr>
            <w:tcW w:w="160" w:type="dxa"/>
            <w:vAlign w:val="bottom"/>
          </w:tcPr>
          <w:p>
            <w:pPr>
              <w:spacing w:after="0"/>
              <w:rPr>
                <w:sz w:val="13"/>
                <w:szCs w:val="13"/>
                <w:color w:val="auto"/>
              </w:rPr>
            </w:pPr>
          </w:p>
        </w:tc>
        <w:tc>
          <w:tcPr>
            <w:tcW w:w="110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active markets for</w:t>
            </w:r>
          </w:p>
        </w:tc>
        <w:tc>
          <w:tcPr>
            <w:tcW w:w="1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2"/>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62"/>
        </w:trPr>
        <w:tc>
          <w:tcPr>
            <w:tcW w:w="5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5"/>
              </w:rPr>
              <w:t>identical assets</w:t>
            </w:r>
          </w:p>
        </w:tc>
        <w:tc>
          <w:tcPr>
            <w:tcW w:w="13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7"/>
              </w:rPr>
              <w:t>observable inputs</w:t>
            </w:r>
          </w:p>
        </w:tc>
        <w:tc>
          <w:tcPr>
            <w:tcW w:w="160" w:type="dxa"/>
            <w:vAlign w:val="bottom"/>
          </w:tcPr>
          <w:p>
            <w:pPr>
              <w:spacing w:after="0"/>
              <w:rPr>
                <w:sz w:val="14"/>
                <w:szCs w:val="14"/>
                <w:color w:val="auto"/>
              </w:rPr>
            </w:pPr>
          </w:p>
        </w:tc>
        <w:tc>
          <w:tcPr>
            <w:tcW w:w="1100" w:type="dxa"/>
            <w:vAlign w:val="bottom"/>
          </w:tcPr>
          <w:p>
            <w:pPr>
              <w:jc w:val="center"/>
              <w:ind w:right="92"/>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5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2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(Level 2)</w:t>
            </w:r>
          </w:p>
        </w:tc>
        <w:tc>
          <w:tcPr>
            <w:tcW w:w="16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7"/>
        </w:trPr>
        <w:tc>
          <w:tcPr>
            <w:tcW w:w="1240" w:type="dxa"/>
            <w:vAlign w:val="bottom"/>
            <w:tcBorders>
              <w:top w:val="single" w:sz="8" w:color="auto"/>
            </w:tcBorders>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w w:val="95"/>
              </w:rPr>
              <w:t>in millions</w:t>
            </w: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derivative instruments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9"/>
        </w:trPr>
        <w:tc>
          <w:tcPr>
            <w:tcW w:w="566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1,562.1</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1,562.1</w:t>
            </w:r>
          </w:p>
        </w:tc>
        <w:tc>
          <w:tcPr>
            <w:tcW w:w="0" w:type="dxa"/>
            <w:vAlign w:val="bottom"/>
          </w:tcPr>
          <w:p>
            <w:pPr>
              <w:spacing w:after="0"/>
              <w:rPr>
                <w:sz w:val="1"/>
                <w:szCs w:val="1"/>
                <w:color w:val="auto"/>
              </w:rPr>
            </w:pPr>
          </w:p>
        </w:tc>
      </w:tr>
      <w:tr>
        <w:trPr>
          <w:trHeight w:val="223"/>
        </w:trPr>
        <w:tc>
          <w:tcPr>
            <w:tcW w:w="5660" w:type="dxa"/>
            <w:vAlign w:val="bottom"/>
            <w:gridSpan w:val="2"/>
          </w:tcPr>
          <w:p>
            <w:pPr>
              <w:ind w:left="5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2,079.7</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1,791.2</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4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Equity-related derivative instruments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6"/>
          </w:tcPr>
          <w:p>
            <w:pPr>
              <w:jc w:val="right"/>
              <w:spacing w:after="0"/>
              <w:rPr>
                <w:sz w:val="20"/>
                <w:szCs w:val="20"/>
                <w:color w:val="auto"/>
              </w:rPr>
            </w:pPr>
            <w:r>
              <w:rPr>
                <w:rFonts w:ascii="Arial" w:cs="Arial" w:eastAsia="Arial" w:hAnsi="Arial"/>
                <w:sz w:val="16"/>
                <w:szCs w:val="16"/>
                <w:b w:val="1"/>
                <w:bCs w:val="1"/>
                <w:color w:val="auto"/>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 2022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Quoted prices in</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Significant other</w:t>
            </w:r>
          </w:p>
        </w:tc>
        <w:tc>
          <w:tcPr>
            <w:tcW w:w="140" w:type="dxa"/>
            <w:vAlign w:val="bottom"/>
          </w:tcPr>
          <w:p>
            <w:pPr>
              <w:spacing w:after="0"/>
              <w:rPr>
                <w:sz w:val="13"/>
                <w:szCs w:val="13"/>
                <w:color w:val="auto"/>
              </w:rPr>
            </w:pPr>
          </w:p>
        </w:tc>
        <w:tc>
          <w:tcPr>
            <w:tcW w:w="112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December 31,</w:t>
            </w: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active markets for</w:t>
            </w: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62"/>
        </w:trPr>
        <w:tc>
          <w:tcPr>
            <w:tcW w:w="5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5"/>
              </w:rPr>
              <w:t>identical assets</w:t>
            </w:r>
          </w:p>
        </w:tc>
        <w:tc>
          <w:tcPr>
            <w:tcW w:w="13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7"/>
              </w:rPr>
              <w:t>observable inputs</w:t>
            </w: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5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2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7"/>
        </w:trPr>
        <w:tc>
          <w:tcPr>
            <w:tcW w:w="126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w w:val="93"/>
              </w:rPr>
              <w:t>in millions</w:t>
            </w: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Total derivative instruments</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SMAs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2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Equity-related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Investments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derivative</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7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instruments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at January 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Gains (losses) included in loss from continuing operations (a):</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Realized and unrealized gains on derivative instruments,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w w:val="99"/>
              </w:rPr>
              <w:t>Realized and unrealized losses due to changes in fair values of certain investments,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Dispositions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and other, net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Balance of net assets at September 30, 2023 (b)</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primarily relate to assets and liabilities that we continue to carry on our condensed consolidated balance sheet as of September 30, 2023.</w:t>
      </w:r>
    </w:p>
    <w:p>
      <w:pPr>
        <w:spacing w:after="0" w:line="275" w:lineRule="exact"/>
        <w:rPr>
          <w:rFonts w:ascii="Arial" w:cs="Arial" w:eastAsia="Arial" w:hAnsi="Arial"/>
          <w:sz w:val="16"/>
          <w:szCs w:val="16"/>
          <w:color w:val="auto"/>
        </w:rPr>
      </w:pPr>
    </w:p>
    <w:p>
      <w:pPr>
        <w:ind w:left="500" w:hanging="492"/>
        <w:spacing w:after="0" w:line="277" w:lineRule="auto"/>
        <w:tabs>
          <w:tab w:leader="none" w:pos="4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September 30, 2023, $361.5 million of our Level 3 investments were accounted for under the measurement alternative at cost less impairment, adjusted for observable price changes.</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7"/>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in millions</w:t>
            </w:r>
          </w:p>
        </w:tc>
      </w:tr>
      <w:tr>
        <w:trPr>
          <w:trHeight w:val="208"/>
        </w:trPr>
        <w:tc>
          <w:tcPr>
            <w:tcW w:w="8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9,134.3</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Support equipment, buildings and land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4,067.2</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1,338.1</w:t>
            </w:r>
          </w:p>
        </w:tc>
      </w:tr>
      <w:tr>
        <w:trPr>
          <w:trHeight w:val="223"/>
        </w:trPr>
        <w:tc>
          <w:tcPr>
            <w:tcW w:w="8460" w:type="dxa"/>
            <w:vAlign w:val="bottom"/>
          </w:tcPr>
          <w:p>
            <w:pPr>
              <w:jc w:val="right"/>
              <w:ind w:right="5590"/>
              <w:spacing w:after="0"/>
              <w:rPr>
                <w:sz w:val="20"/>
                <w:szCs w:val="20"/>
                <w:color w:val="auto"/>
              </w:rPr>
            </w:pPr>
            <w:r>
              <w:rPr>
                <w:rFonts w:ascii="Arial" w:cs="Arial" w:eastAsia="Arial" w:hAnsi="Arial"/>
                <w:sz w:val="18"/>
                <w:szCs w:val="18"/>
                <w:color w:val="auto"/>
                <w:w w:val="95"/>
              </w:rPr>
              <w:t>Total property and equipment, gross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14,539.6</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(8,035.1)</w:t>
            </w:r>
          </w:p>
        </w:tc>
      </w:tr>
      <w:tr>
        <w:trPr>
          <w:trHeight w:val="223"/>
        </w:trPr>
        <w:tc>
          <w:tcPr>
            <w:tcW w:w="8460" w:type="dxa"/>
            <w:vAlign w:val="bottom"/>
          </w:tcPr>
          <w:p>
            <w:pPr>
              <w:jc w:val="right"/>
              <w:ind w:right="557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6,504.5</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During the nine months ended September 30, 2023 and 2022, we recorded non-cash increases to our property and equipment related to vendor financing arrangements of $129.9 million and $142.9 million,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$14.8 million and $17.0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the nine months ended September 30, 2023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Acquisitions</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currency</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4"/>
                <w:szCs w:val="14"/>
                <w:color w:val="auto"/>
              </w:rPr>
            </w:pPr>
          </w:p>
        </w:tc>
        <w:tc>
          <w:tcPr>
            <w:tcW w:w="122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January 1, 2023</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and related</w:t>
            </w:r>
          </w:p>
        </w:tc>
        <w:tc>
          <w:tcPr>
            <w:tcW w:w="138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adjustments and</w:t>
            </w: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adjustments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7"/>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5"/>
          </w:tcPr>
          <w:p>
            <w:pPr>
              <w:ind w:left="8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6,578.7</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9,766.9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2023</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9"/>
        </w:trPr>
        <w:tc>
          <w:tcPr>
            <w:tcW w:w="350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106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94"/>
              </w:rPr>
              <w:t>Net carrying</w:t>
            </w:r>
          </w:p>
        </w:tc>
        <w:tc>
          <w:tcPr>
            <w:tcW w:w="10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right"/>
              <w:ind w:right="54"/>
              <w:spacing w:after="0" w:line="158" w:lineRule="exact"/>
              <w:rPr>
                <w:sz w:val="20"/>
                <w:szCs w:val="20"/>
                <w:color w:val="auto"/>
              </w:rPr>
            </w:pPr>
            <w:r>
              <w:rPr>
                <w:rFonts w:ascii="Arial" w:cs="Arial" w:eastAsia="Arial" w:hAnsi="Arial"/>
                <w:sz w:val="16"/>
                <w:szCs w:val="16"/>
                <w:b w:val="1"/>
                <w:bCs w:val="1"/>
                <w:color w:val="auto"/>
                <w:w w:val="94"/>
              </w:rPr>
              <w:t>Net carrying</w:t>
            </w:r>
          </w:p>
        </w:tc>
      </w:tr>
      <w:tr>
        <w:trPr>
          <w:trHeight w:val="213"/>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amount</w:t>
            </w:r>
          </w:p>
        </w:tc>
      </w:tr>
      <w:tr>
        <w:trPr>
          <w:trHeight w:val="207"/>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68"/>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w:t>
            </w:r>
          </w:p>
        </w:tc>
      </w:tr>
      <w:tr>
        <w:trPr>
          <w:trHeight w:val="248"/>
        </w:trPr>
        <w:tc>
          <w:tcPr>
            <w:tcW w:w="3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nine months ended September 30, 2022, we recorded a non-cash increase of $384.1 million related to Telenet’s acquisition of mobile spectrum licenses.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September 30, 2023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4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3"/>
          </w:tcPr>
          <w:p>
            <w:pPr>
              <w:jc w:val="right"/>
              <w:ind w:right="632"/>
              <w:spacing w:after="0" w:line="158" w:lineRule="exact"/>
              <w:rPr>
                <w:sz w:val="20"/>
                <w:szCs w:val="20"/>
                <w:color w:val="auto"/>
              </w:rPr>
            </w:pPr>
            <w:r>
              <w:rPr>
                <w:rFonts w:ascii="Arial" w:cs="Arial" w:eastAsia="Arial" w:hAnsi="Arial"/>
                <w:sz w:val="16"/>
                <w:szCs w:val="16"/>
                <w:b w:val="1"/>
                <w:bCs w:val="1"/>
                <w:color w:val="auto"/>
              </w:rPr>
              <w:t>Unused borrowing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2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gridSpan w:val="3"/>
            <w:vMerge w:val="restart"/>
          </w:tcPr>
          <w:p>
            <w:pPr>
              <w:jc w:val="right"/>
              <w:ind w:right="872"/>
              <w:spacing w:after="0"/>
              <w:rPr>
                <w:sz w:val="20"/>
                <w:szCs w:val="20"/>
                <w:color w:val="auto"/>
              </w:rPr>
            </w:pPr>
            <w:r>
              <w:rPr>
                <w:rFonts w:ascii="Arial" w:cs="Arial" w:eastAsia="Arial" w:hAnsi="Arial"/>
                <w:sz w:val="16"/>
                <w:szCs w:val="16"/>
                <w:b w:val="1"/>
                <w:bCs w:val="1"/>
                <w:color w:val="auto"/>
              </w:rPr>
              <w:t>capacity (b)</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2620" w:type="dxa"/>
            <w:vAlign w:val="bottom"/>
            <w:gridSpan w:val="4"/>
            <w:vMerge w:val="restart"/>
          </w:tcPr>
          <w:p>
            <w:pPr>
              <w:jc w:val="right"/>
              <w:ind w:right="691"/>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3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restart"/>
          </w:tcPr>
          <w:p>
            <w:pPr>
              <w:jc w:val="center"/>
              <w:ind w:right="213"/>
              <w:spacing w:after="0"/>
              <w:rPr>
                <w:sz w:val="20"/>
                <w:szCs w:val="20"/>
                <w:color w:val="auto"/>
              </w:rPr>
            </w:pPr>
            <w:r>
              <w:rPr>
                <w:rFonts w:ascii="Arial" w:cs="Arial" w:eastAsia="Arial" w:hAnsi="Arial"/>
                <w:sz w:val="16"/>
                <w:szCs w:val="16"/>
                <w:b w:val="1"/>
                <w:bCs w:val="1"/>
                <w:color w:val="auto"/>
                <w:w w:val="94"/>
              </w:rPr>
              <w:t>Borrowing</w:t>
            </w:r>
          </w:p>
        </w:tc>
        <w:tc>
          <w:tcPr>
            <w:tcW w:w="200" w:type="dxa"/>
            <w:vAlign w:val="bottom"/>
          </w:tcPr>
          <w:p>
            <w:pPr>
              <w:spacing w:after="0"/>
              <w:rPr>
                <w:sz w:val="2"/>
                <w:szCs w:val="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U.S. $</w:t>
            </w:r>
          </w:p>
        </w:tc>
        <w:tc>
          <w:tcPr>
            <w:tcW w:w="140" w:type="dxa"/>
            <w:vAlign w:val="bottom"/>
          </w:tcPr>
          <w:p>
            <w:pPr>
              <w:spacing w:after="0"/>
              <w:rPr>
                <w:sz w:val="2"/>
                <w:szCs w:val="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
                <w:szCs w:val="2"/>
                <w:color w:val="auto"/>
              </w:rPr>
            </w:pPr>
          </w:p>
        </w:tc>
        <w:tc>
          <w:tcPr>
            <w:tcW w:w="116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line="20" w:lineRule="exact"/>
              <w:rPr>
                <w:sz w:val="1"/>
                <w:szCs w:val="1"/>
                <w:color w:val="auto"/>
              </w:rPr>
            </w:pPr>
          </w:p>
        </w:tc>
      </w:tr>
      <w:tr>
        <w:trPr>
          <w:trHeight w:val="162"/>
        </w:trPr>
        <w:tc>
          <w:tcPr>
            <w:tcW w:w="424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interest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rate (a)</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w w:val="88"/>
              </w:rPr>
              <w:t>currency</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equivalent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5"/>
          </w:tcPr>
          <w:p>
            <w:pPr>
              <w:ind w:left="80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Bank Facility (c)</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713.4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UPC SPE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4.57 %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Senior Notes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Telenet Credit Facility (d)</w:t>
            </w:r>
          </w:p>
        </w:tc>
        <w:tc>
          <w:tcPr>
            <w:tcW w:w="1320" w:type="dxa"/>
            <w:vAlign w:val="bottom"/>
          </w:tcPr>
          <w:p>
            <w:pPr>
              <w:jc w:val="right"/>
              <w:spacing w:after="0"/>
              <w:rPr>
                <w:sz w:val="20"/>
                <w:szCs w:val="20"/>
                <w:color w:val="auto"/>
              </w:rPr>
            </w:pPr>
            <w:r>
              <w:rPr>
                <w:rFonts w:ascii="Arial" w:cs="Arial" w:eastAsia="Arial" w:hAnsi="Arial"/>
                <w:sz w:val="18"/>
                <w:szCs w:val="18"/>
                <w:color w:val="auto"/>
              </w:rPr>
              <w:t>6.98 %</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645.0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3,483.9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Senior Secured Notes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VM Ireland Credit Facility (e)</w:t>
            </w:r>
          </w:p>
        </w:tc>
        <w:tc>
          <w:tcPr>
            <w:tcW w:w="1320" w:type="dxa"/>
            <w:vAlign w:val="bottom"/>
          </w:tcPr>
          <w:p>
            <w:pPr>
              <w:jc w:val="right"/>
              <w:spacing w:after="0"/>
              <w:rPr>
                <w:sz w:val="20"/>
                <w:szCs w:val="20"/>
                <w:color w:val="auto"/>
              </w:rPr>
            </w:pPr>
            <w:r>
              <w:rPr>
                <w:rFonts w:ascii="Arial" w:cs="Arial" w:eastAsia="Arial" w:hAnsi="Arial"/>
                <w:sz w:val="18"/>
                <w:szCs w:val="18"/>
                <w:color w:val="auto"/>
              </w:rPr>
              <w:t>7.31 %</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 Collar Loan (f)</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LGBH Facility B (g)</w:t>
            </w:r>
          </w:p>
        </w:tc>
        <w:tc>
          <w:tcPr>
            <w:tcW w:w="1320" w:type="dxa"/>
            <w:vAlign w:val="bottom"/>
          </w:tcPr>
          <w:p>
            <w:pPr>
              <w:jc w:val="right"/>
              <w:spacing w:after="0"/>
              <w:rPr>
                <w:sz w:val="20"/>
                <w:szCs w:val="20"/>
                <w:color w:val="auto"/>
              </w:rPr>
            </w:pPr>
            <w:r>
              <w:rPr>
                <w:rFonts w:ascii="Arial" w:cs="Arial" w:eastAsia="Arial" w:hAnsi="Arial"/>
                <w:sz w:val="18"/>
                <w:szCs w:val="18"/>
                <w:color w:val="auto"/>
              </w:rPr>
              <w:t>7.85 %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Vendor financing (h)</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Other (i)</w:t>
            </w:r>
          </w:p>
        </w:tc>
        <w:tc>
          <w:tcPr>
            <w:tcW w:w="1320" w:type="dxa"/>
            <w:vAlign w:val="bottom"/>
          </w:tcPr>
          <w:p>
            <w:pPr>
              <w:jc w:val="right"/>
              <w:spacing w:after="0"/>
              <w:rPr>
                <w:sz w:val="20"/>
                <w:szCs w:val="20"/>
                <w:color w:val="auto"/>
              </w:rPr>
            </w:pPr>
            <w:r>
              <w:rPr>
                <w:rFonts w:ascii="Arial" w:cs="Arial" w:eastAsia="Arial" w:hAnsi="Arial"/>
                <w:sz w:val="18"/>
                <w:szCs w:val="18"/>
                <w:color w:val="auto"/>
              </w:rPr>
              <w:t>5.57 %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155"/>
        </w:trPr>
        <w:tc>
          <w:tcPr>
            <w:tcW w:w="424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w w:val="96"/>
              </w:rPr>
              <w:t>Total debt before deferred financing costs, discounts</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6.13 %</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1,542.6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15,289.9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13,370.2</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premiums (j)</w:t>
            </w: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7"/>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in millions</w:t>
            </w:r>
          </w:p>
        </w:tc>
      </w:tr>
      <w:tr>
        <w:trPr>
          <w:trHeight w:val="168"/>
        </w:trPr>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13,370.2</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23"/>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13,327.1</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10)</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r>
      <w:tr>
        <w:trPr>
          <w:trHeight w:val="223"/>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and finance lease obligations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13,763.2</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91" w:lineRule="auto"/>
        <w:tabs>
          <w:tab w:leader="none" w:pos="4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weighted average interest rate in effect at September 30, 2023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3.48% at September 30, 2023. The weighted average interest rate calculation includes principal amounts outstanding associated with all of our secured and unsecured borrowings. For information regarding our derivative instruments, see note 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500" w:hanging="492"/>
        <w:spacing w:after="0" w:line="273" w:lineRule="auto"/>
        <w:tabs>
          <w:tab w:leader="none" w:pos="494"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Unused borrowing capacity represents the maximum availability under the applicable facility at September 30, 2023 without regard to covenant compliance calculations or other conditions precedent to borrowing. The following table provides our borrowing availability and amounts available to loan or distribute in accordance with the terms of the respective subsidiary facilities, (i) at September 30, 2023 and (ii) upon completion of the relevant September 30, 2023 compliance reporting requirements. These amounts do not consider any actual or potential changes to our borrowing levels or any amounts loaned or distributed subsequent to September 30, 2023, or the full impact of additional amounts that may be available to borrow, loan or distribute under certain defined baskets within each respective facility.</w:t>
      </w:r>
    </w:p>
    <w:p>
      <w:pPr>
        <w:spacing w:after="0" w:line="97"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6"/>
                <w:szCs w:val="16"/>
                <w:b w:val="1"/>
                <w:bCs w:val="1"/>
                <w:color w:val="auto"/>
              </w:rPr>
              <w:t>Availability</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3"/>
          </w:tcPr>
          <w:p>
            <w:pPr>
              <w:jc w:val="right"/>
              <w:ind w:right="252"/>
              <w:spacing w:after="0" w:line="158" w:lineRule="exact"/>
              <w:rPr>
                <w:sz w:val="20"/>
                <w:szCs w:val="20"/>
                <w:color w:val="auto"/>
              </w:rPr>
            </w:pPr>
            <w:r>
              <w:rPr>
                <w:rFonts w:ascii="Arial" w:cs="Arial" w:eastAsia="Arial" w:hAnsi="Arial"/>
                <w:sz w:val="16"/>
                <w:szCs w:val="16"/>
                <w:b w:val="1"/>
                <w:bCs w:val="1"/>
                <w:color w:val="auto"/>
                <w:w w:val="91"/>
              </w:rPr>
              <w:t>Upon completion of the relevant</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vMerge w:val="restart"/>
          </w:tcPr>
          <w:p>
            <w:pPr>
              <w:ind w:left="44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4"/>
                <w:szCs w:val="14"/>
                <w:color w:val="auto"/>
              </w:rPr>
            </w:pPr>
          </w:p>
        </w:tc>
        <w:tc>
          <w:tcPr>
            <w:tcW w:w="2600" w:type="dxa"/>
            <w:vAlign w:val="bottom"/>
            <w:gridSpan w:val="3"/>
          </w:tcPr>
          <w:p>
            <w:pPr>
              <w:ind w:left="140"/>
              <w:spacing w:after="0" w:line="162" w:lineRule="exact"/>
              <w:rPr>
                <w:sz w:val="20"/>
                <w:szCs w:val="20"/>
                <w:color w:val="auto"/>
              </w:rPr>
            </w:pPr>
            <w:r>
              <w:rPr>
                <w:rFonts w:ascii="Arial" w:cs="Arial" w:eastAsia="Arial" w:hAnsi="Arial"/>
                <w:sz w:val="16"/>
                <w:szCs w:val="16"/>
                <w:b w:val="1"/>
                <w:bCs w:val="1"/>
                <w:color w:val="auto"/>
              </w:rPr>
              <w:t>September 30, 2023 compliance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3"/>
          </w:tcPr>
          <w:p>
            <w:pPr>
              <w:jc w:val="right"/>
              <w:ind w:right="472"/>
              <w:spacing w:after="0"/>
              <w:rPr>
                <w:sz w:val="20"/>
                <w:szCs w:val="20"/>
                <w:color w:val="auto"/>
              </w:rPr>
            </w:pPr>
            <w:r>
              <w:rPr>
                <w:rFonts w:ascii="Arial" w:cs="Arial" w:eastAsia="Arial" w:hAnsi="Arial"/>
                <w:sz w:val="16"/>
                <w:szCs w:val="16"/>
                <w:b w:val="1"/>
                <w:bCs w:val="1"/>
                <w:color w:val="auto"/>
              </w:rPr>
              <w:t>reporting requirements</w:t>
            </w: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173"/>
              <w:spacing w:after="0" w:line="158" w:lineRule="exact"/>
              <w:rPr>
                <w:sz w:val="20"/>
                <w:szCs w:val="20"/>
                <w:color w:val="auto"/>
              </w:rPr>
            </w:pPr>
            <w:r>
              <w:rPr>
                <w:rFonts w:ascii="Arial" w:cs="Arial" w:eastAsia="Arial" w:hAnsi="Arial"/>
                <w:sz w:val="16"/>
                <w:szCs w:val="16"/>
                <w:b w:val="1"/>
                <w:bCs w:val="1"/>
                <w:color w:val="auto"/>
                <w:w w:val="99"/>
              </w:rPr>
              <w:t>Borrowing</w:t>
            </w: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94"/>
              <w:spacing w:after="0" w:line="158" w:lineRule="exact"/>
              <w:rPr>
                <w:sz w:val="20"/>
                <w:szCs w:val="20"/>
                <w:color w:val="auto"/>
              </w:rPr>
            </w:pPr>
            <w:r>
              <w:rPr>
                <w:rFonts w:ascii="Arial" w:cs="Arial" w:eastAsia="Arial" w:hAnsi="Arial"/>
                <w:sz w:val="16"/>
                <w:szCs w:val="16"/>
                <w:b w:val="1"/>
                <w:bCs w:val="1"/>
                <w:color w:val="auto"/>
                <w:w w:val="89"/>
              </w:rPr>
              <w:t>U.S. $</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40"/>
              <w:spacing w:after="0" w:line="158" w:lineRule="exact"/>
              <w:rPr>
                <w:sz w:val="20"/>
                <w:szCs w:val="20"/>
                <w:color w:val="auto"/>
              </w:rPr>
            </w:pPr>
            <w:r>
              <w:rPr>
                <w:rFonts w:ascii="Arial" w:cs="Arial" w:eastAsia="Arial" w:hAnsi="Arial"/>
                <w:sz w:val="16"/>
                <w:szCs w:val="16"/>
                <w:b w:val="1"/>
                <w:bCs w:val="1"/>
                <w:color w:val="auto"/>
              </w:rPr>
              <w:t>Borrowing</w:t>
            </w: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72"/>
              <w:spacing w:after="0" w:line="158" w:lineRule="exact"/>
              <w:rPr>
                <w:sz w:val="20"/>
                <w:szCs w:val="20"/>
                <w:color w:val="auto"/>
              </w:rPr>
            </w:pPr>
            <w:r>
              <w:rPr>
                <w:rFonts w:ascii="Arial" w:cs="Arial" w:eastAsia="Arial" w:hAnsi="Arial"/>
                <w:sz w:val="16"/>
                <w:szCs w:val="16"/>
                <w:b w:val="1"/>
                <w:bCs w:val="1"/>
                <w:color w:val="auto"/>
              </w:rPr>
              <w:t>U.S. $</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equivalent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currency</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equivalent</w:t>
            </w:r>
          </w:p>
        </w:tc>
        <w:tc>
          <w:tcPr>
            <w:tcW w:w="0" w:type="dxa"/>
            <w:vAlign w:val="bottom"/>
          </w:tcPr>
          <w:p>
            <w:pPr>
              <w:spacing w:after="0"/>
              <w:rPr>
                <w:sz w:val="1"/>
                <w:szCs w:val="1"/>
                <w:color w:val="auto"/>
              </w:rPr>
            </w:pPr>
          </w:p>
        </w:tc>
      </w:tr>
      <w:tr>
        <w:trPr>
          <w:trHeight w:val="207"/>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gridSpan w:val="4"/>
          </w:tcPr>
          <w:p>
            <w:pPr>
              <w:jc w:val="right"/>
              <w:ind w:right="874"/>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 to borrow:</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Arial" w:cs="Arial" w:eastAsia="Arial" w:hAnsi="Arial"/>
                <w:sz w:val="18"/>
                <w:szCs w:val="18"/>
                <w:color w:val="auto"/>
              </w:rPr>
              <w:t>UPC Holding Bank Facility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713.4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754.6</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713.4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Telenet Credit Facility</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Arial" w:cs="Arial" w:eastAsia="Arial" w:hAnsi="Arial"/>
                <w:sz w:val="18"/>
                <w:szCs w:val="18"/>
                <w:color w:val="auto"/>
              </w:rPr>
              <w:t>VM Ireland Credit Facility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Available to loan or distribute: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UPC Holding Bank Facility</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Arial" w:cs="Arial" w:eastAsia="Arial" w:hAnsi="Arial"/>
                <w:sz w:val="18"/>
                <w:szCs w:val="18"/>
                <w:color w:val="auto"/>
              </w:rPr>
              <w:t>Telenet Credit Facility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645.0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682.2</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 Ireland Credit Facility</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500" w:hanging="492"/>
        <w:spacing w:after="0" w:line="275" w:lineRule="auto"/>
        <w:tabs>
          <w:tab w:leader="none" w:pos="4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Unused borrowing capacity under the UPC Holding Bank Facility relates to an equivalent €713.4 million ($754.6 million) under the UPC Revolving Facility. The UPC Revolving Facility provides for maximum borrowing capacity of €736.4 million ($778.9 million), including €23.0 million ($24.3 million) under the related ancillary facility. With the exception of €23.0 million of borrowings under the ancillary facility, the UPC Revolving Facility was undrawn at September 30, 2023. During 2023, the UPC Holding Bank Facility was amended to replace LIBOR with the Term Secured Overnight Financing Rate (</w:t>
      </w:r>
      <w:r>
        <w:rPr>
          <w:rFonts w:ascii="Arial" w:cs="Arial" w:eastAsia="Arial" w:hAnsi="Arial"/>
          <w:sz w:val="17"/>
          <w:szCs w:val="17"/>
          <w:b w:val="1"/>
          <w:bCs w:val="1"/>
          <w:color w:val="auto"/>
        </w:rPr>
        <w:t>Term SOFR</w:t>
      </w:r>
      <w:r>
        <w:rPr>
          <w:rFonts w:ascii="Arial" w:cs="Arial" w:eastAsia="Arial" w:hAnsi="Arial"/>
          <w:sz w:val="17"/>
          <w:szCs w:val="17"/>
          <w:color w:val="auto"/>
        </w:rPr>
        <w:t>) as the reference rate for U.S. dollar-denominated loans.</w:t>
      </w:r>
    </w:p>
    <w:p>
      <w:pPr>
        <w:spacing w:after="0" w:line="203" w:lineRule="exact"/>
        <w:rPr>
          <w:rFonts w:ascii="Arial" w:cs="Arial" w:eastAsia="Arial" w:hAnsi="Arial"/>
          <w:sz w:val="17"/>
          <w:szCs w:val="17"/>
          <w:color w:val="auto"/>
        </w:rPr>
      </w:pPr>
    </w:p>
    <w:p>
      <w:pPr>
        <w:jc w:val="both"/>
        <w:ind w:left="500" w:hanging="492"/>
        <w:spacing w:after="0" w:line="290" w:lineRule="auto"/>
        <w:tabs>
          <w:tab w:leader="none" w:pos="4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Unused borrowing capacity under the Telenet Credit Facility comprises (i) €570.0 million ($602.9 million) under Telenet Revolving Facility B (as defined below), (ii) €30.0 million ($31.7 million) under Telenet Revolving Facility A (as defined below), (iii) €25.0 million ($26.4 million) under the Telenet Overdraft Facility and (iv) €20.0 million ($21.2 million) under the Telenet Revolving Facility, each of which were undrawn at September 30, 2023. During 2023, the Telenet Credit Facility was amended to replace LIBOR with Term SOFR as the reference rate for U.S. dollar-denominated loans. In addition, Telenet Revolving Facility I was amended to provide for an additional €90.0 million ($95.2 million) of borrowing capacity and was split into two revolving facilities. Telenet Revolving Facility A has a maximum borrowing capacity of €30.0 million and a final maturity date of May 31, 2026 and Telenet Revolving Facility B has a maximum borrowing capacity of €570.0 million and a final maturity date of May 31, 2029. All other terms from the previously existing Telenet Revolving Facility I continue to apply to the new revolving facilities.</w:t>
      </w:r>
    </w:p>
    <w:p>
      <w:pPr>
        <w:spacing w:after="0" w:line="192" w:lineRule="exact"/>
        <w:rPr>
          <w:rFonts w:ascii="Arial" w:cs="Arial" w:eastAsia="Arial" w:hAnsi="Arial"/>
          <w:sz w:val="16"/>
          <w:szCs w:val="16"/>
          <w:color w:val="auto"/>
        </w:rPr>
      </w:pPr>
    </w:p>
    <w:p>
      <w:pPr>
        <w:ind w:left="500" w:hanging="492"/>
        <w:spacing w:after="0" w:line="277" w:lineRule="auto"/>
        <w:tabs>
          <w:tab w:leader="none" w:pos="4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Unused borrowing capacity under the VM Ireland Credit Facility relates to €100.0 million ($105.8 million) under the VM Ireland Revolving Facility, which was undrawn at September 30, 2023.</w:t>
      </w:r>
    </w:p>
    <w:p>
      <w:pPr>
        <w:spacing w:after="0" w:line="197" w:lineRule="exact"/>
        <w:rPr>
          <w:rFonts w:ascii="Arial" w:cs="Arial" w:eastAsia="Arial" w:hAnsi="Arial"/>
          <w:sz w:val="18"/>
          <w:szCs w:val="18"/>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information regarding the Vodafone Collar Loan, see notes 5 and 6.</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For information regarding LGBH Facility B, see the </w:t>
      </w:r>
      <w:r>
        <w:rPr>
          <w:rFonts w:ascii="Arial" w:cs="Arial" w:eastAsia="Arial" w:hAnsi="Arial"/>
          <w:sz w:val="18"/>
          <w:szCs w:val="18"/>
          <w:i w:val="1"/>
          <w:iCs w:val="1"/>
          <w:color w:val="auto"/>
        </w:rPr>
        <w:t>Financing Transactions</w:t>
      </w:r>
      <w:r>
        <w:rPr>
          <w:rFonts w:ascii="Arial" w:cs="Arial" w:eastAsia="Arial" w:hAnsi="Arial"/>
          <w:sz w:val="18"/>
          <w:szCs w:val="18"/>
          <w:color w:val="auto"/>
        </w:rPr>
        <w:t xml:space="preserve"> section below.</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nine months ended September 30, 2023 and 2022, the constructive cash outflow included in cash flows from operating activities and the corresponding constructive cash inflow included in cash flows from financing activities related to these operating expenses were $444.5 million and $397.1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223" w:lineRule="exact"/>
        <w:rPr>
          <w:sz w:val="20"/>
          <w:szCs w:val="20"/>
          <w:color w:val="auto"/>
        </w:rPr>
      </w:pPr>
    </w:p>
    <w:p>
      <w:pPr>
        <w:jc w:val="both"/>
        <w:ind w:left="500" w:hanging="492"/>
        <w:spacing w:after="0" w:line="263" w:lineRule="auto"/>
        <w:tabs>
          <w:tab w:leader="none" w:pos="4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include $420.5 million and $428.1 million at September 30, 2023 and December 31, 2022, respectively, of liabilities related to Telenet’s acquisition of mobile spectrum licenses. Telenet will make annual payments for the license fees over the terms of the respective licenses. For additional information regarding Telenet’s acquisition of mobile spectrum licenses, see note 8.</w:t>
      </w:r>
    </w:p>
    <w:p>
      <w:pPr>
        <w:spacing w:after="0" w:line="210"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September 30, 2023 and December 31, 2022, our debt had an estimated fair value of $14.6 billion and $12.6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2023, most of our outstanding debt had been incurred by one of our three subsidiary “borrowing groups.” References to these borrowing groups, which comprise UPC Holding, Telenet and VM Ireland, include their respective restricted parent and subsidiary entities. For information regarding the general terms and conditions of our debt and capitalized terms not defined herein, see note 11 to the consolidated financial statements included in our 10-K.</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connection with the Telenet Takeover Bid (as defined and described in note 12), Liberty Global Belgium Holding B.V. (</w:t>
      </w:r>
      <w:r>
        <w:rPr>
          <w:rFonts w:ascii="Arial" w:cs="Arial" w:eastAsia="Arial" w:hAnsi="Arial"/>
          <w:sz w:val="18"/>
          <w:szCs w:val="18"/>
          <w:b w:val="1"/>
          <w:bCs w:val="1"/>
          <w:color w:val="auto"/>
        </w:rPr>
        <w:t>LGBH</w:t>
      </w:r>
      <w:r>
        <w:rPr>
          <w:rFonts w:ascii="Arial" w:cs="Arial" w:eastAsia="Arial" w:hAnsi="Arial"/>
          <w:sz w:val="18"/>
          <w:szCs w:val="18"/>
          <w:color w:val="auto"/>
        </w:rPr>
        <w:t>), an indirect wholly-owned subsidiary of Liberty Global, entered into a €1.0 billion ($1.1 billion) term loan facility (</w:t>
      </w:r>
      <w:r>
        <w:rPr>
          <w:rFonts w:ascii="Arial" w:cs="Arial" w:eastAsia="Arial" w:hAnsi="Arial"/>
          <w:sz w:val="18"/>
          <w:szCs w:val="18"/>
          <w:b w:val="1"/>
          <w:bCs w:val="1"/>
          <w:color w:val="auto"/>
        </w:rPr>
        <w:t>LGBH Facility B</w:t>
      </w:r>
      <w:r>
        <w:rPr>
          <w:rFonts w:ascii="Arial" w:cs="Arial" w:eastAsia="Arial" w:hAnsi="Arial"/>
          <w:sz w:val="18"/>
          <w:szCs w:val="18"/>
          <w:color w:val="auto"/>
        </w:rPr>
        <w:t>). LGBH Facility B was issued at par, matures on July 25, 2026 and bears interest at a rate of EURIBOR plus (i) 4.0% per annum through July 24, 2024, (ii) 4.5% per annum from July 25, 2024 through July 24, 2025 and (iii) 5.25% per annum from July 25, 2025 through maturity, in each case subject to a EURIBOR floor of 0.0%. Under LGBH Facility B, LGBH drew (a) €745.0 million ($788.0 million) in July 2023 and (b) €67.5 million ($71.4 million) in September 2023, the proceeds of which were used to fund the Offer (as defined and described in note 12).</w:t>
      </w:r>
    </w:p>
    <w:p>
      <w:pPr>
        <w:spacing w:after="0" w:line="21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October 2023, LGBH drew an additional €77.5 million ($82.0 million) under LGBH Facility B, the proceeds of which were used to further fund the Offer. The remaining €110.0 million ($116.4 million) of undrawn commitments under LGBH Facility B were subsequently cancelled.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Maturities of our debt as of September 30, 2023 are presented below for the named entity and its subsidiaries, unless otherwise noted, and represent U.S. dollar equivalents based on September 30, 2023 exchange rates.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UPC Holding</w:t>
            </w:r>
          </w:p>
        </w:tc>
        <w:tc>
          <w:tcPr>
            <w:tcW w:w="22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4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VM Ireland</w:t>
            </w:r>
          </w:p>
        </w:tc>
        <w:tc>
          <w:tcPr>
            <w:tcW w:w="16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Other (b)</w:t>
            </w:r>
          </w:p>
        </w:tc>
        <w:tc>
          <w:tcPr>
            <w:tcW w:w="240" w:type="dxa"/>
            <w:vAlign w:val="bottom"/>
          </w:tcPr>
          <w:p>
            <w:pPr>
              <w:spacing w:after="0"/>
              <w:rPr>
                <w:sz w:val="16"/>
                <w:szCs w:val="16"/>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(a)</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5,069.7</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7,314.7</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 maturities (c)</w:t>
            </w: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15,289.9</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280" w:type="dxa"/>
            <w:vAlign w:val="bottom"/>
            <w:tcBorders>
              <w:top w:val="single" w:sz="8" w:color="auto"/>
              <w:bottom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14,513.9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24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275" w:lineRule="exact"/>
        <w:rPr>
          <w:rFonts w:ascii="Arial" w:cs="Arial" w:eastAsia="Arial" w:hAnsi="Arial"/>
          <w:sz w:val="16"/>
          <w:szCs w:val="16"/>
          <w:color w:val="auto"/>
        </w:rPr>
      </w:pPr>
    </w:p>
    <w:p>
      <w:pPr>
        <w:ind w:left="500" w:hanging="492"/>
        <w:spacing w:after="0" w:line="342" w:lineRule="auto"/>
        <w:tabs>
          <w:tab w:leader="none" w:pos="4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$1,330.7 million related to the Vodafone Collar Loan, which has settlement dates in 2025 and 2026 consistent with the Vodafone Collar. We may elect to use cash or the collective value of the related shares and Vodafone Collar to settle amounts under the Vodafone Collar Loan.</w:t>
      </w:r>
    </w:p>
    <w:p>
      <w:pPr>
        <w:spacing w:after="0" w:line="150"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include vendor financing obligations of $611.2 million, as set forth below:</w:t>
      </w:r>
    </w:p>
    <w:p>
      <w:pPr>
        <w:spacing w:after="0" w:line="12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UPC</w:t>
            </w:r>
          </w:p>
        </w:tc>
        <w:tc>
          <w:tcPr>
            <w:tcW w:w="20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32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55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vendor financing maturities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348.9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Vendor Financing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balances of our vendor financing obligations for the indicated periods is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07"/>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r>
      <w:tr>
        <w:trPr>
          <w:trHeight w:val="168"/>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8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Operating-related vendor financing additions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397.1</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Capital-related vendor financing additions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Principal payments on operating-related vendor financing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(525.9)</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48"/>
        </w:trPr>
        <w:tc>
          <w:tcPr>
            <w:tcW w:w="8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 Balances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ROU assets and lease liabilities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7"/>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in millions</w:t>
            </w:r>
          </w:p>
        </w:tc>
      </w:tr>
      <w:tr>
        <w:trPr>
          <w:trHeight w:val="154"/>
        </w:trPr>
        <w:tc>
          <w:tcPr>
            <w:tcW w:w="8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Finance leases (a)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377.6</w:t>
            </w: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(b)</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w:t>
            </w:r>
          </w:p>
        </w:tc>
      </w:tr>
      <w:tr>
        <w:trPr>
          <w:trHeight w:val="223"/>
        </w:trPr>
        <w:tc>
          <w:tcPr>
            <w:tcW w:w="8460" w:type="dxa"/>
            <w:vAlign w:val="bottom"/>
          </w:tcPr>
          <w:p>
            <w:pPr>
              <w:ind w:left="260"/>
              <w:spacing w:after="0"/>
              <w:rPr>
                <w:sz w:val="20"/>
                <w:szCs w:val="20"/>
                <w:color w:val="auto"/>
              </w:rPr>
            </w:pPr>
            <w:r>
              <w:rPr>
                <w:rFonts w:ascii="Arial" w:cs="Arial" w:eastAsia="Arial" w:hAnsi="Arial"/>
                <w:sz w:val="18"/>
                <w:szCs w:val="18"/>
                <w:color w:val="auto"/>
              </w:rPr>
              <w:t>Total ROU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2,102.0</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leases (d)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1,791.1</w:t>
            </w:r>
          </w:p>
        </w:tc>
      </w:tr>
      <w:tr>
        <w:trPr>
          <w:trHeight w:val="248"/>
        </w:trPr>
        <w:tc>
          <w:tcPr>
            <w:tcW w:w="8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57" w:lineRule="auto"/>
        <w:tabs>
          <w:tab w:leader="none" w:pos="4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finance lease ROU assets are included in property and equipment, net, on our condensed consolidated balance sheets. At September 30, 2023, the weighted average remaining lease term for finance leases was 10.8 years and the weighted average discount rate was 4.9%. During the nine months ended September 30, 2023 and 2022, we recorded non-cash additions to our finance lease ROU assets of $20.8 million and $25.8 million, respectively. The decrease in our finance lease ROU assets is primarily related to the Telenet Wyre Transaction. For additional information, see note 4.</w:t>
      </w:r>
    </w:p>
    <w:p>
      <w:pPr>
        <w:spacing w:after="0" w:line="214"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condensed consolidated balance sheets. At September 30, 2023, the weighted average remaining lease term for operating leases was 12.6 years and the weighted average discount rate was 5.8%. During the nine months ended September 30, 2023 and 2022, we recorded non-cash</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color w:val="auto"/>
        </w:rPr>
        <w:t>additions to our operating lease ROU assets of $38.0 million and $670.0 million, respectively. For information regarding non-cash additions to our operating lease ROU assets during the nine months ended September 30, 2022 related to the Telenet Tower Lease Agreement, see note 4.</w:t>
      </w:r>
    </w:p>
    <w:p>
      <w:pPr>
        <w:spacing w:after="0" w:line="151" w:lineRule="exact"/>
        <w:rPr>
          <w:sz w:val="20"/>
          <w:szCs w:val="20"/>
          <w:color w:val="auto"/>
        </w:rPr>
      </w:pPr>
    </w:p>
    <w:p>
      <w:pPr>
        <w:jc w:val="both"/>
        <w:ind w:left="500" w:hanging="492"/>
        <w:spacing w:after="0" w:line="263" w:lineRule="auto"/>
        <w:tabs>
          <w:tab w:leader="none" w:pos="49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obligations and long-term debt and finance lease obligations, respectively, on our condensed consolidated balance sheets. The decrease in our finance lease liabilities is primarily related to the Telenet Wyre Transaction. For additional information, see note 4.</w:t>
      </w:r>
    </w:p>
    <w:p>
      <w:pPr>
        <w:spacing w:after="0" w:line="210"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current portions of our operating lease liabilities are included within other accrued and current liabilities on our condensed consolidated balance sheets. For information regarding the increase in our operating lease liabilities during the nine months ended September 30, 2022 related to the Telenet Tower Lease Agreement, see note 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14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9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6"/>
                <w:szCs w:val="16"/>
                <w:b w:val="1"/>
                <w:bCs w:val="1"/>
                <w:color w:val="auto"/>
                <w:w w:val="89"/>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89"/>
              </w:rPr>
              <w:t>2022</w:t>
            </w:r>
          </w:p>
        </w:tc>
      </w:tr>
      <w:tr>
        <w:trPr>
          <w:trHeight w:val="207"/>
        </w:trPr>
        <w:tc>
          <w:tcPr>
            <w:tcW w:w="5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8"/>
        </w:trPr>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14.7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5980" w:type="dxa"/>
            <w:vAlign w:val="bottom"/>
          </w:tcPr>
          <w:p>
            <w:pPr>
              <w:ind w:left="260"/>
              <w:spacing w:after="0"/>
              <w:rPr>
                <w:sz w:val="20"/>
                <w:szCs w:val="20"/>
                <w:color w:val="auto"/>
              </w:rPr>
            </w:pPr>
            <w:r>
              <w:rPr>
                <w:rFonts w:ascii="Arial" w:cs="Arial" w:eastAsia="Arial" w:hAnsi="Arial"/>
                <w:sz w:val="18"/>
                <w:szCs w:val="18"/>
                <w:color w:val="auto"/>
              </w:rPr>
              <w:t>Total finance lease expense</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(b)</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Short-term lease expense (b)</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(c)</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980" w:type="dxa"/>
            <w:vAlign w:val="bottom"/>
          </w:tcPr>
          <w:p>
            <w:pPr>
              <w:ind w:left="300"/>
              <w:spacing w:after="0"/>
              <w:rPr>
                <w:sz w:val="20"/>
                <w:szCs w:val="20"/>
                <w:color w:val="auto"/>
              </w:rPr>
            </w:pPr>
            <w:r>
              <w:rPr>
                <w:rFonts w:ascii="Arial" w:cs="Arial" w:eastAsia="Arial" w:hAnsi="Arial"/>
                <w:sz w:val="18"/>
                <w:szCs w:val="18"/>
                <w:color w:val="auto"/>
              </w:rPr>
              <w:t>Total lease expense</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78.4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r>
      <w:tr>
        <w:trPr>
          <w:trHeight w:val="20"/>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9"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for the 2023 periods include the reversal of previously recognized interest expense as a result of certain settlements of lease liabilities.</w:t>
      </w:r>
    </w:p>
    <w:p>
      <w:pPr>
        <w:spacing w:after="0" w:line="275" w:lineRule="exact"/>
        <w:rPr>
          <w:rFonts w:ascii="Arial" w:cs="Arial" w:eastAsia="Arial" w:hAnsi="Arial"/>
          <w:sz w:val="16"/>
          <w:szCs w:val="16"/>
          <w:color w:val="auto"/>
        </w:rPr>
      </w:pPr>
    </w:p>
    <w:p>
      <w:pPr>
        <w:ind w:left="500" w:hanging="492"/>
        <w:spacing w:after="0" w:line="342" w:lineRule="auto"/>
        <w:tabs>
          <w:tab w:leader="none" w:pos="494"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50" w:lineRule="exact"/>
        <w:rPr>
          <w:rFonts w:ascii="Arial" w:cs="Arial" w:eastAsia="Arial" w:hAnsi="Arial"/>
          <w:sz w:val="16"/>
          <w:szCs w:val="16"/>
          <w:color w:val="auto"/>
        </w:rPr>
      </w:pPr>
    </w:p>
    <w:p>
      <w:pPr>
        <w:jc w:val="both"/>
        <w:ind w:left="500" w:hanging="492"/>
        <w:spacing w:after="0" w:line="263" w:lineRule="auto"/>
        <w:tabs>
          <w:tab w:leader="none" w:pos="4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41"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Nine months ended</w:t>
      </w:r>
    </w:p>
    <w:p>
      <w:pPr>
        <w:jc w:val="center"/>
        <w:ind w:left="858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206"/>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08"/>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163.7</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 (interest component)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 (principal component)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48"/>
        </w:trPr>
        <w:tc>
          <w:tcPr>
            <w:tcW w:w="8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outflows from operating and finance leases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Maturities of our operating and finance lease liabilities as of September 30, 2023 are presented below. Amounts represent U.S. dollar equivalents based on September 30, 2023 exchange rates: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Operating leases</w:t>
            </w:r>
          </w:p>
        </w:tc>
        <w:tc>
          <w:tcPr>
            <w:tcW w:w="340" w:type="dxa"/>
            <w:vAlign w:val="bottom"/>
          </w:tcPr>
          <w:p>
            <w:pPr>
              <w:spacing w:after="0"/>
              <w:rPr>
                <w:sz w:val="16"/>
                <w:szCs w:val="16"/>
                <w:color w:val="auto"/>
              </w:rPr>
            </w:pPr>
          </w:p>
        </w:tc>
        <w:tc>
          <w:tcPr>
            <w:tcW w:w="980" w:type="dxa"/>
            <w:vAlign w:val="bottom"/>
          </w:tcPr>
          <w:p>
            <w:pPr>
              <w:jc w:val="right"/>
              <w:ind w:right="311"/>
              <w:spacing w:after="0"/>
              <w:rPr>
                <w:sz w:val="20"/>
                <w:szCs w:val="20"/>
                <w:color w:val="auto"/>
              </w:rPr>
            </w:pPr>
            <w:r>
              <w:rPr>
                <w:rFonts w:ascii="Arial" w:cs="Arial" w:eastAsia="Arial" w:hAnsi="Arial"/>
                <w:sz w:val="16"/>
                <w:szCs w:val="16"/>
                <w:b w:val="1"/>
                <w:bCs w:val="1"/>
                <w:color w:val="auto"/>
                <w:w w:val="92"/>
              </w:rPr>
              <w:t>Finance</w:t>
            </w:r>
          </w:p>
        </w:tc>
        <w:tc>
          <w:tcPr>
            <w:tcW w:w="0" w:type="dxa"/>
            <w:vAlign w:val="bottom"/>
          </w:tcPr>
          <w:p>
            <w:pPr>
              <w:spacing w:after="0"/>
              <w:rPr>
                <w:sz w:val="1"/>
                <w:szCs w:val="1"/>
                <w:color w:val="auto"/>
              </w:rPr>
            </w:pPr>
          </w:p>
        </w:tc>
      </w:tr>
      <w:tr>
        <w:trPr>
          <w:trHeight w:val="213"/>
        </w:trPr>
        <w:tc>
          <w:tcPr>
            <w:tcW w:w="8480" w:type="dxa"/>
            <w:vAlign w:val="bottom"/>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7"/>
        </w:trPr>
        <w:tc>
          <w:tcPr>
            <w:tcW w:w="8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2027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payments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lease payments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12"/>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Income tax benefit (expense) attributable to our earnings (loss) from continuing operations before income taxes differs from the amounts computed using the applicable income tax rate as a result of the following factors: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benefit (expense) (a)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Change in valuation allowances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or non-taxable interest and other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729.7</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associated with technology innovation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International rate differences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176"/>
        </w:trPr>
        <w:tc>
          <w:tcPr>
            <w:tcW w:w="6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Basis and other differences in the treatment of items associated with investments in</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subsidiaries and affiliates (c)</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income tax benefit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statutory or “expected” tax rates are the U.K. rates of 23.5% for the 2023 periods and 19.0% for the 2022 periods. The statutory rate for the 2023 periods represents the blended rate in effect for the year ended December 31, 2023 based on the 19.0% statutory rate that was in effect for the first quarter of 2023 and the 25.0% statutory rate that is in effect from April 1, 2023.</w:t>
      </w:r>
    </w:p>
    <w:p>
      <w:pPr>
        <w:spacing w:after="0" w:line="210" w:lineRule="exact"/>
        <w:rPr>
          <w:rFonts w:ascii="Arial" w:cs="Arial" w:eastAsia="Arial" w:hAnsi="Arial"/>
          <w:sz w:val="18"/>
          <w:szCs w:val="18"/>
          <w:color w:val="auto"/>
        </w:rPr>
      </w:pPr>
    </w:p>
    <w:p>
      <w:pPr>
        <w:ind w:left="500" w:right="20" w:hanging="492"/>
        <w:spacing w:after="0" w:line="277" w:lineRule="auto"/>
        <w:tabs>
          <w:tab w:leader="none" w:pos="4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197" w:lineRule="exact"/>
        <w:rPr>
          <w:rFonts w:ascii="Arial" w:cs="Arial" w:eastAsia="Arial" w:hAnsi="Arial"/>
          <w:sz w:val="18"/>
          <w:szCs w:val="18"/>
          <w:color w:val="auto"/>
        </w:rPr>
      </w:pPr>
    </w:p>
    <w:p>
      <w:pPr>
        <w:jc w:val="both"/>
        <w:ind w:left="500" w:hanging="492"/>
        <w:spacing w:after="0" w:line="255" w:lineRule="auto"/>
        <w:tabs>
          <w:tab w:leader="none" w:pos="4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 The 2023 periods also include the non-taxable gain associated with the Telenet Wyre Transaction.</w:t>
      </w:r>
    </w:p>
    <w:p>
      <w:pPr>
        <w:spacing w:after="0" w:line="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August 16, 2022, the Inflation Reduction Act was signed into law in the U.S. Although this legislation does not increase the U.S. corporate income tax rate, it includes, among other provisions, a new corporate alternative minimum tax (</w:t>
      </w:r>
      <w:r>
        <w:rPr>
          <w:rFonts w:ascii="Arial" w:cs="Arial" w:eastAsia="Arial" w:hAnsi="Arial"/>
          <w:sz w:val="18"/>
          <w:szCs w:val="18"/>
          <w:b w:val="1"/>
          <w:bCs w:val="1"/>
          <w:color w:val="auto"/>
        </w:rPr>
        <w:t>CAMT</w:t>
      </w:r>
      <w:r>
        <w:rPr>
          <w:rFonts w:ascii="Arial" w:cs="Arial" w:eastAsia="Arial" w:hAnsi="Arial"/>
          <w:sz w:val="18"/>
          <w:szCs w:val="18"/>
          <w:color w:val="auto"/>
        </w:rPr>
        <w:t>) on “adjusted financial statement income” that is effective for tax years beginning after December 31, 2022. We do not currently anticipate the CAMT will have a material impact on our consolidated financial statements although we will continue to monitor additional guidance as it is issued to assess the impact to our tax position. We will disregard our CAMT status when evaluating our deferred tax assets under the regular U.S. tax system.</w:t>
      </w:r>
    </w:p>
    <w:p>
      <w:pPr>
        <w:spacing w:after="0" w:line="21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30, 2023, our unrecognized tax benefits were $442.7 million, of which $345.3 million would have a favorable impact on our effective income tax rate if ultimately recognized, after considering amounts that we would expect to be offset by valuation allowances and other factors. During the next 12 months it is reasonably possible that the resolution of ongoing tax controversies, as well as the expiration of statutes of limitation and other items, could result in reductions to our unrecognized tax benefits related to tax positions taken as of September 30, 2023. The amount of such reductions could range up to $176 million. No assurance can be given as to the nature or impact of any changes in our unrecognized tax positions during the next 12 months.</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subsidiaries are currently involved in income tax examinations in various jurisdictions in which we operate, including Belgium, Ireland, Luxembourg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October 7, 2022, the U.S. Department of Justice filed suit against Liberty Global, Inc. (</w:t>
      </w:r>
      <w:r>
        <w:rPr>
          <w:rFonts w:ascii="Arial" w:cs="Arial" w:eastAsia="Arial" w:hAnsi="Arial"/>
          <w:sz w:val="16"/>
          <w:szCs w:val="16"/>
          <w:b w:val="1"/>
          <w:bCs w:val="1"/>
          <w:color w:val="auto"/>
        </w:rPr>
        <w:t>LGI</w:t>
      </w:r>
      <w:r>
        <w:rPr>
          <w:rFonts w:ascii="Arial" w:cs="Arial" w:eastAsia="Arial" w:hAnsi="Arial"/>
          <w:sz w:val="16"/>
          <w:szCs w:val="16"/>
          <w:color w:val="auto"/>
        </w:rPr>
        <w:t>),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District Court of Colorado seeking a refund of approximately $110 million of taxes, penalties and interest associated with the application of certain temporary Treasury regulations issued in June 2019. No amounts have been accrued by LGI with respect to this matter. We will vigorously defend this matter and continue to actively pursue our claim for refund.</w:t>
      </w:r>
    </w:p>
    <w:p>
      <w:pPr>
        <w:spacing w:after="0" w:line="181"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nine months ended September 30, 2023, we repurchased (i) 1,444,000 shares of our Class A ordinary shares at an average price per share of $18.24 and (ii) 58,057,884 shares of our Class C ordinary shares at an average price per share of $19.34, for an aggregate purchase price of $1,149.2 million, including direct acquisition costs.</w:t>
      </w:r>
    </w:p>
    <w:p>
      <w:pPr>
        <w:spacing w:after="0" w:line="2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September 30, 2023, we repurchased 13% of our total number of outstanding shares as of December 31, 2022. Our original share buyback plan for 2023 authorized the repurchase of 10% of our outstanding shares as of December 31, 2022, and this was increased to a minimum of 15% in July 2023. As of October 30, 2023, we repurchased shares for an aggregate purchase price of $1,315.4 million, representing 15% of our outstanding shares as of December 31, 2022. We are now targeting a further repurchase of shares through the end of January 2024 in the amount of approximately $300.0 million.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Takeover Bid</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8, 2023, following approval by the Belgian Financial Services and Markets Authority, LGBH launched a voluntary and conditional public takeover bid (the </w:t>
      </w:r>
      <w:r>
        <w:rPr>
          <w:rFonts w:ascii="Arial" w:cs="Arial" w:eastAsia="Arial" w:hAnsi="Arial"/>
          <w:sz w:val="18"/>
          <w:szCs w:val="18"/>
          <w:b w:val="1"/>
          <w:bCs w:val="1"/>
          <w:color w:val="auto"/>
        </w:rPr>
        <w:t>Offer</w:t>
      </w:r>
      <w:r>
        <w:rPr>
          <w:rFonts w:ascii="Arial" w:cs="Arial" w:eastAsia="Arial" w:hAnsi="Arial"/>
          <w:sz w:val="18"/>
          <w:szCs w:val="18"/>
          <w:color w:val="auto"/>
        </w:rPr>
        <w:t xml:space="preserve">) for all of the shares of Telenet that we do not already own or that are not held by Telenet (the </w:t>
      </w:r>
      <w:r>
        <w:rPr>
          <w:rFonts w:ascii="Arial" w:cs="Arial" w:eastAsia="Arial" w:hAnsi="Arial"/>
          <w:sz w:val="18"/>
          <w:szCs w:val="18"/>
          <w:b w:val="1"/>
          <w:bCs w:val="1"/>
          <w:color w:val="auto"/>
        </w:rPr>
        <w:t>Telenet Bid Shares</w:t>
      </w:r>
      <w:r>
        <w:rPr>
          <w:rFonts w:ascii="Arial" w:cs="Arial" w:eastAsia="Arial" w:hAnsi="Arial"/>
          <w:sz w:val="18"/>
          <w:szCs w:val="18"/>
          <w:color w:val="auto"/>
        </w:rPr>
        <w:t xml:space="preserve">) (the </w:t>
      </w:r>
      <w:r>
        <w:rPr>
          <w:rFonts w:ascii="Arial" w:cs="Arial" w:eastAsia="Arial" w:hAnsi="Arial"/>
          <w:sz w:val="18"/>
          <w:szCs w:val="18"/>
          <w:b w:val="1"/>
          <w:bCs w:val="1"/>
          <w:color w:val="auto"/>
        </w:rPr>
        <w:t>Telenet</w:t>
      </w:r>
      <w:r>
        <w:rPr>
          <w:rFonts w:ascii="Arial" w:cs="Arial" w:eastAsia="Arial" w:hAnsi="Arial"/>
          <w:sz w:val="18"/>
          <w:szCs w:val="18"/>
          <w:color w:val="auto"/>
        </w:rPr>
        <w:t xml:space="preserve"> </w:t>
      </w:r>
      <w:r>
        <w:rPr>
          <w:rFonts w:ascii="Arial" w:cs="Arial" w:eastAsia="Arial" w:hAnsi="Arial"/>
          <w:sz w:val="18"/>
          <w:szCs w:val="18"/>
          <w:b w:val="1"/>
          <w:bCs w:val="1"/>
          <w:color w:val="auto"/>
        </w:rPr>
        <w:t>Takeover Bid</w:t>
      </w:r>
      <w:r>
        <w:rPr>
          <w:rFonts w:ascii="Arial" w:cs="Arial" w:eastAsia="Arial" w:hAnsi="Arial"/>
          <w:sz w:val="18"/>
          <w:szCs w:val="18"/>
          <w:color w:val="auto"/>
        </w:rPr>
        <w:t>). The Offer consists of per share cash consideration for the tendered Telenet Bid Shares of €22 per share, which after deducting the €1 gross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paid on May 5, 2023, results in an offer price of €21 per share.</w:t>
      </w:r>
    </w:p>
    <w:p>
      <w:pPr>
        <w:spacing w:after="0" w:line="21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After the conclusion of both the initial acceptance period and the subsequent mandatory reopening period, LGBH acquired 38,210,285 of the Telenet Bid Shares, including 380,691 shares subject to lock-up provisions, increasing our ownership interest in Telenet’s issued and outstanding shares to 96.26%. On September 22, 2023, we initiated a simplified “squeeze-out” procedure according to applicable Belgium law, pursuant to which LGBH acquired the remaining Telenet Bid Shares that it or Telenet did not already own. As of September 30, 2023, we have recorded a liability of €96.1 million ($101.6 million) associated with the Telenet Bid Shares not yet acquired. The simplified squeeze-out procedure concluded on October 13, 2023 and, on that date, any shares of Telenet that were not tendered during the simplified squeeze-out procedure were automatically transferred to LGBH by operation of law. The Telenet Bid Shares that were acquired as a result of the simplified squeeze-out procedure were settled on October 19, 2023 and, from that date, Telenet is owned 100% by LGBH. Telenet shares were delisted from Euronext Brussels at the close of trade on October 13, 2023.</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Telenet Takeover Bid was funded through (i) available borrowings under LGBH Facility B and (ii) existing liquidity of Liberty Global. As of September 30, 2023, the consideration associated with the Telenet Takeover Bid, including certain fees and expenses, totaled €807.6 million ($891.3 million at the applicable transaction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10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1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45.2</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31.4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(b)</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53.2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59" w:lineRule="auto"/>
        <w:tabs>
          <w:tab w:leader="none" w:pos="4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April 2023, the compensation committee of our board of directors approved the extension of the expiration dates of outstanding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and director options granted in 2016 through 2018 from a seven-year term to a ten-year term. Accordingly, the Black-Scholes fair values of the outstanding awards increased, resulting in the recognition of an aggregate incremental share-based compensation expense of $27.1 million during the second quarter of 2023.</w:t>
      </w:r>
    </w:p>
    <w:p>
      <w:pPr>
        <w:spacing w:after="0" w:line="213"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2022 amount includes share-based compensation expense related to our 2019 Challenge Performance Awards.</w:t>
      </w:r>
    </w:p>
    <w:p>
      <w:pPr>
        <w:spacing w:after="0" w:line="252" w:lineRule="exact"/>
        <w:rPr>
          <w:rFonts w:ascii="Arial" w:cs="Arial" w:eastAsia="Arial" w:hAnsi="Arial"/>
          <w:sz w:val="18"/>
          <w:szCs w:val="18"/>
          <w:color w:val="auto"/>
        </w:rPr>
      </w:pPr>
    </w:p>
    <w:p>
      <w:pPr>
        <w:jc w:val="both"/>
        <w:ind w:left="500" w:hanging="492"/>
        <w:spacing w:after="0" w:line="259" w:lineRule="auto"/>
        <w:tabs>
          <w:tab w:leader="none" w:pos="4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The following table provides the aggregate number of options, SARs and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with respect to awards issued by Liberty Global that were (i) outstanding and (ii) exercisable as of September 30,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6"/>
                <w:szCs w:val="16"/>
                <w:b w:val="1"/>
                <w:bCs w:val="1"/>
                <w:color w:val="auto"/>
              </w:rPr>
              <w:t>Class A</w:t>
            </w:r>
          </w:p>
        </w:tc>
        <w:tc>
          <w:tcPr>
            <w:tcW w:w="1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4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Gross number of</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Gross number of</w:t>
            </w:r>
          </w:p>
        </w:tc>
        <w:tc>
          <w:tcPr>
            <w:tcW w:w="13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shares underlying</w:t>
            </w:r>
          </w:p>
        </w:tc>
        <w:tc>
          <w:tcPr>
            <w:tcW w:w="1420" w:type="dxa"/>
            <w:vAlign w:val="bottom"/>
            <w:gridSpan w:val="3"/>
            <w:vMerge w:val="continue"/>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shares underlying</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6"/>
              </w:rPr>
              <w:t>exercise or base</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option, SAR and</w:t>
            </w:r>
          </w:p>
        </w:tc>
        <w:tc>
          <w:tcPr>
            <w:tcW w:w="120" w:type="dxa"/>
            <w:vAlign w:val="bottom"/>
          </w:tcPr>
          <w:p>
            <w:pPr>
              <w:spacing w:after="0"/>
              <w:rPr>
                <w:sz w:val="14"/>
                <w:szCs w:val="14"/>
                <w:color w:val="auto"/>
              </w:rPr>
            </w:pPr>
          </w:p>
        </w:tc>
        <w:tc>
          <w:tcPr>
            <w:tcW w:w="12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86"/>
              </w:rPr>
              <w:t>exercise or base</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PSAR awards (a)</w:t>
            </w:r>
          </w:p>
        </w:tc>
        <w:tc>
          <w:tcPr>
            <w:tcW w:w="12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price</w:t>
            </w:r>
          </w:p>
        </w:tc>
        <w:tc>
          <w:tcPr>
            <w:tcW w:w="0" w:type="dxa"/>
            <w:vAlign w:val="bottom"/>
          </w:tcPr>
          <w:p>
            <w:pPr>
              <w:spacing w:after="0"/>
              <w:rPr>
                <w:sz w:val="1"/>
                <w:szCs w:val="1"/>
                <w:color w:val="auto"/>
              </w:rPr>
            </w:pPr>
          </w:p>
        </w:tc>
      </w:tr>
      <w:tr>
        <w:trPr>
          <w:trHeight w:val="145"/>
        </w:trPr>
        <w:tc>
          <w:tcPr>
            <w:tcW w:w="56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24,500,124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57,037,426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19,089,801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41,547,818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former Liberty Global employees (b):</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1,195,983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2,373,744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1,162,937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2,307,664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301" w:lineRule="auto"/>
        <w:tabs>
          <w:tab w:leader="none" w:pos="4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84" w:lineRule="exact"/>
        <w:rPr>
          <w:rFonts w:ascii="Arial" w:cs="Arial" w:eastAsia="Arial" w:hAnsi="Arial"/>
          <w:sz w:val="16"/>
          <w:szCs w:val="16"/>
          <w:color w:val="auto"/>
        </w:rPr>
      </w:pPr>
    </w:p>
    <w:p>
      <w:pPr>
        <w:jc w:val="both"/>
        <w:ind w:left="500" w:hanging="492"/>
        <w:spacing w:after="0" w:line="263" w:lineRule="auto"/>
        <w:tabs>
          <w:tab w:leader="none" w:pos="4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ordinary shares.</w:t>
      </w:r>
    </w:p>
    <w:p>
      <w:pPr>
        <w:spacing w:after="0" w:line="207" w:lineRule="exact"/>
        <w:rPr>
          <w:sz w:val="20"/>
          <w:szCs w:val="20"/>
          <w:color w:val="auto"/>
        </w:rPr>
      </w:pPr>
    </w:p>
    <w:p>
      <w:pPr>
        <w:ind w:firstLine="324"/>
        <w:spacing w:after="0" w:line="312" w:lineRule="auto"/>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that were outstanding as of September 30, 2023. The number of shares to be issued on the vesting date of these awards will be reduced by the amount of the employee’s required income tax withholding.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Class A</w:t>
            </w:r>
          </w:p>
        </w:tc>
        <w:tc>
          <w:tcPr>
            <w:tcW w:w="1300" w:type="dxa"/>
            <w:vAlign w:val="bottom"/>
          </w:tcPr>
          <w:p>
            <w:pPr>
              <w:jc w:val="right"/>
              <w:ind w:right="293"/>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85"/>
        </w:trPr>
        <w:tc>
          <w:tcPr>
            <w:tcW w:w="85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Held by Liberty Global employees</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2,004,229</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4,564,394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Held by former Liberty Global employees (a)</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4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14,872</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29,729</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The future vesting of these RSUs will increase the number of our outstanding ordinary shares.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Liberty Global 2023 Incentive Plan, which contains many of the same terms and conditions as those in the Liberty Global 2014 Incentive Plan and the Liberty Global 2014 Nonemployee Director Incentive Plan, was approved by our shareholders on June 14, 2023. Accordingly, no further awards will be granted under the Liberty Global 2014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25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basic and diluted weighted average ordinary shares outstanding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8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70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740" w:type="dxa"/>
            <w:vAlign w:val="bottom"/>
          </w:tcPr>
          <w:p>
            <w:pPr>
              <w:spacing w:after="0"/>
              <w:rPr>
                <w:sz w:val="18"/>
                <w:szCs w:val="18"/>
                <w:color w:val="auto"/>
              </w:rPr>
            </w:pPr>
          </w:p>
        </w:tc>
        <w:tc>
          <w:tcPr>
            <w:tcW w:w="28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700" w:type="dxa"/>
            <w:vAlign w:val="bottom"/>
            <w:gridSpan w:val="3"/>
          </w:tcPr>
          <w:p>
            <w:pPr>
              <w:jc w:val="right"/>
              <w:ind w:right="772"/>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7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199"/>
        </w:trPr>
        <w:tc>
          <w:tcPr>
            <w:tcW w:w="5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 average ordinary shares outstanding (basic EPS computation)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416,014,282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477,176,983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437,255,956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499,476,564</w:t>
            </w:r>
          </w:p>
        </w:tc>
      </w:tr>
      <w:tr>
        <w:trPr>
          <w:trHeight w:val="175"/>
        </w:trPr>
        <w:tc>
          <w:tcPr>
            <w:tcW w:w="5740" w:type="dxa"/>
            <w:vAlign w:val="bottom"/>
          </w:tcPr>
          <w:p>
            <w:pPr>
              <w:ind w:left="20"/>
              <w:spacing w:after="0" w:line="176" w:lineRule="exact"/>
              <w:rPr>
                <w:sz w:val="20"/>
                <w:szCs w:val="20"/>
                <w:color w:val="auto"/>
              </w:rPr>
            </w:pPr>
            <w:r>
              <w:rPr>
                <w:rFonts w:ascii="Arial" w:cs="Arial" w:eastAsia="Arial" w:hAnsi="Arial"/>
                <w:sz w:val="18"/>
                <w:szCs w:val="18"/>
                <w:color w:val="auto"/>
              </w:rPr>
              <w:t>Incremental shares attributable to the assumed exercise or release of</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5740" w:type="dxa"/>
            <w:vAlign w:val="bottom"/>
          </w:tcPr>
          <w:p>
            <w:pPr>
              <w:ind w:left="180"/>
              <w:spacing w:after="0" w:line="176" w:lineRule="exact"/>
              <w:rPr>
                <w:sz w:val="20"/>
                <w:szCs w:val="20"/>
                <w:color w:val="auto"/>
              </w:rPr>
            </w:pPr>
            <w:r>
              <w:rPr>
                <w:rFonts w:ascii="Arial" w:cs="Arial" w:eastAsia="Arial" w:hAnsi="Arial"/>
                <w:sz w:val="18"/>
                <w:szCs w:val="18"/>
                <w:color w:val="auto"/>
                <w:w w:val="97"/>
              </w:rPr>
              <w:t>outstanding share-based incentive awards upon vesting (treasury stock</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method)</w:t>
            </w:r>
          </w:p>
        </w:tc>
        <w:tc>
          <w:tcPr>
            <w:tcW w:w="1280" w:type="dxa"/>
            <w:vAlign w:val="bottom"/>
          </w:tcPr>
          <w:p>
            <w:pPr>
              <w:jc w:val="right"/>
              <w:spacing w:after="0"/>
              <w:rPr>
                <w:sz w:val="20"/>
                <w:szCs w:val="20"/>
                <w:color w:val="auto"/>
              </w:rPr>
            </w:pPr>
            <w:r>
              <w:rPr>
                <w:rFonts w:ascii="Arial" w:cs="Arial" w:eastAsia="Arial" w:hAnsi="Arial"/>
                <w:sz w:val="18"/>
                <w:szCs w:val="18"/>
                <w:color w:val="auto"/>
              </w:rPr>
              <w:t>4,959,080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5,338,957</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8,403,044</w:t>
            </w:r>
          </w:p>
        </w:tc>
      </w:tr>
      <w:tr>
        <w:trPr>
          <w:trHeight w:val="248"/>
        </w:trPr>
        <w:tc>
          <w:tcPr>
            <w:tcW w:w="5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Weighted average ordinary shares outstanding (diluted EPS computation)</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420,973,362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482,515,940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437,255,956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507,879,608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reported a net loss from continuing operations attributable to Liberty Global shareholders for the nine months ended September 30, 2023. Therefore, the potentially dilutive effect at September 30, 2023 excludes 96.0 million shares issuable pursuant to outstanding share-based incentive awards in the computation of diluted net loss from continuing operations attributable to Liberty Global shareholders per share because their inclusion would have been anti-dilutive to the computation.</w:t>
      </w:r>
    </w:p>
    <w:p>
      <w:pPr>
        <w:spacing w:after="0" w:line="21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calculation of diluted EPS excludes aggregate share-based incentive awards of 75.1 million for the three months ended September 30, 2023 and 80.4 million and 60.1 million for the three and nine months ended September 30, 2022, respectively, because their effect would have been anti-dilutive.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net earnings (loss) from continuing operations attributable to Liberty Global shareholders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8"/>
              </w:rPr>
              <w:t>822.7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5,789.6</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Net earnings from continuing operations attributable to noncontrolling interests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color w:val="auto"/>
                <w:w w:val="91"/>
              </w:rPr>
              <w:t>(163.5)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155"/>
        </w:trPr>
        <w:tc>
          <w:tcPr>
            <w:tcW w:w="610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color w:val="auto"/>
                <w:w w:val="98"/>
              </w:rPr>
              <w:t>Net earnings (loss) from continuing operations attributable to Liberty Global</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center"/>
              <w:ind w:left="295"/>
              <w:spacing w:after="0"/>
              <w:rPr>
                <w:sz w:val="20"/>
                <w:szCs w:val="20"/>
                <w:color w:val="auto"/>
              </w:rPr>
            </w:pPr>
            <w:r>
              <w:rPr>
                <w:rFonts w:ascii="Arial" w:cs="Arial" w:eastAsia="Arial" w:hAnsi="Arial"/>
                <w:sz w:val="18"/>
                <w:szCs w:val="18"/>
                <w:color w:val="auto"/>
                <w:w w:val="88"/>
              </w:rPr>
              <w:t>659.2</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5,289.4</w:t>
            </w:r>
          </w:p>
        </w:tc>
        <w:tc>
          <w:tcPr>
            <w:tcW w:w="0" w:type="dxa"/>
            <w:vAlign w:val="bottom"/>
          </w:tcPr>
          <w:p>
            <w:pPr>
              <w:spacing w:after="0"/>
              <w:rPr>
                <w:sz w:val="1"/>
                <w:szCs w:val="1"/>
                <w:color w:val="auto"/>
              </w:rPr>
            </w:pPr>
          </w:p>
        </w:tc>
      </w:tr>
      <w:tr>
        <w:trPr>
          <w:trHeight w:val="236"/>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we enter into agreements that commit our company to make cash payments in future periods with respect to purchases of CPE and other equipment and services, network and connectivity commitments, programming contracts and other items. The following table sets forth the U.S. dollar equivalents of such commitments as of September 30, 2023. The commitments included in this table do not reflect any liabilities that are included on our September 30, 2023 condensed consolidated balance sheet.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of 2023</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Network and connectivity</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100"/>
              <w:spacing w:after="0"/>
              <w:rPr>
                <w:sz w:val="20"/>
                <w:szCs w:val="20"/>
                <w:color w:val="auto"/>
              </w:rPr>
            </w:pPr>
            <w:r>
              <w:rPr>
                <w:rFonts w:ascii="Arial" w:cs="Arial" w:eastAsia="Arial" w:hAnsi="Arial"/>
                <w:sz w:val="18"/>
                <w:szCs w:val="18"/>
                <w:color w:val="auto"/>
              </w:rPr>
              <w:t>commitments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Purchase commitments include unconditional and legally binding obligations related to (i) certain service-related commitments, including software development, information technology, maintenance and call center services and (ii) the purchase of network and other equipment and CPE.</w:t>
      </w:r>
    </w:p>
    <w:p>
      <w:pPr>
        <w:spacing w:after="0" w:line="16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Network and connectivity commitments include (i) certain network capacity arrangements in Switzerland and (ii) certain equipment and service-related commitments in Belgium. As a result of the Telenet Wyre Transaction, as described in note 4, Telenet’s commitments associated with its leased network terminated, and as such, are no longer reflected in the above table as of the third quarter of 2023.</w:t>
      </w:r>
    </w:p>
    <w:p>
      <w:pPr>
        <w:spacing w:after="0" w:line="22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$408.7 million and $368.8 million during the nine months ended September 30, 2023 and 2022,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commitments include (i) our share of the funding commitment associated with the nexfibre JV and (ii) various sports sponsorships.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6.</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5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Interkabel Acquisition. </w:t>
      </w:r>
      <w:r>
        <w:rPr>
          <w:rFonts w:ascii="Arial" w:cs="Arial" w:eastAsia="Arial" w:hAnsi="Arial"/>
          <w:sz w:val="16"/>
          <w:szCs w:val="16"/>
          <w:color w:val="auto"/>
        </w:rPr>
        <w:t>On November 26, 2007, Telenet and four associations of municipalities in Belgium, which we refer to as the pure</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intercommunales or the “</w:t>
      </w:r>
      <w:r>
        <w:rPr>
          <w:rFonts w:ascii="Arial" w:cs="Arial" w:eastAsia="Arial" w:hAnsi="Arial"/>
          <w:sz w:val="16"/>
          <w:szCs w:val="16"/>
          <w:b w:val="1"/>
          <w:bCs w:val="1"/>
          <w:color w:val="auto"/>
        </w:rPr>
        <w:t>PICs</w:t>
      </w:r>
      <w:r>
        <w:rPr>
          <w:rFonts w:ascii="Arial" w:cs="Arial" w:eastAsia="Arial" w:hAnsi="Arial"/>
          <w:sz w:val="16"/>
          <w:szCs w:val="16"/>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6"/>
          <w:szCs w:val="16"/>
          <w:b w:val="1"/>
          <w:bCs w:val="1"/>
          <w:color w:val="auto"/>
        </w:rPr>
        <w:t>2008 PICs Agreement</w:t>
      </w:r>
      <w:r>
        <w:rPr>
          <w:rFonts w:ascii="Arial" w:cs="Arial" w:eastAsia="Arial" w:hAnsi="Arial"/>
          <w:sz w:val="16"/>
          <w:szCs w:val="16"/>
          <w:color w:val="auto"/>
        </w:rPr>
        <w:t>), which closed effective October 1, 2008. Beginning in December 2007, Proximus NV/SA (</w:t>
      </w:r>
      <w:r>
        <w:rPr>
          <w:rFonts w:ascii="Arial" w:cs="Arial" w:eastAsia="Arial" w:hAnsi="Arial"/>
          <w:sz w:val="16"/>
          <w:szCs w:val="16"/>
          <w:b w:val="1"/>
          <w:bCs w:val="1"/>
          <w:color w:val="auto"/>
        </w:rPr>
        <w:t>Proximus</w:t>
      </w:r>
      <w:r>
        <w:rPr>
          <w:rFonts w:ascii="Arial" w:cs="Arial" w:eastAsia="Arial" w:hAnsi="Arial"/>
          <w:sz w:val="16"/>
          <w:szCs w:val="16"/>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Telekom Deutschland Litigation. </w:t>
      </w:r>
      <w:r>
        <w:rPr>
          <w:rFonts w:ascii="Arial" w:cs="Arial" w:eastAsia="Arial" w:hAnsi="Arial"/>
          <w:sz w:val="16"/>
          <w:szCs w:val="16"/>
          <w:color w:val="auto"/>
        </w:rPr>
        <w:t>On December 28, 2012, Unitymedia filed a lawsuit against Telekom Deutschland GmbH (</w:t>
      </w:r>
      <w:r>
        <w:rPr>
          <w:rFonts w:ascii="Arial" w:cs="Arial" w:eastAsia="Arial" w:hAnsi="Arial"/>
          <w:sz w:val="16"/>
          <w:szCs w:val="16"/>
          <w:b w:val="1"/>
          <w:bCs w:val="1"/>
          <w:color w:val="auto"/>
        </w:rPr>
        <w:t>Telekom Deutschland</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Belgium Regulatory Developments. </w:t>
      </w:r>
      <w:r>
        <w:rPr>
          <w:rFonts w:ascii="Arial" w:cs="Arial" w:eastAsia="Arial" w:hAnsi="Arial"/>
          <w:sz w:val="18"/>
          <w:szCs w:val="18"/>
          <w:color w:val="auto"/>
        </w:rPr>
        <w:t>In June 2018, the Belgisch Instituut voor Post en Telecommunicatie and the regional regulators for the media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sectors (together, the </w:t>
      </w:r>
      <w:r>
        <w:rPr>
          <w:rFonts w:ascii="Arial" w:cs="Arial" w:eastAsia="Arial" w:hAnsi="Arial"/>
          <w:sz w:val="18"/>
          <w:szCs w:val="18"/>
          <w:b w:val="1"/>
          <w:bCs w:val="1"/>
          <w:color w:val="auto"/>
        </w:rPr>
        <w:t>Belgium Regulatory Authorities</w:t>
      </w:r>
      <w:r>
        <w:rPr>
          <w:rFonts w:ascii="Arial" w:cs="Arial" w:eastAsia="Arial" w:hAnsi="Arial"/>
          <w:sz w:val="18"/>
          <w:szCs w:val="18"/>
          <w:color w:val="auto"/>
        </w:rPr>
        <w:t xml:space="preserve">) adopted a new decision finding that Telenet has significant market power in the wholesale broadband market (the </w:t>
      </w:r>
      <w:r>
        <w:rPr>
          <w:rFonts w:ascii="Arial" w:cs="Arial" w:eastAsia="Arial" w:hAnsi="Arial"/>
          <w:sz w:val="18"/>
          <w:szCs w:val="18"/>
          <w:b w:val="1"/>
          <w:bCs w:val="1"/>
          <w:color w:val="auto"/>
        </w:rPr>
        <w:t>2018 Decision</w:t>
      </w:r>
      <w:r>
        <w:rPr>
          <w:rFonts w:ascii="Arial" w:cs="Arial" w:eastAsia="Arial" w:hAnsi="Arial"/>
          <w:sz w:val="18"/>
          <w:szCs w:val="18"/>
          <w:color w:val="auto"/>
        </w:rPr>
        <w:t xml:space="preserve">).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On May 26, 2020, the Belgium Regulatory Authorities adopted a final decision regarding the “reasonable access tariffs” (the </w:t>
      </w:r>
      <w:r>
        <w:rPr>
          <w:rFonts w:ascii="Arial" w:cs="Arial" w:eastAsia="Arial" w:hAnsi="Arial"/>
          <w:sz w:val="18"/>
          <w:szCs w:val="18"/>
          <w:b w:val="1"/>
          <w:bCs w:val="1"/>
          <w:color w:val="auto"/>
        </w:rPr>
        <w:t>2020 Decision</w:t>
      </w:r>
      <w:r>
        <w:rPr>
          <w:rFonts w:ascii="Arial" w:cs="Arial" w:eastAsia="Arial" w:hAnsi="Arial"/>
          <w:sz w:val="18"/>
          <w:szCs w:val="18"/>
          <w:color w:val="auto"/>
        </w:rPr>
        <w:t>) that became effective on July 1, 2020. Telenet appealed the 2018 Decision, which was rejected by the Brussels Court of Appeal on September 4, 2019.</w:t>
      </w:r>
    </w:p>
    <w:p>
      <w:pPr>
        <w:spacing w:after="0" w:line="2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2020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w:t>
      </w:r>
    </w:p>
    <w:p>
      <w:pPr>
        <w:spacing w:after="0" w:line="2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Swisscom MVNO Matter. </w:t>
      </w:r>
      <w:r>
        <w:rPr>
          <w:rFonts w:ascii="Arial" w:cs="Arial" w:eastAsia="Arial" w:hAnsi="Arial"/>
          <w:sz w:val="18"/>
          <w:szCs w:val="18"/>
          <w:color w:val="auto"/>
        </w:rPr>
        <w:t>On December 8, 2017, one of our subsidiaries, UPC Schweiz GmbH (now Sunrise GmbH (</w:t>
      </w:r>
      <w:r>
        <w:rPr>
          <w:rFonts w:ascii="Arial" w:cs="Arial" w:eastAsia="Arial" w:hAnsi="Arial"/>
          <w:sz w:val="18"/>
          <w:szCs w:val="18"/>
          <w:b w:val="1"/>
          <w:bCs w:val="1"/>
          <w:color w:val="auto"/>
        </w:rPr>
        <w:t>Sunrise</w:t>
      </w:r>
      <w:r>
        <w:rPr>
          <w:rFonts w:ascii="Arial" w:cs="Arial" w:eastAsia="Arial" w:hAnsi="Arial"/>
          <w:sz w:val="18"/>
          <w:szCs w:val="18"/>
          <w:color w:val="auto"/>
        </w:rPr>
        <w:t>)), entered into a mobile</w:t>
      </w:r>
      <w:r>
        <w:rPr>
          <w:rFonts w:ascii="Arial" w:cs="Arial" w:eastAsia="Arial" w:hAnsi="Arial"/>
          <w:sz w:val="18"/>
          <w:szCs w:val="18"/>
          <w:i w:val="1"/>
          <w:iCs w:val="1"/>
          <w:color w:val="auto"/>
        </w:rPr>
        <w:t xml:space="preserve"> </w:t>
      </w:r>
      <w:r>
        <w:rPr>
          <w:rFonts w:ascii="Arial" w:cs="Arial" w:eastAsia="Arial" w:hAnsi="Arial"/>
          <w:sz w:val="18"/>
          <w:szCs w:val="18"/>
          <w:color w:val="auto"/>
        </w:rPr>
        <w:t>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agreement with Swisscom (Schweiz) AG (</w:t>
      </w:r>
      <w:r>
        <w:rPr>
          <w:rFonts w:ascii="Arial" w:cs="Arial" w:eastAsia="Arial" w:hAnsi="Arial"/>
          <w:sz w:val="18"/>
          <w:szCs w:val="18"/>
          <w:b w:val="1"/>
          <w:bCs w:val="1"/>
          <w:color w:val="auto"/>
        </w:rPr>
        <w:t>Swisscom</w:t>
      </w:r>
      <w:r>
        <w:rPr>
          <w:rFonts w:ascii="Arial" w:cs="Arial" w:eastAsia="Arial" w:hAnsi="Arial"/>
          <w:sz w:val="18"/>
          <w:szCs w:val="18"/>
          <w:color w:val="auto"/>
        </w:rPr>
        <w:t xml:space="preserve">), as subsequently amended (the </w:t>
      </w:r>
      <w:r>
        <w:rPr>
          <w:rFonts w:ascii="Arial" w:cs="Arial" w:eastAsia="Arial" w:hAnsi="Arial"/>
          <w:sz w:val="18"/>
          <w:szCs w:val="18"/>
          <w:b w:val="1"/>
          <w:bCs w:val="1"/>
          <w:color w:val="auto"/>
        </w:rPr>
        <w:t>Swisscom MVNO</w:t>
      </w:r>
      <w:r>
        <w:rPr>
          <w:rFonts w:ascii="Arial" w:cs="Arial" w:eastAsia="Arial" w:hAnsi="Arial"/>
          <w:sz w:val="18"/>
          <w:szCs w:val="18"/>
          <w:color w:val="auto"/>
        </w:rPr>
        <w:t>), for the provision of mobile network services to certain of Sunrise’s end customers. In January 2023, Swisscom filed a formal lawsuit against Sunrise, asserting that it is in breach of the Swisscom MVNO and claiming approximately CHF 90 million ($98 million) in damages. No amounts have been accrued by us with respect to this matter, as the likelihood of loss is not considered to be probable at this stage. We believe the assertions in this claim are unsupported and/or exaggerated and intend to vigorously defend this matter.</w:t>
      </w:r>
    </w:p>
    <w:p>
      <w:pPr>
        <w:spacing w:after="0" w:line="2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Other Contingency Matters. </w:t>
      </w:r>
      <w:r>
        <w:rPr>
          <w:rFonts w:ascii="Arial" w:cs="Arial" w:eastAsia="Arial" w:hAnsi="Arial"/>
          <w:sz w:val="17"/>
          <w:szCs w:val="17"/>
          <w:color w:val="auto"/>
        </w:rPr>
        <w:t>In connection with the dispositions of certain of our operations, we provided tax indemnities to the counterparties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Broadband internet, video distribution,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6"/>
          <w:szCs w:val="16"/>
          <w:b w:val="1"/>
          <w:bCs w:val="1"/>
          <w:color w:val="auto"/>
        </w:rPr>
        <w:t>Adjusted EBITDA</w:t>
      </w:r>
      <w:r>
        <w:rPr>
          <w:rFonts w:ascii="Arial" w:cs="Arial" w:eastAsia="Arial" w:hAnsi="Arial"/>
          <w:sz w:val="16"/>
          <w:szCs w:val="16"/>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values of certain investments,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2023, our reportable segments are as follows: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2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Ireland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12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color w:val="auto"/>
        </w:rPr>
        <w:t>VMO2 JV</w:t>
      </w:r>
    </w:p>
    <w:p>
      <w:pPr>
        <w:spacing w:after="0" w:line="2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193"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7"/>
          <w:szCs w:val="17"/>
          <w:color w:val="auto"/>
        </w:rPr>
        <w:t>Our “</w:t>
      </w:r>
      <w:r>
        <w:rPr>
          <w:rFonts w:ascii="Arial" w:cs="Arial" w:eastAsia="Arial" w:hAnsi="Arial"/>
          <w:sz w:val="17"/>
          <w:szCs w:val="17"/>
          <w:b w:val="1"/>
          <w:bCs w:val="1"/>
          <w:color w:val="auto"/>
        </w:rPr>
        <w:t>Central and Other</w:t>
      </w:r>
      <w:r>
        <w:rPr>
          <w:rFonts w:ascii="Arial" w:cs="Arial" w:eastAsia="Arial" w:hAnsi="Arial"/>
          <w:sz w:val="17"/>
          <w:szCs w:val="17"/>
          <w:color w:val="auto"/>
        </w:rPr>
        <w:t>” category primarily includes (i) our operations in Slovakia, (ii) services provided to the VMO2 JV, the VodafoneZiggo JV and various third parties related to transitional service agreements, (iii) sales of CPE to the VodafoneZiggo JV and (iv) certain centralized functions, including billing systems, network operations, technology, marketing, facilities, finance and other administrative functions.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During the first quarter of 2023, we changed the terms related to, and approach to how we reflect the allocation of, charges for certain products and services that our centrally-managed technology and innovation function (our </w:t>
      </w:r>
      <w:r>
        <w:rPr>
          <w:rFonts w:ascii="Arial" w:cs="Arial" w:eastAsia="Arial" w:hAnsi="Arial"/>
          <w:sz w:val="16"/>
          <w:szCs w:val="16"/>
          <w:b w:val="1"/>
          <w:bCs w:val="1"/>
          <w:color w:val="auto"/>
        </w:rPr>
        <w:t>T&amp;I Function</w:t>
      </w:r>
      <w:r>
        <w:rPr>
          <w:rFonts w:ascii="Arial" w:cs="Arial" w:eastAsia="Arial" w:hAnsi="Arial"/>
          <w:sz w:val="16"/>
          <w:szCs w:val="16"/>
          <w:color w:val="auto"/>
        </w:rPr>
        <w:t xml:space="preserve">) provide to our consolidated reportable segments (the </w:t>
      </w:r>
      <w:r>
        <w:rPr>
          <w:rFonts w:ascii="Arial" w:cs="Arial" w:eastAsia="Arial" w:hAnsi="Arial"/>
          <w:sz w:val="16"/>
          <w:szCs w:val="16"/>
          <w:b w:val="1"/>
          <w:bCs w:val="1"/>
          <w:color w:val="auto"/>
        </w:rPr>
        <w:t>Tech</w:t>
      </w:r>
      <w:r>
        <w:rPr>
          <w:rFonts w:ascii="Arial" w:cs="Arial" w:eastAsia="Arial" w:hAnsi="Arial"/>
          <w:sz w:val="16"/>
          <w:szCs w:val="16"/>
          <w:color w:val="auto"/>
        </w:rPr>
        <w:t xml:space="preserve"> </w:t>
      </w:r>
      <w:r>
        <w:rPr>
          <w:rFonts w:ascii="Arial" w:cs="Arial" w:eastAsia="Arial" w:hAnsi="Arial"/>
          <w:sz w:val="16"/>
          <w:szCs w:val="16"/>
          <w:b w:val="1"/>
          <w:bCs w:val="1"/>
          <w:color w:val="auto"/>
        </w:rPr>
        <w:t>Framework</w:t>
      </w:r>
      <w:r>
        <w:rPr>
          <w:rFonts w:ascii="Arial" w:cs="Arial" w:eastAsia="Arial" w:hAnsi="Arial"/>
          <w:sz w:val="16"/>
          <w:szCs w:val="16"/>
          <w:color w:val="auto"/>
        </w:rPr>
        <w:t>). These products and services include CPE hardware and related essential software, maintenance, hosting and other services. As a result, our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reportable segments now capitalize the combined cost of the CPE hardware and essential software as property and equipment additions. The other services, including maintenance and hosting, continue to be reported as operating costs in the period incurred (included in our Adjusted EBITDA). The corresponding amounts charged by our T&amp;I Function are reflected as revenue when earned. The new Tech Framework is a result of internal changes with respect to the way in which our chief operating decision maker evaluates the revenue, Adjusted EBITDA and property and equipment additions of our consolidated reportable segments. Segment information has been revised, as applicable, to reflect these changes. The following table provides a summary of the impact on the revenue, Adjusted EBITDA and property and equipment additions of our consolidated reportable segments and Central and Other.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to revenue (a):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Central and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23"/>
        </w:trPr>
        <w:tc>
          <w:tcPr>
            <w:tcW w:w="61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Increase (decrease) to Adjusted EBITDA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Central and 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61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Increase (decrease) to property and equipment additions (c):</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Central and Other</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61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reflect the revenue recognized within our T&amp;I Function, as well as any applicable markup, related to the Tech Framework.</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reflect the charge to each respective consolidated reportable segment related to the service and maintenance component of the Tech Framework and, additionally for Central and Other, the Adjusted EBITDA impact of the value attributed to centrally-held internally developed technology that is embedded within our various CPE, as well as any applicable markup.</w:t>
      </w:r>
    </w:p>
    <w:p>
      <w:pPr>
        <w:spacing w:after="0" w:line="210"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reflect the charge to each respective consolidated reportable segment related to the value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During the second quarter of 2023, we determined to market and sell certain of our internally-developed software to third parties. As a result of these strategic and operational changes, from May 2023, proceeds from the licensing and related sale of products from this internally-developed software (including proceeds generated from our arrangements with the VMO2 JV and the VodafoneZiggo JV) have been, and will continue to be, applied against the net book value of our existing internally-developed capitalized software until that balance is reduced to zero, after which time we will resume recognizing revenue for such licensing and related sale of products. Further, we now expense the costs of development of such software due to the fact that it is now externally marketed to third parties. During the three and nine months ended September 30, 2023, revenue within our Central and Other category was reduced by $61.5 million and $92.2 million, respectively, as a result of this change and the associated accounting treatment, including $33.8 million and $49.5 million, respectively, from the VMO2 JV and $19.9 million and $29.7 million, respectively, from the VodafoneZiggo JV.</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amounts presented below represent 100% of each of our reportable segment’s revenue and Adjusted EBITDA. The noncontrolling owners’ interests in the operating results of Telenet, prior to the Telenet Takeover Bid, and other less significant majority-owned subsidiaries are reflected in net earnings or loss attributable to noncontrolling interests in our condensed consolidated statements of operations. Furthermore, despite only holding a 50% noncontrolling interest in both the VMO2 JV and the VodafoneZiggo JV, we present 100% of the revenue and Adjusted EBITDA of those entities in the tables below. Our share of the operating results of the VMO2 JV and the VodafoneZiggo JV is included in share of results of affiliates, net, in our condensed consolidated statements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Revenue</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58"/>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jc w:val="center"/>
              <w:ind w:right="360"/>
              <w:spacing w:after="0" w:line="158" w:lineRule="exact"/>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3"/>
                <w:szCs w:val="13"/>
                <w:color w:val="auto"/>
              </w:rPr>
            </w:pPr>
          </w:p>
        </w:tc>
        <w:tc>
          <w:tcPr>
            <w:tcW w:w="2140" w:type="dxa"/>
            <w:vAlign w:val="bottom"/>
            <w:gridSpan w:val="4"/>
          </w:tcPr>
          <w:p>
            <w:pPr>
              <w:jc w:val="right"/>
              <w:ind w:right="491"/>
              <w:spacing w:after="0" w:line="158" w:lineRule="exact"/>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2022 (a)</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2,078.6</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720.2</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 (b)</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5,353.8</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VMO2 JV</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9,642.7</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9"/>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described above.</w:t>
      </w:r>
    </w:p>
    <w:p>
      <w:pPr>
        <w:spacing w:after="0" w:line="252"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primarily relate to (i) the revenue recognized within our T&amp;I Function related to the Tech Framework and (ii) for the nine months ended September 30, 2022,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58"/>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jc w:val="center"/>
              <w:ind w:right="360"/>
              <w:spacing w:after="0" w:line="158" w:lineRule="exact"/>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3"/>
                <w:szCs w:val="13"/>
                <w:color w:val="auto"/>
              </w:rPr>
            </w:pPr>
          </w:p>
        </w:tc>
        <w:tc>
          <w:tcPr>
            <w:tcW w:w="2140" w:type="dxa"/>
            <w:vAlign w:val="bottom"/>
            <w:gridSpan w:val="4"/>
          </w:tcPr>
          <w:p>
            <w:pPr>
              <w:jc w:val="right"/>
              <w:ind w:right="491"/>
              <w:spacing w:after="0" w:line="158" w:lineRule="exact"/>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2022 (a)</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982.9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 (b)</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1,998.1</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VMO2 JV</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3,515.2</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described above.</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relate to (i) the Adjusted EBITDA impact to Central and Other of the value attributed to centrally-held internally developed technology that is embedded within our various CPE, as well as any applicable markup, and (ii) for the nine months ended September 30, 2022, transactions between our continuing and discontinued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60" w:type="dxa"/>
            <w:vAlign w:val="bottom"/>
          </w:tcPr>
          <w:p>
            <w:pPr>
              <w:spacing w:after="0"/>
              <w:rPr>
                <w:sz w:val="16"/>
                <w:szCs w:val="16"/>
                <w:color w:val="auto"/>
              </w:rPr>
            </w:pPr>
          </w:p>
        </w:tc>
        <w:tc>
          <w:tcPr>
            <w:tcW w:w="200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w w:val="98"/>
              </w:rPr>
              <w:t>Nine months ended</w:t>
            </w:r>
          </w:p>
        </w:tc>
      </w:tr>
      <w:tr>
        <w:trPr>
          <w:trHeight w:val="213"/>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60" w:type="dxa"/>
            <w:vAlign w:val="bottom"/>
          </w:tcPr>
          <w:p>
            <w:pPr>
              <w:spacing w:after="0"/>
              <w:rPr>
                <w:sz w:val="18"/>
                <w:szCs w:val="18"/>
                <w:color w:val="auto"/>
              </w:rPr>
            </w:pPr>
          </w:p>
        </w:tc>
        <w:tc>
          <w:tcPr>
            <w:tcW w:w="200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95"/>
              </w:rPr>
              <w:t>2023</w:t>
            </w: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r>
      <w:tr>
        <w:trPr>
          <w:trHeight w:val="207"/>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5,789.6</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Gain associated with the Telenet Wyre Transaction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Telenet Tower Sale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(812.6)</w:t>
            </w:r>
          </w:p>
        </w:tc>
      </w:tr>
      <w:tr>
        <w:trPr>
          <w:trHeight w:val="175"/>
        </w:trPr>
        <w:tc>
          <w:tcPr>
            <w:tcW w:w="6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Realized and unrealized losses (gains) due to changes in fair values of certain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investments, net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Foreign currency transaction gains,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(3,186.4)</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gains on derivative instruments,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r>
      <w:tr>
        <w:trPr>
          <w:trHeight w:val="223"/>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r>
      <w:tr>
        <w:trPr>
          <w:trHeight w:val="248"/>
        </w:trPr>
        <w:tc>
          <w:tcPr>
            <w:tcW w:w="6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8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center"/>
              <w:ind w:right="191"/>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8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w w:val="90"/>
              </w:rPr>
              <w:t>2022 (a)</w:t>
            </w:r>
          </w:p>
        </w:tc>
        <w:tc>
          <w:tcPr>
            <w:tcW w:w="0" w:type="dxa"/>
            <w:vAlign w:val="bottom"/>
          </w:tcPr>
          <w:p>
            <w:pPr>
              <w:spacing w:after="0"/>
              <w:rPr>
                <w:sz w:val="1"/>
                <w:szCs w:val="1"/>
                <w:color w:val="auto"/>
              </w:rPr>
            </w:pPr>
          </w:p>
        </w:tc>
      </w:tr>
      <w:tr>
        <w:trPr>
          <w:trHeight w:val="207"/>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52"/>
              <w:spacing w:after="0"/>
              <w:rPr>
                <w:sz w:val="20"/>
                <w:szCs w:val="20"/>
                <w:color w:val="auto"/>
              </w:rPr>
            </w:pPr>
            <w:r>
              <w:rPr>
                <w:rFonts w:ascii="Arial" w:cs="Arial" w:eastAsia="Arial" w:hAnsi="Arial"/>
                <w:sz w:val="16"/>
                <w:szCs w:val="16"/>
                <w:b w:val="1"/>
                <w:bCs w:val="1"/>
                <w:color w:val="auto"/>
                <w:w w:val="93"/>
              </w:rPr>
              <w:t>in millions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Central and Other (b)</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 (c)</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8620" w:type="dxa"/>
            <w:vAlign w:val="bottom"/>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VMO2 JV</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tcPr>
          <w:p>
            <w:pPr>
              <w:ind w:left="180"/>
              <w:spacing w:after="0" w:line="203" w:lineRule="exact"/>
              <w:rPr>
                <w:sz w:val="20"/>
                <w:szCs w:val="20"/>
                <w:color w:val="auto"/>
              </w:rPr>
            </w:pPr>
            <w:r>
              <w:rPr>
                <w:rFonts w:ascii="Arial" w:cs="Arial" w:eastAsia="Arial" w:hAnsi="Arial"/>
                <w:sz w:val="18"/>
                <w:szCs w:val="18"/>
                <w:color w:val="auto"/>
              </w:rPr>
              <w:t>VodafoneZiggo JV</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737.8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described above.</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(ii) the net impact of certain centrally-procured network equipment that is ultimately transferred to our operating segments and (iii) property and equipment additions of our operations in Slovakia.</w:t>
      </w:r>
    </w:p>
    <w:p>
      <w:pPr>
        <w:spacing w:after="0" w:line="210"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reflect the charge under the Tech Framework to each respective consolidated reportable segment related to the value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14"/>
        </w:trPr>
        <w:tc>
          <w:tcPr>
            <w:tcW w:w="6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1,037.5</w:t>
            </w:r>
          </w:p>
        </w:tc>
      </w:tr>
      <w:tr>
        <w:trPr>
          <w:trHeight w:val="229"/>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r>
      <w:tr>
        <w:trPr>
          <w:trHeight w:val="229"/>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Fixed-line telephony</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r>
      <w:tr>
        <w:trPr>
          <w:trHeight w:val="223"/>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w:t>
            </w:r>
          </w:p>
        </w:tc>
      </w:tr>
      <w:tr>
        <w:trPr>
          <w:trHeight w:val="22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6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residential fixed revenue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2,182.5</w:t>
            </w:r>
          </w:p>
        </w:tc>
      </w:tr>
      <w:tr>
        <w:trPr>
          <w:trHeight w:val="209"/>
        </w:trPr>
        <w:tc>
          <w:tcPr>
            <w:tcW w:w="610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w:t>
            </w:r>
          </w:p>
        </w:tc>
      </w:tr>
      <w:tr>
        <w:trPr>
          <w:trHeight w:val="22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r>
      <w:tr>
        <w:trPr>
          <w:trHeight w:val="223"/>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w:t>
            </w:r>
          </w:p>
        </w:tc>
      </w:tr>
      <w:tr>
        <w:trPr>
          <w:trHeight w:val="223"/>
        </w:trPr>
        <w:tc>
          <w:tcPr>
            <w:tcW w:w="6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residential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3,627.1</w:t>
            </w: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387.6</w:t>
            </w: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r>
      <w:tr>
        <w:trPr>
          <w:trHeight w:val="223"/>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B2B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w:t>
            </w:r>
          </w:p>
        </w:tc>
      </w:tr>
      <w:tr>
        <w:trPr>
          <w:trHeight w:val="223"/>
        </w:trPr>
        <w:tc>
          <w:tcPr>
            <w:tcW w:w="6100" w:type="dxa"/>
            <w:vAlign w:val="bottom"/>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5,353.8</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0" w:lineRule="exact"/>
        <w:rPr>
          <w:rFonts w:ascii="Arial" w:cs="Arial" w:eastAsia="Arial" w:hAnsi="Arial"/>
          <w:sz w:val="18"/>
          <w:szCs w:val="18"/>
          <w:color w:val="auto"/>
        </w:rPr>
      </w:pPr>
    </w:p>
    <w:p>
      <w:pPr>
        <w:jc w:val="both"/>
        <w:ind w:left="500" w:hanging="492"/>
        <w:spacing w:after="0" w:line="286" w:lineRule="auto"/>
        <w:tabs>
          <w:tab w:leader="none" w:pos="494"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2" w:lineRule="exact"/>
        <w:rPr>
          <w:rFonts w:ascii="Arial" w:cs="Arial" w:eastAsia="Arial" w:hAnsi="Arial"/>
          <w:sz w:val="17"/>
          <w:szCs w:val="17"/>
          <w:color w:val="auto"/>
        </w:rPr>
      </w:pPr>
    </w:p>
    <w:p>
      <w:pPr>
        <w:ind w:left="500" w:hanging="492"/>
        <w:spacing w:after="0" w:line="308" w:lineRule="auto"/>
        <w:tabs>
          <w:tab w:leader="none" w:pos="497"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69" w:lineRule="exact"/>
        <w:rPr>
          <w:rFonts w:ascii="Arial" w:cs="Arial" w:eastAsia="Arial" w:hAnsi="Arial"/>
          <w:sz w:val="17"/>
          <w:szCs w:val="17"/>
          <w:color w:val="auto"/>
        </w:rPr>
      </w:pPr>
    </w:p>
    <w:p>
      <w:pPr>
        <w:jc w:val="both"/>
        <w:ind w:left="500" w:hanging="492"/>
        <w:spacing w:after="0" w:line="258" w:lineRule="auto"/>
        <w:tabs>
          <w:tab w:leader="none" w:pos="4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B2B subscription revenue represents revenue from (i) services provided to small or home office (</w:t>
      </w:r>
      <w:r>
        <w:rPr>
          <w:rFonts w:ascii="Arial" w:cs="Arial" w:eastAsia="Arial" w:hAnsi="Arial"/>
          <w:sz w:val="18"/>
          <w:szCs w:val="18"/>
          <w:b w:val="1"/>
          <w:bCs w:val="1"/>
          <w:color w:val="auto"/>
        </w:rPr>
        <w:t>SOHO</w:t>
      </w:r>
      <w:r>
        <w:rPr>
          <w:rFonts w:ascii="Arial" w:cs="Arial" w:eastAsia="Arial" w:hAnsi="Arial"/>
          <w:sz w:val="18"/>
          <w:szCs w:val="18"/>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enterprises and, fixed-line and mobile services on a wholesale basis, to other operators and (b) revenue from long-term leases of portions of our network.</w:t>
      </w:r>
    </w:p>
    <w:p>
      <w:pPr>
        <w:spacing w:after="0" w:line="197" w:lineRule="exact"/>
        <w:rPr>
          <w:sz w:val="20"/>
          <w:szCs w:val="20"/>
          <w:color w:val="auto"/>
        </w:rPr>
      </w:pPr>
    </w:p>
    <w:p>
      <w:pPr>
        <w:jc w:val="both"/>
        <w:ind w:left="500" w:hanging="492"/>
        <w:spacing w:after="0" w:line="263" w:lineRule="auto"/>
        <w:tabs>
          <w:tab w:leader="none" w:pos="4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revenue includes, among other items, (i) broadcasting revenue in Belgium, Ireland and Switzerland, (ii) revenue earned from the U.K. JV Services and NL JV Services, (iii) revenue earned from the sale of CPE to the VodafoneZiggo JV and (iv) revenue earned from transitional and other services provided to various third parties.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2,078.6</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Slovakia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intersegment eliminations (a)</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5,353.8</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VMO2 JV (U.K.)</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9,642.7</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 (Netherlands)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1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line="277" w:lineRule="auto"/>
        <w:tabs>
          <w:tab w:leader="none" w:pos="4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Revenue from our other geographic segments relates to (i) our Central functions, most of which are located in the Netherlands and the U.K., and (ii) certain other operations at Telenet, primarily in the U.S. and Luxembourg.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211" w:lineRule="exact"/>
        <w:rPr>
          <w:sz w:val="20"/>
          <w:szCs w:val="20"/>
          <w:color w:val="auto"/>
        </w:rPr>
      </w:pPr>
    </w:p>
    <w:p>
      <w:pPr>
        <w:ind w:left="660" w:right="2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anticipated results or events.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and 2022.</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and our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cash flows.</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Part I,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and Part II, Item 2. </w:t>
      </w:r>
      <w:r>
        <w:rPr>
          <w:rFonts w:ascii="Arial" w:cs="Arial" w:eastAsia="Arial" w:hAnsi="Arial"/>
          <w:sz w:val="17"/>
          <w:szCs w:val="17"/>
          <w:i w:val="1"/>
          <w:iCs w:val="1"/>
          <w:color w:val="auto"/>
        </w:rPr>
        <w:t>Unregistered Sales of Equity Securities and Use of Proceeds</w:t>
      </w:r>
      <w:r>
        <w:rPr>
          <w:rFonts w:ascii="Arial" w:cs="Arial" w:eastAsia="Arial" w:hAnsi="Arial"/>
          <w:sz w:val="17"/>
          <w:szCs w:val="17"/>
          <w:color w:val="auto"/>
        </w:rPr>
        <w:t xml:space="preserve"> may 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interest rate risks, target leverage levels, debt covenants, future projected contractual commitments and cash flows, our share repurchase program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our 10-K, as well as the following list of some but not all of the factors that could cause actual results or events (including with respect to our affiliates) to differ materially from anticipated results or events:</w:t>
      </w:r>
    </w:p>
    <w:p>
      <w:pPr>
        <w:spacing w:after="0" w:line="209"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competitive environment in the industries and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 as a result of, among other things, inflationary pressures;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consumer television viewing and mobile and broadband usage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manage rapid technological changes and the rate at which our current technology becomes obsolete;</w:t>
      </w:r>
    </w:p>
    <w:p>
      <w:pPr>
        <w:spacing w:after="0" w:line="11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video, fixed-line telephony and mobile service offerings and our average revenue per household;</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 as a result of, among other things, inflationary pressures;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and legislation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government intervention that requires opening our broadband distribution networks to competitors, such as certain regulatory obligations imposed in Belgium;</w:t>
      </w:r>
    </w:p>
    <w:p>
      <w:pPr>
        <w:spacing w:after="0" w:line="62"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 combinations or joint ventures;</w:t>
      </w:r>
    </w:p>
    <w:p>
      <w:pPr>
        <w:spacing w:after="0" w:line="15" w:lineRule="exact"/>
        <w:rPr>
          <w:rFonts w:ascii="Arial" w:cs="Arial" w:eastAsia="Arial" w:hAnsi="Arial"/>
          <w:sz w:val="16"/>
          <w:szCs w:val="16"/>
          <w:color w:val="auto"/>
        </w:rPr>
      </w:pPr>
    </w:p>
    <w:p>
      <w:pPr>
        <w:ind w:left="328" w:hanging="328"/>
        <w:spacing w:after="0" w:line="308" w:lineRule="auto"/>
        <w:tabs>
          <w:tab w:leader="none" w:pos="323"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ability to successfully acquire new businesses or form joint ventures and, if acquired or joined, to integrate, realize anticipated efficiencies from, and implement our business plan with respect to, the businesses we have acquired or joined or that we expect to acquire;</w:t>
      </w:r>
    </w:p>
    <w:p>
      <w:pPr>
        <w:spacing w:after="0" w:line="38"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 or are incorporated;</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laws, monetary policies and government regulations that may impact the availability or cost of capital and the derivative instruments that hedge certain of our financial risks;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our ability to navigate the potential impacts on our business resulting from the U.K.’s departure from the E.U.;</w:t>
      </w:r>
    </w:p>
    <w:p>
      <w:pPr>
        <w:spacing w:after="0" w:line="117" w:lineRule="exact"/>
        <w:rPr>
          <w:rFonts w:ascii="Arial" w:cs="Arial" w:eastAsia="Arial" w:hAnsi="Arial"/>
          <w:sz w:val="18"/>
          <w:szCs w:val="18"/>
          <w:i w:val="1"/>
          <w:iCs w:val="1"/>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 Three (Hutchison), under our MVNO arrangement in Ireland) to timely deliver quality products, equipment, software, services and access;</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production costs, retransmission and copyright fees payable to public and private broadcasters;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availability and cost of capital for the acquisition, maintenance and/or development of telecommunications networks, products and services;</w:t>
      </w:r>
    </w:p>
    <w:p>
      <w:pPr>
        <w:spacing w:after="0" w:line="140" w:lineRule="exact"/>
        <w:rPr>
          <w:rFonts w:ascii="Arial" w:cs="Arial" w:eastAsia="Arial" w:hAnsi="Arial"/>
          <w:sz w:val="16"/>
          <w:szCs w:val="16"/>
          <w:color w:val="auto"/>
        </w:rPr>
      </w:pPr>
    </w:p>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availability, cost and regulation of spectrum;</w:t>
      </w:r>
    </w:p>
    <w:p>
      <w:pPr>
        <w:spacing w:after="0" w:line="117"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processes, of businesses we acquire;</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successfully integrating businesses or operations that we acquire or partner with on the timelines or within the budgets estimated for such integrations;</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maintaining relationships with employees, customers, suppliers or vendors, may be greater than expected in connection with our acquisitions, dispositions and joint ventures;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ability to realize the expected synergies from our acquisitions and joint ventures in the amounts anticipated or on the anticipated timelines;</w:t>
      </w:r>
    </w:p>
    <w:p>
      <w:pPr>
        <w:spacing w:after="0" w:line="140" w:lineRule="exact"/>
        <w:rPr>
          <w:rFonts w:ascii="Arial" w:cs="Arial" w:eastAsia="Arial" w:hAnsi="Arial"/>
          <w:sz w:val="16"/>
          <w:szCs w:val="16"/>
          <w:color w:val="auto"/>
        </w:rPr>
      </w:pPr>
    </w:p>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profit from investments, such as our joint ventures, that we do not solely control;</w:t>
      </w:r>
    </w:p>
    <w:p>
      <w:pPr>
        <w:spacing w:after="0" w:line="117"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anticipate, protect against, mitigate and contain loss of our and our customers’ data as a result of cyber attacks on us or any of our operating companies;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leakage of sensitive customer or company data;</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35" w:right="339" w:bottom="1440" w:gutter="0" w:footer="0" w:header="0"/>
        </w:sectPr>
      </w:pPr>
    </w:p>
    <w:bookmarkStart w:id="55" w:name="page56"/>
    <w:bookmarkEnd w:id="55"/>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capital structure and factors related to our debt arrangements; and</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epidemics, pandemics (such as COVID-19) and other similar events, including the ongoing invasion of Ukraine by Russia and the Israeli-Palestinian conflict.</w:t>
      </w:r>
    </w:p>
    <w:p>
      <w:pPr>
        <w:spacing w:after="0" w:line="2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UPC Holding, (ii) Belgium and Luxembourg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 We also own (1) a 50% noncontrolling voting interest in the AtlasEdge JV, which is a leading European Edge data center platform, and (2) a 25% noncontrolling interest in the nexfibre JV, which is constructing a new fiber network in the U.K. outside of the existing footprint of the VMO2 JV.</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our operations in Poland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regarding the sale of UPC Poland, including with respect to our use of proceeds, see note 4 to our condensed consolidated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2023, our continuing operations owned and operated networks that passed 7,916,000 homes and served 4,085,100 fixed-line customers and 5,894,300 mobile subscribers.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the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1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inflationary pressures with respect to labor, programming and other operating costs, including energy costs. In this regard, inflation rates in the countries in which we operate have increased, and in most countries such increases have been significant.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further inflation. We are unable to predict the extent that price levels might be impacted in future periods by the current state of the economies in the countries in which we operate.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completed a number of transactions that impact the comparability of our 2023 and 2022 results of operations, the most notable of which are</w:t>
      </w:r>
    </w:p>
    <w:p>
      <w:pPr>
        <w:spacing w:after="0" w:line="46" w:lineRule="exact"/>
        <w:rPr>
          <w:sz w:val="20"/>
          <w:szCs w:val="20"/>
          <w:color w:val="auto"/>
        </w:rPr>
      </w:pPr>
    </w:p>
    <w:p>
      <w:pPr>
        <w:ind w:firstLine="8"/>
        <w:spacing w:after="0" w:line="260"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sale of UPC Poland on April 1, 2022 and (ii) the Telenet Tower Sale on June 1, 2022. For further information regarding our dispositions, see note 4 to our condensed consolidated financial statements.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the following discussion, we quantify the estimated impact of material acquisitions (the </w:t>
      </w:r>
      <w:r>
        <w:rPr>
          <w:rFonts w:ascii="Arial" w:cs="Arial" w:eastAsia="Arial" w:hAnsi="Arial"/>
          <w:sz w:val="16"/>
          <w:szCs w:val="16"/>
          <w:b w:val="1"/>
          <w:bCs w:val="1"/>
          <w:color w:val="auto"/>
        </w:rPr>
        <w:t>Acquisition Impact</w:t>
      </w:r>
      <w:r>
        <w:rPr>
          <w:rFonts w:ascii="Arial" w:cs="Arial" w:eastAsia="Arial" w:hAnsi="Arial"/>
          <w:sz w:val="16"/>
          <w:szCs w:val="16"/>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6"/>
          <w:szCs w:val="16"/>
          <w:b w:val="1"/>
          <w:bCs w:val="1"/>
          <w:color w:val="auto"/>
        </w:rPr>
        <w:t>FX</w:t>
      </w:r>
      <w:r>
        <w:rPr>
          <w:rFonts w:ascii="Arial" w:cs="Arial" w:eastAsia="Arial" w:hAnsi="Arial"/>
          <w:sz w:val="16"/>
          <w:szCs w:val="16"/>
          <w:color w:val="auto"/>
        </w:rPr>
        <w:t xml:space="preserve">) risk during the three months ended September 30, 2023 was to the euro and Swiss franc, as 55.9% and 46.3%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 Consolidated Operating Results</w:t>
      </w:r>
      <w:r>
        <w:rPr>
          <w:rFonts w:ascii="Arial" w:cs="Arial" w:eastAsia="Arial" w:hAnsi="Arial"/>
          <w:sz w:val="16"/>
          <w:szCs w:val="16"/>
          <w:color w:val="auto"/>
        </w:rPr>
        <w:t xml:space="preserve"> below. For information regarding our foreign currency risks and the applicable foreign currency exchange rates in effect for the periods covered by this Quarterly Report, see Part I, Item 3. </w:t>
      </w:r>
      <w:r>
        <w:rPr>
          <w:rFonts w:ascii="Arial" w:cs="Arial" w:eastAsia="Arial" w:hAnsi="Arial"/>
          <w:sz w:val="16"/>
          <w:szCs w:val="16"/>
          <w:i w:val="1"/>
          <w:iCs w:val="1"/>
          <w:color w:val="auto"/>
        </w:rPr>
        <w:t>Quantitative and Qualitative Disclosures about Market Risk — Foreign Currency Risk</w:t>
      </w:r>
      <w:r>
        <w:rPr>
          <w:rFonts w:ascii="Arial" w:cs="Arial" w:eastAsia="Arial" w:hAnsi="Arial"/>
          <w:sz w:val="16"/>
          <w:szCs w:val="16"/>
          <w:color w:val="auto"/>
        </w:rPr>
        <w:t xml:space="preserve"> below.</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amounts presented and discussed below represent 100% of each of our consolidated reportable segment’s results of operations. The noncontrolling owners’ interests in the operating results of Telenet, prior to the Telenet Takeover Bid, and other less significant majority-owned subsidiaries are reflected in net earnings or loss attributable to noncontrolling interests in our condensed consolidated statements of operations. Furthermore, despite only holding a 50% noncontrolling interest in both the VMO2 JV and the VodafoneZiggo JV, we present 100% of the revenue and Adjusted EBITDA of those entities in the tables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All of our reportable segments derive their revenue primarily from residential and B2B communications services. For detailed information regarding the composition of our reportable segments and how we define and categorize our revenue components, see note 16 to our condensed consolidated financial statements. For information regarding the results of operations of the VMO2 JV and the VodafoneZiggo JV, refer to </w:t>
      </w:r>
      <w:r>
        <w:rPr>
          <w:rFonts w:ascii="Arial" w:cs="Arial" w:eastAsia="Arial" w:hAnsi="Arial"/>
          <w:sz w:val="18"/>
          <w:szCs w:val="18"/>
          <w:i w:val="1"/>
          <w:iCs w:val="1"/>
          <w:color w:val="auto"/>
        </w:rPr>
        <w:t>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Consolidated Operating Results — Share of results of affiliates, net </w:t>
      </w:r>
      <w:r>
        <w:rPr>
          <w:rFonts w:ascii="Arial" w:cs="Arial" w:eastAsia="Arial" w:hAnsi="Arial"/>
          <w:sz w:val="18"/>
          <w:szCs w:val="18"/>
          <w:color w:val="auto"/>
        </w:rPr>
        <w:t>below.</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tables presented below in this section provide the details of the revenue and Adjusted EBITDA of our reportable segments for the three and nine months ended September 30, 2023 and 2022.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and nine months ended September 30, 2023 and 2022 at the end of this section.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both"/>
        <w:ind w:firstLine="324"/>
        <w:spacing w:after="0" w:line="259" w:lineRule="auto"/>
        <w:rPr>
          <w:sz w:val="20"/>
          <w:szCs w:val="20"/>
          <w:color w:val="auto"/>
        </w:rPr>
      </w:pPr>
      <w:r>
        <w:rPr>
          <w:rFonts w:ascii="Arial" w:cs="Arial" w:eastAsia="Arial" w:hAnsi="Arial"/>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60" w:type="dxa"/>
            <w:vAlign w:val="bottom"/>
          </w:tcPr>
          <w:p>
            <w:pPr>
              <w:spacing w:after="0"/>
              <w:rPr>
                <w:sz w:val="16"/>
                <w:szCs w:val="16"/>
                <w:color w:val="auto"/>
              </w:rPr>
            </w:pPr>
          </w:p>
        </w:tc>
        <w:tc>
          <w:tcPr>
            <w:tcW w:w="200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w w:val="98"/>
              </w:rPr>
              <w:t>Nine months ended</w:t>
            </w:r>
          </w:p>
        </w:tc>
      </w:tr>
      <w:tr>
        <w:trPr>
          <w:trHeight w:val="213"/>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60" w:type="dxa"/>
            <w:vAlign w:val="bottom"/>
          </w:tcPr>
          <w:p>
            <w:pPr>
              <w:spacing w:after="0"/>
              <w:rPr>
                <w:sz w:val="18"/>
                <w:szCs w:val="18"/>
                <w:color w:val="auto"/>
              </w:rPr>
            </w:pPr>
          </w:p>
        </w:tc>
        <w:tc>
          <w:tcPr>
            <w:tcW w:w="200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95"/>
              </w:rPr>
              <w:t>2023</w:t>
            </w: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r>
      <w:tr>
        <w:trPr>
          <w:trHeight w:val="207"/>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8"/>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5,789.6</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Gain associated with the Telenet Wyre Transaction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Telenet Tower Sale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(812.6)</w:t>
            </w:r>
          </w:p>
        </w:tc>
      </w:tr>
      <w:tr>
        <w:trPr>
          <w:trHeight w:val="176"/>
        </w:trPr>
        <w:tc>
          <w:tcPr>
            <w:tcW w:w="6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Realized and unrealized losses (gains) due to changes in fair values of certain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investments, net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Foreign currency transaction gains,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(3,186.4)</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gains on derivative instruments,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w:t>
            </w:r>
          </w:p>
        </w:tc>
      </w:tr>
      <w:tr>
        <w:trPr>
          <w:trHeight w:val="229"/>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r>
      <w:tr>
        <w:trPr>
          <w:trHeight w:val="223"/>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r>
      <w:tr>
        <w:trPr>
          <w:trHeight w:val="248"/>
        </w:trPr>
        <w:tc>
          <w:tcPr>
            <w:tcW w:w="6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ind w:left="180"/>
        <w:spacing w:after="0"/>
        <w:rPr>
          <w:sz w:val="20"/>
          <w:szCs w:val="20"/>
          <w:color w:val="auto"/>
        </w:rPr>
      </w:pPr>
      <w:r>
        <w:rPr>
          <w:rFonts w:ascii="Arial" w:cs="Arial" w:eastAsia="Arial" w:hAnsi="Arial"/>
          <w:sz w:val="18"/>
          <w:szCs w:val="18"/>
          <w:b w:val="1"/>
          <w:bCs w:val="1"/>
          <w:i w:val="1"/>
          <w:iCs w:val="1"/>
          <w:color w:val="auto"/>
        </w:rPr>
        <w:t>Revenue of our Reportable Segments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reportable segments, we are experiencing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in all of our markets. This competition has an adverse impact on our ability to increase or maintain our total number of customers and/or our ARPU.</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6"/>
                <w:szCs w:val="16"/>
                <w:color w:val="auto"/>
              </w:rPr>
            </w:pPr>
          </w:p>
        </w:tc>
        <w:tc>
          <w:tcPr>
            <w:tcW w:w="1960" w:type="dxa"/>
            <w:vAlign w:val="bottom"/>
            <w:gridSpan w:val="3"/>
            <w:vMerge w:val="restart"/>
          </w:tcPr>
          <w:p>
            <w:pPr>
              <w:jc w:val="right"/>
              <w:ind w:right="371"/>
              <w:spacing w:after="0"/>
              <w:rPr>
                <w:sz w:val="20"/>
                <w:szCs w:val="20"/>
                <w:color w:val="auto"/>
              </w:rPr>
            </w:pPr>
            <w:r>
              <w:rPr>
                <w:rFonts w:ascii="Arial" w:cs="Arial" w:eastAsia="Arial" w:hAnsi="Arial"/>
                <w:sz w:val="16"/>
                <w:szCs w:val="16"/>
                <w:b w:val="1"/>
                <w:bCs w:val="1"/>
                <w:color w:val="auto"/>
                <w:w w:val="99"/>
              </w:rPr>
              <w:t>Increase (decrease)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18"/>
                <w:szCs w:val="18"/>
                <w:color w:val="auto"/>
              </w:rPr>
            </w:pPr>
          </w:p>
        </w:tc>
        <w:tc>
          <w:tcPr>
            <w:tcW w:w="19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
          </w:tcPr>
          <w:p>
            <w:pPr>
              <w:jc w:val="right"/>
              <w:ind w:right="31"/>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VMO2 JV</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Nine months ended</w:t>
            </w:r>
          </w:p>
        </w:tc>
        <w:tc>
          <w:tcPr>
            <w:tcW w:w="300" w:type="dxa"/>
            <w:vAlign w:val="bottom"/>
          </w:tcPr>
          <w:p>
            <w:pPr>
              <w:spacing w:after="0"/>
              <w:rPr>
                <w:sz w:val="24"/>
                <w:szCs w:val="24"/>
                <w:color w:val="auto"/>
              </w:rPr>
            </w:pPr>
          </w:p>
        </w:tc>
        <w:tc>
          <w:tcPr>
            <w:tcW w:w="1960" w:type="dxa"/>
            <w:vAlign w:val="bottom"/>
            <w:gridSpan w:val="3"/>
            <w:vMerge w:val="restart"/>
          </w:tcPr>
          <w:p>
            <w:pPr>
              <w:jc w:val="right"/>
              <w:ind w:right="371"/>
              <w:spacing w:after="0"/>
              <w:rPr>
                <w:sz w:val="20"/>
                <w:szCs w:val="20"/>
                <w:color w:val="auto"/>
              </w:rPr>
            </w:pPr>
            <w:r>
              <w:rPr>
                <w:rFonts w:ascii="Arial" w:cs="Arial" w:eastAsia="Arial" w:hAnsi="Arial"/>
                <w:sz w:val="16"/>
                <w:szCs w:val="16"/>
                <w:b w:val="1"/>
                <w:bCs w:val="1"/>
                <w:color w:val="auto"/>
                <w:w w:val="99"/>
              </w:rPr>
              <w:t>Increase (decrease)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18"/>
                <w:szCs w:val="18"/>
                <w:color w:val="auto"/>
              </w:rPr>
            </w:pPr>
          </w:p>
        </w:tc>
        <w:tc>
          <w:tcPr>
            <w:tcW w:w="19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
          </w:tcPr>
          <w:p>
            <w:pPr>
              <w:jc w:val="right"/>
              <w:ind w:right="31"/>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VMO2 JV</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ind w:firstLine="324"/>
        <w:spacing w:after="0" w:line="277"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increases in Switzerland’s revenue during the three and nine months ended September 30, 2023</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2022</w:t>
      </w:r>
      <w:r>
        <w:rPr>
          <w:rFonts w:ascii="Arial" w:cs="Arial" w:eastAsia="Arial" w:hAnsi="Arial"/>
          <w:sz w:val="18"/>
          <w:szCs w:val="18"/>
          <w:color w:val="auto"/>
        </w:rPr>
        <w:t>, are set forth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6"/>
              </w:rPr>
              <w:t>Three-month period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w w:val="99"/>
              </w:rPr>
              <w:t>Nine-month period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9"/>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0"/>
        </w:trPr>
        <w:tc>
          <w:tcPr>
            <w:tcW w:w="3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07"/>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8"/>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Decrease in residential fixed subscription revenue</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change in:</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9"/>
        </w:trPr>
        <w:tc>
          <w:tcPr>
            <w:tcW w:w="38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176"/>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Increase in residential fixed non-subscription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revenue (a)</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156"/>
        </w:trPr>
        <w:tc>
          <w:tcPr>
            <w:tcW w:w="3860" w:type="dxa"/>
            <w:vAlign w:val="bottom"/>
            <w:tcBorders>
              <w:top w:val="single" w:sz="8" w:color="CCEEFF"/>
            </w:tcBorders>
            <w:shd w:val="clear" w:color="auto" w:fill="CCEEFF"/>
          </w:tcPr>
          <w:p>
            <w:pPr>
              <w:ind w:left="300"/>
              <w:spacing w:after="0" w:line="156" w:lineRule="exact"/>
              <w:rPr>
                <w:sz w:val="20"/>
                <w:szCs w:val="20"/>
                <w:color w:val="auto"/>
              </w:rPr>
            </w:pPr>
            <w:r>
              <w:rPr>
                <w:rFonts w:ascii="Arial" w:cs="Arial" w:eastAsia="Arial" w:hAnsi="Arial"/>
                <w:sz w:val="18"/>
                <w:szCs w:val="18"/>
                <w:color w:val="auto"/>
              </w:rPr>
              <w:t>Total increase (decrease) in residential fixed</w:t>
            </w: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243"/>
        </w:trPr>
        <w:tc>
          <w:tcPr>
            <w:tcW w:w="3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w w:val="90"/>
              </w:rPr>
              <w:t>Increase (decrease) in residential mobile revenue (b)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Increase (decrease) in other revenue</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8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23"/>
        </w:trPr>
        <w:tc>
          <w:tcPr>
            <w:tcW w:w="386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increases in residential fixed non-subscription revenue are primarily attributable to higher revenue from equipment sales.</w:t>
      </w:r>
    </w:p>
    <w:p>
      <w:pPr>
        <w:spacing w:after="0" w:line="23" w:lineRule="exact"/>
        <w:rPr>
          <w:rFonts w:ascii="Arial" w:cs="Arial" w:eastAsia="Arial" w:hAnsi="Arial"/>
          <w:sz w:val="18"/>
          <w:szCs w:val="18"/>
          <w:color w:val="auto"/>
        </w:rPr>
      </w:pPr>
    </w:p>
    <w:p>
      <w:pPr>
        <w:ind w:left="500" w:hanging="492"/>
        <w:spacing w:after="0" w:line="260" w:lineRule="auto"/>
        <w:tabs>
          <w:tab w:leader="none" w:pos="4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increases in residential mobile subscription revenue are primarily attributable to increases in the average number of mobile subscribers. The decreases in residential mobile non-subscription revenue are primarily attributable to lower interconnect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ind w:firstLine="324"/>
        <w:spacing w:after="0" w:line="277"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increases in Belgium’s revenue during the three and nine months ended September 30, 2023</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2022</w:t>
      </w:r>
      <w:r>
        <w:rPr>
          <w:rFonts w:ascii="Arial" w:cs="Arial" w:eastAsia="Arial" w:hAnsi="Arial"/>
          <w:sz w:val="18"/>
          <w:szCs w:val="18"/>
          <w:color w:val="auto"/>
        </w:rPr>
        <w:t>, are set forth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6"/>
              </w:rPr>
              <w:t>Three-month period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w w:val="99"/>
              </w:rPr>
              <w:t>Nine-month period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9"/>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0"/>
        </w:trPr>
        <w:tc>
          <w:tcPr>
            <w:tcW w:w="3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07"/>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8"/>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Increase (decrease) in residential fixed subscription</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9"/>
        </w:trPr>
        <w:tc>
          <w:tcPr>
            <w:tcW w:w="38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176"/>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Decrease in residential fixed non-subscription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56"/>
        </w:trPr>
        <w:tc>
          <w:tcPr>
            <w:tcW w:w="3860" w:type="dxa"/>
            <w:vAlign w:val="bottom"/>
            <w:tcBorders>
              <w:top w:val="single" w:sz="8" w:color="CCEEFF"/>
            </w:tcBorders>
            <w:shd w:val="clear" w:color="auto" w:fill="CCEEFF"/>
          </w:tcPr>
          <w:p>
            <w:pPr>
              <w:ind w:left="300"/>
              <w:spacing w:after="0" w:line="156" w:lineRule="exact"/>
              <w:rPr>
                <w:sz w:val="20"/>
                <w:szCs w:val="20"/>
                <w:color w:val="auto"/>
              </w:rPr>
            </w:pPr>
            <w:r>
              <w:rPr>
                <w:rFonts w:ascii="Arial" w:cs="Arial" w:eastAsia="Arial" w:hAnsi="Arial"/>
                <w:sz w:val="18"/>
                <w:szCs w:val="18"/>
                <w:color w:val="auto"/>
              </w:rPr>
              <w:t>Total increase (decrease) in residential fixed</w:t>
            </w: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243"/>
        </w:trPr>
        <w:tc>
          <w:tcPr>
            <w:tcW w:w="3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w w:val="90"/>
              </w:rPr>
              <w:t>Increase (decrease) in residential mobile revenue (a)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 (b)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38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136.3</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48"/>
        </w:trPr>
        <w:tc>
          <w:tcPr>
            <w:tcW w:w="3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increases in residential mobile subscription revenue are primarily attributable to increases in ARPU.</w:t>
      </w:r>
    </w:p>
    <w:p>
      <w:pPr>
        <w:spacing w:after="0" w:line="237"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the average number of customers. The increase in B2B non-subscription revenue for the nine-month comparison is primarily attributable to higher revenue from wholesale services.</w:t>
      </w:r>
    </w:p>
    <w:p>
      <w:pPr>
        <w:spacing w:after="0" w:line="19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 xml:space="preserve">For information concerning certain regulatory developments that could have an adverse impact on our revenue in Belgium, see </w:t>
      </w:r>
      <w:r>
        <w:rPr>
          <w:rFonts w:ascii="Arial" w:cs="Arial" w:eastAsia="Arial" w:hAnsi="Arial"/>
          <w:sz w:val="16"/>
          <w:szCs w:val="16"/>
          <w:i w:val="1"/>
          <w:iCs w:val="1"/>
          <w:color w:val="auto"/>
        </w:rPr>
        <w:t>Legal and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and Other Contingencies — Belgium Regulatory Developments </w:t>
      </w:r>
      <w:r>
        <w:rPr>
          <w:rFonts w:ascii="Arial" w:cs="Arial" w:eastAsia="Arial" w:hAnsi="Arial"/>
          <w:sz w:val="16"/>
          <w:szCs w:val="16"/>
          <w:color w:val="auto"/>
        </w:rPr>
        <w:t>in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1" w:name="page62"/>
    <w:bookmarkEnd w:id="61"/>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Ireland. </w:t>
      </w:r>
      <w:r>
        <w:rPr>
          <w:rFonts w:ascii="Arial" w:cs="Arial" w:eastAsia="Arial" w:hAnsi="Arial"/>
          <w:sz w:val="18"/>
          <w:szCs w:val="18"/>
          <w:color w:val="auto"/>
        </w:rPr>
        <w:t>The details of the increases in Ireland’s revenue during the three and nine months ended September 30, 2023,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2022</w:t>
      </w:r>
      <w:r>
        <w:rPr>
          <w:rFonts w:ascii="Arial" w:cs="Arial" w:eastAsia="Arial" w:hAnsi="Arial"/>
          <w:sz w:val="18"/>
          <w:szCs w:val="18"/>
          <w:color w:val="auto"/>
        </w:rPr>
        <w:t>, are set forth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6"/>
              </w:rPr>
              <w:t>Three-month period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w w:val="99"/>
              </w:rPr>
              <w:t>Nine-month period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9"/>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0"/>
        </w:trPr>
        <w:tc>
          <w:tcPr>
            <w:tcW w:w="3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w:t>
            </w:r>
          </w:p>
        </w:tc>
      </w:tr>
      <w:tr>
        <w:trPr>
          <w:trHeight w:val="207"/>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8"/>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Increase (decrease) in residential fixed subscription</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9"/>
        </w:trPr>
        <w:tc>
          <w:tcPr>
            <w:tcW w:w="38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ind w:left="331"/>
              <w:spacing w:after="0"/>
              <w:rPr>
                <w:sz w:val="20"/>
                <w:szCs w:val="20"/>
                <w:color w:val="auto"/>
              </w:rPr>
            </w:pPr>
            <w:r>
              <w:rPr>
                <w:rFonts w:ascii="Arial" w:cs="Arial" w:eastAsia="Arial" w:hAnsi="Arial"/>
                <w:sz w:val="18"/>
                <w:szCs w:val="18"/>
                <w:color w:val="auto"/>
                <w:w w:val="97"/>
              </w:rPr>
              <w:t>(8.2)</w:t>
            </w:r>
          </w:p>
        </w:tc>
      </w:tr>
      <w:tr>
        <w:trPr>
          <w:trHeight w:val="229"/>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87"/>
              </w:rPr>
              <w:t>3.1</w:t>
            </w:r>
          </w:p>
        </w:tc>
      </w:tr>
      <w:tr>
        <w:trPr>
          <w:trHeight w:val="176"/>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Decrease in residential fixed non-subscription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left="331"/>
              <w:spacing w:after="0"/>
              <w:rPr>
                <w:sz w:val="20"/>
                <w:szCs w:val="20"/>
                <w:color w:val="auto"/>
              </w:rPr>
            </w:pPr>
            <w:r>
              <w:rPr>
                <w:rFonts w:ascii="Arial" w:cs="Arial" w:eastAsia="Arial" w:hAnsi="Arial"/>
                <w:sz w:val="18"/>
                <w:szCs w:val="18"/>
                <w:color w:val="auto"/>
                <w:w w:val="97"/>
              </w:rPr>
              <w:t>(0.3)</w:t>
            </w:r>
          </w:p>
        </w:tc>
      </w:tr>
      <w:tr>
        <w:trPr>
          <w:trHeight w:val="223"/>
        </w:trPr>
        <w:tc>
          <w:tcPr>
            <w:tcW w:w="38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97"/>
              </w:rPr>
              <w:t>(5.4)</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w w:val="96"/>
              </w:rPr>
              <w:t>Increase (decrease) in residential mobile revenue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51"/>
              <w:spacing w:after="0"/>
              <w:rPr>
                <w:sz w:val="20"/>
                <w:szCs w:val="20"/>
                <w:color w:val="auto"/>
              </w:rPr>
            </w:pPr>
            <w:r>
              <w:rPr>
                <w:rFonts w:ascii="Arial" w:cs="Arial" w:eastAsia="Arial" w:hAnsi="Arial"/>
                <w:sz w:val="18"/>
                <w:szCs w:val="18"/>
                <w:color w:val="auto"/>
                <w:w w:val="87"/>
              </w:rPr>
              <w:t>1.8</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87"/>
              </w:rPr>
              <w:t>0.2</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51"/>
              <w:spacing w:after="0"/>
              <w:rPr>
                <w:sz w:val="20"/>
                <w:szCs w:val="20"/>
                <w:color w:val="auto"/>
              </w:rPr>
            </w:pPr>
            <w:r>
              <w:rPr>
                <w:rFonts w:ascii="Arial" w:cs="Arial" w:eastAsia="Arial" w:hAnsi="Arial"/>
                <w:sz w:val="18"/>
                <w:szCs w:val="18"/>
                <w:color w:val="auto"/>
                <w:w w:val="87"/>
              </w:rPr>
              <w:t>3.8</w:t>
            </w:r>
          </w:p>
        </w:tc>
      </w:tr>
      <w:tr>
        <w:trPr>
          <w:trHeight w:val="223"/>
        </w:trPr>
        <w:tc>
          <w:tcPr>
            <w:tcW w:w="38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87"/>
              </w:rPr>
              <w:t>0.4</w:t>
            </w:r>
          </w:p>
        </w:tc>
      </w:tr>
      <w:tr>
        <w:trPr>
          <w:trHeight w:val="22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87"/>
              </w:rPr>
              <w:t>6.6</w:t>
            </w:r>
          </w:p>
        </w:tc>
      </w:tr>
      <w:tr>
        <w:trPr>
          <w:trHeight w:val="248"/>
        </w:trPr>
        <w:tc>
          <w:tcPr>
            <w:tcW w:w="3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87"/>
              </w:rPr>
              <w:t>7.0</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EBITDA of our Reportable Segments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0" w:type="dxa"/>
            <w:vAlign w:val="bottom"/>
            <w:gridSpan w:val="6"/>
          </w:tcPr>
          <w:p>
            <w:pPr>
              <w:ind w:left="40"/>
              <w:spacing w:after="0"/>
              <w:rPr>
                <w:sz w:val="20"/>
                <w:szCs w:val="20"/>
                <w:color w:val="auto"/>
              </w:rPr>
            </w:pPr>
            <w:r>
              <w:rPr>
                <w:rFonts w:ascii="Arial" w:cs="Arial" w:eastAsia="Arial" w:hAnsi="Arial"/>
                <w:sz w:val="16"/>
                <w:szCs w:val="16"/>
                <w:b w:val="1"/>
                <w:bCs w:val="1"/>
                <w:color w:val="auto"/>
                <w:w w:val="95"/>
              </w:rPr>
              <w:t>Three months ended September</w:t>
            </w:r>
          </w:p>
        </w:tc>
        <w:tc>
          <w:tcPr>
            <w:tcW w:w="1840" w:type="dxa"/>
            <w:vAlign w:val="bottom"/>
            <w:gridSpan w:val="4"/>
            <w:vMerge w:val="restart"/>
          </w:tcPr>
          <w:p>
            <w:pPr>
              <w:jc w:val="right"/>
              <w:ind w:right="20"/>
              <w:spacing w:after="0"/>
              <w:rPr>
                <w:sz w:val="20"/>
                <w:szCs w:val="20"/>
                <w:color w:val="auto"/>
              </w:rPr>
            </w:pPr>
            <w:r>
              <w:rPr>
                <w:rFonts w:ascii="Arial" w:cs="Arial" w:eastAsia="Arial" w:hAnsi="Arial"/>
                <w:sz w:val="16"/>
                <w:szCs w:val="16"/>
                <w:b w:val="1"/>
                <w:bCs w:val="1"/>
                <w:color w:val="auto"/>
              </w:rPr>
              <w:t>Increase (decrease)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vMerge w:val="restart"/>
          </w:tcPr>
          <w:p>
            <w:pPr>
              <w:jc w:val="right"/>
              <w:ind w:right="471"/>
              <w:spacing w:after="0"/>
              <w:rPr>
                <w:sz w:val="20"/>
                <w:szCs w:val="20"/>
                <w:color w:val="auto"/>
              </w:rPr>
            </w:pPr>
            <w:r>
              <w:rPr>
                <w:rFonts w:ascii="Arial" w:cs="Arial" w:eastAsia="Arial" w:hAnsi="Arial"/>
                <w:sz w:val="16"/>
                <w:szCs w:val="16"/>
                <w:b w:val="1"/>
                <w:bCs w:val="1"/>
                <w:color w:val="auto"/>
              </w:rPr>
              <w:t>Organic decrease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w w:val="91"/>
              </w:rPr>
              <w:t>in millions, except percentages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(66.3)</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VMO2 JV</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110.4</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Nine months ended</w:t>
            </w:r>
          </w:p>
        </w:tc>
        <w:tc>
          <w:tcPr>
            <w:tcW w:w="300" w:type="dxa"/>
            <w:vAlign w:val="bottom"/>
          </w:tcPr>
          <w:p>
            <w:pPr>
              <w:spacing w:after="0"/>
              <w:rPr>
                <w:sz w:val="16"/>
                <w:szCs w:val="16"/>
                <w:color w:val="auto"/>
              </w:rPr>
            </w:pPr>
          </w:p>
        </w:tc>
        <w:tc>
          <w:tcPr>
            <w:tcW w:w="1580" w:type="dxa"/>
            <w:vAlign w:val="bottom"/>
            <w:gridSpan w:val="3"/>
            <w:vMerge w:val="restart"/>
          </w:tcPr>
          <w:p>
            <w:pPr>
              <w:jc w:val="center"/>
              <w:ind w:left="52"/>
              <w:spacing w:after="0"/>
              <w:rPr>
                <w:sz w:val="20"/>
                <w:szCs w:val="20"/>
                <w:color w:val="auto"/>
              </w:rPr>
            </w:pPr>
            <w:r>
              <w:rPr>
                <w:rFonts w:ascii="Arial" w:cs="Arial" w:eastAsia="Arial" w:hAnsi="Arial"/>
                <w:sz w:val="16"/>
                <w:szCs w:val="16"/>
                <w:b w:val="1"/>
                <w:bCs w:val="1"/>
                <w:color w:val="auto"/>
                <w:w w:val="88"/>
              </w:rPr>
              <w:t>Increase (decrease)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VMO2 JV</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Adjusted EBITDA margins (Adjusted EBITDA divided by revenue) of each of our reportable segments: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8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70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740" w:type="dxa"/>
            <w:vAlign w:val="bottom"/>
          </w:tcPr>
          <w:p>
            <w:pPr>
              <w:spacing w:after="0"/>
              <w:rPr>
                <w:sz w:val="18"/>
                <w:szCs w:val="18"/>
                <w:color w:val="auto"/>
              </w:rPr>
            </w:pPr>
          </w:p>
        </w:tc>
        <w:tc>
          <w:tcPr>
            <w:tcW w:w="28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700" w:type="dxa"/>
            <w:vAlign w:val="bottom"/>
            <w:gridSpan w:val="3"/>
          </w:tcPr>
          <w:p>
            <w:pPr>
              <w:jc w:val="right"/>
              <w:ind w:right="772"/>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7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 (a)</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 (a)</w:t>
            </w:r>
          </w:p>
        </w:tc>
      </w:tr>
      <w:tr>
        <w:trPr>
          <w:trHeight w:val="199"/>
        </w:trPr>
        <w:tc>
          <w:tcPr>
            <w:tcW w:w="5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34.7 %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Belgium</w:t>
            </w:r>
          </w:p>
        </w:tc>
        <w:tc>
          <w:tcPr>
            <w:tcW w:w="1280" w:type="dxa"/>
            <w:vAlign w:val="bottom"/>
          </w:tcPr>
          <w:p>
            <w:pPr>
              <w:jc w:val="right"/>
              <w:spacing w:after="0"/>
              <w:rPr>
                <w:sz w:val="20"/>
                <w:szCs w:val="20"/>
                <w:color w:val="auto"/>
              </w:rPr>
            </w:pPr>
            <w:r>
              <w:rPr>
                <w:rFonts w:ascii="Arial" w:cs="Arial" w:eastAsia="Arial" w:hAnsi="Arial"/>
                <w:sz w:val="18"/>
                <w:szCs w:val="18"/>
                <w:color w:val="auto"/>
              </w:rPr>
              <w:t>43.8 %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47.6 %</w:t>
            </w:r>
          </w:p>
        </w:tc>
        <w:tc>
          <w:tcPr>
            <w:tcW w:w="100" w:type="dxa"/>
            <w:vAlign w:val="bottom"/>
          </w:tcPr>
          <w:p>
            <w:pPr>
              <w:spacing w:after="0"/>
              <w:rPr>
                <w:sz w:val="19"/>
                <w:szCs w:val="19"/>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43.0 %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47.3 %</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36.2 %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r>
      <w:tr>
        <w:trPr>
          <w:trHeight w:val="257"/>
        </w:trPr>
        <w:tc>
          <w:tcPr>
            <w:tcW w:w="5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33.2 %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VodafoneZiggo JV</w:t>
            </w:r>
          </w:p>
        </w:tc>
        <w:tc>
          <w:tcPr>
            <w:tcW w:w="1280" w:type="dxa"/>
            <w:vAlign w:val="bottom"/>
          </w:tcPr>
          <w:p>
            <w:pPr>
              <w:jc w:val="right"/>
              <w:spacing w:after="0"/>
              <w:rPr>
                <w:sz w:val="20"/>
                <w:szCs w:val="20"/>
                <w:color w:val="auto"/>
              </w:rPr>
            </w:pPr>
            <w:r>
              <w:rPr>
                <w:rFonts w:ascii="Arial" w:cs="Arial" w:eastAsia="Arial" w:hAnsi="Arial"/>
                <w:sz w:val="18"/>
                <w:szCs w:val="18"/>
                <w:color w:val="auto"/>
              </w:rPr>
              <w:t>46.1 %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48.1 %</w:t>
            </w:r>
          </w:p>
        </w:tc>
        <w:tc>
          <w:tcPr>
            <w:tcW w:w="10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44.7 %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47.3 %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right="20" w:hanging="492"/>
        <w:spacing w:after="0" w:line="277" w:lineRule="auto"/>
        <w:tabs>
          <w:tab w:leader="none" w:pos="4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and the analysis of our expenses included in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 For discussion of the factors contributing to the changes in the Adjusted EBITDA margins of the VMO2 JV and the VodafoneZiggo JV, see </w:t>
      </w:r>
      <w:r>
        <w:rPr>
          <w:rFonts w:ascii="Arial" w:cs="Arial" w:eastAsia="Arial" w:hAnsi="Arial"/>
          <w:sz w:val="18"/>
          <w:szCs w:val="18"/>
          <w:i w:val="1"/>
          <w:iCs w:val="1"/>
          <w:color w:val="auto"/>
        </w:rPr>
        <w:t>Discussion and Analysis of our Consolidated Operating Results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of results of affiliates, net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left="180" w:right="2140" w:hanging="161"/>
        <w:spacing w:after="0" w:line="277" w:lineRule="auto"/>
        <w:rPr>
          <w:sz w:val="20"/>
          <w:szCs w:val="20"/>
          <w:color w:val="auto"/>
        </w:rPr>
      </w:pPr>
      <w:r>
        <w:rPr>
          <w:rFonts w:ascii="Arial" w:cs="Arial" w:eastAsia="Arial" w:hAnsi="Arial"/>
          <w:sz w:val="18"/>
          <w:szCs w:val="18"/>
          <w:color w:val="auto"/>
        </w:rPr>
        <w:t xml:space="preserve">For more detailed explanations of the changes in our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w:t>
      </w:r>
      <w:r>
        <w:rPr>
          <w:rFonts w:ascii="Arial" w:cs="Arial" w:eastAsia="Arial" w:hAnsi="Arial"/>
          <w:sz w:val="18"/>
          <w:szCs w:val="18"/>
          <w:i w:val="1"/>
          <w:iCs w:val="1"/>
          <w:color w:val="auto"/>
        </w:rPr>
        <w:t>Revenue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6"/>
                <w:szCs w:val="16"/>
                <w:color w:val="auto"/>
              </w:rPr>
            </w:pPr>
          </w:p>
        </w:tc>
        <w:tc>
          <w:tcPr>
            <w:tcW w:w="2060" w:type="dxa"/>
            <w:vAlign w:val="bottom"/>
            <w:gridSpan w:val="4"/>
            <w:vMerge w:val="restart"/>
          </w:tcPr>
          <w:p>
            <w:pPr>
              <w:ind w:left="180"/>
              <w:spacing w:after="0"/>
              <w:rPr>
                <w:sz w:val="20"/>
                <w:szCs w:val="20"/>
                <w:color w:val="auto"/>
              </w:rPr>
            </w:pPr>
            <w:r>
              <w:rPr>
                <w:rFonts w:ascii="Arial" w:cs="Arial" w:eastAsia="Arial" w:hAnsi="Arial"/>
                <w:sz w:val="16"/>
                <w:szCs w:val="16"/>
                <w:b w:val="1"/>
                <w:bCs w:val="1"/>
                <w:color w:val="auto"/>
              </w:rPr>
              <w:t>Increase (decrease)</w:t>
            </w:r>
          </w:p>
        </w:tc>
        <w:tc>
          <w:tcPr>
            <w:tcW w:w="140" w:type="dxa"/>
            <w:vAlign w:val="bottom"/>
          </w:tcPr>
          <w:p>
            <w:pPr>
              <w:spacing w:after="0"/>
              <w:rPr>
                <w:sz w:val="16"/>
                <w:szCs w:val="16"/>
                <w:color w:val="auto"/>
              </w:rPr>
            </w:pPr>
          </w:p>
        </w:tc>
        <w:tc>
          <w:tcPr>
            <w:tcW w:w="2100" w:type="dxa"/>
            <w:vAlign w:val="bottom"/>
            <w:gridSpan w:val="3"/>
            <w:vMerge w:val="restart"/>
          </w:tcPr>
          <w:p>
            <w:pPr>
              <w:jc w:val="right"/>
              <w:ind w:right="7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ind w:left="40"/>
              <w:spacing w:after="0"/>
              <w:rPr>
                <w:sz w:val="20"/>
                <w:szCs w:val="20"/>
                <w:color w:val="auto"/>
              </w:rPr>
            </w:pPr>
            <w:r>
              <w:rPr>
                <w:rFonts w:ascii="Arial" w:cs="Arial" w:eastAsia="Arial" w:hAnsi="Arial"/>
                <w:sz w:val="16"/>
                <w:szCs w:val="16"/>
                <w:b w:val="1"/>
                <w:bCs w:val="1"/>
                <w:color w:val="auto"/>
                <w:w w:val="96"/>
              </w:rPr>
              <w:t>in millions, except percentages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Fixed-line telephony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residential fixed revenue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422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residential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B2B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4220" w:type="dxa"/>
            <w:vAlign w:val="bottom"/>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Nine months ended</w:t>
            </w:r>
          </w:p>
        </w:tc>
        <w:tc>
          <w:tcPr>
            <w:tcW w:w="280" w:type="dxa"/>
            <w:vAlign w:val="bottom"/>
          </w:tcPr>
          <w:p>
            <w:pPr>
              <w:spacing w:after="0"/>
              <w:rPr>
                <w:sz w:val="16"/>
                <w:szCs w:val="16"/>
                <w:color w:val="auto"/>
              </w:rPr>
            </w:pPr>
          </w:p>
        </w:tc>
        <w:tc>
          <w:tcPr>
            <w:tcW w:w="2080" w:type="dxa"/>
            <w:vAlign w:val="bottom"/>
            <w:gridSpan w:val="4"/>
            <w:vMerge w:val="restart"/>
          </w:tcPr>
          <w:p>
            <w:pPr>
              <w:ind w:left="180"/>
              <w:spacing w:after="0"/>
              <w:rPr>
                <w:sz w:val="20"/>
                <w:szCs w:val="20"/>
                <w:color w:val="auto"/>
              </w:rPr>
            </w:pPr>
            <w:r>
              <w:rPr>
                <w:rFonts w:ascii="Arial" w:cs="Arial" w:eastAsia="Arial" w:hAnsi="Arial"/>
                <w:sz w:val="16"/>
                <w:szCs w:val="16"/>
                <w:b w:val="1"/>
                <w:bCs w:val="1"/>
                <w:color w:val="auto"/>
              </w:rPr>
              <w:t>Increase (decrease)</w:t>
            </w:r>
          </w:p>
        </w:tc>
        <w:tc>
          <w:tcPr>
            <w:tcW w:w="12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ind w:left="40"/>
              <w:spacing w:after="0"/>
              <w:rPr>
                <w:sz w:val="20"/>
                <w:szCs w:val="20"/>
                <w:color w:val="auto"/>
              </w:rPr>
            </w:pPr>
            <w:r>
              <w:rPr>
                <w:rFonts w:ascii="Arial" w:cs="Arial" w:eastAsia="Arial" w:hAnsi="Arial"/>
                <w:sz w:val="16"/>
                <w:szCs w:val="16"/>
                <w:b w:val="1"/>
                <w:bCs w:val="1"/>
                <w:color w:val="auto"/>
                <w:w w:val="96"/>
              </w:rPr>
              <w:t>in millions, except percentages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20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5,353.8</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0" w:lineRule="exact"/>
        <w:rPr>
          <w:rFonts w:ascii="Arial" w:cs="Arial" w:eastAsia="Arial" w:hAnsi="Arial"/>
          <w:sz w:val="18"/>
          <w:szCs w:val="18"/>
          <w:color w:val="auto"/>
        </w:rPr>
      </w:pPr>
    </w:p>
    <w:p>
      <w:pPr>
        <w:jc w:val="both"/>
        <w:ind w:left="500" w:hanging="492"/>
        <w:spacing w:after="0" w:line="286" w:lineRule="auto"/>
        <w:tabs>
          <w:tab w:leader="none" w:pos="494"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2" w:lineRule="exact"/>
        <w:rPr>
          <w:rFonts w:ascii="Arial" w:cs="Arial" w:eastAsia="Arial" w:hAnsi="Arial"/>
          <w:sz w:val="17"/>
          <w:szCs w:val="17"/>
          <w:color w:val="auto"/>
        </w:rPr>
      </w:pPr>
    </w:p>
    <w:p>
      <w:pPr>
        <w:jc w:val="both"/>
        <w:ind w:left="500" w:hanging="492"/>
        <w:spacing w:after="0" w:line="279" w:lineRule="auto"/>
        <w:tabs>
          <w:tab w:leader="none" w:pos="497"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$28.0 million and $32.8 million during the three months ended September 30, 2023 and 2022, respectively, and $88.5 million and $106.9 million during the nine months ended September 30, 2023 and 2022, respectively.</w:t>
      </w:r>
    </w:p>
    <w:p>
      <w:pPr>
        <w:spacing w:after="0" w:line="198" w:lineRule="exact"/>
        <w:rPr>
          <w:rFonts w:ascii="Arial" w:cs="Arial" w:eastAsia="Arial" w:hAnsi="Arial"/>
          <w:sz w:val="17"/>
          <w:szCs w:val="17"/>
          <w:color w:val="auto"/>
        </w:rPr>
      </w:pPr>
    </w:p>
    <w:p>
      <w:pPr>
        <w:jc w:val="both"/>
        <w:ind w:left="500" w:hanging="492"/>
        <w:spacing w:after="0" w:line="286" w:lineRule="auto"/>
        <w:tabs>
          <w:tab w:leader="none" w:pos="4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change in our B2B subscription revenue is attributable to the conversion of certain residential subscribers to SOHO subscribers. B2B non-subscription revenue includes</w:t>
      </w:r>
    </w:p>
    <w:p>
      <w:pPr>
        <w:spacing w:after="0" w:line="1" w:lineRule="exact"/>
        <w:rPr>
          <w:rFonts w:ascii="Arial" w:cs="Arial" w:eastAsia="Arial" w:hAnsi="Arial"/>
          <w:sz w:val="16"/>
          <w:szCs w:val="16"/>
          <w:color w:val="auto"/>
        </w:rPr>
      </w:pPr>
    </w:p>
    <w:p>
      <w:pPr>
        <w:ind w:left="500"/>
        <w:spacing w:after="0" w:line="290" w:lineRule="auto"/>
        <w:rPr>
          <w:rFonts w:ascii="Arial" w:cs="Arial" w:eastAsia="Arial" w:hAnsi="Arial"/>
          <w:sz w:val="16"/>
          <w:szCs w:val="16"/>
          <w:color w:val="auto"/>
        </w:rPr>
      </w:pPr>
      <w:r>
        <w:rPr>
          <w:rFonts w:ascii="Arial" w:cs="Arial" w:eastAsia="Arial" w:hAnsi="Arial"/>
          <w:sz w:val="17"/>
          <w:szCs w:val="17"/>
          <w:color w:val="auto"/>
        </w:rPr>
        <w:t>(a)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5" w:name="page66"/>
    <w:bookmarkEnd w:id="65"/>
    <w:p>
      <w:pPr>
        <w:jc w:val="both"/>
        <w:ind w:left="500" w:hanging="492"/>
        <w:spacing w:after="0" w:line="263" w:lineRule="auto"/>
        <w:tabs>
          <w:tab w:leader="none" w:pos="4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revenue includes, among other items, (i) broadcasting revenue in Belgium, Ireland and Switzerland, (ii) revenue earned from the U.K. JV Services and NL JV Services, (iii) revenue earned from the sale of CPE to the VodafoneZiggo JV and (iv) revenue earned from transitional and other services provided to various third parties.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increased $108.2 million or 6.2% and $217.1 million or 4.1% during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respectively, as compared to the corresponding periods in 2022. These increases include increases of $45.5 million and $143.9 million, respectively, attributable to the impact of acquisitions. On an organic basis, our consolidated revenue decreased $72.8 million or 4.1% and $66.4 million or 1.2%, respectively.</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increases in our consolidated residential revenue during the three and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 periods in 2022,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Three-month</w:t>
            </w:r>
          </w:p>
        </w:tc>
        <w:tc>
          <w:tcPr>
            <w:tcW w:w="180" w:type="dxa"/>
            <w:vAlign w:val="bottom"/>
          </w:tcPr>
          <w:p>
            <w:pPr>
              <w:spacing w:after="0"/>
              <w:rPr>
                <w:sz w:val="16"/>
                <w:szCs w:val="16"/>
                <w:color w:val="auto"/>
              </w:rPr>
            </w:pPr>
          </w:p>
        </w:tc>
        <w:tc>
          <w:tcPr>
            <w:tcW w:w="1140" w:type="dxa"/>
            <w:vAlign w:val="bottom"/>
          </w:tcPr>
          <w:p>
            <w:pPr>
              <w:jc w:val="right"/>
              <w:ind w:right="152"/>
              <w:spacing w:after="0"/>
              <w:rPr>
                <w:sz w:val="20"/>
                <w:szCs w:val="20"/>
                <w:color w:val="auto"/>
              </w:rPr>
            </w:pPr>
            <w:r>
              <w:rPr>
                <w:rFonts w:ascii="Arial" w:cs="Arial" w:eastAsia="Arial" w:hAnsi="Arial"/>
                <w:sz w:val="16"/>
                <w:szCs w:val="16"/>
                <w:b w:val="1"/>
                <w:bCs w:val="1"/>
                <w:color w:val="auto"/>
                <w:w w:val="98"/>
              </w:rPr>
              <w:t>Nine-month</w:t>
            </w:r>
          </w:p>
        </w:tc>
      </w:tr>
      <w:tr>
        <w:trPr>
          <w:trHeight w:val="210"/>
        </w:trPr>
        <w:tc>
          <w:tcPr>
            <w:tcW w:w="8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8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6"/>
                <w:szCs w:val="16"/>
                <w:b w:val="1"/>
                <w:bCs w:val="1"/>
                <w:color w:val="auto"/>
              </w:rPr>
              <w:t>period</w:t>
            </w:r>
          </w:p>
        </w:tc>
      </w:tr>
      <w:tr>
        <w:trPr>
          <w:trHeight w:val="33"/>
        </w:trPr>
        <w:tc>
          <w:tcPr>
            <w:tcW w:w="8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04"/>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in millions</w:t>
            </w:r>
          </w:p>
        </w:tc>
      </w:tr>
      <w:tr>
        <w:trPr>
          <w:trHeight w:val="168"/>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residential fixed non-subscription revenue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increase (decrease) in residential fixed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8480" w:type="dxa"/>
            <w:vAlign w:val="bottom"/>
          </w:tcPr>
          <w:p>
            <w:pPr>
              <w:ind w:left="260"/>
              <w:spacing w:after="0"/>
              <w:rPr>
                <w:sz w:val="20"/>
                <w:szCs w:val="20"/>
                <w:color w:val="auto"/>
              </w:rPr>
            </w:pPr>
            <w:r>
              <w:rPr>
                <w:rFonts w:ascii="Arial" w:cs="Arial" w:eastAsia="Arial" w:hAnsi="Arial"/>
                <w:sz w:val="18"/>
                <w:szCs w:val="18"/>
                <w:color w:val="auto"/>
              </w:rPr>
              <w:t>Total organic decrease in residential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in residential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 organic basis, our consolidated residential fixed subscription revenue decreased $3.8 million or 0.5% and $34.2 million or 1.6% during the three and nine months ended September 30, 2023, respectively, as compared to the corresponding periods in 2022, primarily attributable to decreases in Switzerland</w:t>
      </w:r>
      <w:r>
        <w:rPr>
          <w:rFonts w:ascii="Arial" w:cs="Arial" w:eastAsia="Arial" w:hAnsi="Arial"/>
          <w:sz w:val="18"/>
          <w:szCs w:val="18"/>
          <w:color w:val="2C2C2C"/>
        </w:rPr>
        <w:t>.</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 organic basis, our consolidated residential fixed non-subscription revenue increased $5.4 million or 45.4% and $4.6 million or 12.3% during the three and nine months ended September 30, 2023, respectively, as compared to the corresponding periods in 2022, primarily due to the net effect of (i) increases in Switzerland and (ii) decreases in Belgium.</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 organic basis, our consolidated residential mobile subscription revenue increased $11.5 million or 3.2% and $28.8 million or 2.7% during the three and nine months ended September 30, 2023, respectively, as compared to the corresponding periods in 2022, primarily attributable to increases in Belgium and Switzerland.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an organic basis, our consolidated residential mobile non-subscription revenue decreased $17.0 million or 13.4% and $27.7 million or 7.1% during the three and nine months ended September 30, 2023, respectively, as compared to the corresponding periods in 2022, primarily attributable to decreases in </w:t>
      </w:r>
      <w:r>
        <w:rPr>
          <w:rFonts w:ascii="Arial" w:cs="Arial" w:eastAsia="Arial" w:hAnsi="Arial"/>
          <w:sz w:val="18"/>
          <w:szCs w:val="18"/>
          <w:color w:val="2C2C2C"/>
        </w:rPr>
        <w:t>Switzerland.</w:t>
      </w:r>
    </w:p>
    <w:p>
      <w:pPr>
        <w:spacing w:after="0" w:line="2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B2B revenue. </w:t>
      </w:r>
      <w:r>
        <w:rPr>
          <w:rFonts w:ascii="Arial" w:cs="Arial" w:eastAsia="Arial" w:hAnsi="Arial"/>
          <w:sz w:val="16"/>
          <w:szCs w:val="16"/>
          <w:color w:val="auto"/>
        </w:rPr>
        <w:t>On an organic basis, our consolidated B2B subscription revenue increased $5.9 million or 4.6% and $19.8 million or 5.1%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nine months ended September 30, 2023, respectively, as compared to the corresponding periods in 2022, primarily due to increases in Belgium.</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 organic basis, our consolidated B2B non-subscription revenue increased (decreased) ($7.9 million) or (3.6%) and $9.4 million or 1.4% during the three and nine months ended September 30, 2023, respectively, as compared to the corresponding periods in 2022, primarily attributable to changes in Belgium.</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decreased $66.9 million or 26.5% and $67.1 million or 8.4% during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2023, respectively, as compared to the corresponding periods in 2022, primarily due to the net effect of (i) decreases in revenue earned from the U.K. JV Services and NL JV Services, (ii)</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higher broadcasting revenue in Belgium, Ireland and Switzerland and (iii) increases in Central and Other related to revenue earned from the sale of CPE to the VodafoneZiggo JV.</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regarding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7"/>
            <w:vMerge w:val="restart"/>
          </w:tcPr>
          <w:p>
            <w:pPr>
              <w:jc w:val="center"/>
              <w:ind w:right="400"/>
              <w:spacing w:after="0"/>
              <w:rPr>
                <w:sz w:val="20"/>
                <w:szCs w:val="20"/>
                <w:color w:val="auto"/>
              </w:rPr>
            </w:pPr>
            <w:r>
              <w:rPr>
                <w:rFonts w:ascii="Arial" w:cs="Arial" w:eastAsia="Arial" w:hAnsi="Arial"/>
                <w:sz w:val="16"/>
                <w:szCs w:val="16"/>
                <w:b w:val="1"/>
                <w:bCs w:val="1"/>
                <w:color w:val="auto"/>
                <w:w w:val="88"/>
              </w:rPr>
              <w:t>Increase (decrease)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6"/>
          </w:tcPr>
          <w:p>
            <w:pPr>
              <w:ind w:left="42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2022 (a)</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8"/>
          </w:tcPr>
          <w:p>
            <w:pPr>
              <w:jc w:val="center"/>
              <w:ind w:right="140"/>
              <w:spacing w:after="0"/>
              <w:rPr>
                <w:sz w:val="20"/>
                <w:szCs w:val="20"/>
                <w:color w:val="auto"/>
              </w:rPr>
            </w:pPr>
            <w:r>
              <w:rPr>
                <w:rFonts w:ascii="Arial" w:cs="Arial" w:eastAsia="Arial" w:hAnsi="Arial"/>
                <w:sz w:val="16"/>
                <w:szCs w:val="16"/>
                <w:b w:val="1"/>
                <w:bCs w:val="1"/>
                <w:color w:val="auto"/>
                <w:w w:val="88"/>
              </w:rPr>
              <w:t>in millions, except percentages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7.2</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Central and 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left="572"/>
              <w:spacing w:after="0"/>
              <w:rPr>
                <w:sz w:val="20"/>
                <w:szCs w:val="20"/>
                <w:color w:val="auto"/>
              </w:rPr>
            </w:pPr>
            <w:r>
              <w:rPr>
                <w:rFonts w:ascii="Arial" w:cs="Arial" w:eastAsia="Arial" w:hAnsi="Arial"/>
                <w:sz w:val="18"/>
                <w:szCs w:val="18"/>
                <w:color w:val="auto"/>
                <w:w w:val="91"/>
              </w:rPr>
              <w:t>(7.0)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left="572"/>
              <w:spacing w:after="0"/>
              <w:rPr>
                <w:sz w:val="20"/>
                <w:szCs w:val="20"/>
                <w:color w:val="auto"/>
              </w:rPr>
            </w:pPr>
            <w:r>
              <w:rPr>
                <w:rFonts w:ascii="Arial" w:cs="Arial" w:eastAsia="Arial" w:hAnsi="Arial"/>
                <w:sz w:val="18"/>
                <w:szCs w:val="18"/>
                <w:color w:val="auto"/>
                <w:w w:val="97"/>
              </w:rPr>
              <w:t>(6.5)</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center"/>
              <w:ind w:left="592"/>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6"/>
          </w:tcPr>
          <w:p>
            <w:pPr>
              <w:ind w:left="240"/>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7"/>
            <w:vMerge w:val="restart"/>
          </w:tcPr>
          <w:p>
            <w:pPr>
              <w:ind w:left="180"/>
              <w:spacing w:after="0"/>
              <w:rPr>
                <w:sz w:val="20"/>
                <w:szCs w:val="20"/>
                <w:color w:val="auto"/>
              </w:rPr>
            </w:pPr>
            <w:r>
              <w:rPr>
                <w:rFonts w:ascii="Arial" w:cs="Arial" w:eastAsia="Arial" w:hAnsi="Arial"/>
                <w:sz w:val="16"/>
                <w:szCs w:val="16"/>
                <w:b w:val="1"/>
                <w:bCs w:val="1"/>
                <w:color w:val="auto"/>
              </w:rPr>
              <w:t>Increase (decrease)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vMerge w:val="restart"/>
          </w:tcPr>
          <w:p>
            <w:pPr>
              <w:jc w:val="right"/>
              <w:ind w:right="90"/>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6"/>
          </w:tcPr>
          <w:p>
            <w:pPr>
              <w:ind w:left="42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2022 (a)</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auto"/>
                <w:w w:val="88"/>
              </w:rPr>
              <w:t>in millions, except percentages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3.9</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Central and 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5.6</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ind w:left="570"/>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programming and other direct costs of services increased $65.7 million or 13.6% and $174.7 million or 11.6% during the three and nine months ended September 30, 2023, respectively, as compared to the corresponding periods in 2022. These increases include increases of $26.0 million and $88.5 million, respectively, attributable to the impact of acquisitions. On an organic basis, our programming and other direct costs of services increased $0.4 million or 0.1% and $48.6 million or 3.1%, respectively. These increases include the following factors:</w:t>
      </w:r>
    </w:p>
    <w:p>
      <w:pPr>
        <w:spacing w:after="0" w:line="214" w:lineRule="exact"/>
        <w:rPr>
          <w:sz w:val="20"/>
          <w:szCs w:val="20"/>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(decrease) in costs of ($3.1 million) and $12.1 million, respectively, in Central and Other related to the sale of CPE to the VodafoneZiggo JV;</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7" w:name="page68"/>
    <w:bookmarkEnd w:id="67"/>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Increases in programming and copyright costs of $6.0 million or 5.2% and $7.7 million or 1.9%, respectively, attributable to higher costs for certain premium and/or basic content, primarily in Belgium and Ireland;</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the nine-month comparison, an increase in mobile handset and other device costs of $2.7 million or 1.3%, primarily due to an increase in Belgium as a result of higher sales volumes and higher average costs per handset sold; and</w:t>
      </w:r>
    </w:p>
    <w:p>
      <w:pPr>
        <w:spacing w:after="0" w:line="197"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the three-month comparison, a decrease in interconnect and access costs of $8.0 million or 11.3%, primarily due to the net effect of (i) lower interconnect and mobile roaming costs, primarily in Belgium and Switzerland, and (ii) higher lease and B2B data costs, primarily in Switzerland.</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84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Increase (decrease)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4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w w:val="90"/>
              </w:rPr>
              <w:t>in millions, except percentages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4220" w:type="dxa"/>
            <w:vAlign w:val="bottom"/>
          </w:tcPr>
          <w:p>
            <w:pPr>
              <w:ind w:left="140"/>
              <w:spacing w:after="0" w:line="156" w:lineRule="exact"/>
              <w:rPr>
                <w:sz w:val="20"/>
                <w:szCs w:val="20"/>
                <w:color w:val="auto"/>
              </w:rPr>
            </w:pPr>
            <w:r>
              <w:rPr>
                <w:rFonts w:ascii="Arial" w:cs="Arial" w:eastAsia="Arial" w:hAnsi="Arial"/>
                <w:sz w:val="18"/>
                <w:szCs w:val="18"/>
                <w:color w:val="auto"/>
                <w:w w:val="93"/>
              </w:rPr>
              <w:t>Total other operating expenses excluding share-based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220" w:type="dxa"/>
            <w:vAlign w:val="bottom"/>
          </w:tcPr>
          <w:p>
            <w:pPr>
              <w:ind w:left="300"/>
              <w:spacing w:after="0"/>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22.5</w:t>
            </w:r>
          </w:p>
        </w:tc>
        <w:tc>
          <w:tcPr>
            <w:tcW w:w="2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60.0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Nine months ended</w:t>
            </w:r>
          </w:p>
        </w:tc>
        <w:tc>
          <w:tcPr>
            <w:tcW w:w="184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Increase (decrease)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4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w w:val="90"/>
              </w:rPr>
              <w:t>in millions, except percentages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6"/>
        </w:trPr>
        <w:tc>
          <w:tcPr>
            <w:tcW w:w="4220" w:type="dxa"/>
            <w:vAlign w:val="bottom"/>
          </w:tcPr>
          <w:p>
            <w:pPr>
              <w:ind w:left="140"/>
              <w:spacing w:after="0" w:line="156" w:lineRule="exact"/>
              <w:rPr>
                <w:sz w:val="20"/>
                <w:szCs w:val="20"/>
                <w:color w:val="auto"/>
              </w:rPr>
            </w:pPr>
            <w:r>
              <w:rPr>
                <w:rFonts w:ascii="Arial" w:cs="Arial" w:eastAsia="Arial" w:hAnsi="Arial"/>
                <w:sz w:val="18"/>
                <w:szCs w:val="18"/>
                <w:color w:val="auto"/>
                <w:w w:val="93"/>
              </w:rPr>
              <w:t>Total other operating expenses excluding share-based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220" w:type="dxa"/>
            <w:vAlign w:val="bottom"/>
          </w:tcPr>
          <w:p>
            <w:pPr>
              <w:ind w:left="300"/>
              <w:spacing w:after="0"/>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145.0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17.8</w:t>
            </w:r>
          </w:p>
        </w:tc>
        <w:tc>
          <w:tcPr>
            <w:tcW w:w="2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88.2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148.0</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other operating expenses (exclusive of share-based compensation expense) increased $61.7 million or 22.5% and $145.0 million or 17.8% during the three and nine months ended September 30, 2023, respectively, as compared to the corresponding periods in 2022. These increases include increases of $4.7 million and $13.1 million, respectively, attributable to the impact of acquisitions. On an organic basis, our other operating expenses increased $28.3 million or 10.1% and $80.0 million or 9.5%, respectively. These increases include the following factors:</w:t>
      </w:r>
    </w:p>
    <w:p>
      <w:pPr>
        <w:spacing w:after="0" w:line="198" w:lineRule="exact"/>
        <w:rPr>
          <w:sz w:val="20"/>
          <w:szCs w:val="20"/>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Increases in service delivery platform costs of $26.0 million or 91.3% and $30.0 million or 34.2%, respectively, primarily related to higher CPE software costs in Central and Other;</w:t>
      </w:r>
    </w:p>
    <w:p>
      <w:pPr>
        <w:spacing w:after="0" w:line="197" w:lineRule="exact"/>
        <w:rPr>
          <w:rFonts w:ascii="Arial" w:cs="Arial" w:eastAsia="Arial" w:hAnsi="Arial"/>
          <w:sz w:val="18"/>
          <w:szCs w:val="18"/>
          <w:color w:val="auto"/>
        </w:rPr>
      </w:pPr>
    </w:p>
    <w:p>
      <w:pPr>
        <w:jc w:val="both"/>
        <w:ind w:left="660" w:right="20" w:hanging="328"/>
        <w:spacing w:after="0" w:line="286" w:lineRule="auto"/>
        <w:tabs>
          <w:tab w:leader="none" w:pos="6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Increases in personnel costs of $10.5 million or 14.5% and $22.9 million or 9.3%, respectively, primarily due to (i) higher average costs per employee, primarily in Belgium and Central and Other, that were only partially offset by lower average costs per employee in Switzerland, (ii) higher costs due to lower capitalizable activities, primarily in Central and Other, and (iii) higher staffing levels, primarily in Switzerland;</w:t>
      </w:r>
    </w:p>
    <w:p>
      <w:pPr>
        <w:spacing w:after="0" w:line="1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nine-month comparison, an increase in business service costs of $14.7 million or 12.5%, primarily due to higher energy costs in Belgium and Switzerland;</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Increases in outsourced labor costs of $3.4 million or 14.4% and $11.6 million or 17.3%, respectively, primarily associated with customer facing activities in Belgium and Switzerland;</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nine-month comparison, a $11.2 million decrease in costs in Belgium associated with the one-time benefit from expected settlements of certain operational contingencies during the second quarter of 2023;</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Increases in customer service costs of $4.6 million or 14.5% and $7.3 million or 7.1%, respectively, primarily related to higher call center costs in Belgium;</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three-month comparison, a decrease in core network and information technology-related costs of $5.6 million or 8.0%, due to the net effect of (i) lower leased bandwidth and outsourced data center costs in Belgium and Switzerland and (ii) higher technology-related expenses in Ireland that were only partially offset by lower expenses in Central and Other;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nine-month comparison, a decrease in other operating expenses due to $4.5 million recognized in Switzerland associated with the sale of certain handset receivables in the second quarter of 2022. The expense recognized represents the difference between the carrying amount of the associated receivables and the amount received pursuant to the sale.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9" w:name="page70"/>
    <w:bookmarkEnd w:id="69"/>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SG&amp;A expenses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7"/>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840" w:type="dxa"/>
            <w:vAlign w:val="bottom"/>
            <w:gridSpan w:val="4"/>
            <w:vMerge w:val="restart"/>
          </w:tcPr>
          <w:p>
            <w:pPr>
              <w:jc w:val="center"/>
              <w:ind w:left="335"/>
              <w:spacing w:after="0"/>
              <w:rPr>
                <w:sz w:val="20"/>
                <w:szCs w:val="20"/>
                <w:color w:val="auto"/>
              </w:rPr>
            </w:pPr>
            <w:r>
              <w:rPr>
                <w:rFonts w:ascii="Arial" w:cs="Arial" w:eastAsia="Arial" w:hAnsi="Arial"/>
                <w:sz w:val="16"/>
                <w:szCs w:val="16"/>
                <w:b w:val="1"/>
                <w:bCs w:val="1"/>
                <w:color w:val="auto"/>
                <w:w w:val="89"/>
              </w:rPr>
              <w:t>Increase (decrease)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7"/>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4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1"/>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97"/>
              </w:rPr>
              <w:t>(9.6)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4200" w:type="dxa"/>
            <w:vAlign w:val="bottom"/>
          </w:tcPr>
          <w:p>
            <w:pPr>
              <w:ind w:left="140"/>
              <w:spacing w:after="0" w:line="156" w:lineRule="exact"/>
              <w:rPr>
                <w:sz w:val="20"/>
                <w:szCs w:val="20"/>
                <w:color w:val="auto"/>
              </w:rPr>
            </w:pPr>
            <w:r>
              <w:rPr>
                <w:rFonts w:ascii="Arial" w:cs="Arial" w:eastAsia="Arial" w:hAnsi="Arial"/>
                <w:sz w:val="18"/>
                <w:szCs w:val="18"/>
                <w:color w:val="auto"/>
              </w:rPr>
              <w:t>Total SG&amp;A expenses excluding share-based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3"/>
                <w:szCs w:val="13"/>
                <w:color w:val="auto"/>
              </w:rPr>
            </w:pPr>
          </w:p>
        </w:tc>
        <w:tc>
          <w:tcPr>
            <w:tcW w:w="1060" w:type="dxa"/>
            <w:vAlign w:val="bottom"/>
            <w:vMerge w:val="restart"/>
          </w:tcPr>
          <w:p>
            <w:pPr>
              <w:jc w:val="center"/>
              <w:ind w:left="591"/>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16"/>
        </w:trPr>
        <w:tc>
          <w:tcPr>
            <w:tcW w:w="4200" w:type="dxa"/>
            <w:vAlign w:val="bottom"/>
          </w:tcPr>
          <w:p>
            <w:pPr>
              <w:ind w:left="300"/>
              <w:spacing w:after="0"/>
              <w:rPr>
                <w:sz w:val="20"/>
                <w:szCs w:val="20"/>
                <w:color w:val="auto"/>
              </w:rPr>
            </w:pPr>
            <w:r>
              <w:rPr>
                <w:rFonts w:ascii="Arial" w:cs="Arial" w:eastAsia="Arial" w:hAnsi="Arial"/>
                <w:sz w:val="18"/>
                <w:szCs w:val="18"/>
                <w:color w:val="auto"/>
              </w:rPr>
              <w:t>compensation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14.6</w:t>
            </w:r>
          </w:p>
        </w:tc>
        <w:tc>
          <w:tcPr>
            <w:tcW w:w="2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7"/>
          </w:tcPr>
          <w:p>
            <w:pPr>
              <w:jc w:val="center"/>
              <w:ind w:right="380"/>
              <w:spacing w:after="0"/>
              <w:rPr>
                <w:sz w:val="20"/>
                <w:szCs w:val="20"/>
                <w:color w:val="auto"/>
              </w:rPr>
            </w:pPr>
            <w:r>
              <w:rPr>
                <w:rFonts w:ascii="Arial" w:cs="Arial" w:eastAsia="Arial" w:hAnsi="Arial"/>
                <w:sz w:val="16"/>
                <w:szCs w:val="16"/>
                <w:b w:val="1"/>
                <w:bCs w:val="1"/>
                <w:color w:val="auto"/>
                <w:w w:val="90"/>
              </w:rPr>
              <w:t>Nine months ended</w:t>
            </w:r>
          </w:p>
        </w:tc>
        <w:tc>
          <w:tcPr>
            <w:tcW w:w="1840" w:type="dxa"/>
            <w:vAlign w:val="bottom"/>
            <w:gridSpan w:val="4"/>
            <w:vMerge w:val="restart"/>
          </w:tcPr>
          <w:p>
            <w:pPr>
              <w:jc w:val="center"/>
              <w:ind w:left="335"/>
              <w:spacing w:after="0"/>
              <w:rPr>
                <w:sz w:val="20"/>
                <w:szCs w:val="20"/>
                <w:color w:val="auto"/>
              </w:rPr>
            </w:pPr>
            <w:r>
              <w:rPr>
                <w:rFonts w:ascii="Arial" w:cs="Arial" w:eastAsia="Arial" w:hAnsi="Arial"/>
                <w:sz w:val="16"/>
                <w:szCs w:val="16"/>
                <w:b w:val="1"/>
                <w:bCs w:val="1"/>
                <w:color w:val="auto"/>
                <w:w w:val="89"/>
              </w:rPr>
              <w:t>Increase (decrease)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7"/>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84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5"/>
          </w:tcPr>
          <w:p>
            <w:pPr>
              <w:jc w:val="right"/>
              <w:ind w:right="30"/>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Arial" w:cs="Arial" w:eastAsia="Arial" w:hAnsi="Arial"/>
                <w:sz w:val="18"/>
                <w:szCs w:val="18"/>
                <w:color w:val="auto"/>
                <w:w w:val="87"/>
              </w:rPr>
              <w:t>6.8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97"/>
              </w:rPr>
              <w:t>(6.9)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8"/>
        </w:trPr>
        <w:tc>
          <w:tcPr>
            <w:tcW w:w="4200" w:type="dxa"/>
            <w:vAlign w:val="bottom"/>
          </w:tcPr>
          <w:p>
            <w:pPr>
              <w:ind w:left="140"/>
              <w:spacing w:after="0" w:line="168" w:lineRule="exact"/>
              <w:rPr>
                <w:sz w:val="20"/>
                <w:szCs w:val="20"/>
                <w:color w:val="auto"/>
              </w:rPr>
            </w:pPr>
            <w:r>
              <w:rPr>
                <w:rFonts w:ascii="Arial" w:cs="Arial" w:eastAsia="Arial" w:hAnsi="Arial"/>
                <w:sz w:val="18"/>
                <w:szCs w:val="18"/>
                <w:color w:val="auto"/>
              </w:rPr>
              <w:t>Total SG&amp;A expenses excluding share-based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4"/>
                <w:szCs w:val="14"/>
                <w:color w:val="auto"/>
              </w:rPr>
            </w:pPr>
          </w:p>
        </w:tc>
        <w:tc>
          <w:tcPr>
            <w:tcW w:w="1060" w:type="dxa"/>
            <w:vAlign w:val="bottom"/>
            <w:vMerge w:val="restart"/>
          </w:tcPr>
          <w:p>
            <w:pPr>
              <w:jc w:val="center"/>
              <w:ind w:left="591"/>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03"/>
        </w:trPr>
        <w:tc>
          <w:tcPr>
            <w:tcW w:w="4200" w:type="dxa"/>
            <w:vAlign w:val="bottom"/>
          </w:tcPr>
          <w:p>
            <w:pPr>
              <w:ind w:left="300"/>
              <w:spacing w:after="0" w:line="203" w:lineRule="exact"/>
              <w:rPr>
                <w:sz w:val="20"/>
                <w:szCs w:val="20"/>
                <w:color w:val="auto"/>
              </w:rPr>
            </w:pPr>
            <w:r>
              <w:rPr>
                <w:rFonts w:ascii="Arial" w:cs="Arial" w:eastAsia="Arial" w:hAnsi="Arial"/>
                <w:sz w:val="18"/>
                <w:szCs w:val="18"/>
                <w:color w:val="auto"/>
              </w:rPr>
              <w:t>compensation expense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1,113.2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1,041.3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71.9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2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0" w:name="page71"/>
    <w:bookmarkEnd w:id="70"/>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6"/>
                <w:szCs w:val="16"/>
                <w:color w:val="auto"/>
              </w:rPr>
            </w:pPr>
          </w:p>
        </w:tc>
        <w:tc>
          <w:tcPr>
            <w:tcW w:w="20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Increase (decrease)</w:t>
            </w:r>
          </w:p>
        </w:tc>
        <w:tc>
          <w:tcPr>
            <w:tcW w:w="140" w:type="dxa"/>
            <w:vAlign w:val="bottom"/>
          </w:tcPr>
          <w:p>
            <w:pPr>
              <w:spacing w:after="0"/>
              <w:rPr>
                <w:sz w:val="16"/>
                <w:szCs w:val="16"/>
                <w:color w:val="auto"/>
              </w:rPr>
            </w:pPr>
          </w:p>
        </w:tc>
        <w:tc>
          <w:tcPr>
            <w:tcW w:w="2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6"/>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8"/>
                <w:szCs w:val="18"/>
                <w:color w:val="auto"/>
              </w:rPr>
            </w:pPr>
          </w:p>
        </w:tc>
        <w:tc>
          <w:tcPr>
            <w:tcW w:w="206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6"/>
          </w:tcPr>
          <w:p>
            <w:pPr>
              <w:ind w:left="60"/>
              <w:spacing w:after="0"/>
              <w:rPr>
                <w:sz w:val="20"/>
                <w:szCs w:val="20"/>
                <w:color w:val="auto"/>
              </w:rPr>
            </w:pPr>
            <w:r>
              <w:rPr>
                <w:rFonts w:ascii="Arial" w:cs="Arial" w:eastAsia="Arial" w:hAnsi="Arial"/>
                <w:sz w:val="16"/>
                <w:szCs w:val="16"/>
                <w:b w:val="1"/>
                <w:bCs w:val="1"/>
                <w:color w:val="auto"/>
                <w:w w:val="96"/>
              </w:rPr>
              <w:t>in millions, except percentages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2"/>
              <w:spacing w:after="0"/>
              <w:rPr>
                <w:sz w:val="20"/>
                <w:szCs w:val="20"/>
                <w:color w:val="auto"/>
              </w:rPr>
            </w:pPr>
            <w:r>
              <w:rPr>
                <w:rFonts w:ascii="Arial" w:cs="Arial" w:eastAsia="Arial" w:hAnsi="Arial"/>
                <w:sz w:val="18"/>
                <w:szCs w:val="18"/>
                <w:color w:val="auto"/>
                <w:w w:val="87"/>
              </w:rPr>
              <w:t>6.5</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7"/>
              </w:rPr>
              <w:t>(5.5)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7"/>
              </w:rPr>
              <w:t>(7.2)</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Nine months ended</w:t>
            </w:r>
          </w:p>
        </w:tc>
        <w:tc>
          <w:tcPr>
            <w:tcW w:w="300" w:type="dxa"/>
            <w:vAlign w:val="bottom"/>
          </w:tcPr>
          <w:p>
            <w:pPr>
              <w:spacing w:after="0"/>
              <w:rPr>
                <w:sz w:val="24"/>
                <w:szCs w:val="24"/>
                <w:color w:val="auto"/>
              </w:rPr>
            </w:pPr>
          </w:p>
        </w:tc>
        <w:tc>
          <w:tcPr>
            <w:tcW w:w="1240" w:type="dxa"/>
            <w:vAlign w:val="bottom"/>
            <w:gridSpan w:val="3"/>
            <w:vMerge w:val="restart"/>
          </w:tcPr>
          <w:p>
            <w:pPr>
              <w:ind w:left="540"/>
              <w:spacing w:after="0"/>
              <w:rPr>
                <w:sz w:val="20"/>
                <w:szCs w:val="20"/>
                <w:color w:val="auto"/>
              </w:rPr>
            </w:pPr>
            <w:r>
              <w:rPr>
                <w:rFonts w:ascii="Arial" w:cs="Arial" w:eastAsia="Arial" w:hAnsi="Arial"/>
                <w:sz w:val="16"/>
                <w:szCs w:val="16"/>
                <w:b w:val="1"/>
                <w:bCs w:val="1"/>
                <w:color w:val="auto"/>
              </w:rPr>
              <w:t>Increase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6"/>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in millions, except percentages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2"/>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7"/>
              </w:rPr>
              <w:t>(6.0)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SG&amp;A expenses (exclusive of share-based compensation expense) increased $47.1 million or 14.6% and $71.9 million or 6.9% during the three and nine months ended September 30, 2023, respectively, as compared to the corresponding periods in 2022. These increases include increases of $7.9 million and $28.9 million, respectively, attributable to the impact of acquisitions. On an organic basis, our SG&amp;A expenses increased $11.1 million or 3.3% and $12.7 million or 1.2%, respectively. These increases include the following factors:</w:t>
      </w:r>
    </w:p>
    <w:p>
      <w:pPr>
        <w:spacing w:after="0" w:line="214" w:lineRule="exact"/>
        <w:rPr>
          <w:sz w:val="20"/>
          <w:szCs w:val="20"/>
          <w:color w:val="auto"/>
        </w:rPr>
      </w:pPr>
    </w:p>
    <w:p>
      <w:pPr>
        <w:jc w:val="both"/>
        <w:ind w:left="66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Increases in personnel costs of $14.9 million or 10.2% and $23.8 million or 4.9%, respectively, primarily due to the net effect of (i) higher average costs per employee, primarily in Belgium and Central and Other, (ii) increases in incentive compensation costs in Central and Other and Switzerland and (iii) lower costs due to higher capitalizable activities, primarily in Switzerland;</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the nine-month comparison, an increase in business service costs of $11.7 million or 8.6%, primarily due to higher (i) consulting costs in Switzerland and Central and Other and (ii) travel and entertainment costs in Central and Other;</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Decreases in core network and information technology-related costs of $4.8 million or 14.6% and $7.3 million or 7.4%, respectively, primarily due to lower technology-related expenses in Central and Other and Switzerland that were only partially offset by higher technology-related expenses in Belgium; and</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Decreases in external sales and marketing costs of $5.5 million or 7.2% and $6.0 million or 2.6%, respectively, primarily due to lower costs associated with advertising campaigns in Switzerland and Belgium.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1" w:name="page72"/>
    <w:bookmarkEnd w:id="71"/>
    <w:p>
      <w:pPr>
        <w:ind w:left="180"/>
        <w:spacing w:after="0"/>
        <w:rPr>
          <w:sz w:val="20"/>
          <w:szCs w:val="20"/>
          <w:color w:val="auto"/>
        </w:rPr>
      </w:pPr>
      <w:r>
        <w:rPr>
          <w:rFonts w:ascii="Arial" w:cs="Arial" w:eastAsia="Arial" w:hAnsi="Arial"/>
          <w:sz w:val="18"/>
          <w:szCs w:val="18"/>
          <w:i w:val="1"/>
          <w:iCs w:val="1"/>
          <w:color w:val="auto"/>
        </w:rPr>
        <w:t>Share-based compensation expense</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10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1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45.2</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31.4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based incentive awards (b)</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53.2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59" w:lineRule="auto"/>
        <w:tabs>
          <w:tab w:leader="none" w:pos="49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April 2023, the compensation committee of our board of directors approved the extension of the expiration dates of outstanding SARs and director options granted in 2016 through 2018 from a seven-year term to a ten-year term. Accordingly, the Black-Scholes fair values of the outstanding awards increased, resulting in the recognition of an aggregate incremental share-based compensation expense of $27.1 million during the second quarter of 2023.</w:t>
      </w:r>
    </w:p>
    <w:p>
      <w:pPr>
        <w:spacing w:after="0" w:line="213" w:lineRule="exact"/>
        <w:rPr>
          <w:rFonts w:ascii="Arial" w:cs="Arial" w:eastAsia="Arial" w:hAnsi="Arial"/>
          <w:sz w:val="18"/>
          <w:szCs w:val="18"/>
          <w:color w:val="auto"/>
        </w:rPr>
      </w:pPr>
    </w:p>
    <w:p>
      <w:pPr>
        <w:ind w:left="480" w:hanging="4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2022 amount includes share-based compensation expense related to our 2019 Challenge Performance Awards.</w:t>
      </w:r>
    </w:p>
    <w:p>
      <w:pPr>
        <w:spacing w:after="0" w:line="252" w:lineRule="exact"/>
        <w:rPr>
          <w:rFonts w:ascii="Arial" w:cs="Arial" w:eastAsia="Arial" w:hAnsi="Arial"/>
          <w:sz w:val="18"/>
          <w:szCs w:val="18"/>
          <w:color w:val="auto"/>
        </w:rPr>
      </w:pPr>
    </w:p>
    <w:p>
      <w:pPr>
        <w:jc w:val="both"/>
        <w:ind w:left="500" w:hanging="492"/>
        <w:spacing w:after="0" w:line="259" w:lineRule="auto"/>
        <w:tabs>
          <w:tab w:leader="none" w:pos="497"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depreciation and amortization expense was $584.0 million and $1,681.8 million for the three and nine months ended September 30, 2023, respectively, and $506.0 million and $1,588.4 million for the three and nine months ended September 30, 2022, respectively. Excluding the effects of FX, depreciation and amortization expense increased $31.8 million or 6.3% and $37.3 million or 2.3% during the three and nine months ended September 30, 2023, respectively, as compared to the corresponding periods in 2022. These increases are primarily due to the net effect of (i) decreases associated with certain assets becoming fully depreciated, primarily in Central and Other and Switzerland, (ii) increases associated with property and equipment additions, the expansion and upgrade of our networks and other capital initiatives, primarily in Central and Other, Switzerland and Belgium, and (iii) increases associated with acquisitions, primarily in Belgium and Switzerland. For additional information regarding our recent acquisitions, see note 4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2" w:name="page73"/>
    <w:bookmarkEnd w:id="72"/>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recognized impairment, restructuring and other operating items, net, of ($13.7 million) and $6.6 million during the three and nine months ended September 30, 2023, respectively and $6.4 million and $74.1 million during the three and nine months ended September 30, 2022, respectively.</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amounts for the 2023 periods include (i) direct acquisition and disposition costs of $4.2 million and $25.7 million, respectively, primarily in Belgium and Central and Other, (ii) restructuring costs of $3.3 million and $24.4 million, respectively, primarily in Switzerland and Belgium, (iii) a $21.3 million credit to abandoned lease expense in Switzerland during the second quarter of 2023, and (iv) a $19.2 million credit related to a settlement in Switzerland during the third quarter of 2023.</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amounts for the 2022 periods include (i) a $39.6 million provision in Central and Other during the second quarter of 2022 related to a legal contingency, (ii) direct acquisition and disposition costs of $2.8 million and $16.5 million, respectively, primarily in Belgium, and (iii) abandoned lease expense of $0.6 million and $14.2 million, respectively, primarily in Switzerland.</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recognized interest expense of $241.4 million and $656.0 million during the three and nine months ended September 30, 2023, respectively, and $149.7 million and $416.8 million during the three and nine months ended September 30, 2022, respectively. Excluding the effects of FX, interest expense increased $74.1 million or 49.5% and $225.3 million or 54.1% during the three and nine months ended September 30, 2023, respectively, as compared to the corresponding periods in 2022. These increases are primarily attributable to higher weighted average interest rates. For additional information regarding our outstanding indebtedness, see note 9 to our condensed consolidated financial statements.</w:t>
      </w:r>
    </w:p>
    <w:p>
      <w:pPr>
        <w:spacing w:after="0" w:line="20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on derivative instruments, net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on derivative instruments, net,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Equity-related derivative instruments (a)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Cross-currency and interest rate derivative contracts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1,640.6</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3" w:name="page74"/>
    <w:bookmarkEnd w:id="73"/>
    <w:p>
      <w:pPr>
        <w:jc w:val="both"/>
        <w:ind w:left="500" w:hanging="492"/>
        <w:spacing w:after="0" w:line="293" w:lineRule="auto"/>
        <w:tabs>
          <w:tab w:leader="none" w:pos="494"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gains for the 2023 periods are primarily attributable to the net effect of (i) a net loss for the three-month period and a net gain for the nine-month period associated with certain market interest rates and (ii) a net gain for the three-month period and a net loss for the nine-month period associated with the relative value of certain currencies. In addition, the gains for the 2023 periods include a net gain (loss) of ($6.9 million) and $15.3 million, respectively, resulting from changes in our credit risk valuation adjustments. The gains for the 2022 periods are attributable to net gains associated with changes in (a) certain market interest rates and (b) the relative value of certain currencies. In addition, the gains for the 2022 periods include net losses of $16.3 million and $7.0 million, respectively, resulting from changes in our credit risk valuation adjustments.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concerning our derivative instruments, see notes 6 and 7 to our condensed consolidated financial statements and Part I, Item</w:t>
      </w:r>
    </w:p>
    <w:p>
      <w:pPr>
        <w:spacing w:after="0" w:line="46" w:lineRule="exact"/>
        <w:rPr>
          <w:sz w:val="20"/>
          <w:szCs w:val="20"/>
          <w:color w:val="auto"/>
        </w:rPr>
      </w:pPr>
    </w:p>
    <w:p>
      <w:pPr>
        <w:ind w:left="180" w:right="6200" w:hanging="172"/>
        <w:spacing w:after="0" w:line="523" w:lineRule="auto"/>
        <w:tabs>
          <w:tab w:leader="none" w:pos="198"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r>
        <w:rPr>
          <w:rFonts w:ascii="Arial" w:cs="Arial" w:eastAsia="Arial" w:hAnsi="Arial"/>
          <w:sz w:val="18"/>
          <w:szCs w:val="18"/>
          <w:i w:val="1"/>
          <w:iCs w:val="1"/>
          <w:color w:val="auto"/>
        </w:rPr>
        <w:t xml:space="preserve"> Foreign currency transaction gains, net</w:t>
      </w:r>
    </w:p>
    <w:p>
      <w:pPr>
        <w:spacing w:after="0" w:line="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net,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76"/>
        </w:trPr>
        <w:tc>
          <w:tcPr>
            <w:tcW w:w="6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Intercompany balances denominated in a currency other than the entity’s functional</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4,280.6</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(1,160.1)</w:t>
            </w:r>
          </w:p>
        </w:tc>
      </w:tr>
      <w:tr>
        <w:trPr>
          <w:trHeight w:val="175"/>
        </w:trPr>
        <w:tc>
          <w:tcPr>
            <w:tcW w:w="6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restricted cash denominated in a currency other than the entity’s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functional currency</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308" w:lineRule="auto"/>
        <w:tabs>
          <w:tab w:leader="none" w:pos="497"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Amounts primarily relate to (i) loans between certain of our non-operating subsidiaries in Europe and (ii) loans between certain of our non-operating and operating subsidiaries in Europe, which generally are denominated in the currency of the applicable operating subsidiary.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4" w:name="page75"/>
    <w:bookmarkEnd w:id="74"/>
    <w:p>
      <w:pPr>
        <w:ind w:left="18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net</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 (losses) due to changes in fair values of certain investments, net,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Lacework</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Plume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Lionsgate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Televisa Univision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SMAs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(a)</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3"/>
        </w:trPr>
        <w:tc>
          <w:tcPr>
            <w:tcW w:w="610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nine-month periods include gains of $8.0 million and $12.0 million, respectively, related to investments that were sold during the second quarter of 2023 and 2022.</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224.6</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AtlasEdge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nexfibre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86" w:lineRule="auto"/>
        <w:tabs>
          <w:tab w:leader="none" w:pos="497"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5" w:name="page76"/>
    <w:bookmarkEnd w:id="75"/>
    <w:tbl>
      <w:tblPr>
        <w:tblLayout w:type="fixed"/>
        <w:tblInd w:w="50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Three months ended</w:t>
            </w:r>
          </w:p>
        </w:tc>
        <w:tc>
          <w:tcPr>
            <w:tcW w:w="360" w:type="dxa"/>
            <w:vAlign w:val="bottom"/>
          </w:tcPr>
          <w:p>
            <w:pPr>
              <w:spacing w:after="0"/>
              <w:rPr>
                <w:sz w:val="16"/>
                <w:szCs w:val="16"/>
                <w:color w:val="auto"/>
              </w:rPr>
            </w:pPr>
          </w:p>
        </w:tc>
        <w:tc>
          <w:tcPr>
            <w:tcW w:w="208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Pr>
          <w:p>
            <w:pPr>
              <w:spacing w:after="0"/>
              <w:rPr>
                <w:sz w:val="18"/>
                <w:szCs w:val="18"/>
                <w:color w:val="auto"/>
              </w:rPr>
            </w:pPr>
          </w:p>
        </w:tc>
        <w:tc>
          <w:tcPr>
            <w:tcW w:w="208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1,170.9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1,060.5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3,335.6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(786.1)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1,158.4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(762.8)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interest expense of $394.6 million, $260.0 million, $1,087.2 million and $732.3 million, in the respective periods shown.</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changes in the VMO2 JV’s revenue during the three and nine months ended September 30, 2023, as compared to the corresponding periods in 2022, are primarily due to the net effect of (i) increases in other revenue due to the construction agreement with the nexfibre JV, (ii) increases in mobile revenue, (iii) decreases in residential fixed revenue and (iv) a one-time increase of $48 million in other revenue due to a change in the contract terms with a related-party supplier, with each revenue category as defined and reported by the VMO2 JV. The changes in the VMO2 JV’s Adjusted EBITDA during the three and nine months ended September 30, 2023, as compared to the corresponding periods in 2022, are primarily due to the net effect of (a) the realization of synergies, (b) consumer price rises, (c) higher energy costs and (d) the aforementioned one-time revenue increase partially offset by a $35 million benefit in the third quarter of 2022 due to the resolution of a legal matter. In addition, the reported revenue and Adjusted EBITDA amounts are impacted by FX.</w:t>
      </w:r>
    </w:p>
    <w:p>
      <w:pPr>
        <w:spacing w:after="0" w:line="219" w:lineRule="exact"/>
        <w:rPr>
          <w:sz w:val="20"/>
          <w:szCs w:val="20"/>
          <w:color w:val="auto"/>
        </w:rPr>
      </w:pPr>
    </w:p>
    <w:p>
      <w:pPr>
        <w:jc w:val="both"/>
        <w:ind w:left="500" w:hanging="492"/>
        <w:spacing w:after="0" w:line="263" w:lineRule="auto"/>
        <w:tabs>
          <w:tab w:leader="none" w:pos="4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interest income of $14.0 million, $12.9 million, $41.4 million and $40.7 million, in the respective periods shown, representing 100% of the interest earned on the VodafoneZiggo JV Receivables. The summarized results of operations of the VodafoneZiggo JV are set forth below:</w:t>
      </w:r>
    </w:p>
    <w:p>
      <w:pPr>
        <w:spacing w:after="0" w:line="81"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Three months ended</w:t>
            </w:r>
          </w:p>
        </w:tc>
        <w:tc>
          <w:tcPr>
            <w:tcW w:w="360" w:type="dxa"/>
            <w:vAlign w:val="bottom"/>
          </w:tcPr>
          <w:p>
            <w:pPr>
              <w:spacing w:after="0"/>
              <w:rPr>
                <w:sz w:val="16"/>
                <w:szCs w:val="16"/>
                <w:color w:val="auto"/>
              </w:rPr>
            </w:pPr>
          </w:p>
        </w:tc>
        <w:tc>
          <w:tcPr>
            <w:tcW w:w="208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Pr>
          <w:p>
            <w:pPr>
              <w:spacing w:after="0"/>
              <w:rPr>
                <w:sz w:val="18"/>
                <w:szCs w:val="18"/>
                <w:color w:val="auto"/>
              </w:rPr>
            </w:pPr>
          </w:p>
        </w:tc>
        <w:tc>
          <w:tcPr>
            <w:tcW w:w="208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518.3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501.4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1,474.7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(511.8)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interest expense of $205.2 million, $148.8 million, $581.6 million and $436.0 million, in the respective periods shown.</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changes in the VodafoneZiggo JV’s revenue during the three and nine months ended September 30, 2023, as compared to the corresponding periods in 2022, are primarily due to (i) increases in B2B fixed revenue and (ii) increases in residential mobile revenue. The changes in the VodafoneZiggo JV’s Adjusted EBITDA during the three and nine months ended September 30, 2023, as compared to the corresponding periods in 2022, are primarily due to inflation-related increases in energy and staff costs. In addition, the reported revenue and Adjusted EBITDA amounts are impacted by FX.</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Gain associated with the Telenet Wyre Transaction</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Telenet Wyre Transaction, we recognized a net gain of $377.8 million during the nine months ended September 30, 2023. For additional information, see note 4 to our condensed consolidated financial statements.</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76" w:name="page77"/>
    <w:bookmarkEnd w:id="76"/>
    <w:p>
      <w:pPr>
        <w:ind w:left="180"/>
        <w:spacing w:after="0"/>
        <w:rPr>
          <w:sz w:val="20"/>
          <w:szCs w:val="20"/>
          <w:color w:val="auto"/>
        </w:rPr>
      </w:pPr>
      <w:r>
        <w:rPr>
          <w:rFonts w:ascii="Arial" w:cs="Arial" w:eastAsia="Arial" w:hAnsi="Arial"/>
          <w:sz w:val="18"/>
          <w:szCs w:val="18"/>
          <w:i w:val="1"/>
          <w:iCs w:val="1"/>
          <w:color w:val="auto"/>
        </w:rPr>
        <w:t>Gain on Telenet Tower Sale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Telenet Tower Sale, we recognized a pre-tax gain of $700.4 million during the nine months ended September 30, 2022. For additional information, see note 4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recognized other income, net, of $39.8 million and $21.7 million during the three months ended September 30, 2023 and 2022, respectively, and $159.5 million and $63.0 million during the nine months ended September 30, 2023 and 2022, respectively. These amounts primarily include (i) interest and dividend income of $36.5 million and $16.3 million during the three-month periods, respectively, and $140.7 million and $41.7 million during the nine-month periods, respectively, and (ii) credits related to the non-service component of our net periodic pension costs of $6.4 million and $8.5 million during the three-month periods, respectively, and $15.8 million and $25.8 million during the nine-month periods, respectively.</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benefit (expense)</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recognized income tax benefit (expense) of $1.7 million and ($64.8 million) during the three months ended September 30, 2023 and 2022, respectively.</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income tax benefit during the three months ended September 30, 2023 differs from the expected income tax expense of $193.0 million (based on the U.K. blended income tax rate of 23.5%), primarily due to the positive impact of non-deductible or non-taxable foreign currency exchange results.</w:t>
      </w:r>
    </w:p>
    <w:p>
      <w:pPr>
        <w:spacing w:after="0" w:line="15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income tax expense during the three months ended September 30, 2022 differs from the expected income tax expense of $474.3 million (based on the U.K. statutory income tax rate of 19.0%), primarily due to the positive impact of (i) non-deductible or non-taxable foreign currency exchange results and (ii) certain permanent differences between the financial and tax accounting treatment of items associated with investments in subsidiaries. The positive impact of these items was partially offset by the net negative impact of statutory rates in certain jurisdictions in which we operate that are different than the U.K. statutory income tax rate.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recognized income tax expense of $170.0 million and $209.6 million during the nine months ended September 30, 2023 and 2022, respectively.</w:t>
      </w:r>
    </w:p>
    <w:p>
      <w:pPr>
        <w:spacing w:after="0" w:line="2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expense during the nine months ended September 30, 2023 differs from the expected income tax benefit of $54.5 million (based on the U.K. blended income tax rate of 23.5%), primarily due to the net negative impact of (i) a net increase in valuation allowances and (ii) certain permanent differences between the financial and tax accounting treatment of interest and other items. The negative impact of these items was partially offset by the positive impact of non-deductible or non-taxable foreign currency exchange results.</w:t>
      </w:r>
    </w:p>
    <w:p>
      <w:pPr>
        <w:spacing w:after="0" w:line="2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income tax expense during the nine months ended September 30, 2022 differs from the expected income tax expense of $1,139.8 million (based on the U.K. statutory income tax rate of 19.0%), primarily due to the positive impact of (i) non-deductible or non-taxable foreign currency exchange results and (ii) certain permanent differences between the financial and tax accounting treatment of items associated with investments in subsidiaries. The positive impact of these items was partially offset by the net negative impact of statutory rates in certain jurisdictions in which we operate that are different than the U.K. statutory income tax rate.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from continuing operations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September 30, 2023 and 2022, we reported earnings from continuing operations of $822.7 million and $2,431.7 million, respectively, consisting of (i) operating income (loss) of ($27.4 million) and $108.9 million, respectively, (ii) net non-operating income of $848.4 million and $2,387.6 million, respectively, and (iii) income tax benefit (expense) of $1.7 million and ($64.8 million), respectively.</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nine months ended September 30, 2023 and 2022, we reported earnings (loss) from continuing operations of ($402.1 million) and $5,789.6 million, respectively, consisting of (i) operating income (loss) of ($39.2 million) and $192.2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million, respectively, (ii) net non-operating income (expense) of ($192.9 million) and $5,807.0 million, respectively, and (iii) income tax expense of $170.0 million and $209.6 million, respectively.</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1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Due largely to the fact that we seek to maintain our debt at levels that provide for attractive equity returns, as discussed under </w:t>
      </w:r>
      <w:r>
        <w:rPr>
          <w:rFonts w:ascii="Arial" w:cs="Arial" w:eastAsia="Arial" w:hAnsi="Arial"/>
          <w:sz w:val="16"/>
          <w:szCs w:val="16"/>
          <w:i w:val="1"/>
          <w:iCs w:val="1"/>
          <w:color w:val="auto"/>
        </w:rPr>
        <w:t>Material Changes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Condition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Capitalization </w:t>
      </w:r>
      <w:r>
        <w:rPr>
          <w:rFonts w:ascii="Arial" w:cs="Arial" w:eastAsia="Arial" w:hAnsi="Arial"/>
          <w:sz w:val="16"/>
          <w:szCs w:val="16"/>
          <w:color w:val="auto"/>
        </w:rPr>
        <w:t>below, we expect we will continue to report significant levels of interest expense for the foreseeable future.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above. For information concerning the reasons for changes in specific line items in our condensed consolidated statements of operations,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 Consolidated Operating Results</w:t>
      </w:r>
      <w:r>
        <w:rPr>
          <w:rFonts w:ascii="Arial" w:cs="Arial" w:eastAsia="Arial" w:hAnsi="Arial"/>
          <w:sz w:val="16"/>
          <w:szCs w:val="16"/>
          <w:color w:val="auto"/>
        </w:rPr>
        <w:t xml:space="preserve"> above.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reported earnings from discontinued operations, net of taxes, of $34.6 million during the nine months ended September 30, 2022 related to the results of UPC Poland. In addition, we recognized a gain on the sale of UPC Poland of $848.9 million during the second quarter of 2022, which includes a cumulative foreign currency translation gain of $10.9 million. For additional information, see note 4 to our condensed consolidated financial statements.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earnings attributable to noncontrolling interests was $163.5 million and $83.7 million during the three months ended September 30, 2023 and 2022, respectively, and $159.7 million and $500.2 million during the nine months ended September 30, 2023 and 2022, respectively, primarily attributable to the results of operations of Telenet prior to the Telenet Takeover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SMAs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September 30, 2023 are set forth in the following table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Global (a)</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Unrestricted subsidiaries (b)</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w:t>
            </w:r>
          </w:p>
        </w:tc>
      </w:tr>
      <w:tr>
        <w:trPr>
          <w:trHeight w:val="223"/>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Liberty Global and unrestricted subsidiaries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r>
      <w:tr>
        <w:trPr>
          <w:trHeight w:val="209"/>
        </w:trPr>
        <w:tc>
          <w:tcPr>
            <w:tcW w:w="9800" w:type="dxa"/>
            <w:vAlign w:val="bottom"/>
          </w:tcPr>
          <w:p>
            <w:pPr>
              <w:ind w:left="140"/>
              <w:spacing w:after="0"/>
              <w:rPr>
                <w:sz w:val="20"/>
                <w:szCs w:val="20"/>
                <w:color w:val="auto"/>
              </w:rPr>
            </w:pPr>
            <w:r>
              <w:rPr>
                <w:rFonts w:ascii="Arial" w:cs="Arial" w:eastAsia="Arial" w:hAnsi="Arial"/>
                <w:sz w:val="18"/>
                <w:szCs w:val="18"/>
                <w:color w:val="auto"/>
              </w:rPr>
              <w:t>Borrowing groups (c):</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Telenet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w:t>
            </w:r>
          </w:p>
        </w:tc>
      </w:tr>
      <w:tr>
        <w:trPr>
          <w:trHeight w:val="230"/>
        </w:trPr>
        <w:tc>
          <w:tcPr>
            <w:tcW w:w="9800" w:type="dxa"/>
            <w:vAlign w:val="bottom"/>
          </w:tcPr>
          <w:p>
            <w:pPr>
              <w:ind w:left="220"/>
              <w:spacing w:after="0"/>
              <w:rPr>
                <w:sz w:val="20"/>
                <w:szCs w:val="20"/>
                <w:color w:val="auto"/>
              </w:rPr>
            </w:pPr>
            <w:r>
              <w:rPr>
                <w:rFonts w:ascii="Arial" w:cs="Arial" w:eastAsia="Arial" w:hAnsi="Arial"/>
                <w:sz w:val="18"/>
                <w:szCs w:val="18"/>
                <w:color w:val="auto"/>
              </w:rPr>
              <w:t>UPC Holding</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VM Ireland</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98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borrowing groups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w:t>
            </w:r>
          </w:p>
        </w:tc>
      </w:tr>
      <w:tr>
        <w:trPr>
          <w:trHeight w:val="223"/>
        </w:trPr>
        <w:tc>
          <w:tcPr>
            <w:tcW w:w="9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cash and cash equivalents (d)</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1,741.6</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Investments held under SMAs (e)</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1,797.7</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 and investments held under SMAs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the aggregate amounts held by the parent entity and restricted subsidiaries of our borrowing groups.</w:t>
      </w:r>
    </w:p>
    <w:p>
      <w:pPr>
        <w:spacing w:after="0" w:line="23" w:lineRule="exact"/>
        <w:rPr>
          <w:rFonts w:ascii="Arial" w:cs="Arial" w:eastAsia="Arial" w:hAnsi="Arial"/>
          <w:sz w:val="18"/>
          <w:szCs w:val="18"/>
          <w:color w:val="auto"/>
        </w:rPr>
      </w:pPr>
    </w:p>
    <w:p>
      <w:pPr>
        <w:ind w:left="500" w:hanging="492"/>
        <w:spacing w:after="0" w:line="260" w:lineRule="auto"/>
        <w:tabs>
          <w:tab w:leader="none" w:pos="49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total cash and cash equivalents balance includes $1,221.0 million or 70.1% and $489.0 million or 28.1% denominated in euros and U.S. dollars, respectively.</w:t>
      </w:r>
    </w:p>
    <w:p>
      <w:pPr>
        <w:spacing w:after="0" w:line="212" w:lineRule="exact"/>
        <w:rPr>
          <w:rFonts w:ascii="Arial" w:cs="Arial" w:eastAsia="Arial" w:hAnsi="Arial"/>
          <w:sz w:val="18"/>
          <w:szCs w:val="18"/>
          <w:color w:val="auto"/>
        </w:rPr>
      </w:pPr>
    </w:p>
    <w:p>
      <w:pPr>
        <w:ind w:left="500" w:hanging="492"/>
        <w:spacing w:after="0" w:line="258" w:lineRule="auto"/>
        <w:tabs>
          <w:tab w:leader="none" w:pos="49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balance of our investments held under SMAs is denominated entirely in U.S. dollars and is held by unrestricted subsidiaries that are outside of our borrowing groups.</w:t>
      </w:r>
    </w:p>
    <w:p>
      <w:pPr>
        <w:spacing w:after="0" w:line="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For additional information regarding our cash and cash equivalents and investments held under SMAs, see the discussion under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 Cash and Investments </w:t>
      </w:r>
      <w:r>
        <w:rPr>
          <w:rFonts w:ascii="Arial" w:cs="Arial" w:eastAsia="Arial" w:hAnsi="Arial"/>
          <w:sz w:val="18"/>
          <w:szCs w:val="18"/>
          <w:color w:val="auto"/>
        </w:rPr>
        <w:t>below.</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$3.3 million of cash and cash equivalents held by Liberty Global and, subject to certain tax and legal considerations, the $592.4 million of aggregate cash and cash equivalents held by unrestricted subsidiaries, together with the $1,797.7 million of investments held under SMAs, represented available liquidity at the corporate level at September 30, 2023. Our remaining cash and cash equivalents of $1,145.9 million at September 30, 2023 were held by our borrowing groups, as set forth in the table above. As noted above, various factors may limit our ability to access the cash of our borrowing groups. For information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regarding certain limitations imposed by our subsidiaries’ debt instruments at September 30, 2023, see note 9 to our condensed consolidated financial statements.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 distributions received from the VMO2 JV or the VodafoneZiggo JV, (iv) cash received with respect to transitional and other services provided to various third parties and (v) interest payments received with respect to the VodafoneZiggo JV Receivables.</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such as the sale of UPC Poland,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September 30, 2023, our consolidated cash and cash equivalents balance included $1,324.2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amount of cash we receive from our subsidiaries to satisfy U.S. dollar-denominated liquidity requirements is impacted by fluctuations in exchange rates, particularly with regard to the translation of euros, British pound sterling and Swiss francs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short- and long-term liquidity requirements include (i) corporate general and administrative expenses, (ii) interest payments on the Vodafone Collar Loan and (iii) principal payments on the Vodafone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Our parent entity also uses available liquidity to make interest and principal payments on notes payable to certain of our unrestricted subsidiaries (aggregate outstanding principal of $15.1 billion at September 30, 2023 with varying maturity dates).</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nine months ended September 30, 2023, the aggregate amount of our share repurchases, including direct acquisition costs, was $1,149.2 million. In July 2023, our board of directors authorized an increase in our 2023 share repurchase program from 10% of our total outstanding shares as of December 31, 2022 to a minimum of at least 15%. We are now targeting a further repurchase of shares through the end of January 2024 in the amount of approximately $300.0 million. For additional information regarding our share repurchase programs, see note 12 to our condensed consolidated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borrowing groups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September 30, 2023, see note 9 to our condensed consolidated financial statements. The aforementioned sources of liquidity may be supplemented in certain cases by contributions and/or loans from Liberty Global and its unrestricted subsidiaries.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liquidity of our borrowing groups generally is used to fund (i) property and equipment additions, (ii) debt service requirements and (iii) income tax payments, as well as to settle certain obligations that are not included on our September 30, 2023 condensed consolidated balance sheet. In this regard, we have significant commitments related to (a) certain operating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8"/>
          <w:szCs w:val="18"/>
          <w:color w:val="auto"/>
        </w:rPr>
        <w:t>costs associated with our networks, (b) purchase obligations associated with CPE and certain service-related commitments and (c) programming, studio output and sports rights contracts. These obligations are expected to represent a significant liquidity requirement of our borrowing groups, a significant portion of which is due over the next 12 to 24 months. For additional information regarding our commitments, see note 15 to our condensed consolidated financial statements.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Vodafone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19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September 30, 2023,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0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September 30, 2023, the outstanding principal amount of our consolidated debt, together with our finance lease obligations, aggregated $15.3 billion, including $0.6 billion that is classified as current on our condensed consolidated balance sheet and $7.3 billion that is not due until 2029 or thereafter. All of our consolidated debt and finance lease obligations have been borrowed or incurred by our subsidiaries at September 30, 2023.</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1" w:name="page82"/>
    <w:bookmarkEnd w:id="81"/>
    <w:p>
      <w:pPr>
        <w:jc w:val="both"/>
        <w:ind w:firstLine="324"/>
        <w:spacing w:after="0" w:line="277"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nine months ended September 30, 2023 and 2022</w:t>
      </w:r>
      <w:r>
        <w:rPr>
          <w:rFonts w:ascii="Arial" w:cs="Arial" w:eastAsia="Arial" w:hAnsi="Arial"/>
          <w:sz w:val="18"/>
          <w:szCs w:val="18"/>
          <w:i w:val="1"/>
          <w:iCs w:val="1"/>
          <w:color w:val="auto"/>
        </w:rPr>
        <w:t xml:space="preserve"> </w:t>
      </w:r>
      <w:r>
        <w:rPr>
          <w:rFonts w:ascii="Arial" w:cs="Arial" w:eastAsia="Arial" w:hAnsi="Arial"/>
          <w:sz w:val="18"/>
          <w:szCs w:val="18"/>
          <w:color w:val="auto"/>
        </w:rPr>
        <w:t>are summarized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Nine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7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Change</w:t>
            </w:r>
          </w:p>
        </w:tc>
      </w:tr>
      <w:tr>
        <w:trPr>
          <w:trHeight w:val="207"/>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8"/>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Net cash provided (used) by 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(2,914.2)</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2,716.9</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r>
      <w:tr>
        <w:trPr>
          <w:trHeight w:val="248"/>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in cash and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decrease in net cash provided by operating activities is primarily attributable to the net effect of (i) a decrease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of $387.9 million due to lower dividend distributions received from the VMO2 JV and the VodafoneZiggo JV, (ii) a decrease in cash provided by our Adjusted EBITDA and related working capital items, (iii) an increase in cash provided due to higher net cash receipts related to derivative instruments,</w:t>
      </w:r>
    </w:p>
    <w:p>
      <w:pPr>
        <w:spacing w:after="0" w:line="2" w:lineRule="exact"/>
        <w:rPr>
          <w:sz w:val="20"/>
          <w:szCs w:val="20"/>
          <w:color w:val="auto"/>
        </w:rPr>
      </w:pPr>
    </w:p>
    <w:p>
      <w:pPr>
        <w:jc w:val="both"/>
        <w:ind w:firstLine="8"/>
        <w:spacing w:after="0" w:line="255" w:lineRule="auto"/>
        <w:tabs>
          <w:tab w:leader="none" w:pos="313"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decrease in cash provided due to higher payments of interest, (v) an increase in cash provided due to higher receipts of interest and (vi) an increase due to FX. Consolidated Adjusted EBITDA is a non-GAAP measure, which investors should view as a supplement to, and not a substitute for, GAAP measures of performance included in our condensed consolidated statements of operations.</w:t>
      </w:r>
    </w:p>
    <w:p>
      <w:pPr>
        <w:spacing w:after="0" w:line="2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change in net cash provided (used) by investing activities is primarily attributable to the net effect of (i) a decrease in cash of</w:t>
      </w:r>
      <w:r>
        <w:rPr>
          <w:rFonts w:ascii="Arial" w:cs="Arial" w:eastAsia="Arial" w:hAnsi="Arial"/>
          <w:sz w:val="18"/>
          <w:szCs w:val="18"/>
          <w:i w:val="1"/>
          <w:iCs w:val="1"/>
          <w:color w:val="auto"/>
        </w:rPr>
        <w:t xml:space="preserve"> </w:t>
      </w:r>
      <w:r>
        <w:rPr>
          <w:rFonts w:ascii="Arial" w:cs="Arial" w:eastAsia="Arial" w:hAnsi="Arial"/>
          <w:sz w:val="18"/>
          <w:szCs w:val="18"/>
          <w:color w:val="auto"/>
        </w:rPr>
        <w:t>$1,563.0 million in connection with the sale of UPC Poland during the first nine months of 2022, (ii) a decrease in cash of $905.8 million associated with higher net cash paid for investments, primarily related to the net effect of our investment in Vodafone and our investments held under SMAs, (iii) a decrease in cash of $779.9 million in connection with the Telenet Tower Sale during the first nine months of 2022, (iv) an increase in cash of $548.3 million due to higher dividend distributions received from the VMO2 JV and (v) a decrease in cash of $113.8 million associated with higher net cash paid for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2" w:name="page83"/>
    <w:bookmarkEnd w:id="82"/>
    <w:p>
      <w:pPr>
        <w:jc w:val="both"/>
        <w:ind w:firstLine="324"/>
        <w:spacing w:after="0" w:line="271" w:lineRule="auto"/>
        <w:rPr>
          <w:sz w:val="20"/>
          <w:szCs w:val="20"/>
          <w:color w:val="auto"/>
        </w:rPr>
      </w:pPr>
      <w:r>
        <w:rPr>
          <w:rFonts w:ascii="Arial" w:cs="Arial" w:eastAsia="Arial" w:hAnsi="Arial"/>
          <w:sz w:val="17"/>
          <w:szCs w:val="17"/>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94"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Nine months ended</w:t>
      </w:r>
    </w:p>
    <w:p>
      <w:pPr>
        <w:jc w:val="center"/>
        <w:ind w:left="842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r>
      <w:tr>
        <w:trPr>
          <w:trHeight w:val="20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r>
      <w:tr>
        <w:trPr>
          <w:trHeight w:val="168"/>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increase in our property and equipment additions during the nine months ended September 30, 2023, as compared to the corresponding period in 2022, is primarily due to the net effect of (i) an increase due to FX and (ii) a decrease in local currency expenditures of our subsidiaries due to the net effect of (a) a decrease in expenditures to support new customer products and operational efficiency initiatives, (b) an increase in new build and upgrade projects,</w:t>
      </w:r>
    </w:p>
    <w:p>
      <w:pPr>
        <w:spacing w:after="0" w:line="2" w:lineRule="exact"/>
        <w:rPr>
          <w:sz w:val="20"/>
          <w:szCs w:val="20"/>
          <w:color w:val="auto"/>
        </w:rPr>
      </w:pPr>
    </w:p>
    <w:p>
      <w:pPr>
        <w:ind w:firstLine="8"/>
        <w:spacing w:after="0" w:line="260" w:lineRule="auto"/>
        <w:tabs>
          <w:tab w:leader="none" w:pos="2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increase in expenditures for the purchase and installation of CPE and (d) a decrease in baseline expenditures, including network improvements and expenditures for property and facilities and information technology systems.</w:t>
      </w: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decrease in net cash used by financing activities is primarily attributable to the net effect of (i) a decrease in cash used of</w:t>
      </w:r>
      <w:r>
        <w:rPr>
          <w:rFonts w:ascii="Arial" w:cs="Arial" w:eastAsia="Arial" w:hAnsi="Arial"/>
          <w:sz w:val="17"/>
          <w:szCs w:val="17"/>
          <w:i w:val="1"/>
          <w:iCs w:val="1"/>
          <w:color w:val="auto"/>
        </w:rPr>
        <w:t xml:space="preserve"> </w:t>
      </w:r>
      <w:r>
        <w:rPr>
          <w:rFonts w:ascii="Arial" w:cs="Arial" w:eastAsia="Arial" w:hAnsi="Arial"/>
          <w:sz w:val="17"/>
          <w:szCs w:val="17"/>
          <w:color w:val="auto"/>
        </w:rPr>
        <w:t>$3,068.2 million due to higher net borrowings of debt, including borrowings related to the Vodafone Collar Loan and borrowings under LGBH Facility B in connection with the Telenet Takeover Bid, (ii) an increase in cash used of $878.7 million due to the acquisition of shares in connection with the Telenet Takeover Bid and (iii) a decrease in cash used of $440.7 million due to lower repurchases of Liberty Global ordinary shares.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3" w:name="page84"/>
    <w:bookmarkEnd w:id="83"/>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with each item excluding any cash provided or used by our discontinued operations. Net cash provided by operating activities of our continuing operations includes cash paid for third-party costs directly associated with successful and unsuccessful acquisitions and dispositions of $23.8 million and $32.0 million during the nine months ended September 30, 2023 and 2022, respectively.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41"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Nine months ended</w:t>
      </w:r>
    </w:p>
    <w:p>
      <w:pPr>
        <w:jc w:val="center"/>
        <w:ind w:left="846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0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r>
      <w:tr>
        <w:trPr>
          <w:trHeight w:val="208"/>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Operating-related vendor financing additions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397.1</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capital expenditures,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Principal payments on operating-related vendor financing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(525.9)</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finance leases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48"/>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52" w:lineRule="exact"/>
        <w:rPr>
          <w:sz w:val="20"/>
          <w:szCs w:val="20"/>
          <w:color w:val="auto"/>
        </w:rPr>
      </w:pPr>
    </w:p>
    <w:p>
      <w:pPr>
        <w:jc w:val="both"/>
        <w:ind w:left="500" w:hanging="492"/>
        <w:spacing w:after="0" w:line="254" w:lineRule="auto"/>
        <w:tabs>
          <w:tab w:leader="none" w:pos="497"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4" w:name="page85"/>
    <w:bookmarkEnd w:id="84"/>
    <w:p>
      <w:pPr>
        <w:spacing w:after="0"/>
        <w:tabs>
          <w:tab w:leader="none" w:pos="6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1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September 30, 2023.</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2023.</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September 30, 2023, $1,221.0 million or 70.1% and $489.0 million or 28.1% of our consolidated cash balance was denominated in euros and U.S. dollars, respectively. At September 30, 2023, the balance of our consolidated investments held under SMAs was denominated entirely in U.S. dollars.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tcPr>
          <w:p>
            <w:pPr>
              <w:jc w:val="right"/>
              <w:ind w:right="113"/>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460" w:type="dxa"/>
            <w:vAlign w:val="bottom"/>
          </w:tcPr>
          <w:p>
            <w:pPr>
              <w:spacing w:after="0"/>
              <w:rPr>
                <w:sz w:val="18"/>
                <w:szCs w:val="18"/>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r>
      <w:tr>
        <w:trPr>
          <w:trHeight w:val="185"/>
        </w:trPr>
        <w:tc>
          <w:tcPr>
            <w:tcW w:w="8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Spot rates: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460" w:type="dxa"/>
            <w:vAlign w:val="bottom"/>
          </w:tcPr>
          <w:p>
            <w:pPr>
              <w:ind w:left="100"/>
              <w:spacing w:after="0"/>
              <w:rPr>
                <w:sz w:val="20"/>
                <w:szCs w:val="20"/>
                <w:color w:val="auto"/>
              </w:rPr>
            </w:pPr>
            <w:r>
              <w:rPr>
                <w:rFonts w:ascii="Arial" w:cs="Arial" w:eastAsia="Arial" w:hAnsi="Arial"/>
                <w:sz w:val="18"/>
                <w:szCs w:val="18"/>
                <w:color w:val="auto"/>
              </w:rPr>
              <w:t>Euro</w:t>
            </w:r>
          </w:p>
        </w:tc>
        <w:tc>
          <w:tcPr>
            <w:tcW w:w="1340" w:type="dxa"/>
            <w:vAlign w:val="bottom"/>
          </w:tcPr>
          <w:p>
            <w:pPr>
              <w:jc w:val="right"/>
              <w:spacing w:after="0"/>
              <w:rPr>
                <w:sz w:val="20"/>
                <w:szCs w:val="20"/>
                <w:color w:val="auto"/>
              </w:rPr>
            </w:pPr>
            <w:r>
              <w:rPr>
                <w:rFonts w:ascii="Arial" w:cs="Arial" w:eastAsia="Arial" w:hAnsi="Arial"/>
                <w:sz w:val="18"/>
                <w:szCs w:val="18"/>
                <w:color w:val="auto"/>
              </w:rPr>
              <w:t>0.9454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0.9337</w:t>
            </w:r>
          </w:p>
        </w:tc>
      </w:tr>
      <w:tr>
        <w:trPr>
          <w:trHeight w:val="229"/>
        </w:trPr>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0.9219</w:t>
            </w:r>
          </w:p>
        </w:tc>
      </w:tr>
      <w:tr>
        <w:trPr>
          <w:trHeight w:val="230"/>
        </w:trPr>
        <w:tc>
          <w:tcPr>
            <w:tcW w:w="846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1340" w:type="dxa"/>
            <w:vAlign w:val="bottom"/>
          </w:tcPr>
          <w:p>
            <w:pPr>
              <w:jc w:val="right"/>
              <w:spacing w:after="0"/>
              <w:rPr>
                <w:sz w:val="20"/>
                <w:szCs w:val="20"/>
                <w:color w:val="auto"/>
              </w:rPr>
            </w:pPr>
            <w:r>
              <w:rPr>
                <w:rFonts w:ascii="Arial" w:cs="Arial" w:eastAsia="Arial" w:hAnsi="Arial"/>
                <w:sz w:val="18"/>
                <w:szCs w:val="18"/>
                <w:color w:val="auto"/>
              </w:rPr>
              <w:t>0.8193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0.8265</w:t>
            </w:r>
          </w:p>
        </w:tc>
      </w:tr>
      <w:tr>
        <w:trPr>
          <w:trHeight w:val="230"/>
        </w:trPr>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Polish zloty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7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6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Nine months ended</w:t>
            </w:r>
          </w:p>
        </w:tc>
      </w:tr>
      <w:tr>
        <w:trPr>
          <w:trHeight w:val="213"/>
        </w:trPr>
        <w:tc>
          <w:tcPr>
            <w:tcW w:w="5840" w:type="dxa"/>
            <w:vAlign w:val="bottom"/>
          </w:tcPr>
          <w:p>
            <w:pPr>
              <w:spacing w:after="0"/>
              <w:rPr>
                <w:sz w:val="18"/>
                <w:szCs w:val="18"/>
                <w:color w:val="auto"/>
              </w:rPr>
            </w:pPr>
          </w:p>
        </w:tc>
        <w:tc>
          <w:tcPr>
            <w:tcW w:w="184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6"/>
                <w:szCs w:val="16"/>
                <w:b w:val="1"/>
                <w:bCs w:val="1"/>
                <w:color w:val="auto"/>
                <w:w w:val="91"/>
              </w:rPr>
              <w:t>September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6"/>
                <w:szCs w:val="16"/>
                <w:b w:val="1"/>
                <w:bCs w:val="1"/>
                <w:color w:val="auto"/>
                <w:w w:val="91"/>
              </w:rPr>
              <w:t>September 30,</w:t>
            </w:r>
          </w:p>
        </w:tc>
        <w:tc>
          <w:tcPr>
            <w:tcW w:w="820" w:type="dxa"/>
            <w:vAlign w:val="bottom"/>
            <w:tcBorders>
              <w:bottom w:val="single" w:sz="8" w:color="auto"/>
            </w:tcBorders>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89"/>
              </w:rPr>
              <w:t>2022</w:t>
            </w:r>
          </w:p>
        </w:tc>
      </w:tr>
      <w:tr>
        <w:trPr>
          <w:trHeight w:val="145"/>
        </w:trPr>
        <w:tc>
          <w:tcPr>
            <w:tcW w:w="5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rates: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Euro</w:t>
            </w:r>
          </w:p>
        </w:tc>
        <w:tc>
          <w:tcPr>
            <w:tcW w:w="1260" w:type="dxa"/>
            <w:vAlign w:val="bottom"/>
          </w:tcPr>
          <w:p>
            <w:pPr>
              <w:jc w:val="right"/>
              <w:spacing w:after="0"/>
              <w:rPr>
                <w:sz w:val="20"/>
                <w:szCs w:val="20"/>
                <w:color w:val="auto"/>
              </w:rPr>
            </w:pPr>
            <w:r>
              <w:rPr>
                <w:rFonts w:ascii="Arial" w:cs="Arial" w:eastAsia="Arial" w:hAnsi="Arial"/>
                <w:sz w:val="18"/>
                <w:szCs w:val="18"/>
                <w:color w:val="auto"/>
              </w:rPr>
              <w:t>0.9192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0.9935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0.9232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0.9412</w:t>
            </w:r>
          </w:p>
        </w:tc>
      </w:tr>
      <w:tr>
        <w:trPr>
          <w:trHeight w:val="229"/>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0.9669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0.9518</w:t>
            </w:r>
          </w:p>
        </w:tc>
      </w:tr>
      <w:tr>
        <w:trPr>
          <w:trHeight w:val="230"/>
        </w:trPr>
        <w:tc>
          <w:tcPr>
            <w:tcW w:w="584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1260" w:type="dxa"/>
            <w:vAlign w:val="bottom"/>
          </w:tcPr>
          <w:p>
            <w:pPr>
              <w:jc w:val="right"/>
              <w:spacing w:after="0"/>
              <w:rPr>
                <w:sz w:val="20"/>
                <w:szCs w:val="20"/>
                <w:color w:val="auto"/>
              </w:rPr>
            </w:pPr>
            <w:r>
              <w:rPr>
                <w:rFonts w:ascii="Arial" w:cs="Arial" w:eastAsia="Arial" w:hAnsi="Arial"/>
                <w:sz w:val="18"/>
                <w:szCs w:val="18"/>
                <w:color w:val="auto"/>
              </w:rPr>
              <w:t>0.7900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0.8508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0.8039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0.7974</w:t>
            </w:r>
          </w:p>
        </w:tc>
      </w:tr>
      <w:tr>
        <w:trPr>
          <w:trHeight w:val="229"/>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Polish zloty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4.3972</w:t>
            </w: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Inflation and Foreign Investment Risk</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inflationary pressures with respect to labor, programming and other costs. In this regard, inflation rates in the countries in which we operate have recently increased, and in many countries such increases have been significant.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July 2017, the U.K. Financial Conduct Authority (the </w:t>
      </w:r>
      <w:r>
        <w:rPr>
          <w:rFonts w:ascii="Arial" w:cs="Arial" w:eastAsia="Arial" w:hAnsi="Arial"/>
          <w:sz w:val="16"/>
          <w:szCs w:val="16"/>
          <w:b w:val="1"/>
          <w:bCs w:val="1"/>
          <w:color w:val="auto"/>
        </w:rPr>
        <w:t>FCA</w:t>
      </w:r>
      <w:r>
        <w:rPr>
          <w:rFonts w:ascii="Arial" w:cs="Arial" w:eastAsia="Arial" w:hAnsi="Arial"/>
          <w:sz w:val="16"/>
          <w:szCs w:val="16"/>
          <w:color w:val="auto"/>
        </w:rPr>
        <w:t>), the authority that regulates LIBOR, announced that it intends to stop compelling banks to submit rates for the calculation of LIBOR after 2021. In March 2021, the FCA announced that all LIBOR settings will either cease to be published or be deemed no longer representative, either (i) immediately after December 31, 2021, in the case of the one-week and two-month USD rates and (ii) immediately after June 30, 2023, in the case of the remaining USD rates. The Alternative Reference Rate Committee, a committee convened by the Federal Reserve that includes major market participants, has identified Term SOFR, a new index calculated by short-term repurchase agreements backed by Treasury securities, as its preferred alternative rate for LIBOR. Accordingly, Term SOFR, as administered by CME Group Benchmark Administration Limited (or any other person which takes over the administration of that rate), is now referenced for the calculation of interest for U.S. dollar-denominated loans under the credit agreements currently held by our borrowing groups. The European Money Markets Institute (the authority that administers EURIBOR) reformed the methodology for EURIBOR and EURIBOR has been granted regulatory approval to continue to be used.</w:t>
      </w:r>
    </w:p>
    <w:p>
      <w:pPr>
        <w:spacing w:after="0" w:line="19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October 2020, the International Swaps and Derivatives Association (the </w:t>
      </w:r>
      <w:r>
        <w:rPr>
          <w:rFonts w:ascii="Arial" w:cs="Arial" w:eastAsia="Arial" w:hAnsi="Arial"/>
          <w:sz w:val="18"/>
          <w:szCs w:val="18"/>
          <w:b w:val="1"/>
          <w:bCs w:val="1"/>
          <w:color w:val="auto"/>
        </w:rPr>
        <w:t>ISDA</w:t>
      </w:r>
      <w:r>
        <w:rPr>
          <w:rFonts w:ascii="Arial" w:cs="Arial" w:eastAsia="Arial" w:hAnsi="Arial"/>
          <w:sz w:val="18"/>
          <w:szCs w:val="18"/>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8"/>
          <w:szCs w:val="18"/>
          <w:b w:val="1"/>
          <w:bCs w:val="1"/>
          <w:color w:val="auto"/>
        </w:rPr>
        <w:t>IBORs</w:t>
      </w:r>
      <w:r>
        <w:rPr>
          <w:rFonts w:ascii="Arial" w:cs="Arial" w:eastAsia="Arial" w:hAnsi="Arial"/>
          <w:sz w:val="18"/>
          <w:szCs w:val="18"/>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86" w:name="page87"/>
    <w:bookmarkEnd w:id="86"/>
    <w:p>
      <w:pPr>
        <w:jc w:val="both"/>
        <w:spacing w:after="0" w:line="273" w:lineRule="auto"/>
        <w:rPr>
          <w:sz w:val="20"/>
          <w:szCs w:val="20"/>
          <w:color w:val="auto"/>
        </w:rPr>
      </w:pPr>
      <w:r>
        <w:rPr>
          <w:rFonts w:ascii="Arial" w:cs="Arial" w:eastAsia="Arial" w:hAnsi="Arial"/>
          <w:sz w:val="17"/>
          <w:szCs w:val="17"/>
          <w:color w:val="auto"/>
        </w:rPr>
        <w:t>in that currency, or in the case of an IBOR setting, that IBOR setting becoming permanently unrepresentative, and are adjusted versions of the risk-free rates identified in each currency. It is possible, however, that any new reference rate that applies to our debt could be different from any new reference rate that applies to our derivative instruments. For discontinued currencies and tenors, we expect to continue taking steps to mitigate the changes in these benchmark rates, including by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0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Weighted Average Variable Interest Rate. </w:t>
      </w:r>
      <w:r>
        <w:rPr>
          <w:rFonts w:ascii="Arial" w:cs="Arial" w:eastAsia="Arial" w:hAnsi="Arial"/>
          <w:sz w:val="16"/>
          <w:szCs w:val="16"/>
          <w:color w:val="auto"/>
        </w:rPr>
        <w:t>At September 30, 2023, the outstanding principal amount of our variable-rate indebtedness aggregated $11.3</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and the weighted average interest rate (including margin) on such variable-rate indebtedness was approximately 6.7%,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$56.5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5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September 30, 2023:</w:t>
      </w:r>
    </w:p>
    <w:p>
      <w:pPr>
        <w:spacing w:after="0" w:line="252" w:lineRule="exact"/>
        <w:rPr>
          <w:sz w:val="20"/>
          <w:szCs w:val="20"/>
          <w:color w:val="auto"/>
        </w:rPr>
      </w:pPr>
    </w:p>
    <w:p>
      <w:pPr>
        <w:ind w:left="820" w:right="20" w:hanging="488"/>
        <w:spacing w:after="0" w:line="342" w:lineRule="auto"/>
        <w:tabs>
          <w:tab w:leader="none" w:pos="814"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U.S. dollar would have decreased (increased) the aggregate fair value of the UPC Holding cross-currency and interest rate derivative contracts by approximately €417 million ($441 million);</w:t>
      </w:r>
    </w:p>
    <w:p>
      <w:pPr>
        <w:spacing w:after="0" w:line="150" w:lineRule="exact"/>
        <w:rPr>
          <w:rFonts w:ascii="Arial" w:cs="Arial" w:eastAsia="Arial" w:hAnsi="Arial"/>
          <w:sz w:val="16"/>
          <w:szCs w:val="16"/>
          <w:color w:val="auto"/>
        </w:rPr>
      </w:pPr>
    </w:p>
    <w:p>
      <w:pPr>
        <w:ind w:left="820" w:hanging="488"/>
        <w:spacing w:after="0" w:line="342" w:lineRule="auto"/>
        <w:tabs>
          <w:tab w:leader="none" w:pos="81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euro would have decreased (increased) the aggregate fair value of the UPC Holding cross-currency and interest rate derivative contracts by approximately €245 million ($260 million); and</w:t>
      </w:r>
    </w:p>
    <w:p>
      <w:pPr>
        <w:spacing w:after="0" w:line="150" w:lineRule="exact"/>
        <w:rPr>
          <w:rFonts w:ascii="Arial" w:cs="Arial" w:eastAsia="Arial" w:hAnsi="Arial"/>
          <w:sz w:val="16"/>
          <w:szCs w:val="16"/>
          <w:color w:val="auto"/>
        </w:rPr>
      </w:pPr>
    </w:p>
    <w:p>
      <w:pPr>
        <w:ind w:left="820" w:right="20" w:hanging="488"/>
        <w:spacing w:after="0" w:line="308" w:lineRule="auto"/>
        <w:tabs>
          <w:tab w:leader="none" w:pos="8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UPC Holding cross-currency and interest rate derivative contracts by approximately €92 million ($98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September 30, 2023:</w:t>
      </w:r>
    </w:p>
    <w:p>
      <w:pPr>
        <w:spacing w:after="0" w:line="252" w:lineRule="exact"/>
        <w:rPr>
          <w:sz w:val="20"/>
          <w:szCs w:val="20"/>
          <w:color w:val="auto"/>
        </w:rPr>
      </w:pPr>
    </w:p>
    <w:p>
      <w:pPr>
        <w:ind w:left="820" w:right="20" w:hanging="488"/>
        <w:spacing w:after="0" w:line="308" w:lineRule="auto"/>
        <w:tabs>
          <w:tab w:leader="none" w:pos="814"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€292 million ($309 million); and</w:t>
      </w:r>
    </w:p>
    <w:p>
      <w:pPr>
        <w:spacing w:after="0" w:line="173" w:lineRule="exact"/>
        <w:rPr>
          <w:rFonts w:ascii="Arial" w:cs="Arial" w:eastAsia="Arial" w:hAnsi="Arial"/>
          <w:sz w:val="17"/>
          <w:szCs w:val="17"/>
          <w:color w:val="auto"/>
        </w:rPr>
      </w:pPr>
    </w:p>
    <w:p>
      <w:pPr>
        <w:ind w:left="820" w:hanging="488"/>
        <w:spacing w:after="0" w:line="277" w:lineRule="auto"/>
        <w:tabs>
          <w:tab w:leader="none" w:pos="8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increased (decreased) the aggregate fair value of the Telenet cross-currency and interest rate derivative contracts by approximately €64 million ($67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7" w:name="page88"/>
    <w:bookmarkEnd w:id="87"/>
    <w:p>
      <w:pPr>
        <w:ind w:left="340"/>
        <w:spacing w:after="0"/>
        <w:rPr>
          <w:sz w:val="20"/>
          <w:szCs w:val="20"/>
          <w:color w:val="auto"/>
        </w:rPr>
      </w:pPr>
      <w:r>
        <w:rPr>
          <w:rFonts w:ascii="Arial" w:cs="Arial" w:eastAsia="Arial" w:hAnsi="Arial"/>
          <w:sz w:val="18"/>
          <w:szCs w:val="18"/>
          <w:i w:val="1"/>
          <w:iCs w:val="1"/>
          <w:color w:val="auto"/>
        </w:rPr>
        <w:t>Vodafone Collar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Holding all other factors constant, at September 30, 2023, (i) an instantaneous increase of 10% in the per share market price of Vodafone’s ordinary shares would have decreased the fair value of the Vodafone Collar by approximately €82 million ($86 million) and (ii) an instantaneous decrease of 10% in the per market share price of Vodafone’s ordinary shares would have increased the fair value of the Vodafone Collar by approximately €81 million ($86 million).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September 30, 2023.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ind w:left="16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Remainder</w:t>
            </w:r>
          </w:p>
        </w:tc>
        <w:tc>
          <w:tcPr>
            <w:tcW w:w="200" w:type="dxa"/>
            <w:vAlign w:val="bottom"/>
          </w:tcPr>
          <w:p>
            <w:pPr>
              <w:spacing w:after="0"/>
              <w:rPr>
                <w:sz w:val="19"/>
                <w:szCs w:val="19"/>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9"/>
                <w:szCs w:val="19"/>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of 2023</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48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20"/>
              <w:spacing w:after="0" w:line="182" w:lineRule="exact"/>
              <w:rPr>
                <w:sz w:val="20"/>
                <w:szCs w:val="20"/>
                <w:color w:val="auto"/>
              </w:rPr>
            </w:pPr>
            <w:r>
              <w:rPr>
                <w:rFonts w:ascii="Arial" w:cs="Arial" w:eastAsia="Arial" w:hAnsi="Arial"/>
                <w:sz w:val="18"/>
                <w:szCs w:val="18"/>
                <w:color w:val="auto"/>
                <w:w w:val="95"/>
              </w:rPr>
              <w:t>Projected derivative cash payments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(381.5)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230"/>
        </w:trPr>
        <w:tc>
          <w:tcPr>
            <w:tcW w:w="2740" w:type="dxa"/>
            <w:vAlign w:val="bottom"/>
          </w:tcPr>
          <w:p>
            <w:pPr>
              <w:ind w:left="220"/>
              <w:spacing w:after="0"/>
              <w:rPr>
                <w:sz w:val="20"/>
                <w:szCs w:val="20"/>
                <w:color w:val="auto"/>
              </w:rPr>
            </w:pPr>
            <w:r>
              <w:rPr>
                <w:rFonts w:ascii="Arial" w:cs="Arial" w:eastAsia="Arial" w:hAnsi="Arial"/>
                <w:sz w:val="18"/>
                <w:szCs w:val="18"/>
                <w:color w:val="auto"/>
              </w:rPr>
              <w:t>Principal-related (b)</w:t>
            </w:r>
          </w:p>
        </w:tc>
        <w:tc>
          <w:tcPr>
            <w:tcW w:w="12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23"/>
        </w:trPr>
        <w:tc>
          <w:tcPr>
            <w:tcW w:w="274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1"/>
              </w:rPr>
              <w:t>(285.2)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197" w:lineRule="exact"/>
        <w:rPr>
          <w:rFonts w:ascii="Arial" w:cs="Arial" w:eastAsia="Arial" w:hAnsi="Arial"/>
          <w:sz w:val="18"/>
          <w:szCs w:val="18"/>
          <w:color w:val="auto"/>
        </w:rPr>
      </w:pPr>
    </w:p>
    <w:p>
      <w:pPr>
        <w:ind w:left="480" w:hanging="472"/>
        <w:spacing w:after="0"/>
        <w:tabs>
          <w:tab w:leader="none" w:pos="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52"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Vodafone Collar to settle the Vodafone Collar Loan.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accordance with Rule 13a-15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we carried out an evaluation, under the supervision and with the participation of management, including our chief executive officer and chief financial officer (the </w:t>
      </w:r>
      <w:r>
        <w:rPr>
          <w:rFonts w:ascii="Arial" w:cs="Arial" w:eastAsia="Arial" w:hAnsi="Arial"/>
          <w:sz w:val="16"/>
          <w:szCs w:val="16"/>
          <w:b w:val="1"/>
          <w:bCs w:val="1"/>
          <w:color w:val="auto"/>
        </w:rPr>
        <w:t>Executives</w:t>
      </w:r>
      <w:r>
        <w:rPr>
          <w:rFonts w:ascii="Arial" w:cs="Arial" w:eastAsia="Arial" w:hAnsi="Arial"/>
          <w:sz w:val="16"/>
          <w:szCs w:val="16"/>
          <w:color w:val="auto"/>
        </w:rPr>
        <w:t>), of the effectiveness of our disclosure controls and procedures as of September 30, 2023.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September 30, 2023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i w:val="1"/>
          <w:iCs w:val="1"/>
          <w:color w:val="auto"/>
        </w:rPr>
        <w:t>Issuer Purchases of Equity Securities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Total number of shares</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Total number</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0"/>
              </w:rPr>
              <w:t>Average price</w:t>
            </w:r>
          </w:p>
        </w:tc>
        <w:tc>
          <w:tcPr>
            <w:tcW w:w="17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62"/>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4"/>
              </w:rPr>
              <w:t>of shares</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publicly announced</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under the plans or</w:t>
            </w:r>
          </w:p>
        </w:tc>
        <w:tc>
          <w:tcPr>
            <w:tcW w:w="0" w:type="dxa"/>
            <w:vAlign w:val="bottom"/>
          </w:tcPr>
          <w:p>
            <w:pPr>
              <w:spacing w:after="0"/>
              <w:rPr>
                <w:sz w:val="1"/>
                <w:szCs w:val="1"/>
                <w:color w:val="auto"/>
              </w:rPr>
            </w:pPr>
          </w:p>
        </w:tc>
      </w:tr>
      <w:tr>
        <w:trPr>
          <w:trHeight w:val="213"/>
        </w:trPr>
        <w:tc>
          <w:tcPr>
            <w:tcW w:w="4820" w:type="dxa"/>
            <w:vAlign w:val="bottom"/>
            <w:gridSpan w:val="2"/>
            <w:vMerge w:val="continue"/>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paid per share (a)</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plans or programs</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131"/>
        </w:trPr>
        <w:tc>
          <w:tcPr>
            <w:tcW w:w="4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2023 through July 31, 2023:</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August 1, 2023 through August 31, 2023:</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440" w:type="dxa"/>
            <w:vAlign w:val="bottom"/>
          </w:tcPr>
          <w:p>
            <w:pPr>
              <w:jc w:val="right"/>
              <w:spacing w:after="0"/>
              <w:rPr>
                <w:sz w:val="20"/>
                <w:szCs w:val="20"/>
                <w:color w:val="auto"/>
              </w:rPr>
            </w:pPr>
            <w:r>
              <w:rPr>
                <w:rFonts w:ascii="Arial" w:cs="Arial" w:eastAsia="Arial" w:hAnsi="Arial"/>
                <w:sz w:val="18"/>
                <w:szCs w:val="18"/>
                <w:color w:val="auto"/>
              </w:rPr>
              <w:t>9,672,284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9,672,284</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2023 through September 30, 2023:</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8,220,425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Total — July 1, 2023 through September 30, 2023:</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440" w:type="dxa"/>
            <w:vAlign w:val="bottom"/>
          </w:tcPr>
          <w:p>
            <w:pPr>
              <w:jc w:val="right"/>
              <w:spacing w:after="0"/>
              <w:rPr>
                <w:sz w:val="20"/>
                <w:szCs w:val="20"/>
                <w:color w:val="auto"/>
              </w:rPr>
            </w:pPr>
            <w:r>
              <w:rPr>
                <w:rFonts w:ascii="Arial" w:cs="Arial" w:eastAsia="Arial" w:hAnsi="Arial"/>
                <w:sz w:val="18"/>
                <w:szCs w:val="18"/>
                <w:color w:val="auto"/>
              </w:rPr>
              <w:t>27,012,709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27,012,709</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w:t>
      </w:r>
    </w:p>
    <w:p>
      <w:pPr>
        <w:spacing w:after="0" w:line="252" w:lineRule="exact"/>
        <w:rPr>
          <w:sz w:val="20"/>
          <w:szCs w:val="20"/>
          <w:color w:val="auto"/>
        </w:rPr>
      </w:pPr>
    </w:p>
    <w:p>
      <w:pPr>
        <w:ind w:left="500" w:hanging="492"/>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52" w:lineRule="exact"/>
        <w:rPr>
          <w:rFonts w:ascii="Arial" w:cs="Arial" w:eastAsia="Arial" w:hAnsi="Arial"/>
          <w:sz w:val="18"/>
          <w:szCs w:val="18"/>
          <w:color w:val="auto"/>
        </w:rPr>
      </w:pPr>
    </w:p>
    <w:p>
      <w:pPr>
        <w:jc w:val="both"/>
        <w:ind w:left="500" w:hanging="492"/>
        <w:spacing w:after="0" w:line="255" w:lineRule="auto"/>
        <w:tabs>
          <w:tab w:leader="none" w:pos="49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September 30, 2023, we repurchased 13% of our total number of outstanding shares as of December 31, 2022. Our original share buyback plan for 2023 authorized the repurchase of 10% of our outstanding shares as of December 31, 2022, and this was increased to a minimum of 15% in July 2023. As of October 30, 2023, we repurchased shares for an aggregate purchase price of $1,315.4 million, representing 15% of our outstanding shares as of December 31, 2022. We are now targeting a further repurchase of shares through the end of January 2024 in the amount of approximately $300.0 million. For additional information, see note 12 to our condensed consolidated financial statements in Part I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quarter ended September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Listed below are the exhibits filed as part of this Quarterly Report (according to the number assigned to them in Item 601 of Regulation S-K):</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6400" w:type="dxa"/>
            <w:vAlign w:val="bottom"/>
            <w:gridSpan w:val="4"/>
          </w:tcPr>
          <w:p>
            <w:pPr>
              <w:ind w:left="40"/>
              <w:spacing w:after="0"/>
              <w:rPr>
                <w:sz w:val="20"/>
                <w:szCs w:val="20"/>
                <w:color w:val="auto"/>
              </w:rPr>
            </w:pPr>
            <w:r>
              <w:rPr>
                <w:rFonts w:ascii="Arial" w:cs="Arial" w:eastAsia="Arial" w:hAnsi="Arial"/>
                <w:sz w:val="18"/>
                <w:szCs w:val="18"/>
                <w:color w:val="auto"/>
              </w:rPr>
              <w:t>— Rule 13a-14(a)/15d-14(a) Certification:</w:t>
            </w:r>
          </w:p>
        </w:tc>
      </w:tr>
      <w:tr>
        <w:trPr>
          <w:trHeight w:val="243"/>
        </w:trPr>
        <w:tc>
          <w:tcPr>
            <w:tcW w:w="200" w:type="dxa"/>
            <w:vAlign w:val="bottom"/>
          </w:tcPr>
          <w:p>
            <w:pPr>
              <w:spacing w:after="0"/>
              <w:rPr>
                <w:sz w:val="21"/>
                <w:szCs w:val="21"/>
                <w:color w:val="auto"/>
              </w:rPr>
            </w:pPr>
          </w:p>
        </w:tc>
        <w:tc>
          <w:tcPr>
            <w:tcW w:w="1340" w:type="dxa"/>
            <w:vAlign w:val="bottom"/>
          </w:tcPr>
          <w:p>
            <w:pPr>
              <w:jc w:val="right"/>
              <w:ind w:right="710"/>
              <w:spacing w:after="0"/>
              <w:rPr>
                <w:sz w:val="20"/>
                <w:szCs w:val="20"/>
                <w:color w:val="auto"/>
              </w:rPr>
            </w:pPr>
            <w:r>
              <w:rPr>
                <w:rFonts w:ascii="Arial" w:cs="Arial" w:eastAsia="Arial" w:hAnsi="Arial"/>
                <w:sz w:val="18"/>
                <w:szCs w:val="18"/>
                <w:color w:val="auto"/>
              </w:rPr>
              <w:t>31.1</w:t>
            </w:r>
          </w:p>
        </w:tc>
        <w:tc>
          <w:tcPr>
            <w:tcW w:w="39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2"/>
              </w:rPr>
              <w:t>Certification of President and Chief Executive Officer*</w:t>
            </w:r>
          </w:p>
        </w:tc>
        <w:tc>
          <w:tcPr>
            <w:tcW w:w="1080" w:type="dxa"/>
            <w:vAlign w:val="bottom"/>
          </w:tcPr>
          <w:p>
            <w:pPr>
              <w:spacing w:after="0"/>
              <w:rPr>
                <w:sz w:val="21"/>
                <w:szCs w:val="21"/>
                <w:color w:val="auto"/>
              </w:rPr>
            </w:pPr>
          </w:p>
        </w:tc>
      </w:tr>
      <w:tr>
        <w:trPr>
          <w:trHeight w:val="263"/>
        </w:trPr>
        <w:tc>
          <w:tcPr>
            <w:tcW w:w="200" w:type="dxa"/>
            <w:vAlign w:val="bottom"/>
          </w:tcPr>
          <w:p>
            <w:pPr>
              <w:spacing w:after="0"/>
              <w:rPr>
                <w:sz w:val="22"/>
                <w:szCs w:val="22"/>
                <w:color w:val="auto"/>
              </w:rPr>
            </w:pPr>
          </w:p>
        </w:tc>
        <w:tc>
          <w:tcPr>
            <w:tcW w:w="1340" w:type="dxa"/>
            <w:vAlign w:val="bottom"/>
          </w:tcPr>
          <w:p>
            <w:pPr>
              <w:jc w:val="right"/>
              <w:ind w:right="710"/>
              <w:spacing w:after="0"/>
              <w:rPr>
                <w:sz w:val="20"/>
                <w:szCs w:val="20"/>
                <w:color w:val="auto"/>
              </w:rPr>
            </w:pPr>
            <w:r>
              <w:rPr>
                <w:rFonts w:ascii="Arial" w:cs="Arial" w:eastAsia="Arial" w:hAnsi="Arial"/>
                <w:sz w:val="18"/>
                <w:szCs w:val="18"/>
                <w:color w:val="auto"/>
              </w:rPr>
              <w:t>31.2</w:t>
            </w:r>
          </w:p>
        </w:tc>
        <w:tc>
          <w:tcPr>
            <w:tcW w:w="50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Executive Vice President and Chief Financial Officer*</w:t>
            </w:r>
          </w:p>
        </w:tc>
      </w:tr>
      <w:tr>
        <w:trPr>
          <w:trHeight w:val="264"/>
        </w:trPr>
        <w:tc>
          <w:tcPr>
            <w:tcW w:w="2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32</w:t>
            </w:r>
          </w:p>
        </w:tc>
        <w:tc>
          <w:tcPr>
            <w:tcW w:w="2340" w:type="dxa"/>
            <w:vAlign w:val="bottom"/>
            <w:tcBorders>
              <w:bottom w:val="single" w:sz="8" w:color="0000FF"/>
            </w:tcBorders>
            <w:gridSpan w:val="2"/>
          </w:tcPr>
          <w:p>
            <w:pPr>
              <w:ind w:left="40"/>
              <w:spacing w:after="0"/>
              <w:rPr>
                <w:sz w:val="20"/>
                <w:szCs w:val="20"/>
                <w:color w:val="auto"/>
              </w:rPr>
            </w:pPr>
            <w:r>
              <w:rPr>
                <w:rFonts w:ascii="Arial" w:cs="Arial" w:eastAsia="Arial" w:hAnsi="Arial"/>
                <w:sz w:val="18"/>
                <w:szCs w:val="18"/>
                <w:color w:val="0000FF"/>
                <w:w w:val="94"/>
              </w:rPr>
              <w:t>— Section 1350 Certification**</w:t>
            </w:r>
          </w:p>
        </w:tc>
        <w:tc>
          <w:tcPr>
            <w:tcW w:w="4060" w:type="dxa"/>
            <w:vAlign w:val="bottom"/>
            <w:gridSpan w:val="2"/>
          </w:tcPr>
          <w:p>
            <w:pPr>
              <w:spacing w:after="0"/>
              <w:rPr>
                <w:sz w:val="22"/>
                <w:szCs w:val="22"/>
                <w:color w:val="auto"/>
              </w:rPr>
            </w:pPr>
          </w:p>
        </w:tc>
      </w:tr>
      <w:tr>
        <w:trPr>
          <w:trHeight w:val="304"/>
        </w:trPr>
        <w:tc>
          <w:tcPr>
            <w:tcW w:w="15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0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5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060" w:type="dxa"/>
            <w:vAlign w:val="bottom"/>
            <w:gridSpan w:val="3"/>
          </w:tcPr>
          <w:p>
            <w:pPr>
              <w:spacing w:after="0"/>
              <w:rPr>
                <w:sz w:val="20"/>
                <w:szCs w:val="20"/>
                <w:color w:val="auto"/>
              </w:rPr>
            </w:pPr>
            <w:r>
              <w:rPr>
                <w:rFonts w:ascii="Arial" w:cs="Arial" w:eastAsia="Arial" w:hAnsi="Arial"/>
                <w:sz w:val="18"/>
                <w:szCs w:val="18"/>
                <w:color w:val="auto"/>
                <w:w w:val="94"/>
              </w:rPr>
              <w:t>Inline XBRL Taxonomy Extension Calculation Linkbase Document*</w:t>
            </w:r>
          </w:p>
        </w:tc>
      </w:tr>
      <w:tr>
        <w:trPr>
          <w:trHeight w:val="283"/>
        </w:trPr>
        <w:tc>
          <w:tcPr>
            <w:tcW w:w="15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0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83"/>
        </w:trPr>
        <w:tc>
          <w:tcPr>
            <w:tcW w:w="15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0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5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060" w:type="dxa"/>
            <w:vAlign w:val="bottom"/>
            <w:gridSpan w:val="3"/>
          </w:tcPr>
          <w:p>
            <w:pPr>
              <w:spacing w:after="0"/>
              <w:rPr>
                <w:sz w:val="20"/>
                <w:szCs w:val="20"/>
                <w:color w:val="auto"/>
              </w:rPr>
            </w:pPr>
            <w:r>
              <w:rPr>
                <w:rFonts w:ascii="Arial" w:cs="Arial" w:eastAsia="Arial" w:hAnsi="Arial"/>
                <w:sz w:val="18"/>
                <w:szCs w:val="18"/>
                <w:color w:val="auto"/>
                <w:w w:val="92"/>
              </w:rPr>
              <w:t>Inline XBRL Taxonomy Extension Presentation Linkbase Document*</w:t>
            </w:r>
          </w:p>
        </w:tc>
      </w:tr>
    </w:tbl>
    <w:p>
      <w:pPr>
        <w:spacing w:after="0" w:line="53" w:lineRule="exact"/>
        <w:rPr>
          <w:sz w:val="20"/>
          <w:szCs w:val="20"/>
          <w:color w:val="auto"/>
        </w:rPr>
      </w:pPr>
    </w:p>
    <w:p>
      <w:pPr>
        <w:ind w:left="1560" w:hanging="1534"/>
        <w:spacing w:after="0"/>
        <w:tabs>
          <w:tab w:leader="none" w:pos="1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12" w:lineRule="exact"/>
        <w:rPr>
          <w:sz w:val="20"/>
          <w:szCs w:val="20"/>
          <w:color w:val="auto"/>
        </w:rPr>
      </w:pPr>
    </w:p>
    <w:p>
      <w:pPr>
        <w:ind w:left="680" w:hanging="654"/>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80" w:hanging="654"/>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931" w:right="10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LIBERTY GLOBAL PLC</w:t>
      </w:r>
    </w:p>
    <w:p>
      <w:pPr>
        <w:spacing w:after="0" w:line="293" w:lineRule="exact"/>
        <w:rPr>
          <w:sz w:val="20"/>
          <w:szCs w:val="20"/>
          <w:color w:val="auto"/>
        </w:rPr>
      </w:pPr>
    </w:p>
    <w:p>
      <w:pPr>
        <w:ind w:left="20"/>
        <w:spacing w:after="0"/>
        <w:tabs>
          <w:tab w:leader="none" w:pos="900" w:val="left"/>
          <w:tab w:leader="none" w:pos="7060" w:val="left"/>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31,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31750</wp:posOffset>
            </wp:positionV>
            <wp:extent cx="40290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8"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Michael T. Fries</w:t>
      </w:r>
    </w:p>
    <w:p>
      <w:pPr>
        <w:jc w:val="center"/>
        <w:ind w:left="48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4" w:lineRule="exact"/>
        <w:rPr>
          <w:sz w:val="20"/>
          <w:szCs w:val="20"/>
          <w:color w:val="auto"/>
        </w:rPr>
      </w:pPr>
    </w:p>
    <w:p>
      <w:pPr>
        <w:ind w:left="20"/>
        <w:spacing w:after="0"/>
        <w:tabs>
          <w:tab w:leader="none" w:pos="900" w:val="left"/>
          <w:tab w:leader="none" w:pos="6820" w:val="left"/>
          <w:tab w:leader="none" w:pos="71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31,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31750</wp:posOffset>
            </wp:positionV>
            <wp:extent cx="40290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8"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Charles H.R. Bracken</w:t>
      </w:r>
    </w:p>
    <w:p>
      <w:pPr>
        <w:jc w:val="center"/>
        <w:ind w:left="4880"/>
        <w:spacing w:after="0" w:line="203" w:lineRule="auto"/>
        <w:rPr>
          <w:sz w:val="20"/>
          <w:szCs w:val="20"/>
          <w:color w:val="auto"/>
        </w:rPr>
      </w:pPr>
      <w:r>
        <w:rPr>
          <w:rFonts w:ascii="Arial" w:cs="Arial" w:eastAsia="Arial" w:hAnsi="Arial"/>
          <w:sz w:val="18"/>
          <w:szCs w:val="18"/>
          <w:i w:val="1"/>
          <w:iCs w:val="1"/>
          <w:color w:val="auto"/>
        </w:rPr>
        <w:t>Executive Vice President and Chief</w:t>
      </w:r>
    </w:p>
    <w:p>
      <w:pPr>
        <w:jc w:val="center"/>
        <w:ind w:left="488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93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90"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right="20" w:hanging="320"/>
        <w:spacing w:after="0" w:line="277" w:lineRule="auto"/>
        <w:tabs>
          <w:tab w:leader="none" w:pos="128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31, 2023</w:t>
      </w:r>
    </w:p>
    <w:p>
      <w:pPr>
        <w:spacing w:after="0" w:line="185"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7432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90"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328"/>
        <w:spacing w:after="0" w:line="263"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right="20" w:hanging="320"/>
        <w:spacing w:after="0" w:line="277" w:lineRule="auto"/>
        <w:tabs>
          <w:tab w:leader="none" w:pos="12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7432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Quarterly Report on Form 10-Q for the period ended September 30, 2023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September 30, 2023 and December 31, 2022, and for the three and nine months ended September 30, 2023 and 2022.</w:t>
      </w:r>
    </w:p>
    <w:p>
      <w:pPr>
        <w:spacing w:after="0" w:line="200" w:lineRule="exact"/>
        <w:rPr>
          <w:sz w:val="20"/>
          <w:szCs w:val="20"/>
          <w:color w:val="auto"/>
        </w:rPr>
      </w:pPr>
    </w:p>
    <w:p>
      <w:pPr>
        <w:spacing w:after="0" w:line="270" w:lineRule="exact"/>
        <w:rPr>
          <w:sz w:val="20"/>
          <w:szCs w:val="20"/>
          <w:color w:val="auto"/>
        </w:rPr>
      </w:pPr>
    </w:p>
    <w:p>
      <w:pPr>
        <w:ind w:left="1900"/>
        <w:spacing w:after="0"/>
        <w:tabs>
          <w:tab w:leader="none" w:pos="6200" w:val="left"/>
        </w:tabs>
        <w:rPr>
          <w:sz w:val="20"/>
          <w:szCs w:val="20"/>
          <w:color w:val="auto"/>
        </w:rPr>
      </w:pPr>
      <w:r>
        <w:rPr>
          <w:rFonts w:ascii="Arial" w:cs="Arial" w:eastAsia="Arial" w:hAnsi="Arial"/>
          <w:sz w:val="18"/>
          <w:szCs w:val="18"/>
          <w:color w:val="auto"/>
        </w:rPr>
        <w:t>Dated: October 31, 2023</w:t>
      </w:r>
      <w:r>
        <w:rPr>
          <w:sz w:val="20"/>
          <w:szCs w:val="20"/>
          <w:color w:val="auto"/>
        </w:rPr>
        <w:tab/>
      </w: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14605</wp:posOffset>
            </wp:positionV>
            <wp:extent cx="31032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00"/>
        <w:spacing w:after="0"/>
        <w:tabs>
          <w:tab w:leader="none" w:pos="6000" w:val="left"/>
        </w:tabs>
        <w:rPr>
          <w:sz w:val="20"/>
          <w:szCs w:val="20"/>
          <w:color w:val="auto"/>
        </w:rPr>
      </w:pPr>
      <w:r>
        <w:rPr>
          <w:rFonts w:ascii="Arial" w:cs="Arial" w:eastAsia="Arial" w:hAnsi="Arial"/>
          <w:sz w:val="18"/>
          <w:szCs w:val="18"/>
          <w:color w:val="auto"/>
        </w:rPr>
        <w:t>Dated: October 31, 2023</w:t>
      </w:r>
      <w:r>
        <w:rPr>
          <w:sz w:val="20"/>
          <w:szCs w:val="20"/>
          <w:color w:val="auto"/>
        </w:rPr>
        <w:tab/>
      </w:r>
      <w:r>
        <w:rPr>
          <w:rFonts w:ascii="Arial" w:cs="Arial" w:eastAsia="Arial" w:hAnsi="Arial"/>
          <w:sz w:val="16"/>
          <w:szCs w:val="16"/>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14605</wp:posOffset>
            </wp:positionV>
            <wp:extent cx="31032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Executive Vice President and Chief Financial Officer</w:t>
      </w:r>
    </w:p>
    <w:p>
      <w:pPr>
        <w:spacing w:after="0" w:line="3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decimal"/>
      <w:start w:val="2"/>
    </w:lvl>
  </w:abstractNum>
  <w:abstractNum w:abstractNumId="4">
    <w:nsid w:val="684A481A"/>
    <w:multiLevelType w:val="hybridMultilevel"/>
    <w:lvl w:ilvl="0">
      <w:lvlJc w:val="left"/>
      <w:lvlText w:val="(%1)"/>
      <w:numFmt w:val="decimal"/>
      <w:start w:val="3"/>
    </w:lvl>
  </w:abstractNum>
  <w:abstractNum w:abstractNumId="5">
    <w:nsid w:val="579478FE"/>
    <w:multiLevelType w:val="hybridMultilevel"/>
    <w:lvl w:ilvl="0">
      <w:lvlJc w:val="left"/>
      <w:lvlText w:val="(%1)"/>
      <w:numFmt w:val="decimal"/>
      <w:start w:val="4"/>
    </w:lvl>
  </w:abstractNum>
  <w:abstractNum w:abstractNumId="6">
    <w:nsid w:val="749ABB43"/>
    <w:multiLevelType w:val="hybridMultilevel"/>
    <w:lvl w:ilvl="0">
      <w:lvlJc w:val="left"/>
      <w:lvlText w:val="(%1)"/>
      <w:numFmt w:val="lowerLetter"/>
      <w:start w:val="1"/>
    </w:lvl>
  </w:abstractNum>
  <w:abstractNum w:abstractNumId="7">
    <w:nsid w:val="3DC240FB"/>
    <w:multiLevelType w:val="hybridMultilevel"/>
    <w:lvl w:ilvl="0">
      <w:lvlJc w:val="left"/>
      <w:lvlText w:val="(%1)"/>
      <w:numFmt w:val="lowerLetter"/>
      <w:start w:val="3"/>
    </w:lvl>
  </w:abstractNum>
  <w:abstractNum w:abstractNumId="8">
    <w:nsid w:val="1BA026FA"/>
    <w:multiLevelType w:val="hybridMultilevel"/>
    <w:lvl w:ilvl="0">
      <w:lvlJc w:val="left"/>
      <w:lvlText w:val="(%1)"/>
      <w:numFmt w:val="lowerLetter"/>
      <w:start w:val="1"/>
    </w:lvl>
  </w:abstractNum>
  <w:abstractNum w:abstractNumId="9">
    <w:nsid w:val="79A1DEAA"/>
    <w:multiLevelType w:val="hybridMultilevel"/>
    <w:lvl w:ilvl="0">
      <w:lvlJc w:val="left"/>
      <w:lvlText w:val="(%1)"/>
      <w:numFmt w:val="lowerLetter"/>
      <w:start w:val="1"/>
    </w:lvl>
  </w:abstractNum>
  <w:abstractNum w:abstractNumId="10">
    <w:nsid w:val="75C6C33A"/>
    <w:multiLevelType w:val="hybridMultilevel"/>
    <w:lvl w:ilvl="0">
      <w:lvlJc w:val="left"/>
      <w:lvlText w:val="(%1)"/>
      <w:numFmt w:val="lowerLetter"/>
      <w:start w:val="1"/>
    </w:lvl>
  </w:abstractNum>
  <w:abstractNum w:abstractNumId="11">
    <w:nsid w:val="12E685FB"/>
    <w:multiLevelType w:val="hybridMultilevel"/>
    <w:lvl w:ilvl="0">
      <w:lvlJc w:val="left"/>
      <w:lvlText w:val="(%1)"/>
      <w:numFmt w:val="lowerLetter"/>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1)"/>
      <w:numFmt w:val="decimal"/>
      <w:start w:val="6"/>
    </w:lvl>
  </w:abstractNum>
  <w:abstractNum w:abstractNumId="15">
    <w:nsid w:val="4F4EF005"/>
    <w:multiLevelType w:val="hybridMultilevel"/>
    <w:lvl w:ilvl="0">
      <w:lvlJc w:val="left"/>
      <w:lvlText w:val="(%1)"/>
      <w:numFmt w:val="lowerLetter"/>
      <w:start w:val="1"/>
    </w:lvl>
  </w:abstractNum>
  <w:abstractNum w:abstractNumId="16">
    <w:nsid w:val="23F9C13C"/>
    <w:multiLevelType w:val="hybridMultilevel"/>
    <w:lvl w:ilvl="0">
      <w:lvlJc w:val="left"/>
      <w:lvlText w:val="(%1)"/>
      <w:numFmt w:val="lowerLetter"/>
      <w:start w:val="1"/>
    </w:lvl>
  </w:abstractNum>
  <w:abstractNum w:abstractNumId="17">
    <w:nsid w:val="649BB77C"/>
    <w:multiLevelType w:val="hybridMultilevel"/>
    <w:lvl w:ilvl="0">
      <w:lvlJc w:val="left"/>
      <w:lvlText w:val="(%1)"/>
      <w:numFmt w:val="lowerLetter"/>
      <w:start w:val="1"/>
    </w:lvl>
  </w:abstractNum>
  <w:abstractNum w:abstractNumId="18">
    <w:nsid w:val="275AC794"/>
    <w:multiLevelType w:val="hybridMultilevel"/>
    <w:lvl w:ilvl="0">
      <w:lvlJc w:val="left"/>
      <w:lvlText w:val="(%1)"/>
      <w:numFmt w:val="lowerLetter"/>
      <w:start w:val="1"/>
    </w:lvl>
  </w:abstractNum>
  <w:abstractNum w:abstractNumId="19">
    <w:nsid w:val="39386575"/>
    <w:multiLevelType w:val="hybridMultilevel"/>
    <w:lvl w:ilvl="0">
      <w:lvlJc w:val="left"/>
      <w:lvlText w:val="(%1)"/>
      <w:numFmt w:val="decimal"/>
      <w:start w:val="7"/>
    </w:lvl>
  </w:abstractNum>
  <w:abstractNum w:abstractNumId="20">
    <w:nsid w:val="1CF10FD8"/>
    <w:multiLevelType w:val="hybridMultilevel"/>
    <w:lvl w:ilvl="0">
      <w:lvlJc w:val="left"/>
      <w:lvlText w:val="(%1)"/>
      <w:numFmt w:val="lowerLetter"/>
      <w:start w:val="1"/>
    </w:lvl>
  </w:abstractNum>
  <w:abstractNum w:abstractNumId="21">
    <w:nsid w:val="180115BE"/>
    <w:multiLevelType w:val="hybridMultilevel"/>
    <w:lvl w:ilvl="0">
      <w:lvlJc w:val="left"/>
      <w:lvlText w:val="(%1)"/>
      <w:numFmt w:val="decimal"/>
      <w:start w:val="9"/>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1)"/>
      <w:numFmt w:val="lowerLetter"/>
      <w:start w:val="2"/>
    </w:lvl>
  </w:abstractNum>
  <w:abstractNum w:abstractNumId="24">
    <w:nsid w:val="354FE9F9"/>
    <w:multiLevelType w:val="hybridMultilevel"/>
    <w:lvl w:ilvl="0">
      <w:lvlJc w:val="left"/>
      <w:lvlText w:val="(%1)"/>
      <w:numFmt w:val="lowerLetter"/>
      <w:start w:val="3"/>
    </w:lvl>
  </w:abstractNum>
  <w:abstractNum w:abstractNumId="25">
    <w:nsid w:val="15B5AF5C"/>
    <w:multiLevelType w:val="hybridMultilevel"/>
    <w:lvl w:ilvl="0">
      <w:lvlJc w:val="left"/>
      <w:lvlText w:val="(%1)"/>
      <w:numFmt w:val="lowerLetter"/>
      <w:start w:val="9"/>
    </w:lvl>
  </w:abstractNum>
  <w:abstractNum w:abstractNumId="26">
    <w:nsid w:val="741226BB"/>
    <w:multiLevelType w:val="hybridMultilevel"/>
    <w:lvl w:ilvl="0">
      <w:lvlJc w:val="left"/>
      <w:lvlText w:val="(%1)"/>
      <w:numFmt w:val="lowerLetter"/>
      <w:start w:val="1"/>
    </w:lvl>
  </w:abstractNum>
  <w:abstractNum w:abstractNumId="27">
    <w:nsid w:val="D34B6A8"/>
    <w:multiLevelType w:val="hybridMultilevel"/>
    <w:lvl w:ilvl="0">
      <w:lvlJc w:val="left"/>
      <w:lvlText w:val="(%1)"/>
      <w:numFmt w:val="decimal"/>
      <w:start w:val="10"/>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1)"/>
      <w:numFmt w:val="lowerLetter"/>
      <w:start w:val="3"/>
    </w:lvl>
  </w:abstractNum>
  <w:abstractNum w:abstractNumId="30">
    <w:nsid w:val="61574095"/>
    <w:multiLevelType w:val="hybridMultilevel"/>
    <w:lvl w:ilvl="0">
      <w:lvlJc w:val="left"/>
      <w:lvlText w:val="(%1)"/>
      <w:numFmt w:val="lowerLetter"/>
      <w:start w:val="1"/>
    </w:lvl>
  </w:abstractNum>
  <w:abstractNum w:abstractNumId="31">
    <w:nsid w:val="7E0C57B1"/>
    <w:multiLevelType w:val="hybridMultilevel"/>
    <w:lvl w:ilvl="0">
      <w:lvlJc w:val="left"/>
      <w:lvlText w:val="(%1)"/>
      <w:numFmt w:val="decimal"/>
      <w:start w:val="11"/>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1)"/>
      <w:numFmt w:val="decimal"/>
      <w:start w:val="12"/>
    </w:lvl>
  </w:abstractNum>
  <w:abstractNum w:abstractNumId="34">
    <w:nsid w:val="310C50B3"/>
    <w:multiLevelType w:val="hybridMultilevel"/>
    <w:lvl w:ilvl="0">
      <w:lvlJc w:val="left"/>
      <w:lvlText w:val="(%1)"/>
      <w:numFmt w:val="decimal"/>
      <w:start w:val="13"/>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1)"/>
      <w:numFmt w:val="lowerLetter"/>
      <w:start w:val="1"/>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decimal"/>
      <w:start w:val="14"/>
    </w:lvl>
  </w:abstractNum>
  <w:abstractNum w:abstractNumId="39">
    <w:nsid w:val="4AD084E9"/>
    <w:multiLevelType w:val="hybridMultilevel"/>
    <w:lvl w:ilvl="0">
      <w:lvlJc w:val="left"/>
      <w:lvlText w:val="(%1)"/>
      <w:numFmt w:val="decimal"/>
      <w:start w:val="15"/>
    </w:lvl>
  </w:abstractNum>
  <w:abstractNum w:abstractNumId="40">
    <w:nsid w:val="1F48EAA1"/>
    <w:multiLevelType w:val="hybridMultilevel"/>
    <w:lvl w:ilvl="0">
      <w:lvlJc w:val="left"/>
      <w:lvlText w:val="(%1)"/>
      <w:numFmt w:val="decimal"/>
      <w:start w:val="16"/>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lowerLetter"/>
      <w:start w:val="1"/>
    </w:lvl>
  </w:abstractNum>
  <w:abstractNum w:abstractNumId="44">
    <w:nsid w:val="6590700B"/>
    <w:multiLevelType w:val="hybridMultilevel"/>
    <w:lvl w:ilvl="0">
      <w:lvlJc w:val="left"/>
      <w:lvlText w:val="(%1)"/>
      <w:numFmt w:val="lowerLetter"/>
      <w:start w:val="1"/>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lowerLetter"/>
      <w:start w:val="1"/>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lowerLetter"/>
      <w:start w:val="5"/>
    </w:lvl>
  </w:abstractNum>
  <w:abstractNum w:abstractNumId="49">
    <w:nsid w:val="6B94764"/>
    <w:multiLevelType w:val="hybridMultilevel"/>
    <w:lvl w:ilvl="0">
      <w:lvlJc w:val="left"/>
      <w:lvlText w:val="(%1)"/>
      <w:numFmt w:val="lowerLetter"/>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1)"/>
      <w:numFmt w:val="lowerRoman"/>
      <w:start w:val="1"/>
    </w:lvl>
  </w:abstractNum>
  <w:abstractNum w:abstractNumId="55">
    <w:nsid w:val="540A471C"/>
    <w:multiLevelType w:val="hybridMultilevel"/>
    <w:lvl w:ilvl="0">
      <w:lvlJc w:val="left"/>
      <w:lvlText w:val="(%1)"/>
      <w:numFmt w:val="lowerLetter"/>
      <w:start w:val="1"/>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lowerLetter"/>
      <w:start w:val="5"/>
    </w:lvl>
  </w:abstractNum>
  <w:abstractNum w:abstractNumId="62">
    <w:nsid w:val="A0382C5"/>
    <w:multiLevelType w:val="hybridMultilevel"/>
    <w:lvl w:ilvl="0">
      <w:lvlJc w:val="left"/>
      <w:lvlText w:val="(%1)"/>
      <w:numFmt w:val="lowerLetter"/>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1)"/>
      <w:numFmt w:val="lowerLetter"/>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lowerLetter"/>
      <w:start w:val="1"/>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lowerLetter"/>
      <w:start w:val="1"/>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decimal"/>
      <w:start w:val="3"/>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lowerLetter"/>
      <w:start w:val="2"/>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Roman"/>
      <w:start w:val="4"/>
    </w:lvl>
  </w:abstractNum>
  <w:abstractNum w:abstractNumId="82">
    <w:nsid w:val="1716703B"/>
    <w:multiLevelType w:val="hybridMultilevel"/>
    <w:lvl w:ilvl="0">
      <w:lvlJc w:val="left"/>
      <w:lvlText w:val="(%1)"/>
      <w:numFmt w:val="lowerLetter"/>
      <w:start w:val="3"/>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1)"/>
      <w:numFmt w:val="lowerRoman"/>
      <w:start w:val="1"/>
    </w:lvl>
  </w:abstractNum>
  <w:abstractNum w:abstractNumId="85">
    <w:nsid w:val="74DE0EE3"/>
    <w:multiLevelType w:val="hybridMultilevel"/>
    <w:lvl w:ilvl="0">
      <w:lvlJc w:val="left"/>
      <w:lvlText w:val="(%1)"/>
      <w:numFmt w:val="lowerRoman"/>
      <w:start w:val="1"/>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decimal"/>
      <w:start w:val="104"/>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2023-10-31T15:42:12Z</dcterms:created>
  <dcterms:modified xsi:type="dcterms:W3CDTF">2023-10-31T15:42:12Z</dcterms:modified>
</cp:coreProperties>
</file>