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color w:val="000000"/>
          <w:sz w:val="24"/>
        </w:rPr>
      </w:pPr>
      <w:r>
        <w:rPr>
          <w:rFonts w:ascii="Times New Roman;sans-serif" w:hAnsi="Times New Roman;sans-serif"/>
          <w:b/>
          <w:color w:val="000000"/>
          <w:sz w:val="24"/>
        </w:rPr>
        <w:t>UNITED STATES 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2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536"/>
        <w:gridCol w:w="1520"/>
        <w:gridCol w:w="1520"/>
        <w:gridCol w:w="1599"/>
        <w:gridCol w:w="1520"/>
        <w:gridCol w:w="2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3"/>
            <w:tcBorders/>
            <w:tcMar>
              <w:top w:w="0" w:type="dxa"/>
              <w:left w:w="0" w:type="dxa"/>
              <w:bottom w:w="0" w:type="dxa"/>
              <w:right w:w="0" w:type="dxa"/>
            </w:tcMar>
            <w:vAlign w:val="center"/>
          </w:tcPr>
          <w:p>
            <w:pPr>
              <w:pStyle w:val="TableContents"/>
              <w:bidi w:val="0"/>
              <w:spacing w:lineRule="auto" w:line="240" w:before="100" w:after="283"/>
              <w:jc w:val="right"/>
              <w:rPr>
                <w:rFonts w:ascii="Times New Roman;sans-serif" w:hAnsi="Times New Roman;sans-serif"/>
                <w:b/>
                <w:color w:val="000000"/>
                <w:sz w:val="18"/>
              </w:rPr>
            </w:pPr>
            <w:r>
              <w:rPr>
                <w:rFonts w:ascii="Times New Roman;sans-serif" w:hAnsi="Times New Roman;sans-serif"/>
                <w:b/>
                <w:color w:val="000000"/>
                <w:sz w:val="18"/>
              </w:rPr>
              <w:t>For the quarterly period ended</w:t>
            </w:r>
          </w:p>
        </w:tc>
        <w:tc>
          <w:tcPr>
            <w:tcW w:w="5287"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r>
    </w:tbl>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60"/>
        <w:gridCol w:w="2858"/>
        <w:gridCol w:w="4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color w:val="000000"/>
                <w:sz w:val="18"/>
              </w:rPr>
            </w:pPr>
            <w:r>
              <w:rPr>
                <w:rFonts w:ascii="Times New Roman;sans-serif" w:hAnsi="Times New Roman;sans-serif"/>
                <w:b/>
                <w:color w:val="000000"/>
                <w:sz w:val="18"/>
              </w:rPr>
              <w:t>For the transition period from                     to                    </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001-35961 </w:t>
      </w:r>
    </w:p>
    <w:p>
      <w:pPr>
        <w:pStyle w:val="TextBody"/>
        <w:bidi w:val="0"/>
        <w:spacing w:before="60" w:after="283"/>
        <w:jc w:val="center"/>
        <w:rPr/>
      </w:pPr>
      <w:r>
        <w:rPr/>
        <w:drawing>
          <wp:inline distT="0" distB="0" distL="0" distR="0">
            <wp:extent cx="7715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1525" cy="771525"/>
                    </a:xfrm>
                    <a:prstGeom prst="rect">
                      <a:avLst/>
                    </a:prstGeom>
                  </pic:spPr>
                </pic:pic>
              </a:graphicData>
            </a:graphic>
          </wp:inline>
        </w:drawing>
      </w:r>
    </w:p>
    <w:p>
      <w:pPr>
        <w:pStyle w:val="TextBody"/>
        <w:bidi w:val="0"/>
        <w:spacing w:lineRule="auto" w:line="288" w:before="40" w:after="283"/>
        <w:jc w:val="center"/>
        <w:rPr/>
      </w:pPr>
      <w:r>
        <w:rPr>
          <w:rFonts w:ascii="Times New Roman;sans-serif" w:hAnsi="Times New Roman;sans-serif"/>
          <w:b/>
          <w:color w:val="000000"/>
          <w:sz w:val="28"/>
        </w:rPr>
        <w:t>Liberty Global Ltd.</w:t>
      </w:r>
      <w:r>
        <w:rPr>
          <w:color w:val="000000"/>
        </w:rPr>
        <w:t xml:space="preserve"> </w:t>
      </w:r>
    </w:p>
    <w:p>
      <w:pPr>
        <w:pStyle w:val="TextBody"/>
        <w:bidi w:val="0"/>
        <w:spacing w:lineRule="auto" w:line="288" w:before="4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3612" w:type="dxa"/>
        <w:jc w:val="center"/>
        <w:tblInd w:w="0" w:type="dxa"/>
        <w:tblLayout w:type="fixed"/>
        <w:tblCellMar>
          <w:top w:w="28" w:type="dxa"/>
          <w:left w:w="28" w:type="dxa"/>
          <w:bottom w:w="28" w:type="dxa"/>
          <w:right w:w="28" w:type="dxa"/>
        </w:tblCellMar>
      </w:tblPr>
      <w:tblGrid>
        <w:gridCol w:w="726"/>
        <w:gridCol w:w="638"/>
        <w:gridCol w:w="646"/>
        <w:gridCol w:w="109"/>
        <w:gridCol w:w="109"/>
        <w:gridCol w:w="109"/>
        <w:gridCol w:w="373"/>
        <w:gridCol w:w="373"/>
        <w:gridCol w:w="529"/>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Bermuda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98-1750381</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5"/>
              </w:rPr>
            </w:pPr>
            <w:r>
              <w:rPr>
                <w:rFonts w:ascii="Times New Roman;sans-serif" w:hAnsi="Times New Roman;sans-serif"/>
                <w:b w:val="false"/>
                <w:i/>
                <w:color w:val="000000"/>
                <w:sz w:val="15"/>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5"/>
              </w:rPr>
            </w:pPr>
            <w:r>
              <w:rPr>
                <w:rFonts w:ascii="Times New Roman;sans-serif" w:hAnsi="Times New Roman;sans-serif"/>
                <w:b w:val="false"/>
                <w:i/>
                <w:color w:val="000000"/>
                <w:sz w:val="15"/>
              </w:rPr>
              <w:t>(I.R.S. Employer</w:t>
              <w:br/>
              <w:t>Identification No.)</w:t>
            </w:r>
          </w:p>
        </w:tc>
      </w:tr>
    </w:tbl>
    <w:p>
      <w:pPr>
        <w:pStyle w:val="TextBody"/>
        <w:bidi w:val="0"/>
        <w:spacing w:lineRule="auto" w:line="288" w:before="100" w:after="283"/>
        <w:jc w:val="center"/>
        <w:rPr>
          <w:rFonts w:ascii="Times New Roman;sans-serif" w:hAnsi="Times New Roman;sans-serif"/>
          <w:b/>
          <w:color w:val="000000"/>
          <w:sz w:val="18"/>
        </w:rPr>
      </w:pPr>
      <w:r>
        <w:rPr>
          <w:rFonts w:ascii="Times New Roman;sans-serif" w:hAnsi="Times New Roman;sans-serif"/>
          <w:b/>
          <w:color w:val="000000"/>
          <w:sz w:val="18"/>
        </w:rPr>
        <w:t>Clarendon House, 2 Church Street, Hamilton HM 11, Bermuda</w:t>
      </w:r>
    </w:p>
    <w:p>
      <w:pPr>
        <w:pStyle w:val="TextBody"/>
        <w:bidi w:val="0"/>
        <w:spacing w:lineRule="auto" w:line="288" w:before="10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w:t>
      </w:r>
    </w:p>
    <w:p>
      <w:pPr>
        <w:pStyle w:val="TextBody"/>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+1.303.220.6600</w:t>
      </w:r>
    </w:p>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6883" w:type="dxa"/>
        <w:jc w:val="center"/>
        <w:tblInd w:w="0" w:type="dxa"/>
        <w:tblLayout w:type="fixed"/>
        <w:tblCellMar>
          <w:top w:w="28" w:type="dxa"/>
          <w:left w:w="28" w:type="dxa"/>
          <w:bottom w:w="28" w:type="dxa"/>
          <w:right w:w="28" w:type="dxa"/>
        </w:tblCellMar>
      </w:tblPr>
      <w:tblGrid>
        <w:gridCol w:w="667"/>
        <w:gridCol w:w="587"/>
        <w:gridCol w:w="591"/>
        <w:gridCol w:w="519"/>
        <w:gridCol w:w="519"/>
        <w:gridCol w:w="521"/>
        <w:gridCol w:w="1019"/>
        <w:gridCol w:w="1019"/>
        <w:gridCol w:w="14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LBTYA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LBTYB</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C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LBTYK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180" w:after="283"/>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100" w:after="283"/>
        <w:jc w:val="left"/>
        <w:rPr/>
      </w:pPr>
      <w:r>
        <w:rPr/>
      </w:r>
    </w:p>
    <w:p>
      <w:pPr>
        <w:pStyle w:val="TextBody"/>
        <w:bidi w:val="0"/>
        <w:spacing w:lineRule="auto" w:line="288" w:before="100" w:after="283"/>
        <w:jc w:val="center"/>
        <w:rPr/>
      </w:pPr>
      <w:r>
        <w:rPr>
          <w:rFonts w:ascii="Times New Roman;sans-serif" w:hAnsi="Times New Roman;sans-serif"/>
          <w:b w:val="false"/>
          <w:color w:val="000000"/>
          <w:sz w:val="18"/>
        </w:rPr>
        <w:t>Large Accelerated Filer  </w:t>
      </w:r>
      <w:r>
        <w:rPr>
          <w:color w:val="000000"/>
        </w:rPr>
        <w:t xml:space="preserve">☑ </w:t>
      </w:r>
      <w:r>
        <w:rPr>
          <w:rFonts w:ascii="Times New Roman;sans-serif" w:hAnsi="Times New Roman;sans-serif"/>
          <w:b w:val="false"/>
          <w:color w:val="000000"/>
          <w:sz w:val="18"/>
        </w:rPr>
        <w:t xml:space="preserve">Accelerated Filer </w:t>
      </w:r>
      <w:r>
        <w:rPr>
          <w:color w:val="000000"/>
        </w:rPr>
        <w:t>☐  </w:t>
      </w:r>
      <w:r>
        <w:rPr>
          <w:rFonts w:ascii="Times New Roman;sans-serif" w:hAnsi="Times New Roman;sans-serif"/>
          <w:b w:val="false"/>
          <w:color w:val="000000"/>
          <w:sz w:val="18"/>
        </w:rPr>
        <w:t>Non-Accelerated Filer </w:t>
      </w:r>
      <w:r>
        <w:rPr>
          <w:color w:val="000000"/>
        </w:rPr>
        <w:t>☐  </w:t>
      </w:r>
    </w:p>
    <w:p>
      <w:pPr>
        <w:pStyle w:val="TextBody"/>
        <w:bidi w:val="0"/>
        <w:spacing w:lineRule="auto" w:line="288" w:before="100" w:after="283"/>
        <w:jc w:val="center"/>
        <w:rPr/>
      </w:pPr>
      <w:r>
        <w:rPr>
          <w:rFonts w:ascii="Times New Roman;sans-serif" w:hAnsi="Times New Roman;sans-serif"/>
          <w:b w:val="false"/>
          <w:color w:val="000000"/>
          <w:sz w:val="18"/>
        </w:rPr>
        <w:t>Smaller Reporting Company </w:t>
      </w:r>
      <w:r>
        <w:rPr>
          <w:color w:val="000000"/>
        </w:rPr>
        <w:t xml:space="preserve">☐ </w:t>
      </w:r>
      <w:r>
        <w:rPr>
          <w:rFonts w:ascii="Times New Roman;sans-serif" w:hAnsi="Times New Roman;sans-serif"/>
          <w:b w:val="false"/>
          <w:color w:val="000000"/>
          <w:sz w:val="18"/>
        </w:rPr>
        <w:t>Emerging Growth Company  </w:t>
      </w:r>
      <w:r>
        <w:rPr>
          <w:color w:val="000000"/>
        </w:rPr>
        <w:t xml:space="preserve">☐ </w:t>
      </w:r>
    </w:p>
    <w:p>
      <w:pPr>
        <w:pStyle w:val="TextBody"/>
        <w:bidi w:val="0"/>
        <w:spacing w:before="100" w:after="283"/>
        <w:jc w:val="center"/>
        <w:rPr/>
      </w:pPr>
      <w:r>
        <w:rPr/>
      </w:r>
    </w:p>
    <w:p>
      <w:pPr>
        <w:pStyle w:val="TextBody"/>
        <w:bidi w:val="0"/>
        <w:spacing w:lineRule="auto" w:line="288" w:before="100" w:after="283"/>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The number of outstanding common shares of Liberty Global Ltd. as of October 22, 2024</w:t>
      </w:r>
      <w:r>
        <w:rPr>
          <w:color w:val="000000"/>
        </w:rPr>
        <w:t xml:space="preserve"> </w:t>
      </w:r>
      <w:r>
        <w:rPr>
          <w:rFonts w:ascii="Times New Roman;sans-serif" w:hAnsi="Times New Roman;sans-serif"/>
          <w:b w:val="false"/>
          <w:color w:val="000000"/>
          <w:sz w:val="18"/>
        </w:rPr>
        <w:t>was: 172,871,879 class A common shares, 12,988,658</w:t>
      </w:r>
      <w:r>
        <w:rPr>
          <w:color w:val="000000"/>
        </w:rPr>
        <w:t xml:space="preserve"> </w:t>
      </w:r>
      <w:r>
        <w:rPr>
          <w:rFonts w:ascii="Times New Roman;sans-serif" w:hAnsi="Times New Roman;sans-serif"/>
          <w:b w:val="false"/>
          <w:color w:val="000000"/>
          <w:sz w:val="18"/>
        </w:rPr>
        <w:t>class B common shares and 171,683,938 class C common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2"/>
        <w:gridCol w:w="230"/>
        <w:gridCol w:w="233"/>
        <w:gridCol w:w="2899"/>
        <w:gridCol w:w="2889"/>
        <w:gridCol w:w="2893"/>
        <w:gridCol w:w="233"/>
        <w:gridCol w:w="233"/>
        <w:gridCol w:w="333"/>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br/>
              <w:t>Number</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8ecd067a3d64811872c7a36c50b9e2b_10">
              <w:r>
                <w:rPr>
                  <w:rStyle w:val="InternetLink"/>
                  <w:rFonts w:ascii="Times New Roman;sans-serif" w:hAnsi="Times New Roman;sans-serif"/>
                  <w:b w:val="false"/>
                  <w:color w:val="000080"/>
                  <w:sz w:val="20"/>
                  <w:u w:val="single"/>
                </w:rPr>
                <w:t xml:space="preserve">Condensed Consolidated Balance Sheets as of </w:t>
              </w:r>
            </w:hyperlink>
            <w:hyperlink w:anchor="ie8ecd067a3d64811872c7a36c50b9e2b_10">
              <w:r>
                <w:rPr>
                  <w:rStyle w:val="InternetLink"/>
                  <w:rFonts w:ascii="Times New Roman;sans-serif" w:hAnsi="Times New Roman;sans-serif"/>
                  <w:b w:val="false"/>
                  <w:color w:val="000080"/>
                  <w:sz w:val="20"/>
                  <w:u w:val="single"/>
                </w:rPr>
                <w:t>September</w:t>
              </w:r>
            </w:hyperlink>
            <w:hyperlink w:anchor="ie8ecd067a3d64811872c7a36c50b9e2b_10">
              <w:r>
                <w:rPr>
                  <w:rStyle w:val="InternetLink"/>
                  <w:rFonts w:ascii="Times New Roman;sans-serif" w:hAnsi="Times New Roman;sans-serif"/>
                  <w:b w:val="false"/>
                  <w:color w:val="000080"/>
                  <w:sz w:val="20"/>
                  <w:u w:val="single"/>
                </w:rPr>
                <w:t xml:space="preserve"> 30, 2024 and December 31, 2023 (unaudited)</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cd067a3d64811872c7a36c50b9e2b_10">
              <w:r>
                <w:rPr>
                  <w:rStyle w:val="InternetLink"/>
                  <w:rFonts w:ascii="Times New Roman;sans-serif" w:hAnsi="Times New Roman;sans-serif"/>
                  <w:b w:val="false"/>
                  <w:color w:val="0000FF"/>
                  <w:sz w:val="20"/>
                  <w:u w:val="single"/>
                </w:rPr>
                <w:t>1</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8ecd067a3d64811872c7a36c50b9e2b_13">
              <w:r>
                <w:rPr>
                  <w:rStyle w:val="InternetLink"/>
                  <w:rFonts w:ascii="Times New Roman;sans-serif" w:hAnsi="Times New Roman;sans-serif"/>
                  <w:b w:val="false"/>
                  <w:color w:val="000080"/>
                  <w:sz w:val="20"/>
                  <w:u w:val="single"/>
                </w:rPr>
                <w:t xml:space="preserve">Condensed Consolidated Statements of Operations for the Three and </w:t>
              </w:r>
            </w:hyperlink>
            <w:hyperlink w:anchor="ie8ecd067a3d64811872c7a36c50b9e2b_13">
              <w:r>
                <w:rPr>
                  <w:rStyle w:val="InternetLink"/>
                  <w:rFonts w:ascii="Times New Roman;sans-serif" w:hAnsi="Times New Roman;sans-serif"/>
                  <w:b w:val="false"/>
                  <w:color w:val="000080"/>
                  <w:sz w:val="20"/>
                  <w:u w:val="single"/>
                </w:rPr>
                <w:t>Nine</w:t>
              </w:r>
            </w:hyperlink>
            <w:hyperlink w:anchor="ie8ecd067a3d64811872c7a36c50b9e2b_13">
              <w:r>
                <w:rPr>
                  <w:rStyle w:val="InternetLink"/>
                  <w:rFonts w:ascii="Times New Roman;sans-serif" w:hAnsi="Times New Roman;sans-serif"/>
                  <w:b w:val="false"/>
                  <w:color w:val="000080"/>
                  <w:sz w:val="20"/>
                  <w:u w:val="single"/>
                </w:rPr>
                <w:t xml:space="preserve"> Months Ended </w:t>
              </w:r>
            </w:hyperlink>
            <w:hyperlink w:anchor="ie8ecd067a3d64811872c7a36c50b9e2b_13">
              <w:r>
                <w:rPr>
                  <w:rStyle w:val="InternetLink"/>
                  <w:rFonts w:ascii="Times New Roman;sans-serif" w:hAnsi="Times New Roman;sans-serif"/>
                  <w:b w:val="false"/>
                  <w:color w:val="000080"/>
                  <w:sz w:val="20"/>
                  <w:u w:val="single"/>
                </w:rPr>
                <w:t>September</w:t>
              </w:r>
            </w:hyperlink>
            <w:hyperlink w:anchor="ie8ecd067a3d64811872c7a36c50b9e2b_13">
              <w:r>
                <w:rPr>
                  <w:rStyle w:val="InternetLink"/>
                  <w:rFonts w:ascii="Times New Roman;sans-serif" w:hAnsi="Times New Roman;sans-serif"/>
                  <w:b w:val="false"/>
                  <w:color w:val="000080"/>
                  <w:sz w:val="20"/>
                  <w:u w:val="single"/>
                </w:rPr>
                <w:t xml:space="preserve"> 30, 2024 and 2023 (unaudited)</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cd067a3d64811872c7a36c50b9e2b_13">
              <w:r>
                <w:rPr>
                  <w:rStyle w:val="InternetLink"/>
                  <w:rFonts w:ascii="Times New Roman;sans-serif" w:hAnsi="Times New Roman;sans-serif"/>
                  <w:b w:val="false"/>
                  <w:color w:val="0000FF"/>
                  <w:sz w:val="20"/>
                  <w:u w:val="single"/>
                </w:rPr>
                <w:t>3</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Condensed Consolidated Statements of Comprehensive Earnings (Loss) for the Three and Nine Months Ended September 30, 2024 and 2023 (unaudited)</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cd067a3d64811872c7a36c50b9e2b_2016">
              <w:r>
                <w:rPr>
                  <w:rStyle w:val="InternetLink"/>
                  <w:rFonts w:ascii="Times New Roman;sans-serif" w:hAnsi="Times New Roman;sans-serif"/>
                  <w:b w:val="false"/>
                  <w:color w:val="0000FF"/>
                  <w:sz w:val="20"/>
                  <w:u w:val="single"/>
                </w:rPr>
                <w:t>4</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8ecd067a3d64811872c7a36c50b9e2b_22">
              <w:r>
                <w:rPr>
                  <w:rStyle w:val="InternetLink"/>
                  <w:rFonts w:ascii="Times New Roman;sans-serif" w:hAnsi="Times New Roman;sans-serif"/>
                  <w:b w:val="false"/>
                  <w:color w:val="000080"/>
                  <w:sz w:val="20"/>
                  <w:u w:val="single"/>
                </w:rPr>
                <w:t xml:space="preserve">Condensed Consolidated Statements of Equity for the Three and </w:t>
              </w:r>
            </w:hyperlink>
            <w:hyperlink w:anchor="ie8ecd067a3d64811872c7a36c50b9e2b_22">
              <w:r>
                <w:rPr>
                  <w:rStyle w:val="InternetLink"/>
                  <w:rFonts w:ascii="Times New Roman;sans-serif" w:hAnsi="Times New Roman;sans-serif"/>
                  <w:b w:val="false"/>
                  <w:color w:val="000080"/>
                  <w:sz w:val="20"/>
                  <w:u w:val="single"/>
                </w:rPr>
                <w:t>Nine</w:t>
              </w:r>
            </w:hyperlink>
            <w:hyperlink w:anchor="ie8ecd067a3d64811872c7a36c50b9e2b_22">
              <w:r>
                <w:rPr>
                  <w:rStyle w:val="InternetLink"/>
                  <w:rFonts w:ascii="Times New Roman;sans-serif" w:hAnsi="Times New Roman;sans-serif"/>
                  <w:b w:val="false"/>
                  <w:color w:val="000080"/>
                  <w:sz w:val="20"/>
                  <w:u w:val="single"/>
                </w:rPr>
                <w:t xml:space="preserve"> Months Ended </w:t>
              </w:r>
            </w:hyperlink>
            <w:hyperlink w:anchor="ie8ecd067a3d64811872c7a36c50b9e2b_22">
              <w:r>
                <w:rPr>
                  <w:rStyle w:val="InternetLink"/>
                  <w:rFonts w:ascii="Times New Roman;sans-serif" w:hAnsi="Times New Roman;sans-serif"/>
                  <w:b w:val="false"/>
                  <w:color w:val="000080"/>
                  <w:sz w:val="20"/>
                  <w:u w:val="single"/>
                </w:rPr>
                <w:t>September</w:t>
              </w:r>
            </w:hyperlink>
            <w:hyperlink w:anchor="ie8ecd067a3d64811872c7a36c50b9e2b_22">
              <w:r>
                <w:rPr>
                  <w:rStyle w:val="InternetLink"/>
                  <w:rFonts w:ascii="Times New Roman;sans-serif" w:hAnsi="Times New Roman;sans-serif"/>
                  <w:b w:val="false"/>
                  <w:color w:val="000080"/>
                  <w:sz w:val="20"/>
                  <w:u w:val="single"/>
                </w:rPr>
                <w:t xml:space="preserve"> 30, 2024 and 2023 (unaudited)</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cd067a3d64811872c7a36c50b9e2b_22">
              <w:r>
                <w:rPr>
                  <w:rStyle w:val="InternetLink"/>
                  <w:rFonts w:ascii="Times New Roman;sans-serif" w:hAnsi="Times New Roman;sans-serif"/>
                  <w:b w:val="false"/>
                  <w:color w:val="0000FF"/>
                  <w:sz w:val="20"/>
                  <w:u w:val="single"/>
                </w:rPr>
                <w:t>5</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8ecd067a3d64811872c7a36c50b9e2b_25">
              <w:r>
                <w:rPr>
                  <w:rStyle w:val="InternetLink"/>
                  <w:rFonts w:ascii="Times New Roman;sans-serif" w:hAnsi="Times New Roman;sans-serif"/>
                  <w:b w:val="false"/>
                  <w:color w:val="000080"/>
                  <w:sz w:val="20"/>
                  <w:u w:val="single"/>
                </w:rPr>
                <w:t xml:space="preserve">Condensed Consolidated Statements of Cash Flows for the </w:t>
              </w:r>
            </w:hyperlink>
            <w:hyperlink w:anchor="ie8ecd067a3d64811872c7a36c50b9e2b_25">
              <w:r>
                <w:rPr>
                  <w:rStyle w:val="InternetLink"/>
                  <w:rFonts w:ascii="Times New Roman;sans-serif" w:hAnsi="Times New Roman;sans-serif"/>
                  <w:b w:val="false"/>
                  <w:color w:val="000080"/>
                  <w:sz w:val="20"/>
                  <w:u w:val="single"/>
                </w:rPr>
                <w:t>Nine</w:t>
              </w:r>
            </w:hyperlink>
            <w:hyperlink w:anchor="ie8ecd067a3d64811872c7a36c50b9e2b_25">
              <w:r>
                <w:rPr>
                  <w:rStyle w:val="InternetLink"/>
                  <w:rFonts w:ascii="Times New Roman;sans-serif" w:hAnsi="Times New Roman;sans-serif"/>
                  <w:b w:val="false"/>
                  <w:color w:val="000080"/>
                  <w:sz w:val="20"/>
                  <w:u w:val="single"/>
                </w:rPr>
                <w:t xml:space="preserve"> Months Ended </w:t>
              </w:r>
            </w:hyperlink>
            <w:hyperlink w:anchor="ie8ecd067a3d64811872c7a36c50b9e2b_25">
              <w:r>
                <w:rPr>
                  <w:rStyle w:val="InternetLink"/>
                  <w:rFonts w:ascii="Times New Roman;sans-serif" w:hAnsi="Times New Roman;sans-serif"/>
                  <w:b w:val="false"/>
                  <w:color w:val="000080"/>
                  <w:sz w:val="20"/>
                  <w:u w:val="single"/>
                </w:rPr>
                <w:t>Sept</w:t>
              </w:r>
            </w:hyperlink>
            <w:hyperlink w:anchor="ie8ecd067a3d64811872c7a36c50b9e2b_25">
              <w:r>
                <w:rPr>
                  <w:rStyle w:val="InternetLink"/>
                  <w:rFonts w:ascii="Times New Roman;sans-serif" w:hAnsi="Times New Roman;sans-serif"/>
                  <w:b w:val="false"/>
                  <w:color w:val="000080"/>
                  <w:sz w:val="20"/>
                  <w:u w:val="single"/>
                </w:rPr>
                <w:t>ember</w:t>
              </w:r>
            </w:hyperlink>
            <w:hyperlink w:anchor="ie8ecd067a3d64811872c7a36c50b9e2b_25">
              <w:r>
                <w:rPr>
                  <w:rStyle w:val="InternetLink"/>
                  <w:rFonts w:ascii="Times New Roman;sans-serif" w:hAnsi="Times New Roman;sans-serif"/>
                  <w:b w:val="false"/>
                  <w:color w:val="000080"/>
                  <w:sz w:val="20"/>
                  <w:u w:val="single"/>
                </w:rPr>
                <w:t xml:space="preserve"> 30, 2024 and 2023 (unaudited)</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cd067a3d64811872c7a36c50b9e2b_25">
              <w:r>
                <w:rPr>
                  <w:rStyle w:val="InternetLink"/>
                  <w:rFonts w:ascii="Times New Roman;sans-serif" w:hAnsi="Times New Roman;sans-serif"/>
                  <w:b w:val="false"/>
                  <w:color w:val="0000FF"/>
                  <w:sz w:val="20"/>
                  <w:u w:val="single"/>
                </w:rPr>
                <w:t>7</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cd067a3d64811872c7a36c50b9e2b_31">
              <w:r>
                <w:rPr>
                  <w:rStyle w:val="InternetLink"/>
                  <w:rFonts w:ascii="Times New Roman;sans-serif" w:hAnsi="Times New Roman;sans-serif"/>
                  <w:b w:val="false"/>
                  <w:color w:val="0000FF"/>
                  <w:sz w:val="20"/>
                  <w:u w:val="single"/>
                </w:rPr>
                <w:t>Notes to Condensed Consolidated Financial Statements (unaudited)</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cd067a3d64811872c7a36c50b9e2b_31">
              <w:r>
                <w:rPr>
                  <w:rStyle w:val="InternetLink"/>
                  <w:rFonts w:ascii="Times New Roman;sans-serif" w:hAnsi="Times New Roman;sans-serif"/>
                  <w:b w:val="false"/>
                  <w:color w:val="0000FF"/>
                  <w:sz w:val="20"/>
                  <w:u w:val="single"/>
                </w:rPr>
                <w:t>9</w:t>
              </w:r>
            </w:hyperlink>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8ecd067a3d64811872c7a36c50b9e2b_11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cd067a3d64811872c7a36c50b9e2b_115">
              <w:r>
                <w:rPr>
                  <w:rStyle w:val="InternetLink"/>
                  <w:rFonts w:ascii="Times New Roman;sans-serif" w:hAnsi="Times New Roman;sans-serif"/>
                  <w:b w:val="false"/>
                  <w:color w:val="0000FF"/>
                  <w:sz w:val="20"/>
                  <w:u w:val="single"/>
                </w:rPr>
                <w:t>50</w:t>
              </w:r>
            </w:hyperlink>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cd067a3d64811872c7a36c50b9e2b_232">
              <w:r>
                <w:rPr>
                  <w:rStyle w:val="InternetLink"/>
                  <w:rFonts w:ascii="Times New Roman;sans-serif" w:hAnsi="Times New Roman;sans-serif"/>
                  <w:b w:val="false"/>
                  <w:color w:val="0000FF"/>
                  <w:sz w:val="20"/>
                  <w:u w:val="single"/>
                </w:rPr>
                <w:t>QUANTITATIVE AND QUALITATIVE DISCLOSURES ABOUT MARKET RISK</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cd067a3d64811872c7a36c50b9e2b_232">
              <w:r>
                <w:rPr>
                  <w:rStyle w:val="InternetLink"/>
                  <w:rFonts w:ascii="Times New Roman;sans-serif" w:hAnsi="Times New Roman;sans-serif"/>
                  <w:b w:val="false"/>
                  <w:color w:val="0000FF"/>
                  <w:sz w:val="20"/>
                  <w:u w:val="single"/>
                </w:rPr>
                <w:t>81</w:t>
              </w:r>
            </w:hyperlink>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cd067a3d64811872c7a36c50b9e2b_256">
              <w:r>
                <w:rPr>
                  <w:rStyle w:val="InternetLink"/>
                  <w:rFonts w:ascii="Times New Roman;sans-serif" w:hAnsi="Times New Roman;sans-serif"/>
                  <w:b w:val="false"/>
                  <w:color w:val="0000FF"/>
                  <w:sz w:val="20"/>
                  <w:u w:val="single"/>
                </w:rPr>
                <w:t>CONTROLS AND PROCEDURES</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cd067a3d64811872c7a36c50b9e2b_256">
              <w:r>
                <w:rPr>
                  <w:rStyle w:val="InternetLink"/>
                  <w:rFonts w:ascii="Times New Roman;sans-serif" w:hAnsi="Times New Roman;sans-serif"/>
                  <w:b w:val="false"/>
                  <w:color w:val="0000FF"/>
                  <w:sz w:val="20"/>
                  <w:u w:val="single"/>
                </w:rPr>
                <w:t>84</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cd067a3d64811872c7a36c50b9e2b_262">
              <w:r>
                <w:rPr>
                  <w:rStyle w:val="InternetLink"/>
                  <w:rFonts w:ascii="Times New Roman;sans-serif" w:hAnsi="Times New Roman;sans-serif"/>
                  <w:b w:val="false"/>
                  <w:color w:val="0000FF"/>
                  <w:sz w:val="20"/>
                  <w:u w:val="single"/>
                </w:rPr>
                <w:t>LEGAL PROCEEDINGS</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cd067a3d64811872c7a36c50b9e2b_262">
              <w:r>
                <w:rPr>
                  <w:rStyle w:val="InternetLink"/>
                  <w:rFonts w:ascii="Times New Roman;sans-serif" w:hAnsi="Times New Roman;sans-serif"/>
                  <w:b w:val="false"/>
                  <w:color w:val="0000FF"/>
                  <w:sz w:val="20"/>
                  <w:u w:val="single"/>
                </w:rPr>
                <w:t>85</w:t>
              </w:r>
            </w:hyperlink>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cd067a3d64811872c7a36c50b9e2b_265">
              <w:r>
                <w:rPr>
                  <w:rStyle w:val="InternetLink"/>
                  <w:rFonts w:ascii="Times New Roman;sans-serif" w:hAnsi="Times New Roman;sans-serif"/>
                  <w:b w:val="false"/>
                  <w:color w:val="0000FF"/>
                  <w:sz w:val="20"/>
                  <w:u w:val="single"/>
                </w:rPr>
                <w:t>UNREGISTERED SALES OF EQUITY SECURITIES AND USE OF PROCEEDS</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cd067a3d64811872c7a36c50b9e2b_265">
              <w:r>
                <w:rPr>
                  <w:rStyle w:val="InternetLink"/>
                  <w:rFonts w:ascii="Times New Roman;sans-serif" w:hAnsi="Times New Roman;sans-serif"/>
                  <w:b w:val="false"/>
                  <w:color w:val="0000FF"/>
                  <w:sz w:val="20"/>
                  <w:u w:val="single"/>
                </w:rPr>
                <w:t>85</w:t>
              </w:r>
            </w:hyperlink>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cd067a3d64811872c7a36c50b9e2b_268">
              <w:r>
                <w:rPr>
                  <w:rStyle w:val="InternetLink"/>
                  <w:rFonts w:ascii="Times New Roman;sans-serif" w:hAnsi="Times New Roman;sans-serif"/>
                  <w:b w:val="false"/>
                  <w:color w:val="0000FF"/>
                  <w:sz w:val="20"/>
                  <w:u w:val="single"/>
                </w:rPr>
                <w:t>OTHER INFORMATION</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cd067a3d64811872c7a36c50b9e2b_268">
              <w:r>
                <w:rPr>
                  <w:rStyle w:val="InternetLink"/>
                  <w:rFonts w:ascii="Times New Roman;sans-serif" w:hAnsi="Times New Roman;sans-serif"/>
                  <w:b w:val="false"/>
                  <w:color w:val="0000FF"/>
                  <w:sz w:val="20"/>
                  <w:u w:val="single"/>
                </w:rPr>
                <w:t>85</w:t>
              </w:r>
            </w:hyperlink>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cd067a3d64811872c7a36c50b9e2b_271">
              <w:r>
                <w:rPr>
                  <w:rStyle w:val="InternetLink"/>
                  <w:rFonts w:ascii="Times New Roman;sans-serif" w:hAnsi="Times New Roman;sans-serif"/>
                  <w:b w:val="false"/>
                  <w:color w:val="0000FF"/>
                  <w:sz w:val="20"/>
                  <w:u w:val="single"/>
                </w:rPr>
                <w:t>EXHIBITS</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cd067a3d64811872c7a36c50b9e2b_271">
              <w:r>
                <w:rPr>
                  <w:rStyle w:val="InternetLink"/>
                  <w:rFonts w:ascii="Times New Roman;sans-serif" w:hAnsi="Times New Roman;sans-serif"/>
                  <w:b w:val="false"/>
                  <w:color w:val="0000FF"/>
                  <w:sz w:val="20"/>
                  <w:u w:val="single"/>
                </w:rPr>
                <w:t>86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79"/>
        <w:gridCol w:w="2344"/>
        <w:gridCol w:w="2323"/>
        <w:gridCol w:w="211"/>
        <w:gridCol w:w="874"/>
        <w:gridCol w:w="109"/>
        <w:gridCol w:w="109"/>
        <w:gridCol w:w="109"/>
        <w:gridCol w:w="109"/>
        <w:gridCol w:w="211"/>
        <w:gridCol w:w="871"/>
        <w:gridCol w:w="156"/>
      </w:tblGrid>
      <w:tr>
        <w:trPr/>
        <w:tc>
          <w:tcPr>
            <w:tcW w:w="2779"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4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 (note 3)</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(measured at fair value on a recurring basis) (note 5)</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(note 6)</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(notes 3 and 5)</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and related notes receivable (including $3,372.0 million and $3,408.5 million, respectively, measured at fair value on a recurring basis) (note 5)</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(notes 8 and 10)</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(note 8)</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net (note 8)</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right-of-use (</w:t>
            </w:r>
            <w:r>
              <w:rPr>
                <w:rFonts w:ascii="Times New Roman;sans-serif" w:hAnsi="Times New Roman;sans-serif"/>
                <w:b/>
                <w:color w:val="000000"/>
                <w:sz w:val="20"/>
              </w:rPr>
              <w:t>ROU</w:t>
            </w:r>
            <w:r>
              <w:rPr>
                <w:rFonts w:ascii="Times New Roman;sans-serif" w:hAnsi="Times New Roman;sans-serif"/>
                <w:b w:val="false"/>
                <w:color w:val="000000"/>
                <w:sz w:val="20"/>
              </w:rPr>
              <w:t>) assets (note 10)</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 (notes 3 and 6)</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42,087.9 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36880"/>
                <wp:effectExtent l="0" t="0" r="0" b="0"/>
                <wp:wrapNone/>
                <wp:docPr id="4" name="Frame3"/>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00" w:after="283"/>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21"/>
        <w:gridCol w:w="2354"/>
        <w:gridCol w:w="2369"/>
        <w:gridCol w:w="211"/>
        <w:gridCol w:w="875"/>
        <w:gridCol w:w="109"/>
        <w:gridCol w:w="109"/>
        <w:gridCol w:w="109"/>
        <w:gridCol w:w="109"/>
        <w:gridCol w:w="211"/>
        <w:gridCol w:w="871"/>
        <w:gridCol w:w="157"/>
      </w:tblGrid>
      <w:tr>
        <w:trPr/>
        <w:tc>
          <w:tcPr>
            <w:tcW w:w="2721"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(note 3)</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(note 6)</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finance lease obligations (notes 9 and 10)</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taxes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44"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and current liabilities (note 10)</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finance lease obligations (notes 9 and 10)</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44"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 (note 10)</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(notes 3 and 6)</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(notes 6, 9, 10, 11 and 15)</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(note 12):</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shareholders: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shares, $0.01 nominal value. Issued and outstanding 172,860,433 and 171,463,760 shares, respectively</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shares, $0.01 nominal value. Issued and outstanding 12,988,658 and 12,988,658 shares, respectively</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C common shares, $0.01 nominal value. Issued and outstanding 173,549,083 and 198,153,613 shares, respectively</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earnings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earnings, net of taxes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 at cost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Liberty Global shareholders</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19,062.6 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19,007.4 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42,087.9 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36880"/>
                <wp:effectExtent l="0" t="0" r="0" b="0"/>
                <wp:wrapNone/>
                <wp:docPr id="5" name="Frame4"/>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11"/>
        <w:gridCol w:w="1438"/>
        <w:gridCol w:w="1443"/>
        <w:gridCol w:w="211"/>
        <w:gridCol w:w="808"/>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5"/>
      </w:tblGrid>
      <w:tr>
        <w:trPr/>
        <w:tc>
          <w:tcPr>
            <w:tcW w:w="191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4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(notes 3, 5 and 16)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 and expenses (exclusive of depreciation and amortization, shown separately below):</w:t>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and other direct costs of services (note 10)</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(notes 10 and 13)</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Selling, general and administrative (</w:t>
            </w:r>
            <w:r>
              <w:rPr>
                <w:rFonts w:ascii="Times New Roman;sans-serif" w:hAnsi="Times New Roman;sans-serif"/>
                <w:b/>
                <w:color w:val="000000"/>
                <w:sz w:val="20"/>
              </w:rPr>
              <w:t>SG&amp;A</w:t>
            </w:r>
            <w:r>
              <w:rPr>
                <w:rFonts w:ascii="Times New Roman;sans-serif" w:hAnsi="Times New Roman;sans-serif"/>
                <w:b w:val="false"/>
                <w:color w:val="000000"/>
                <w:sz w:val="20"/>
              </w:rPr>
              <w:t>) (notes 10 and 13)</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 operating items, net (note 10)</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(losses) on derivative instruments, net (note 6)</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gains (losses),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(losses) due to changes in fair values of certain investments, net (notes 5 and 7)</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 of results of affiliates, net (note 5)</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All3Media (note 5)</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Gain associated with the Telenet Wyre Transaction (note 4)</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(note 11)</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noncontrolling interests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Liberty Global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attributable to Liberty Global shareholders per share (note 14)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attributable to Liberty Global shareholders per share (note 14)</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36880"/>
                <wp:effectExtent l="0" t="0" r="0" b="0"/>
                <wp:wrapNone/>
                <wp:docPr id="6" name="Frame5"/>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EARNINGS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60"/>
        <w:gridCol w:w="1615"/>
        <w:gridCol w:w="1564"/>
        <w:gridCol w:w="211"/>
        <w:gridCol w:w="827"/>
        <w:gridCol w:w="109"/>
        <w:gridCol w:w="109"/>
        <w:gridCol w:w="109"/>
        <w:gridCol w:w="109"/>
        <w:gridCol w:w="211"/>
        <w:gridCol w:w="677"/>
        <w:gridCol w:w="109"/>
        <w:gridCol w:w="109"/>
        <w:gridCol w:w="109"/>
        <w:gridCol w:w="109"/>
        <w:gridCol w:w="211"/>
        <w:gridCol w:w="677"/>
        <w:gridCol w:w="109"/>
        <w:gridCol w:w="109"/>
        <w:gridCol w:w="109"/>
        <w:gridCol w:w="109"/>
        <w:gridCol w:w="211"/>
        <w:gridCol w:w="677"/>
        <w:gridCol w:w="156"/>
      </w:tblGrid>
      <w:tr>
        <w:trPr/>
        <w:tc>
          <w:tcPr>
            <w:tcW w:w="186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net of taxes:</w:t>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included in net earnings (loss)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Pension-related adjustments and other</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earnings (loss)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earnings attributable to noncontrolling interests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earnings (loss) attributable to Liberty Global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36880"/>
                <wp:effectExtent l="0" t="0" r="0" b="0"/>
                <wp:wrapNone/>
                <wp:docPr id="7" name="Frame6"/>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3929" w:type="dxa"/>
        <w:jc w:val="left"/>
        <w:tblInd w:w="0" w:type="dxa"/>
        <w:tblLayout w:type="fixed"/>
        <w:tblCellMar>
          <w:top w:w="28" w:type="dxa"/>
          <w:left w:w="28" w:type="dxa"/>
          <w:bottom w:w="28" w:type="dxa"/>
          <w:right w:w="28" w:type="dxa"/>
        </w:tblCellMar>
      </w:tblPr>
      <w:tblGrid>
        <w:gridCol w:w="761"/>
        <w:gridCol w:w="296"/>
        <w:gridCol w:w="15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691"/>
        <w:gridCol w:w="109"/>
        <w:gridCol w:w="109"/>
        <w:gridCol w:w="109"/>
        <w:gridCol w:w="109"/>
        <w:gridCol w:w="203"/>
        <w:gridCol w:w="809"/>
        <w:gridCol w:w="114"/>
        <w:gridCol w:w="109"/>
        <w:gridCol w:w="109"/>
        <w:gridCol w:w="109"/>
        <w:gridCol w:w="283"/>
        <w:gridCol w:w="804"/>
        <w:gridCol w:w="159"/>
        <w:gridCol w:w="109"/>
        <w:gridCol w:w="109"/>
        <w:gridCol w:w="109"/>
        <w:gridCol w:w="228"/>
        <w:gridCol w:w="455"/>
        <w:gridCol w:w="128"/>
        <w:gridCol w:w="109"/>
        <w:gridCol w:w="109"/>
        <w:gridCol w:w="109"/>
        <w:gridCol w:w="197"/>
        <w:gridCol w:w="788"/>
        <w:gridCol w:w="111"/>
        <w:gridCol w:w="109"/>
        <w:gridCol w:w="109"/>
        <w:gridCol w:w="109"/>
        <w:gridCol w:w="300"/>
        <w:gridCol w:w="853"/>
        <w:gridCol w:w="168"/>
        <w:gridCol w:w="109"/>
        <w:gridCol w:w="109"/>
        <w:gridCol w:w="109"/>
        <w:gridCol w:w="196"/>
        <w:gridCol w:w="781"/>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Liberty Global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earnings, net of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shares,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Liberty Global</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13"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earnings, net of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and cancellations of Liberty Global common shares (note 12)</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(note 13)</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due to changes in subsidiaries’ equity and other, net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18,896.3 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earnings, net of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and cancellations of Liberty Global common shares (note 12)</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(note 13)</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distributions by subsidiaries to non-controlling interest owners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due to changes in subsidiaries’ equity and other, net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18,396.7 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21,856.2 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Impact of the Telenet Wyre Transaction (note 4)</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Impact of the Telenet Takeover Bid (note 12)</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and cancellations of Liberty Global common shares (note 12)</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(note 13)</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due to changes in subsidiaries’ equity and other, net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19,055.9 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20,921.3 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05560"/>
                <wp:effectExtent l="0" t="0" r="0" b="0"/>
                <wp:wrapNone/>
                <wp:docPr id="8" name="Frame7"/>
                <a:graphic xmlns:a="http://schemas.openxmlformats.org/drawingml/2006/main">
                  <a:graphicData uri="http://schemas.microsoft.com/office/word/2010/wordprocessingShape">
                    <wps:wsp>
                      <wps:cNvSpPr txBox="1"/>
                      <wps:spPr>
                        <a:xfrm>
                          <a:off x="0" y="0"/>
                          <a:ext cx="6480175" cy="1305560"/>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3899" w:type="dxa"/>
        <w:jc w:val="left"/>
        <w:tblInd w:w="0" w:type="dxa"/>
        <w:tblLayout w:type="fixed"/>
        <w:tblCellMar>
          <w:top w:w="28" w:type="dxa"/>
          <w:left w:w="28" w:type="dxa"/>
          <w:bottom w:w="28" w:type="dxa"/>
          <w:right w:w="28" w:type="dxa"/>
        </w:tblCellMar>
      </w:tblPr>
      <w:tblGrid>
        <w:gridCol w:w="731"/>
        <w:gridCol w:w="296"/>
        <w:gridCol w:w="15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691"/>
        <w:gridCol w:w="109"/>
        <w:gridCol w:w="109"/>
        <w:gridCol w:w="109"/>
        <w:gridCol w:w="109"/>
        <w:gridCol w:w="203"/>
        <w:gridCol w:w="809"/>
        <w:gridCol w:w="114"/>
        <w:gridCol w:w="109"/>
        <w:gridCol w:w="109"/>
        <w:gridCol w:w="109"/>
        <w:gridCol w:w="245"/>
        <w:gridCol w:w="864"/>
        <w:gridCol w:w="137"/>
        <w:gridCol w:w="109"/>
        <w:gridCol w:w="109"/>
        <w:gridCol w:w="109"/>
        <w:gridCol w:w="228"/>
        <w:gridCol w:w="455"/>
        <w:gridCol w:w="128"/>
        <w:gridCol w:w="109"/>
        <w:gridCol w:w="109"/>
        <w:gridCol w:w="109"/>
        <w:gridCol w:w="197"/>
        <w:gridCol w:w="788"/>
        <w:gridCol w:w="111"/>
        <w:gridCol w:w="109"/>
        <w:gridCol w:w="109"/>
        <w:gridCol w:w="109"/>
        <w:gridCol w:w="329"/>
        <w:gridCol w:w="808"/>
        <w:gridCol w:w="184"/>
        <w:gridCol w:w="109"/>
        <w:gridCol w:w="109"/>
        <w:gridCol w:w="109"/>
        <w:gridCol w:w="196"/>
        <w:gridCol w:w="78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Liberty Global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earnings, net of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shares,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Liberty Global</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13"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19,062.6 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and cancellations of Liberty Global common shares (note 12)</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(note 13)</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due to changes in subsidiaries’ equity and other, net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18,429.1 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and cancellations of Liberty Global common shares (note 12)</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(note 13)</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due to changes in subsidiaries’ equity and other, net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2024</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16,344.1 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18,347.5 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earnings, net of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and cancellations of Liberty Global common shares (note 12)</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(note 13)</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due to changes in subsidiaries’ equity and other, net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14,910.0 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18,659.1 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05560"/>
                <wp:effectExtent l="0" t="0" r="0" b="0"/>
                <wp:wrapNone/>
                <wp:docPr id="9" name="Frame8"/>
                <a:graphic xmlns:a="http://schemas.openxmlformats.org/drawingml/2006/main">
                  <a:graphicData uri="http://schemas.microsoft.com/office/word/2010/wordprocessingShape">
                    <wps:wsp>
                      <wps:cNvSpPr txBox="1"/>
                      <wps:spPr>
                        <a:xfrm>
                          <a:off x="0" y="0"/>
                          <a:ext cx="6480175" cy="1305560"/>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p>
      <w:pPr>
        <w:pStyle w:val="TextBody"/>
        <w:bidi w:val="0"/>
        <w:spacing w:before="0" w:after="0"/>
        <w:jc w:val="both"/>
        <w:rPr/>
      </w:pPr>
      <w:r>
        <w:rPr/>
      </w:r>
    </w:p>
    <w:tbl>
      <w:tblPr>
        <w:tblW w:w="10133" w:type="dxa"/>
        <w:jc w:val="left"/>
        <w:tblInd w:w="0" w:type="dxa"/>
        <w:tblLayout w:type="fixed"/>
        <w:tblCellMar>
          <w:top w:w="28" w:type="dxa"/>
          <w:left w:w="28" w:type="dxa"/>
          <w:bottom w:w="28" w:type="dxa"/>
          <w:right w:w="28" w:type="dxa"/>
        </w:tblCellMar>
      </w:tblPr>
      <w:tblGrid>
        <w:gridCol w:w="2800"/>
        <w:gridCol w:w="2466"/>
        <w:gridCol w:w="2473"/>
        <w:gridCol w:w="211"/>
        <w:gridCol w:w="691"/>
        <w:gridCol w:w="109"/>
        <w:gridCol w:w="109"/>
        <w:gridCol w:w="109"/>
        <w:gridCol w:w="109"/>
        <w:gridCol w:w="211"/>
        <w:gridCol w:w="691"/>
        <w:gridCol w:w="154"/>
      </w:tblGrid>
      <w:tr>
        <w:trPr/>
        <w:tc>
          <w:tcPr>
            <w:tcW w:w="2800"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w:t>
            </w:r>
            <w:r>
              <w:rPr>
                <w:color w:val="000000"/>
              </w:rPr>
              <w:t xml:space="preserve"> </w:t>
            </w:r>
            <w:r>
              <w:rPr>
                <w:rFonts w:ascii="Times New Roman;sans-serif" w:hAnsi="Times New Roman;sans-serif"/>
                <w:b w:val="false"/>
                <w:color w:val="000000"/>
                <w:sz w:val="20"/>
              </w:rPr>
              <w:t>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 operating items,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non-cash interest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on derivative instruments,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losses (gains),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(gains) due to changes in fair values of certain investments,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results of affiliates,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All3Media</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associated with the Telenet Wyre Transaction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the effects of acquisitions and dispositions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the sale of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in connection with the sale of All3Media</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 connection with acquisitions, net of cash acquired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 distributions received from the VMO2 JV</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investing activities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(966.4)</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36880"/>
                <wp:effectExtent l="0" t="0" r="0" b="0"/>
                <wp:wrapNone/>
                <wp:docPr id="10" name="Frame9"/>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 (Continued)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9174" w:type="dxa"/>
        <w:jc w:val="left"/>
        <w:tblInd w:w="0" w:type="dxa"/>
        <w:tblLayout w:type="fixed"/>
        <w:tblCellMar>
          <w:top w:w="28" w:type="dxa"/>
          <w:left w:w="28" w:type="dxa"/>
          <w:bottom w:w="28" w:type="dxa"/>
          <w:right w:w="28" w:type="dxa"/>
        </w:tblCellMar>
      </w:tblPr>
      <w:tblGrid>
        <w:gridCol w:w="2399"/>
        <w:gridCol w:w="2112"/>
        <w:gridCol w:w="2119"/>
        <w:gridCol w:w="211"/>
        <w:gridCol w:w="766"/>
        <w:gridCol w:w="109"/>
        <w:gridCol w:w="109"/>
        <w:gridCol w:w="109"/>
        <w:gridCol w:w="109"/>
        <w:gridCol w:w="211"/>
        <w:gridCol w:w="766"/>
        <w:gridCol w:w="154"/>
      </w:tblGrid>
      <w:tr>
        <w:trPr/>
        <w:tc>
          <w:tcPr>
            <w:tcW w:w="239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of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Operating-related vendor financing additions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and repurchases of debt and finance lease obligations: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(excluding vendor financing)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operating-related vendor financing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capital-related vendor financing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Liberty Global common shares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related to derivative instruments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shares in connection with the Telenet Takeover Bid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distributions by subsidiaries to noncontrolling interest owners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financing costs and debt premiums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financing activities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 and restricted cash</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 and restricted cash</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for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end of period cash and cash equivalents and restricted cash:</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assets and other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36880"/>
                <wp:effectExtent l="0" t="0" r="0" b="0"/>
                <wp:wrapNone/>
                <wp:docPr id="11" name="Frame10"/>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(1)   </w:t>
      </w:r>
      <w:r>
        <w:rPr>
          <w:rFonts w:ascii="Times New Roman;sans-serif" w:hAnsi="Times New Roman;sans-serif"/>
          <w:b/>
          <w:color w:val="000000"/>
          <w:sz w:val="20"/>
          <w:u w:val="single"/>
        </w:rPr>
        <w:t>Basis of Presentation</w:t>
      </w:r>
    </w:p>
    <w:p>
      <w:pPr>
        <w:pStyle w:val="TextBody"/>
        <w:bidi w:val="0"/>
        <w:spacing w:before="0" w:after="0"/>
        <w:jc w:val="righ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Liberty Global Ltd. (</w:t>
      </w:r>
      <w:r>
        <w:rPr>
          <w:rFonts w:ascii="Times New Roman;sans-serif" w:hAnsi="Times New Roman;sans-serif"/>
          <w:b/>
          <w:color w:val="000000"/>
          <w:sz w:val="20"/>
        </w:rPr>
        <w:t>Liberty Global</w:t>
      </w:r>
      <w:r>
        <w:rPr>
          <w:rFonts w:ascii="Times New Roman;sans-serif" w:hAnsi="Times New Roman;sans-serif"/>
          <w:b w:val="false"/>
          <w:color w:val="000000"/>
          <w:sz w:val="20"/>
        </w:rPr>
        <w:t>) is an international provider of broadband internet, video, fixed-line telephony and mobile communications services to residential customers and businesses in Europe.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As a result of a series of mergers that were completed on June 7, 2013, Liberty Global plc became the publicly-held parent company of the successors by merger of Liberty Global, Inc. (the predecessor to Liberty Global plc) and Virgin Media Inc. (</w:t>
      </w:r>
      <w:r>
        <w:rPr>
          <w:rFonts w:ascii="Times New Roman;sans-serif" w:hAnsi="Times New Roman;sans-serif"/>
          <w:b/>
          <w:color w:val="000000"/>
          <w:sz w:val="20"/>
        </w:rPr>
        <w:t>Virgin Media</w:t>
      </w:r>
      <w:r>
        <w:rPr>
          <w:rFonts w:ascii="Times New Roman;sans-serif" w:hAnsi="Times New Roman;sans-serif"/>
          <w:b w:val="false"/>
          <w:color w:val="000000"/>
          <w:sz w:val="20"/>
        </w:rPr>
        <w:t xml:space="preserve">). On November 23, 2023, Liberty Global plc completed a statutory scheme of arrangement, pursuant to which a new Bermudan company, Liberty Global Ltd., became the sole shareholder of Liberty Global plc and the parent entity of the entire group of Liberty Global companies (the </w:t>
      </w:r>
      <w:r>
        <w:rPr>
          <w:rFonts w:ascii="Times New Roman;sans-serif" w:hAnsi="Times New Roman;sans-serif"/>
          <w:b/>
          <w:color w:val="000000"/>
          <w:sz w:val="20"/>
        </w:rPr>
        <w:t>Redomiciliation</w:t>
      </w:r>
      <w:r>
        <w:rPr>
          <w:rFonts w:ascii="Times New Roman;sans-serif" w:hAnsi="Times New Roman;sans-serif"/>
          <w:b w:val="false"/>
          <w:color w:val="000000"/>
          <w:sz w:val="20"/>
        </w:rPr>
        <w:t>). The Redomiciliation resulted in the Liberty Global group parent company changing its jurisdiction of incorporation from England and Wales to Bermuda. In these notes, except where context dictates otherwise, the terms “we”, “our”, “our company” and “us” may refer, as the context requires, to Liberty Global (or its predecessors) or collectively to Liberty Global (or its predecessors) and its subsidiaries and any of its joint ventures.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businesses provide residential and business-to-business (</w:t>
      </w:r>
      <w:r>
        <w:rPr>
          <w:rFonts w:ascii="Times New Roman;sans-serif" w:hAnsi="Times New Roman;sans-serif"/>
          <w:b/>
          <w:color w:val="000000"/>
          <w:sz w:val="20"/>
        </w:rPr>
        <w:t>B2B</w:t>
      </w:r>
      <w:r>
        <w:rPr>
          <w:rFonts w:ascii="Times New Roman;sans-serif" w:hAnsi="Times New Roman;sans-serif"/>
          <w:b w:val="false"/>
          <w:color w:val="000000"/>
          <w:sz w:val="20"/>
        </w:rPr>
        <w:t>) communications services in (i) Switzerland, which we refer to as “</w:t>
      </w:r>
      <w:r>
        <w:rPr>
          <w:rFonts w:ascii="Times New Roman;sans-serif" w:hAnsi="Times New Roman;sans-serif"/>
          <w:b/>
          <w:color w:val="000000"/>
          <w:sz w:val="20"/>
        </w:rPr>
        <w:t>Sunrise</w:t>
      </w:r>
      <w:r>
        <w:rPr>
          <w:color w:val="000000"/>
        </w:rPr>
        <w:t>”</w:t>
      </w:r>
      <w:r>
        <w:rPr>
          <w:rFonts w:ascii="Times New Roman;sans-serif" w:hAnsi="Times New Roman;sans-serif"/>
          <w:b w:val="false"/>
          <w:color w:val="000000"/>
          <w:sz w:val="20"/>
        </w:rPr>
        <w:t>, and Slovakia through certain wholly-owned subsidiaries that we collectively refer to as “</w:t>
      </w:r>
      <w:r>
        <w:rPr>
          <w:rFonts w:ascii="Times New Roman;sans-serif" w:hAnsi="Times New Roman;sans-serif"/>
          <w:b/>
          <w:color w:val="000000"/>
          <w:sz w:val="20"/>
        </w:rPr>
        <w:t>Sunrise Holding</w:t>
      </w:r>
      <w:r>
        <w:rPr>
          <w:color w:val="000000"/>
        </w:rPr>
        <w:t>”</w:t>
      </w:r>
      <w:r>
        <w:rPr>
          <w:rFonts w:ascii="Times New Roman;sans-serif" w:hAnsi="Times New Roman;sans-serif"/>
          <w:b w:val="false"/>
          <w:color w:val="000000"/>
          <w:sz w:val="20"/>
        </w:rPr>
        <w:t>, (ii) Belgium and Luxembourg through certain wholly-owned subsidiaries that we collectively refer to as “</w:t>
      </w:r>
      <w:r>
        <w:rPr>
          <w:rFonts w:ascii="Times New Roman;sans-serif" w:hAnsi="Times New Roman;sans-serif"/>
          <w:b/>
          <w:color w:val="000000"/>
          <w:sz w:val="20"/>
        </w:rPr>
        <w:t>Telenet</w:t>
      </w:r>
      <w:r>
        <w:rPr>
          <w:color w:val="000000"/>
        </w:rPr>
        <w:t xml:space="preserve">” </w:t>
      </w:r>
      <w:r>
        <w:rPr>
          <w:rFonts w:ascii="Times New Roman;sans-serif" w:hAnsi="Times New Roman;sans-serif"/>
          <w:b w:val="false"/>
          <w:color w:val="000000"/>
          <w:sz w:val="20"/>
        </w:rPr>
        <w:t>and (iii) Ireland through another wholly-owned subsidiary (</w:t>
      </w:r>
      <w:r>
        <w:rPr>
          <w:rFonts w:ascii="Times New Roman;sans-serif" w:hAnsi="Times New Roman;sans-serif"/>
          <w:b/>
          <w:color w:val="000000"/>
          <w:sz w:val="20"/>
        </w:rPr>
        <w:t>VM Ireland</w:t>
      </w:r>
      <w:r>
        <w:rPr>
          <w:rFonts w:ascii="Times New Roman;sans-serif" w:hAnsi="Times New Roman;sans-serif"/>
          <w:b w:val="false"/>
          <w:color w:val="000000"/>
          <w:sz w:val="20"/>
        </w:rPr>
        <w:t xml:space="preserve">). In addition, we own 50% noncontrolling interests in (a) a 50:50 joint venture (the </w:t>
      </w:r>
      <w:r>
        <w:rPr>
          <w:rFonts w:ascii="Times New Roman;sans-serif" w:hAnsi="Times New Roman;sans-serif"/>
          <w:b/>
          <w:color w:val="000000"/>
          <w:sz w:val="20"/>
        </w:rPr>
        <w:t>VMO2 JV</w:t>
      </w:r>
      <w:r>
        <w:rPr>
          <w:rFonts w:ascii="Times New Roman;sans-serif" w:hAnsi="Times New Roman;sans-serif"/>
          <w:b w:val="false"/>
          <w:color w:val="000000"/>
          <w:sz w:val="20"/>
        </w:rPr>
        <w:t>) with Telefónica SA (</w:t>
      </w:r>
      <w:r>
        <w:rPr>
          <w:rFonts w:ascii="Times New Roman;sans-serif" w:hAnsi="Times New Roman;sans-serif"/>
          <w:b/>
          <w:color w:val="000000"/>
          <w:sz w:val="20"/>
        </w:rPr>
        <w:t>Telefónica</w:t>
      </w:r>
      <w:r>
        <w:rPr>
          <w:rFonts w:ascii="Times New Roman;sans-serif" w:hAnsi="Times New Roman;sans-serif"/>
          <w:b w:val="false"/>
          <w:color w:val="000000"/>
          <w:sz w:val="20"/>
        </w:rPr>
        <w:t>), which provides residential and B2B communications services in the United Kingdom (</w:t>
      </w:r>
      <w:r>
        <w:rPr>
          <w:rFonts w:ascii="Times New Roman;sans-serif" w:hAnsi="Times New Roman;sans-serif"/>
          <w:b/>
          <w:color w:val="000000"/>
          <w:sz w:val="20"/>
        </w:rPr>
        <w:t>U.K.</w:t>
      </w:r>
      <w:r>
        <w:rPr>
          <w:rFonts w:ascii="Times New Roman;sans-serif" w:hAnsi="Times New Roman;sans-serif"/>
          <w:b w:val="false"/>
          <w:color w:val="000000"/>
          <w:sz w:val="20"/>
        </w:rPr>
        <w:t xml:space="preserve">), and (b) a 50:50 joint venture (the </w:t>
      </w:r>
      <w:r>
        <w:rPr>
          <w:rFonts w:ascii="Times New Roman;sans-serif" w:hAnsi="Times New Roman;sans-serif"/>
          <w:b/>
          <w:color w:val="000000"/>
          <w:sz w:val="20"/>
        </w:rPr>
        <w:t>VodafoneZiggo JV</w:t>
      </w:r>
      <w:r>
        <w:rPr>
          <w:rFonts w:ascii="Times New Roman;sans-serif" w:hAnsi="Times New Roman;sans-serif"/>
          <w:b w:val="false"/>
          <w:color w:val="000000"/>
          <w:sz w:val="20"/>
        </w:rPr>
        <w:t>) with Vodafone Group plc (</w:t>
      </w:r>
      <w:r>
        <w:rPr>
          <w:rFonts w:ascii="Times New Roman;sans-serif" w:hAnsi="Times New Roman;sans-serif"/>
          <w:b/>
          <w:color w:val="000000"/>
          <w:sz w:val="20"/>
        </w:rPr>
        <w:t>Vodafone</w:t>
      </w:r>
      <w:r>
        <w:rPr>
          <w:rFonts w:ascii="Times New Roman;sans-serif" w:hAnsi="Times New Roman;sans-serif"/>
          <w:b w:val="false"/>
          <w:color w:val="000000"/>
          <w:sz w:val="20"/>
        </w:rPr>
        <w:t xml:space="preserve">), which provides residential and B2B communications services in the Netherlands. We also own (1) a 50% noncontrolling voting interest in a joint venture (the </w:t>
      </w:r>
      <w:r>
        <w:rPr>
          <w:rFonts w:ascii="Times New Roman;sans-serif" w:hAnsi="Times New Roman;sans-serif"/>
          <w:b/>
          <w:color w:val="000000"/>
          <w:sz w:val="20"/>
        </w:rPr>
        <w:t>AtlasEdge JV</w:t>
      </w:r>
      <w:r>
        <w:rPr>
          <w:rFonts w:ascii="Times New Roman;sans-serif" w:hAnsi="Times New Roman;sans-serif"/>
          <w:b w:val="false"/>
          <w:color w:val="000000"/>
          <w:sz w:val="20"/>
        </w:rPr>
        <w:t xml:space="preserve">), which is a leading European Edge data center platform, and (2) a 25% noncontrolling interest in a joint venture (the </w:t>
      </w:r>
      <w:r>
        <w:rPr>
          <w:rFonts w:ascii="Times New Roman;sans-serif" w:hAnsi="Times New Roman;sans-serif"/>
          <w:b/>
          <w:color w:val="000000"/>
          <w:sz w:val="20"/>
        </w:rPr>
        <w:t>nexfibre JV</w:t>
      </w:r>
      <w:r>
        <w:rPr>
          <w:rFonts w:ascii="Times New Roman;sans-serif" w:hAnsi="Times New Roman;sans-serif"/>
          <w:b w:val="false"/>
          <w:color w:val="000000"/>
          <w:sz w:val="20"/>
        </w:rPr>
        <w:t xml:space="preserve">), which is constructing a new fiber network in the U.K. outside of the existing footprint of the VMO2 JV.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We have announced our intention to spin-off our operations at Sunrise and certain other Liberty Global subsidiaries connected to our Swiss business (together, the </w:t>
      </w:r>
      <w:r>
        <w:rPr>
          <w:rFonts w:ascii="Times New Roman;sans-serif" w:hAnsi="Times New Roman;sans-serif"/>
          <w:b/>
          <w:color w:val="000000"/>
          <w:sz w:val="20"/>
        </w:rPr>
        <w:t>Sunrise Entities</w:t>
      </w:r>
      <w:r>
        <w:rPr>
          <w:rFonts w:ascii="Times New Roman;sans-serif" w:hAnsi="Times New Roman;sans-serif"/>
          <w:b w:val="false"/>
          <w:color w:val="000000"/>
          <w:sz w:val="20"/>
        </w:rPr>
        <w:t xml:space="preserve">) in November 2024 (the </w:t>
      </w:r>
      <w:r>
        <w:rPr>
          <w:rFonts w:ascii="Times New Roman;sans-serif" w:hAnsi="Times New Roman;sans-serif"/>
          <w:b/>
          <w:color w:val="000000"/>
          <w:sz w:val="20"/>
        </w:rPr>
        <w:t>Spin-off</w:t>
      </w:r>
      <w:r>
        <w:rPr>
          <w:rFonts w:ascii="Times New Roman;sans-serif" w:hAnsi="Times New Roman;sans-serif"/>
          <w:b w:val="false"/>
          <w:color w:val="000000"/>
          <w:sz w:val="20"/>
        </w:rPr>
        <w:t>). The Spin-off was approved at a special meeting of Liberty Global shareholders held on October 25,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we completed the Telenet Takeover Bid (as defined and described in note 12), pursuant to which we increased our ownership interest in Telenet to 100%.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unaudited condensed consolidated financial statements have been prepared in accordance with accounting principles generally accepted in the United States (</w:t>
      </w:r>
      <w:r>
        <w:rPr>
          <w:rFonts w:ascii="Times New Roman;sans-serif" w:hAnsi="Times New Roman;sans-serif"/>
          <w:b/>
          <w:color w:val="000000"/>
          <w:sz w:val="20"/>
        </w:rPr>
        <w:t>GAAP</w:t>
      </w:r>
      <w:r>
        <w:rPr>
          <w:rFonts w:ascii="Times New Roman;sans-serif" w:hAnsi="Times New Roman;sans-serif"/>
          <w:b w:val="false"/>
          <w:color w:val="000000"/>
          <w:sz w:val="20"/>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2023 consolidated financial statements and notes thereto included in our 2023 Annual Report on Form 10-K, as amended (our </w:t>
      </w:r>
      <w:r>
        <w:rPr>
          <w:rFonts w:ascii="Times New Roman;sans-serif" w:hAnsi="Times New Roman;sans-serif"/>
          <w:b/>
          <w:color w:val="000000"/>
          <w:sz w:val="20"/>
        </w:rPr>
        <w:t>2023 10-K</w:t>
      </w:r>
      <w:r>
        <w:rPr>
          <w:rFonts w:ascii="Times New Roman;sans-serif" w:hAnsi="Times New Roman;sans-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Unless otherwise indicated, ownership percentages and convenience translations into United States (</w:t>
      </w:r>
      <w:r>
        <w:rPr>
          <w:rFonts w:ascii="Times New Roman;sans-serif" w:hAnsi="Times New Roman;sans-serif"/>
          <w:b/>
          <w:color w:val="000000"/>
          <w:sz w:val="20"/>
        </w:rPr>
        <w:t>U.S.</w:t>
      </w:r>
      <w:r>
        <w:rPr>
          <w:rFonts w:ascii="Times New Roman;sans-serif" w:hAnsi="Times New Roman;sans-serif"/>
          <w:b w:val="false"/>
          <w:color w:val="000000"/>
          <w:sz w:val="20"/>
        </w:rPr>
        <w:t xml:space="preserve">) dollars are calculated as of September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color w:val="000000"/>
          <w:sz w:val="20"/>
        </w:rPr>
        <w:t>(2)   </w:t>
      </w:r>
      <w:r>
        <w:rPr>
          <w:rFonts w:ascii="Times New Roman;sans-serif" w:hAnsi="Times New Roman;sans-serif"/>
          <w:b/>
          <w:color w:val="000000"/>
          <w:sz w:val="20"/>
          <w:u w:val="single"/>
        </w:rPr>
        <w:t>Recent Accounting Pronouncements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2023-09</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December 2023, the Financial Accounting Standards Board (the </w:t>
      </w:r>
      <w:r>
        <w:rPr>
          <w:rFonts w:ascii="Times New Roman;sans-serif" w:hAnsi="Times New Roman;sans-serif"/>
          <w:b/>
          <w:color w:val="000000"/>
          <w:sz w:val="20"/>
        </w:rPr>
        <w:t>FASB</w:t>
      </w:r>
      <w:r>
        <w:rPr>
          <w:rFonts w:ascii="Times New Roman;sans-serif" w:hAnsi="Times New Roman;sans-serif"/>
          <w:b w:val="false"/>
          <w:color w:val="000000"/>
          <w:sz w:val="20"/>
        </w:rPr>
        <w:t>) issued Accounting Standards Update (</w:t>
      </w:r>
      <w:r>
        <w:rPr>
          <w:rFonts w:ascii="Times New Roman;sans-serif" w:hAnsi="Times New Roman;sans-serif"/>
          <w:b/>
          <w:color w:val="000000"/>
          <w:sz w:val="20"/>
        </w:rPr>
        <w:t>ASU</w:t>
      </w:r>
      <w:r>
        <w:rPr>
          <w:rFonts w:ascii="Times New Roman;sans-serif" w:hAnsi="Times New Roman;sans-serif"/>
          <w:b w:val="false"/>
          <w:color w:val="000000"/>
          <w:sz w:val="20"/>
        </w:rPr>
        <w:t xml:space="preserve">) No. 2023-09, </w:t>
      </w:r>
      <w:r>
        <w:rPr>
          <w:rFonts w:ascii="Times New Roman;sans-serif" w:hAnsi="Times New Roman;sans-serif"/>
          <w:b w:val="false"/>
          <w:i/>
          <w:color w:val="000000"/>
          <w:sz w:val="20"/>
        </w:rPr>
        <w:t xml:space="preserve">Improvements to Income Tax Disclosures </w:t>
      </w:r>
      <w:r>
        <w:rPr>
          <w:rFonts w:ascii="Times New Roman;sans-serif" w:hAnsi="Times New Roman;sans-serif"/>
          <w:b w:val="false"/>
          <w:color w:val="000000"/>
          <w:sz w:val="20"/>
        </w:rPr>
        <w:t>(</w:t>
      </w:r>
      <w:r>
        <w:rPr>
          <w:rFonts w:ascii="Times New Roman;sans-serif" w:hAnsi="Times New Roman;sans-serif"/>
          <w:b/>
          <w:color w:val="000000"/>
          <w:sz w:val="20"/>
        </w:rPr>
        <w:t>ASU 2023-09</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We are currently evaluating the impact of ASU 2023-09 on our consolidated financial statements and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2023-07</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Improvements to Reportable Segment Disclosures</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ASU 2023-07</w:t>
      </w:r>
      <w:r>
        <w:rPr>
          <w:rFonts w:ascii="Times New Roman;sans-serif" w:hAnsi="Times New Roman;sans-serif"/>
          <w:b w:val="false"/>
          <w:color w:val="000000"/>
          <w:sz w:val="20"/>
        </w:rPr>
        <w:t xml:space="preserve">),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interim periods within fiscal years beginning after December 15, 2024 and is required to be applied on a retrospective basis. The adoption of ASU 2023-07 will result in additional segment disclosures beginning with our 2024 Annual Report on Form 10-K (our </w:t>
      </w:r>
      <w:r>
        <w:rPr>
          <w:rFonts w:ascii="Times New Roman;sans-serif" w:hAnsi="Times New Roman;sans-serif"/>
          <w:b/>
          <w:color w:val="000000"/>
          <w:sz w:val="20"/>
        </w:rPr>
        <w:t>2024 10-K</w:t>
      </w:r>
      <w:r>
        <w:rPr>
          <w:rFonts w:ascii="Times New Roman;sans-serif" w:hAnsi="Times New Roman;sans-serif"/>
          <w:b w:val="false"/>
          <w:color w:val="000000"/>
          <w:sz w:val="20"/>
        </w:rPr>
        <w:t>) and interim reporting periods in calendar year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August 2023, the FASB</w:t>
      </w:r>
      <w:r>
        <w:rPr>
          <w:color w:val="000000"/>
        </w:rPr>
        <w:t xml:space="preserve"> </w:t>
      </w:r>
      <w:r>
        <w:rPr>
          <w:rFonts w:ascii="Times New Roman;sans-serif" w:hAnsi="Times New Roman;sans-serif"/>
          <w:b w:val="false"/>
          <w:color w:val="000000"/>
          <w:sz w:val="20"/>
        </w:rPr>
        <w:t>issued ASU</w:t>
      </w:r>
      <w:r>
        <w:rPr>
          <w:color w:val="000000"/>
        </w:rPr>
        <w:t xml:space="preserve"> </w:t>
      </w:r>
      <w:r>
        <w:rPr>
          <w:rFonts w:ascii="Times New Roman;sans-serif" w:hAnsi="Times New Roman;sans-serif"/>
          <w:b w:val="false"/>
          <w:color w:val="000000"/>
          <w:sz w:val="20"/>
        </w:rPr>
        <w:t>No. 2023-05</w:t>
      </w:r>
      <w:r>
        <w:rPr>
          <w:rFonts w:ascii="Times New Roman;sans-serif" w:hAnsi="Times New Roman;sans-serif"/>
          <w:b w:val="false"/>
          <w:i/>
          <w:color w:val="000000"/>
          <w:sz w:val="20"/>
        </w:rPr>
        <w:t xml:space="preserve">, Business Combinations — Joint Venture Formations: Recognition and Initial Measurement </w:t>
      </w:r>
      <w:r>
        <w:rPr>
          <w:rFonts w:ascii="Times New Roman;sans-serif" w:hAnsi="Times New Roman;sans-serif"/>
          <w:b w:val="false"/>
          <w:color w:val="000000"/>
          <w:sz w:val="20"/>
        </w:rPr>
        <w:t>(</w:t>
      </w:r>
      <w:r>
        <w:rPr>
          <w:rFonts w:ascii="Times New Roman;sans-serif" w:hAnsi="Times New Roman;sans-serif"/>
          <w:b/>
          <w:color w:val="000000"/>
          <w:sz w:val="20"/>
        </w:rPr>
        <w:t>ASU 2023-05</w:t>
      </w:r>
      <w:r>
        <w:rPr>
          <w:rFonts w:ascii="Times New Roman;sans-serif" w:hAnsi="Times New Roman;sans-serif"/>
          <w:b w:val="false"/>
          <w:color w:val="000000"/>
          <w:sz w:val="20"/>
        </w:rPr>
        <w:t>), which outlines updates to the formation of entities that meet the definition of a joint venture as defined by the FASB. ASU 2023-05 requires a joint venture to measure its assets and liabilities at fair value upon formation. ASU 2023-05 is effective prospectively for joint venture formations with a formation date on or after January 1, 2025. We do not expect ASU 2023-05 to have a significant impact on our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color w:val="000000"/>
          <w:sz w:val="20"/>
        </w:rPr>
        <w:t xml:space="preserve">(3)    </w:t>
      </w:r>
      <w:r>
        <w:rPr>
          <w:rFonts w:ascii="Times New Roman;sans-serif" w:hAnsi="Times New Roman;sans-serif"/>
          <w:b/>
          <w:color w:val="000000"/>
          <w:sz w:val="20"/>
          <w:u w:val="single"/>
        </w:rPr>
        <w:t>Revenue Recognition and Related Costs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$59.2 million</w:t>
      </w:r>
      <w:r>
        <w:rPr>
          <w:color w:val="000000"/>
        </w:rPr>
        <w:t xml:space="preserve"> </w:t>
      </w:r>
      <w:r>
        <w:rPr>
          <w:rFonts w:ascii="Times New Roman;sans-serif" w:hAnsi="Times New Roman;sans-serif"/>
          <w:b w:val="false"/>
          <w:color w:val="000000"/>
          <w:sz w:val="20"/>
        </w:rPr>
        <w:t>and $58.0 million at September 30, 2024 and December 31, 2023, respectively.</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w:t>
      </w:r>
      <w:r>
        <w:rPr>
          <w:color w:val="000000"/>
        </w:rPr>
        <w:t xml:space="preserve"> </w:t>
      </w:r>
      <w:r>
        <w:rPr>
          <w:rFonts w:ascii="Times New Roman;sans-serif" w:hAnsi="Times New Roman;sans-serif"/>
          <w:b w:val="false"/>
          <w:color w:val="000000"/>
          <w:sz w:val="20"/>
        </w:rPr>
        <w:t>$42.3 million and $45.8 million as of September 30, 2024 and December 31, 2023, respectively. The current and long-term portions of our contract asset balances are included within other current assets and other assets, net, respectively, on our condensed consolidated balance sheets.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record deferred revenue when we receive payment prior to transferring goods or services to a customer. We primarily defer revenue for (i) installation and other upfront services and (ii) other services that are invoiced prior to when services are provided.</w:t>
      </w:r>
      <w:r>
        <w:rPr>
          <w:color w:val="000000"/>
        </w:rPr>
        <w:t xml:space="preserve"> </w:t>
      </w:r>
      <w:r>
        <w:rPr>
          <w:rFonts w:ascii="Times New Roman;sans-serif" w:hAnsi="Times New Roman;sans-serif"/>
          <w:b w:val="false"/>
          <w:color w:val="000000"/>
          <w:sz w:val="20"/>
        </w:rPr>
        <w:t xml:space="preserve">Our deferred revenue balances were $274.7 million and $267.6 million as of September 30, 2024 and December 31, 2023, respectively. The increase in deferred revenue for the nine months ended September 30, 2024 is primarily due to the net effect of (a) the impact of additions during the period and (b) the recognition of $224.5 million of revenue that was included in our deferred revenue balance at December 31, 2023. The long-term portions of our deferred revenue balances are included within other long-term liabilities on our condensed consolidated balance sheets.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Contract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aggregate assets associated with incremental costs to obtain and fulfill our contracts were $90.2 million and $84.1 million at September 30, 2024 and December 31, 2023, respectively. The current and long-term portions of our assets related to contract costs are included within other current assets and other assets, net, respectively, on our condensed consolidated balance sheets. We amortized $22.2 million and $63.7 million during the three and nine months ended September 30, 2024, respectively, and $20.7 million and $60.2 million during the three and nine months ended September 30, 2023, respectively, to operating costs and expenses related to these assets.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Unsatisfied Performance Obligations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(4)    </w:t>
      </w:r>
      <w:r>
        <w:rPr>
          <w:rFonts w:ascii="Times New Roman;sans-serif" w:hAnsi="Times New Roman;sans-serif"/>
          <w:b/>
          <w:color w:val="000000"/>
          <w:sz w:val="20"/>
          <w:u w:val="single"/>
        </w:rPr>
        <w:t>Acquisitions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2024 Acquisition</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Formula E Acquisition.</w:t>
      </w:r>
      <w:r>
        <w:rPr>
          <w:color w:val="000000"/>
        </w:rPr>
        <w:t xml:space="preserve"> </w:t>
      </w:r>
      <w:r>
        <w:rPr>
          <w:rFonts w:ascii="Times New Roman;sans-serif" w:hAnsi="Times New Roman;sans-serif"/>
          <w:b w:val="false"/>
          <w:color w:val="000000"/>
          <w:sz w:val="20"/>
        </w:rPr>
        <w:t>On October 2, 2024, we completed the acquisition of the Formula E Holdings Ltd. (</w:t>
      </w:r>
      <w:r>
        <w:rPr>
          <w:rFonts w:ascii="Times New Roman;sans-serif" w:hAnsi="Times New Roman;sans-serif"/>
          <w:b/>
          <w:color w:val="000000"/>
          <w:sz w:val="20"/>
        </w:rPr>
        <w:t>Formula E</w:t>
      </w:r>
      <w:r>
        <w:rPr>
          <w:rFonts w:ascii="Times New Roman;sans-serif" w:hAnsi="Times New Roman;sans-serif"/>
          <w:b w:val="false"/>
          <w:color w:val="000000"/>
          <w:sz w:val="20"/>
        </w:rPr>
        <w:t>) shares held by Warner Bros. Discovery, Inc. (</w:t>
      </w:r>
      <w:r>
        <w:rPr>
          <w:rFonts w:ascii="Times New Roman;sans-serif" w:hAnsi="Times New Roman;sans-serif"/>
          <w:b/>
          <w:color w:val="000000"/>
          <w:sz w:val="20"/>
        </w:rPr>
        <w:t>Warner Bros. Discovery</w:t>
      </w:r>
      <w:r>
        <w:rPr>
          <w:rFonts w:ascii="Times New Roman;sans-serif" w:hAnsi="Times New Roman;sans-serif"/>
          <w:b w:val="false"/>
          <w:color w:val="000000"/>
          <w:sz w:val="20"/>
        </w:rPr>
        <w:t xml:space="preserve">) and certain other minority shareholders, increasing our ownership in Formula E to 65.6% (the </w:t>
      </w:r>
      <w:r>
        <w:rPr>
          <w:rFonts w:ascii="Times New Roman;sans-serif" w:hAnsi="Times New Roman;sans-serif"/>
          <w:b/>
          <w:color w:val="000000"/>
          <w:sz w:val="20"/>
        </w:rPr>
        <w:t>Formula E Acquisition</w:t>
      </w:r>
      <w:r>
        <w:rPr>
          <w:rFonts w:ascii="Times New Roman;sans-serif" w:hAnsi="Times New Roman;sans-serif"/>
          <w:b w:val="false"/>
          <w:color w:val="000000"/>
          <w:sz w:val="20"/>
        </w:rPr>
        <w:t>). The purchase consideration for these additional shares totaled €150.0 million ($165.7 million at the transaction date) and is based upon an equity value of €550.0 million ($607.5 million at the transaction date). We also acquired Warner Bros. Discovery’s €50.0 million ($55.7 million) shareholder loan to Formula E upon closing of the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begin consolidating Formula E’s results from October 2, 2024. We will recognize goodwill for the excess of the sum of (i) the value of the consideration transferred, (ii) the value of the noncontrolling interest in Formula E and (iii) the acquisition date fair value of our previously-held equity interest in Formula E over the estimated fair value of the assets and liabilities of Formula E at the acquisition date. The preliminary purchase accounting and pro forma consolidated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the Formula E Acquisition are incomplete as of the date of issuance of these unaudited condensed consolidated financial statements and will be reflected in our 2024 10-K.</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2023 Acquisition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Telenet Wyre Transaction. </w:t>
      </w:r>
      <w:r>
        <w:rPr>
          <w:rFonts w:ascii="Times New Roman;sans-serif" w:hAnsi="Times New Roman;sans-serif"/>
          <w:b w:val="false"/>
          <w:color w:val="000000"/>
          <w:sz w:val="20"/>
        </w:rPr>
        <w:t>On July 1, 2023, pursuant to an agreement dated July 19, 2022, Telenet and Fluvius System Operator CV (</w:t>
      </w:r>
      <w:r>
        <w:rPr>
          <w:rFonts w:ascii="Times New Roman;sans-serif" w:hAnsi="Times New Roman;sans-serif"/>
          <w:b/>
          <w:color w:val="000000"/>
          <w:sz w:val="20"/>
        </w:rPr>
        <w:t>Fluvius</w:t>
      </w:r>
      <w:r>
        <w:rPr>
          <w:rFonts w:ascii="Times New Roman;sans-serif" w:hAnsi="Times New Roman;sans-serif"/>
          <w:b w:val="false"/>
          <w:color w:val="000000"/>
          <w:sz w:val="20"/>
        </w:rPr>
        <w:t>) created an independent, self-funding infrastructure company (</w:t>
      </w:r>
      <w:r>
        <w:rPr>
          <w:rFonts w:ascii="Times New Roman;sans-serif" w:hAnsi="Times New Roman;sans-serif"/>
          <w:b/>
          <w:color w:val="000000"/>
          <w:sz w:val="20"/>
        </w:rPr>
        <w:t>Wyre</w:t>
      </w:r>
      <w:r>
        <w:rPr>
          <w:rFonts w:ascii="Times New Roman;sans-serif" w:hAnsi="Times New Roman;sans-serif"/>
          <w:b w:val="false"/>
          <w:color w:val="000000"/>
          <w:sz w:val="20"/>
        </w:rPr>
        <w:t>) within their combined geographic footprint in Belgium (the</w:t>
      </w:r>
      <w:r>
        <w:rPr>
          <w:color w:val="000000"/>
        </w:rPr>
        <w:t xml:space="preserve"> </w:t>
      </w:r>
      <w:r>
        <w:rPr>
          <w:rFonts w:ascii="Times New Roman;sans-serif" w:hAnsi="Times New Roman;sans-serif"/>
          <w:b/>
          <w:color w:val="000000"/>
          <w:sz w:val="20"/>
        </w:rPr>
        <w:t>Telenet Wyre Transaction</w:t>
      </w:r>
      <w:r>
        <w:rPr>
          <w:rFonts w:ascii="Times New Roman;sans-serif" w:hAnsi="Times New Roman;sans-serif"/>
          <w:b w:val="false"/>
          <w:color w:val="000000"/>
          <w:sz w:val="20"/>
        </w:rPr>
        <w:t xml:space="preserve">). The companies each contributed certain cable infrastructure assets with Telenet and Fluvius initially owning 66.8% and 33.2% of Wyre, respectively. In exchange for its 66.8% ownership of Wyre, Telenet contributed net assets with a fair value of €1,851.2 million ($2,021.2 million at the transaction date), together with annual payments to Fluvius of €20.0 million ($22.3 million) over the next six years following the date of the transaction. Telenet and Liberty Global began consolidating Wyre’s results upon the closing of the transaction.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With the closing of the Telenet Wyre Transaction, Telenet early terminated and effectively settled certain pre-existing contractual relationships with Fluvius, principally related to Telenet’s leased network, and began consolidating certain infrastructure cable assets contributed by Fluvius to Wyre, as described above. Primarily due to Telenet’s aforementioned pre-existing network leasing relationship with Fluvius, the</w:t>
      </w:r>
      <w:r>
        <w:rPr>
          <w:color w:val="000000"/>
        </w:rPr>
        <w:t xml:space="preserve"> </w:t>
      </w:r>
      <w:r>
        <w:rPr>
          <w:rFonts w:ascii="Times New Roman;sans-serif" w:hAnsi="Times New Roman;sans-serif"/>
          <w:b w:val="false"/>
          <w:color w:val="000000"/>
          <w:sz w:val="20"/>
        </w:rPr>
        <w:t>Telenet Wyre Transaction did not have a significant impact on our operating income during the nine months ended September 30, 2023.</w:t>
      </w:r>
      <w:r>
        <w:rPr>
          <w:color w:val="000000"/>
        </w:rPr>
        <w:t xml:space="preserve"> </w:t>
      </w:r>
      <w:r>
        <w:rPr>
          <w:rFonts w:ascii="Times New Roman;sans-serif" w:hAnsi="Times New Roman;sans-serif"/>
          <w:b w:val="false"/>
          <w:color w:val="000000"/>
          <w:sz w:val="20"/>
        </w:rPr>
        <w:t xml:space="preserve">Accordingly, the pro forma effect of the Telenet Wyre Transaction is not presented herein.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Telenet Wyre Transaction, we recognized a net gain of $377.8 million during the nine months ended September 30, 2023, which represents the difference between the fair value and carrying amount of a pre-existing network leasing relationship between Telenet and Fluvius. No income taxes were required to be provided on this gain.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color w:val="000000"/>
          <w:sz w:val="20"/>
        </w:rPr>
        <w:t>(5)    </w:t>
      </w:r>
      <w:r>
        <w:rPr>
          <w:rFonts w:ascii="Times New Roman;sans-serif" w:hAnsi="Times New Roman;sans-serif"/>
          <w:b/>
          <w:color w:val="000000"/>
          <w:sz w:val="20"/>
          <w:u w:val="single"/>
        </w:rPr>
        <w:t>Investments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details of our investments are set forth below:</w:t>
      </w:r>
    </w:p>
    <w:tbl>
      <w:tblPr>
        <w:tblW w:w="8095" w:type="dxa"/>
        <w:jc w:val="center"/>
        <w:tblInd w:w="0" w:type="dxa"/>
        <w:tblLayout w:type="fixed"/>
        <w:tblCellMar>
          <w:top w:w="28" w:type="dxa"/>
          <w:left w:w="28" w:type="dxa"/>
          <w:bottom w:w="28" w:type="dxa"/>
          <w:right w:w="28" w:type="dxa"/>
        </w:tblCellMar>
      </w:tblPr>
      <w:tblGrid>
        <w:gridCol w:w="1147"/>
        <w:gridCol w:w="1009"/>
        <w:gridCol w:w="1015"/>
        <w:gridCol w:w="207"/>
        <w:gridCol w:w="207"/>
        <w:gridCol w:w="207"/>
        <w:gridCol w:w="212"/>
        <w:gridCol w:w="878"/>
        <w:gridCol w:w="109"/>
        <w:gridCol w:w="109"/>
        <w:gridCol w:w="109"/>
        <w:gridCol w:w="109"/>
        <w:gridCol w:w="211"/>
        <w:gridCol w:w="871"/>
        <w:gridCol w:w="109"/>
        <w:gridCol w:w="109"/>
        <w:gridCol w:w="109"/>
        <w:gridCol w:w="109"/>
        <w:gridCol w:w="368"/>
        <w:gridCol w:w="368"/>
        <w:gridCol w:w="523"/>
      </w:tblGrid>
      <w:tr>
        <w:trPr/>
        <w:tc>
          <w:tcPr>
            <w:tcW w:w="114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Accounting Method</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 (a)</w:t>
            </w:r>
          </w:p>
        </w:tc>
      </w:tr>
      <w:tr>
        <w:trPr/>
        <w:tc>
          <w:tcPr>
            <w:tcW w:w="37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(b):</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(c)</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AtlasEdge JV</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48.5</w:t>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Formula E (d)</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w:t>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nexfibre JV</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All3Media Group (</w:t>
            </w:r>
            <w:r>
              <w:rPr>
                <w:rFonts w:ascii="Times New Roman;sans-serif" w:hAnsi="Times New Roman;sans-serif"/>
                <w:b/>
                <w:color w:val="000000"/>
                <w:sz w:val="20"/>
              </w:rPr>
              <w:t>All3Media</w:t>
            </w:r>
            <w:r>
              <w:rPr>
                <w:rFonts w:ascii="Times New Roman;sans-serif" w:hAnsi="Times New Roman;sans-serif"/>
                <w:b w:val="false"/>
                <w:color w:val="000000"/>
                <w:sz w:val="20"/>
              </w:rPr>
              <w:t>) (e)</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 equity</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Separately-managed accounts (</w:t>
            </w:r>
            <w:r>
              <w:rPr>
                <w:rFonts w:ascii="Times New Roman;sans-serif" w:hAnsi="Times New Roman;sans-serif"/>
                <w:b/>
                <w:color w:val="000000"/>
                <w:sz w:val="20"/>
              </w:rPr>
              <w:t>SMAs</w:t>
            </w:r>
            <w:r>
              <w:rPr>
                <w:rFonts w:ascii="Times New Roman;sans-serif" w:hAnsi="Times New Roman;sans-serif"/>
                <w:b w:val="false"/>
                <w:color w:val="000000"/>
                <w:sz w:val="20"/>
              </w:rPr>
              <w:t>) (f)</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 - subject to re-use rights (g)</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EdgeConneX, Inc. (</w:t>
            </w:r>
            <w:r>
              <w:rPr>
                <w:rFonts w:ascii="Times New Roman;sans-serif" w:hAnsi="Times New Roman;sans-serif"/>
                <w:b/>
                <w:color w:val="000000"/>
                <w:sz w:val="20"/>
              </w:rPr>
              <w:t>EdgeConneX</w:t>
            </w:r>
            <w:r>
              <w:rPr>
                <w:rFonts w:ascii="Times New Roman;sans-serif" w:hAnsi="Times New Roman;sans-serif"/>
                <w:b w:val="false"/>
                <w:color w:val="000000"/>
                <w:sz w:val="20"/>
              </w:rPr>
              <w:t>)</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ITV plc (</w:t>
            </w:r>
            <w:r>
              <w:rPr>
                <w:rFonts w:ascii="Times New Roman;sans-serif" w:hAnsi="Times New Roman;sans-serif"/>
                <w:b/>
                <w:color w:val="000000"/>
                <w:sz w:val="20"/>
              </w:rPr>
              <w:t>ITV</w:t>
            </w:r>
            <w:r>
              <w:rPr>
                <w:rFonts w:ascii="Times New Roman;sans-serif" w:hAnsi="Times New Roman;sans-serif"/>
                <w:b w:val="false"/>
                <w:color w:val="000000"/>
                <w:sz w:val="20"/>
              </w:rPr>
              <w: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Televisa Univision, Inc. (</w:t>
            </w:r>
            <w:r>
              <w:rPr>
                <w:rFonts w:ascii="Times New Roman;sans-serif" w:hAnsi="Times New Roman;sans-serif"/>
                <w:b/>
                <w:color w:val="000000"/>
                <w:sz w:val="20"/>
              </w:rPr>
              <w:t>Televisa Univision</w:t>
            </w:r>
            <w:r>
              <w:rPr>
                <w:rFonts w:ascii="Times New Roman;sans-serif" w:hAnsi="Times New Roman;sans-serif"/>
                <w:b w:val="false"/>
                <w:color w:val="000000"/>
                <w:sz w:val="20"/>
              </w:rPr>
              <w:t>)</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SMAs (f)</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Plume Design, Inc. (</w:t>
            </w:r>
            <w:r>
              <w:rPr>
                <w:rFonts w:ascii="Times New Roman;sans-serif" w:hAnsi="Times New Roman;sans-serif"/>
                <w:b/>
                <w:color w:val="000000"/>
                <w:sz w:val="20"/>
              </w:rPr>
              <w:t>Plume</w:t>
            </w:r>
            <w:r>
              <w:rPr>
                <w:rFonts w:ascii="Times New Roman;sans-serif" w:hAnsi="Times New Roman;sans-serif"/>
                <w:b w:val="false"/>
                <w:color w:val="000000"/>
                <w:sz w:val="20"/>
              </w:rPr>
              <w:t>) (h)</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CANAL+ Polska S.A.</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Pax8, Inc.</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Lions Gate Entertainment Corp. (</w:t>
            </w:r>
            <w:r>
              <w:rPr>
                <w:rFonts w:ascii="Times New Roman;sans-serif" w:hAnsi="Times New Roman;sans-serif"/>
                <w:b/>
                <w:color w:val="000000"/>
                <w:sz w:val="20"/>
              </w:rPr>
              <w:t>Lionsgate</w:t>
            </w:r>
            <w:r>
              <w:rPr>
                <w:rFonts w:ascii="Times New Roman;sans-serif" w:hAnsi="Times New Roman;sans-serif"/>
                <w:b w:val="false"/>
                <w:color w:val="000000"/>
                <w:sz w:val="20"/>
              </w:rPr>
              <w: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Aviatrix Systems, Inc. (</w:t>
            </w:r>
            <w:r>
              <w:rPr>
                <w:rFonts w:ascii="Times New Roman;sans-serif" w:hAnsi="Times New Roman;sans-serif"/>
                <w:b/>
                <w:color w:val="000000"/>
                <w:sz w:val="20"/>
              </w:rPr>
              <w:t>Aviatrix</w:t>
            </w:r>
            <w:r>
              <w:rPr>
                <w:rFonts w:ascii="Times New Roman;sans-serif" w:hAnsi="Times New Roman;sans-serif"/>
                <w:b w:val="false"/>
                <w:color w:val="000000"/>
                <w:sz w:val="20"/>
              </w:rPr>
              <w:t>)</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Lacework, Inc. (</w:t>
            </w:r>
            <w:r>
              <w:rPr>
                <w:rFonts w:ascii="Times New Roman;sans-serif" w:hAnsi="Times New Roman;sans-serif"/>
                <w:b/>
                <w:color w:val="000000"/>
                <w:sz w:val="20"/>
              </w:rPr>
              <w:t>Lacework</w:t>
            </w:r>
            <w:r>
              <w:rPr>
                <w:rFonts w:ascii="Times New Roman;sans-serif" w:hAnsi="Times New Roman;sans-serif"/>
                <w:b w:val="false"/>
                <w:color w:val="000000"/>
                <w:sz w:val="20"/>
              </w:rPr>
              <w:t>) (i)</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 fair value</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(j)</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13,617.0 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(a)Represents our economic ownership based on total shares owned as a percentage of total shares outstanding as of the most recent balance sheet date or the most recent publicly-available information.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 respective fair values. At September 30, 2024 and December 31, 2023, the aggregate carrying amounts of our equity method investments exceeded our proportionate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the respective investee’s net assets by $1,110.8 million and $1,234.7 million, respectively, which primarily includes amounts associated with the VodafoneZiggo JV Receivables, as defined below, and for December 31, 2023, amounts we were owed under long-term notes receivable from All3Media.</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 xml:space="preserve">(c)Amounts include certain notes receivable due from a subsidiary of the VodafoneZiggo JV to a subsidiary of Liberty Global comprising (i) a euro-denominated note receivable with a principal amount of $780.4 million and $774.5 million at September 30, 2024 and December 31, 2023, respectively, (the </w:t>
      </w:r>
      <w:r>
        <w:rPr>
          <w:rFonts w:ascii="Times New Roman;sans-serif" w:hAnsi="Times New Roman;sans-serif"/>
          <w:b/>
          <w:color w:val="000000"/>
          <w:sz w:val="20"/>
        </w:rPr>
        <w:t>VodafoneZiggo JV Receivable I</w:t>
      </w:r>
      <w:r>
        <w:rPr>
          <w:rFonts w:ascii="Times New Roman;sans-serif" w:hAnsi="Times New Roman;sans-serif"/>
          <w:b w:val="false"/>
          <w:color w:val="000000"/>
          <w:sz w:val="20"/>
        </w:rPr>
        <w:t xml:space="preserve">) and (ii) a euro-denominated note receivable with a principal amount of $231.8 million and $230.0 million at September 30, 2024 and December 31, 2023, respectively, (the </w:t>
      </w:r>
      <w:r>
        <w:rPr>
          <w:rFonts w:ascii="Times New Roman;sans-serif" w:hAnsi="Times New Roman;sans-serif"/>
          <w:b/>
          <w:color w:val="000000"/>
          <w:sz w:val="20"/>
        </w:rPr>
        <w:t>VodafoneZiggo JV Receivable II</w:t>
      </w:r>
      <w:r>
        <w:rPr>
          <w:color w:val="000000"/>
        </w:rPr>
        <w:t xml:space="preserve"> </w:t>
      </w:r>
      <w:r>
        <w:rPr>
          <w:rFonts w:ascii="Times New Roman;sans-serif" w:hAnsi="Times New Roman;sans-serif"/>
          <w:b w:val="false"/>
          <w:color w:val="000000"/>
          <w:sz w:val="20"/>
        </w:rPr>
        <w:t xml:space="preserve">and, together with the VodafoneZiggo JV Receivable I, the </w:t>
      </w:r>
      <w:r>
        <w:rPr>
          <w:rFonts w:ascii="Times New Roman;sans-serif" w:hAnsi="Times New Roman;sans-serif"/>
          <w:b/>
          <w:color w:val="000000"/>
          <w:sz w:val="20"/>
        </w:rPr>
        <w:t>VodafoneZiggo JV Receivables</w:t>
      </w:r>
      <w:r>
        <w:rPr>
          <w:rFonts w:ascii="Times New Roman;sans-serif" w:hAnsi="Times New Roman;sans-serif"/>
          <w:b w:val="false"/>
          <w:color w:val="000000"/>
          <w:sz w:val="20"/>
        </w:rPr>
        <w:t>). The VodafoneZiggo JV Receivables bear interest at a rate of 5.55% and have a final maturity date of December 31, 2030. During the nine months ended September 30, 2024, interest accrued on the VodafoneZiggo JV Receivables was $41.7 million, all of which has been cash settled.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(d)Upon the October 2, 2024 closing of the Formula E Acquisition, Liberty Global’s ownership in Formula E increased to 65.6%. For additional information regarding the Formula E Acquisition, see note 4.</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(e)On May 16, 2024, Liberty Global, together with joint owner Warner Bros. Discovery, completed the sale of All3Media to RedBird IMI.</w:t>
      </w:r>
      <w:r>
        <w:rPr>
          <w:color w:val="000000"/>
        </w:rPr>
        <w:t xml:space="preserve"> </w:t>
      </w:r>
      <w:r>
        <w:rPr>
          <w:rFonts w:ascii="Times New Roman;sans-serif" w:hAnsi="Times New Roman;sans-serif"/>
          <w:b w:val="false"/>
          <w:color w:val="000000"/>
          <w:sz w:val="20"/>
        </w:rPr>
        <w:t>We received £330.8 million ($419.3 million at the transaction date) of total cash in connection with the sale, including the repayment of the principal and accrued interest associated with long-term notes receivable from All3Media. We recognized a gain on the sale of All3Media of £212.3 million ($242.9 million at the transaction date).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(f)Represents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With the exception of our SMA in a leveraged structured note, all of our investments held under SMAs were classified as available-for-sale debt securities as of September 30, 2024. Our SMA held in a leveraged structured note is accounted for at fair value and the associated gains or losses are included in realized and unrealized gains (losses) due to changes in fair values of certain investments, net, in our condensed consolidated statements of operations. At September 30, 2024 and December 31, 2023, interest accrued on our debt securities, which is included in other current assets on our condensed consolidated balance sheets, was $21.1 million and $34.6 million, respectively.</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 xml:space="preserve">(g)In connection with our investment in Vodafone, we entered into a share collar (the </w:t>
      </w:r>
      <w:r>
        <w:rPr>
          <w:rFonts w:ascii="Times New Roman;sans-serif" w:hAnsi="Times New Roman;sans-serif"/>
          <w:b/>
          <w:color w:val="000000"/>
          <w:sz w:val="20"/>
        </w:rPr>
        <w:t>Vodafone Collar</w:t>
      </w:r>
      <w:r>
        <w:rPr>
          <w:rFonts w:ascii="Times New Roman;sans-serif" w:hAnsi="Times New Roman;sans-serif"/>
          <w:b w:val="false"/>
          <w:color w:val="000000"/>
          <w:sz w:val="20"/>
        </w:rPr>
        <w:t xml:space="preserve">) with respect to the Vodafone shares held by our company. The aggregate purchase price paid to acquire our investment in Vodafone was partially financed through borrowings under a secured borrowing agreement (the </w:t>
      </w:r>
      <w:r>
        <w:rPr>
          <w:rFonts w:ascii="Times New Roman;sans-serif" w:hAnsi="Times New Roman;sans-serif"/>
          <w:b/>
          <w:color w:val="000000"/>
          <w:sz w:val="20"/>
        </w:rPr>
        <w:t>Vodafone Collar Loan</w:t>
      </w:r>
      <w:r>
        <w:rPr>
          <w:rFonts w:ascii="Times New Roman;sans-serif" w:hAnsi="Times New Roman;sans-serif"/>
          <w:b w:val="false"/>
          <w:color w:val="000000"/>
          <w:sz w:val="20"/>
        </w:rPr>
        <w:t>) collateralized by the Vodafone shares. Under the terms of the Vodafone Collar, the counterparty has the right to re-use pledged Vodafone shares. At September 30, 2024 and December 31, 2023, the net fair value of our investment in Vodafone was $141.6 million and $115.5 million,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(h)Our investment in Plume includes warrants with a fair value of $33.6 million and $61.3 million at September 30, 2024 and December 31, 2023, respectively.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(i)We completed the sale of our investment in Lacework during the third quarter of 2024.</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(j)The purchase and sale of investments are presented on a gross basis in our condensed consolidated statements of cash flows, including amounts associated with SMAs.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details of our share of results of affiliates, net:</w:t>
      </w:r>
    </w:p>
    <w:tbl>
      <w:tblPr>
        <w:tblW w:w="6990" w:type="dxa"/>
        <w:jc w:val="left"/>
        <w:tblInd w:w="0" w:type="dxa"/>
        <w:tblLayout w:type="fixed"/>
        <w:tblCellMar>
          <w:top w:w="28" w:type="dxa"/>
          <w:left w:w="28" w:type="dxa"/>
          <w:bottom w:w="28" w:type="dxa"/>
          <w:right w:w="28" w:type="dxa"/>
        </w:tblCellMar>
      </w:tblPr>
      <w:tblGrid>
        <w:gridCol w:w="695"/>
        <w:gridCol w:w="611"/>
        <w:gridCol w:w="614"/>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 (b)</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AtlasEdge JV</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Formula 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All3Media</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nexfibre JV</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(i) our 50% share of the results of operations of the VodafoneZiggo JV and (ii) 100% of the interest income earned on the VodafoneZiggo JV Receivables.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VMO2 JV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Pursuant to an agreement (the </w:t>
      </w:r>
      <w:r>
        <w:rPr>
          <w:rFonts w:ascii="Times New Roman;sans-serif" w:hAnsi="Times New Roman;sans-serif"/>
          <w:b/>
          <w:color w:val="000000"/>
          <w:sz w:val="20"/>
        </w:rPr>
        <w:t>U.K. JV Framework Agreement</w:t>
      </w:r>
      <w:r>
        <w:rPr>
          <w:rFonts w:ascii="Times New Roman;sans-serif" w:hAnsi="Times New Roman;sans-serif"/>
          <w:b w:val="false"/>
          <w:color w:val="000000"/>
          <w:sz w:val="20"/>
        </w:rPr>
        <w:t xml:space="preserve">), Liberty Global provides certain services to the VMO2 JV on a transitional or ongoing basis (collectively, the </w:t>
      </w:r>
      <w:r>
        <w:rPr>
          <w:rFonts w:ascii="Times New Roman;sans-serif" w:hAnsi="Times New Roman;sans-serif"/>
          <w:b/>
          <w:color w:val="000000"/>
          <w:sz w:val="20"/>
        </w:rPr>
        <w:t>U.K. JV Services</w:t>
      </w:r>
      <w:r>
        <w:rPr>
          <w:rFonts w:ascii="Times New Roman;sans-serif" w:hAnsi="Times New Roman;sans-serif"/>
          <w:b w:val="false"/>
          <w:color w:val="000000"/>
          <w:sz w:val="20"/>
        </w:rPr>
        <w:t>).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provided pursuant to the U.K. JV Framework Agreement. We recorded revenue from the VMO2 JV of $90.8 million and $34.2 million during the three months ended September 30, 2024 and 2023, respectively, and $294.3 million and $155.4 million during the nine months ended September 30, 2024 and 2023, respectively, primarily related to (a) the U.K. JV Services and (b) beginning in 2024, the sale of customer premises equipment (</w:t>
      </w:r>
      <w:r>
        <w:rPr>
          <w:rFonts w:ascii="Times New Roman;sans-serif" w:hAnsi="Times New Roman;sans-serif"/>
          <w:b/>
          <w:color w:val="000000"/>
          <w:sz w:val="20"/>
        </w:rPr>
        <w:t>CPE</w:t>
      </w:r>
      <w:r>
        <w:rPr>
          <w:rFonts w:ascii="Times New Roman;sans-serif" w:hAnsi="Times New Roman;sans-serif"/>
          <w:b w:val="false"/>
          <w:color w:val="000000"/>
          <w:sz w:val="20"/>
        </w:rPr>
        <w:t>) to the VMO2 JV at a mark-up. At September 30, 2024 and December 31, 2023, $45.1 million and $18.6 million, respectively,</w:t>
      </w:r>
      <w:r>
        <w:rPr>
          <w:color w:val="000000"/>
        </w:rPr>
        <w:t xml:space="preserve"> </w:t>
      </w:r>
      <w:r>
        <w:rPr>
          <w:rFonts w:ascii="Times New Roman;sans-serif" w:hAnsi="Times New Roman;sans-serif"/>
          <w:b w:val="false"/>
          <w:color w:val="000000"/>
          <w:sz w:val="20"/>
        </w:rPr>
        <w:t>was due from the VMO2 JV related to the aforementioned transactions. The amounts due from the VMO2 JV, which are periodically cash settled, are included in other current assets on our condensed consolidated balance sheets. In addition, during the nine months ended September 30, 2023, we received dividend distributions from the VMO2 JV aggregating $815.2 million, all of which were accounted for as a return of capital for purposes of our condensed consolidated statement of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summarized results of operations of the VMO2 JV are set forth below:</w:t>
      </w:r>
    </w:p>
    <w:tbl>
      <w:tblPr>
        <w:tblW w:w="8565" w:type="dxa"/>
        <w:jc w:val="left"/>
        <w:tblInd w:w="0" w:type="dxa"/>
        <w:tblLayout w:type="fixed"/>
        <w:tblCellMar>
          <w:top w:w="28" w:type="dxa"/>
          <w:left w:w="28" w:type="dxa"/>
          <w:bottom w:w="28" w:type="dxa"/>
          <w:right w:w="28" w:type="dxa"/>
        </w:tblCellMar>
      </w:tblPr>
      <w:tblGrid>
        <w:gridCol w:w="1079"/>
        <w:gridCol w:w="951"/>
        <w:gridCol w:w="955"/>
        <w:gridCol w:w="211"/>
        <w:gridCol w:w="766"/>
        <w:gridCol w:w="109"/>
        <w:gridCol w:w="109"/>
        <w:gridCol w:w="109"/>
        <w:gridCol w:w="109"/>
        <w:gridCol w:w="211"/>
        <w:gridCol w:w="766"/>
        <w:gridCol w:w="109"/>
        <w:gridCol w:w="109"/>
        <w:gridCol w:w="109"/>
        <w:gridCol w:w="109"/>
        <w:gridCol w:w="211"/>
        <w:gridCol w:w="871"/>
        <w:gridCol w:w="109"/>
        <w:gridCol w:w="109"/>
        <w:gridCol w:w="109"/>
        <w:gridCol w:w="109"/>
        <w:gridCol w:w="211"/>
        <w:gridCol w:w="871"/>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VodafoneZiggo JV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Pursuant to an agreement (the </w:t>
      </w:r>
      <w:r>
        <w:rPr>
          <w:rFonts w:ascii="Times New Roman;sans-serif" w:hAnsi="Times New Roman;sans-serif"/>
          <w:b/>
          <w:color w:val="000000"/>
          <w:sz w:val="20"/>
        </w:rPr>
        <w:t>NL JV Framework Agreement</w:t>
      </w:r>
      <w:r>
        <w:rPr>
          <w:rFonts w:ascii="Times New Roman;sans-serif" w:hAnsi="Times New Roman;sans-serif"/>
          <w:b w:val="false"/>
          <w:color w:val="000000"/>
          <w:sz w:val="20"/>
        </w:rPr>
        <w:t xml:space="preserve">), Liberty Global provides certain services to the VodafoneZiggo JV (collectively, the </w:t>
      </w:r>
      <w:r>
        <w:rPr>
          <w:rFonts w:ascii="Times New Roman;sans-serif" w:hAnsi="Times New Roman;sans-serif"/>
          <w:b/>
          <w:color w:val="000000"/>
          <w:sz w:val="20"/>
        </w:rPr>
        <w:t>NL JV Services</w:t>
      </w:r>
      <w:r>
        <w:rPr>
          <w:rFonts w:ascii="Times New Roman;sans-serif" w:hAnsi="Times New Roman;sans-serif"/>
          <w:b w:val="false"/>
          <w:color w:val="000000"/>
          <w:sz w:val="20"/>
        </w:rPr>
        <w:t>). The NL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NL JV Services provided pursuant to the NL JV Framework Agreement. We recorded revenue from the VodafoneZiggo JV of $42.5 million and $37.3 million during the three months ended September 30, 2024 and 2023, respectively, and $164.2 million and $157.8 million during the nine months ended September 30, 2024 and 2023, respectively, primarily related to (a) the NL JV Services and (b) the sale of CPE</w:t>
      </w:r>
      <w:r>
        <w:rPr>
          <w:color w:val="000000"/>
        </w:rPr>
        <w:t xml:space="preserve"> </w:t>
      </w:r>
      <w:r>
        <w:rPr>
          <w:rFonts w:ascii="Times New Roman;sans-serif" w:hAnsi="Times New Roman;sans-serif"/>
          <w:b w:val="false"/>
          <w:color w:val="000000"/>
          <w:sz w:val="20"/>
        </w:rPr>
        <w:t>to the VodafoneZiggo JV at a mark-up. At September 30, 2024 and December 31, 2023, $22.9 million and $24.2 million,</w:t>
      </w:r>
      <w:r>
        <w:rPr>
          <w:color w:val="000000"/>
        </w:rPr>
        <w:t xml:space="preserve"> </w:t>
      </w:r>
      <w:r>
        <w:rPr>
          <w:rFonts w:ascii="Times New Roman;sans-serif" w:hAnsi="Times New Roman;sans-serif"/>
          <w:b w:val="false"/>
          <w:color w:val="000000"/>
          <w:sz w:val="20"/>
        </w:rPr>
        <w:t>respectively,</w:t>
      </w:r>
      <w:r>
        <w:rPr>
          <w:color w:val="000000"/>
        </w:rPr>
        <w:t xml:space="preserve"> </w:t>
      </w:r>
      <w:r>
        <w:rPr>
          <w:rFonts w:ascii="Times New Roman;sans-serif" w:hAnsi="Times New Roman;sans-serif"/>
          <w:b w:val="false"/>
          <w:color w:val="000000"/>
          <w:sz w:val="20"/>
        </w:rPr>
        <w:t>was due from the VodafoneZiggo JV related to the aforementioned transactions. The amounts due from the VodafoneZiggo JV, which are periodically cash settled, are included in other current assets on our condensed consolidated balance sheets.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summarized results of operations of the VodafoneZiggo JV are set forth below:</w:t>
      </w:r>
    </w:p>
    <w:tbl>
      <w:tblPr>
        <w:tblW w:w="7530" w:type="dxa"/>
        <w:jc w:val="left"/>
        <w:tblInd w:w="0" w:type="dxa"/>
        <w:tblLayout w:type="fixed"/>
        <w:tblCellMar>
          <w:top w:w="28" w:type="dxa"/>
          <w:left w:w="28" w:type="dxa"/>
          <w:bottom w:w="28" w:type="dxa"/>
          <w:right w:w="28" w:type="dxa"/>
        </w:tblCellMar>
      </w:tblPr>
      <w:tblGrid>
        <w:gridCol w:w="781"/>
        <w:gridCol w:w="688"/>
        <w:gridCol w:w="691"/>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Fair Value Investments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details of our realized and unrealized gains (losses) due to changes in fair values of certain investments, net:</w:t>
      </w:r>
    </w:p>
    <w:tbl>
      <w:tblPr>
        <w:tblW w:w="6404" w:type="dxa"/>
        <w:jc w:val="left"/>
        <w:tblInd w:w="0" w:type="dxa"/>
        <w:tblLayout w:type="fixed"/>
        <w:tblCellMar>
          <w:top w:w="28" w:type="dxa"/>
          <w:left w:w="28" w:type="dxa"/>
          <w:bottom w:w="28" w:type="dxa"/>
          <w:right w:w="28" w:type="dxa"/>
        </w:tblCellMar>
      </w:tblPr>
      <w:tblGrid>
        <w:gridCol w:w="602"/>
        <w:gridCol w:w="528"/>
        <w:gridCol w:w="534"/>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91"/>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ITV</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EdgeConneX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Televisa Univision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Lacework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Aviatrix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Pax8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Lionsgate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(a)We completed the sale of our investment in Lacework during the third quarter of 2024.</w:t>
      </w:r>
    </w:p>
    <w:p>
      <w:pPr>
        <w:pStyle w:val="TextBody"/>
        <w:bidi w:val="0"/>
        <w:spacing w:before="10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Securities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a summary of our debt securities at September 30, 2024 and December 31, 2023:</w:t>
      </w:r>
    </w:p>
    <w:tbl>
      <w:tblPr>
        <w:tblW w:w="8039" w:type="dxa"/>
        <w:jc w:val="left"/>
        <w:tblInd w:w="0" w:type="dxa"/>
        <w:tblLayout w:type="fixed"/>
        <w:tblCellMar>
          <w:top w:w="28" w:type="dxa"/>
          <w:left w:w="28" w:type="dxa"/>
          <w:bottom w:w="28" w:type="dxa"/>
          <w:right w:w="28" w:type="dxa"/>
        </w:tblCellMar>
      </w:tblPr>
      <w:tblGrid>
        <w:gridCol w:w="777"/>
        <w:gridCol w:w="682"/>
        <w:gridCol w:w="686"/>
        <w:gridCol w:w="382"/>
        <w:gridCol w:w="1116"/>
        <w:gridCol w:w="197"/>
        <w:gridCol w:w="109"/>
        <w:gridCol w:w="109"/>
        <w:gridCol w:w="109"/>
        <w:gridCol w:w="701"/>
        <w:gridCol w:w="1349"/>
        <w:gridCol w:w="364"/>
        <w:gridCol w:w="109"/>
        <w:gridCol w:w="109"/>
        <w:gridCol w:w="109"/>
        <w:gridCol w:w="211"/>
        <w:gridCol w:w="76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Structured note</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securities</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970.8 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 represents an investment in a leveraged structured note issued by a third-party investment bank, which is accounted for at fair value. The return on the leveraged structured note is based on changes in the fair value of a proportionate amount of debt issued by various Liberty Global consolidated subsidiaries and affiliates (including the VMO2 JV and the VodafoneZiggo JV). The proportionate amount of debt associated with the return on the leveraged structured note may change from time to time as a result of open market purchases, privately negotiated transactions, tender offers, exchange offers, redemptions or prepayments, in each case, completed by Liberty Global consolidated subsidiaries and affiliates. While the structured note itself contains leverage, our at-risk investment is the estimated fair value as reported. During the nine months ended September 30, 2024, we invested an additional $46.6 million and redeemed $31.3 million of the leveraged structured note. At September 30, 2024, the proportionate amount of debt issued by Liberty Global consolidated subsidiaries and affiliates associated with the return on the leveraged structured note is summarized in the following table:</w:t>
      </w:r>
    </w:p>
    <w:tbl>
      <w:tblPr>
        <w:tblW w:w="7796" w:type="dxa"/>
        <w:jc w:val="left"/>
        <w:tblInd w:w="0" w:type="dxa"/>
        <w:tblLayout w:type="fixed"/>
        <w:tblCellMar>
          <w:top w:w="28" w:type="dxa"/>
          <w:left w:w="28" w:type="dxa"/>
          <w:bottom w:w="28" w:type="dxa"/>
          <w:right w:w="28" w:type="dxa"/>
        </w:tblCellMar>
      </w:tblPr>
      <w:tblGrid>
        <w:gridCol w:w="459"/>
        <w:gridCol w:w="404"/>
        <w:gridCol w:w="406"/>
        <w:gridCol w:w="131"/>
        <w:gridCol w:w="131"/>
        <w:gridCol w:w="131"/>
        <w:gridCol w:w="1250"/>
        <w:gridCol w:w="1250"/>
        <w:gridCol w:w="3634"/>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Proportion of debt associated with the return on the leveraged structured note</w:t>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w:t>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50.51 </w:t>
            </w:r>
          </w:p>
        </w:tc>
        <w:tc>
          <w:tcPr>
            <w:tcW w:w="363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23.68 </w:t>
            </w:r>
          </w:p>
        </w:tc>
        <w:tc>
          <w:tcPr>
            <w:tcW w:w="3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6134" w:type="dxa"/>
            <w:gridSpan w:val="3"/>
            <w:tcBorders/>
          </w:tcPr>
          <w:p>
            <w:pPr>
              <w:pStyle w:val="TableContents"/>
              <w:bidi w:val="0"/>
              <w:spacing w:before="0" w:after="283"/>
              <w:jc w:val="left"/>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3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040" w:type="dxa"/>
        <w:jc w:val="left"/>
        <w:tblInd w:w="0" w:type="dxa"/>
        <w:tblLayout w:type="fixed"/>
        <w:tblCellMar>
          <w:top w:w="28" w:type="dxa"/>
          <w:left w:w="28" w:type="dxa"/>
          <w:bottom w:w="28" w:type="dxa"/>
          <w:right w:w="28" w:type="dxa"/>
        </w:tblCellMar>
      </w:tblPr>
      <w:tblGrid>
        <w:gridCol w:w="777"/>
        <w:gridCol w:w="682"/>
        <w:gridCol w:w="686"/>
        <w:gridCol w:w="329"/>
        <w:gridCol w:w="1196"/>
        <w:gridCol w:w="170"/>
        <w:gridCol w:w="109"/>
        <w:gridCol w:w="109"/>
        <w:gridCol w:w="109"/>
        <w:gridCol w:w="686"/>
        <w:gridCol w:w="1371"/>
        <w:gridCol w:w="358"/>
        <w:gridCol w:w="109"/>
        <w:gridCol w:w="109"/>
        <w:gridCol w:w="109"/>
        <w:gridCol w:w="211"/>
        <w:gridCol w:w="76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Structured note</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securities</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 represents an investment in a leveraged structured note issued by a third-party investment bank, which is accounted for at fair value. At December 31, 2023, the proportionate amount of debt issued by Liberty Global consolidated subsidiaries and affiliates associated with the return on the leveraged structured note is summarized in the following table:</w:t>
      </w:r>
    </w:p>
    <w:tbl>
      <w:tblPr>
        <w:tblW w:w="7796" w:type="dxa"/>
        <w:jc w:val="left"/>
        <w:tblInd w:w="0" w:type="dxa"/>
        <w:tblLayout w:type="fixed"/>
        <w:tblCellMar>
          <w:top w:w="28" w:type="dxa"/>
          <w:left w:w="28" w:type="dxa"/>
          <w:bottom w:w="28" w:type="dxa"/>
          <w:right w:w="28" w:type="dxa"/>
        </w:tblCellMar>
      </w:tblPr>
      <w:tblGrid>
        <w:gridCol w:w="459"/>
        <w:gridCol w:w="404"/>
        <w:gridCol w:w="406"/>
        <w:gridCol w:w="131"/>
        <w:gridCol w:w="131"/>
        <w:gridCol w:w="131"/>
        <w:gridCol w:w="1250"/>
        <w:gridCol w:w="1250"/>
        <w:gridCol w:w="3634"/>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Proportion of debt associated with the return on the leveraged structured note</w:t>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w:t>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363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3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3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3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received proceeds from the sale and maturities of debt securities of $0.9 billion and $1.8 billion during the three months ended September 30, 2024 and 2023, respectively, and $3.2 billion and $6.0 billion during the nine months ended September 30, 2024 and 2023, respectively, the majority of which were reinvested in new debt securities held under SMAs. The sale of debt securities resulted in realized net gains (losses) of $4.5 million and ($20.1 million) during the three months ended September 30, 2024 and 2023, respectively, and ($14.6 million) and ($52.8 million) during the nine months ended September 30, 2024 and 2023,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our debt securities as of September 30, 2024 by contractual maturity are shown below (in millions):</w:t>
      </w:r>
    </w:p>
    <w:p>
      <w:pPr>
        <w:pStyle w:val="TextBody"/>
        <w:bidi w:val="0"/>
        <w:spacing w:before="0" w:after="0"/>
        <w:ind w:left="0" w:right="0" w:firstLine="360"/>
        <w:jc w:val="both"/>
        <w:rPr/>
      </w:pPr>
      <w:r>
        <w:rPr/>
      </w:r>
    </w:p>
    <w:tbl>
      <w:tblPr>
        <w:tblW w:w="3170" w:type="dxa"/>
        <w:jc w:val="left"/>
        <w:tblInd w:w="0" w:type="dxa"/>
        <w:tblLayout w:type="fixed"/>
        <w:tblCellMar>
          <w:top w:w="28" w:type="dxa"/>
          <w:left w:w="28" w:type="dxa"/>
          <w:bottom w:w="28" w:type="dxa"/>
          <w:right w:w="28" w:type="dxa"/>
        </w:tblCellMar>
      </w:tblPr>
      <w:tblGrid>
        <w:gridCol w:w="735"/>
        <w:gridCol w:w="647"/>
        <w:gridCol w:w="657"/>
        <w:gridCol w:w="211"/>
        <w:gridCol w:w="766"/>
        <w:gridCol w:w="154"/>
      </w:tblGrid>
      <w:tr>
        <w:trPr/>
        <w:tc>
          <w:tcPr>
            <w:tcW w:w="7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weighted average life of our total debt securities was 0.9 years as of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(6)    </w:t>
      </w:r>
      <w:r>
        <w:rPr>
          <w:rFonts w:ascii="Times New Roman;sans-serif" w:hAnsi="Times New Roman;sans-serif"/>
          <w:b/>
          <w:color w:val="000000"/>
          <w:sz w:val="20"/>
          <w:u w:val="single"/>
        </w:rPr>
        <w:t>Derivative Instruments</w:t>
      </w:r>
    </w:p>
    <w:p>
      <w:pPr>
        <w:pStyle w:val="TextBody"/>
        <w:bidi w:val="0"/>
        <w:spacing w:before="0" w:after="0"/>
        <w:jc w:val="both"/>
        <w:rPr/>
      </w:pPr>
      <w:r>
        <w:rPr/>
      </w:r>
    </w:p>
    <w:p>
      <w:pPr>
        <w:pStyle w:val="TextBody"/>
        <w:bidi w:val="0"/>
        <w:spacing w:lineRule="auto" w:line="276" w:before="0" w:after="0"/>
        <w:ind w:left="0" w:right="0" w:firstLine="360"/>
        <w:jc w:val="both"/>
        <w:rPr/>
      </w:pPr>
      <w:r>
        <w:rPr>
          <w:rFonts w:ascii="Times New Roman;sans-serif" w:hAnsi="Times New Roman;sans-serif"/>
          <w:b w:val="false"/>
          <w:color w:val="000000"/>
          <w:sz w:val="20"/>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publicly-traded securities that we own. In this regard, through our subsidiaries, we have entered into various derivative instruments to manage interest rate exposure and foreign currency exposure primarily with respect to the U.S. dollar (</w:t>
      </w:r>
      <w:r>
        <w:rPr>
          <w:rFonts w:ascii="Times New Roman;sans-serif" w:hAnsi="Times New Roman;sans-serif"/>
          <w:b/>
          <w:color w:val="000000"/>
          <w:sz w:val="20"/>
        </w:rPr>
        <w:t>$</w:t>
      </w:r>
      <w:r>
        <w:rPr>
          <w:rFonts w:ascii="Times New Roman;sans-serif" w:hAnsi="Times New Roman;sans-serif"/>
          <w:b w:val="false"/>
          <w:color w:val="000000"/>
          <w:sz w:val="20"/>
        </w:rPr>
        <w:t>), the euro (</w:t>
      </w:r>
      <w:r>
        <w:rPr>
          <w:color w:val="000000"/>
        </w:rPr>
        <w:t>€</w:t>
      </w:r>
      <w:r>
        <w:rPr>
          <w:rFonts w:ascii="Times New Roman;sans-serif" w:hAnsi="Times New Roman;sans-serif"/>
          <w:b w:val="false"/>
          <w:color w:val="000000"/>
          <w:sz w:val="20"/>
        </w:rPr>
        <w:t>), the British pound sterling (</w:t>
      </w:r>
      <w:r>
        <w:rPr>
          <w:rFonts w:ascii="Times New Roman;sans-serif" w:hAnsi="Times New Roman;sans-serif"/>
          <w:b/>
          <w:color w:val="000000"/>
          <w:sz w:val="20"/>
        </w:rPr>
        <w:t>£</w:t>
      </w:r>
      <w:r>
        <w:rPr>
          <w:rFonts w:ascii="Times New Roman;sans-serif" w:hAnsi="Times New Roman;sans-serif"/>
          <w:b w:val="false"/>
          <w:color w:val="000000"/>
          <w:sz w:val="20"/>
        </w:rPr>
        <w:t>) and the Swiss franc (</w:t>
      </w:r>
      <w:r>
        <w:rPr>
          <w:rFonts w:ascii="Times New Roman;sans-serif" w:hAnsi="Times New Roman;sans-serif"/>
          <w:b/>
          <w:color w:val="000000"/>
          <w:sz w:val="20"/>
        </w:rPr>
        <w:t>CHF</w:t>
      </w:r>
      <w:r>
        <w:rPr>
          <w:rFonts w:ascii="Times New Roman;sans-serif" w:hAnsi="Times New Roman;sans-serif"/>
          <w:b w:val="false"/>
          <w:color w:val="000000"/>
          <w:sz w:val="20"/>
        </w:rPr>
        <w:t>). Generally,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the fair values of our derivative instrument assets and liabilities:</w:t>
      </w:r>
    </w:p>
    <w:tbl>
      <w:tblPr>
        <w:tblW w:w="10205" w:type="dxa"/>
        <w:jc w:val="left"/>
        <w:tblInd w:w="0" w:type="dxa"/>
        <w:tblLayout w:type="fixed"/>
        <w:tblCellMar>
          <w:top w:w="28" w:type="dxa"/>
          <w:left w:w="28" w:type="dxa"/>
          <w:bottom w:w="28" w:type="dxa"/>
          <w:right w:w="28" w:type="dxa"/>
        </w:tblCellMar>
      </w:tblPr>
      <w:tblGrid>
        <w:gridCol w:w="941"/>
        <w:gridCol w:w="830"/>
        <w:gridCol w:w="837"/>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5"/>
      </w:tblGrid>
      <w:tr>
        <w:trPr/>
        <w:tc>
          <w:tcPr>
            <w:tcW w:w="94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9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(a)Our long-term derivative assets and long-term derivative liabilities are included in other assets, net, and other long-term liabilities, respectively, on our condensed consolidated balance sheets.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gains (losses) of $0.4 million and ($6.9 million) during the three months ended September 30, 2024 and 2023, respectively, and ($41.1 million) and $15.3 million during the nine months ended September 30, 2024 and 2023, respectively. These amounts are included in realized and unrealized gains (losses) on derivative instruments, net, in our condensed consolidated statements of operations. For further information regarding our fair value measurements, see note 7.</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(c)Our equity-related derivative instruments include the Vodafone Collar. The fair value of the Vodafone Collar does not include credit risk valuation adjustments as we assume that any losses incurred by our company in the event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nonperformance by the respective counterparty would be, subject to relevant insolvency laws, fully offset against amounts we owe to such counterparty pursuant to the related secured borrowing arrangements.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realized and unrealized gains (losses) on derivative instruments, net, are as follows:</w:t>
      </w:r>
    </w:p>
    <w:tbl>
      <w:tblPr>
        <w:tblW w:w="9165" w:type="dxa"/>
        <w:jc w:val="left"/>
        <w:tblInd w:w="0" w:type="dxa"/>
        <w:tblLayout w:type="fixed"/>
        <w:tblCellMar>
          <w:top w:w="28" w:type="dxa"/>
          <w:left w:w="28" w:type="dxa"/>
          <w:bottom w:w="28" w:type="dxa"/>
          <w:right w:w="28" w:type="dxa"/>
        </w:tblCellMar>
      </w:tblPr>
      <w:tblGrid>
        <w:gridCol w:w="1565"/>
        <w:gridCol w:w="1374"/>
        <w:gridCol w:w="1381"/>
        <w:gridCol w:w="211"/>
        <w:gridCol w:w="69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inflows of our derivative instruments:</w:t>
      </w:r>
    </w:p>
    <w:tbl>
      <w:tblPr>
        <w:tblW w:w="3984" w:type="dxa"/>
        <w:jc w:val="left"/>
        <w:tblInd w:w="0" w:type="dxa"/>
        <w:tblLayout w:type="fixed"/>
        <w:tblCellMar>
          <w:top w:w="28" w:type="dxa"/>
          <w:left w:w="28" w:type="dxa"/>
          <w:bottom w:w="28" w:type="dxa"/>
          <w:right w:w="28" w:type="dxa"/>
        </w:tblCellMar>
      </w:tblPr>
      <w:tblGrid>
        <w:gridCol w:w="630"/>
        <w:gridCol w:w="553"/>
        <w:gridCol w:w="557"/>
        <w:gridCol w:w="211"/>
        <w:gridCol w:w="616"/>
        <w:gridCol w:w="109"/>
        <w:gridCol w:w="109"/>
        <w:gridCol w:w="109"/>
        <w:gridCol w:w="109"/>
        <w:gridCol w:w="211"/>
        <w:gridCol w:w="61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Counterparty Credit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September 30, 2024, our exposure to counterparty credit risk included derivative assets with an aggregate fair value of $121.5 million.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Details of our Derivative Instruments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Cross-currency Swap Contracts</w:t>
      </w:r>
    </w:p>
    <w:p>
      <w:pPr>
        <w:pStyle w:val="TextBody"/>
        <w:bidi w:val="0"/>
        <w:spacing w:before="0" w:after="0"/>
        <w:ind w:left="0" w:right="0" w:firstLine="180"/>
        <w:jc w:val="both"/>
        <w:rPr/>
      </w:pPr>
      <w:r>
        <w:rPr/>
      </w:r>
    </w:p>
    <w:p>
      <w:pPr>
        <w:pStyle w:val="TextBody"/>
        <w:bidi w:val="0"/>
        <w:spacing w:lineRule="auto" w:line="288" w:before="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September 30, 2024,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September 30, 2024: </w:t>
      </w:r>
    </w:p>
    <w:tbl>
      <w:tblPr>
        <w:tblW w:w="8811" w:type="dxa"/>
        <w:jc w:val="left"/>
        <w:tblInd w:w="0" w:type="dxa"/>
        <w:tblLayout w:type="fixed"/>
        <w:tblCellMar>
          <w:top w:w="28" w:type="dxa"/>
          <w:left w:w="28" w:type="dxa"/>
          <w:bottom w:w="28" w:type="dxa"/>
          <w:right w:w="28" w:type="dxa"/>
        </w:tblCellMar>
      </w:tblPr>
      <w:tblGrid>
        <w:gridCol w:w="266"/>
        <w:gridCol w:w="233"/>
        <w:gridCol w:w="233"/>
        <w:gridCol w:w="233"/>
        <w:gridCol w:w="233"/>
        <w:gridCol w:w="240"/>
        <w:gridCol w:w="317"/>
        <w:gridCol w:w="317"/>
        <w:gridCol w:w="317"/>
        <w:gridCol w:w="394"/>
        <w:gridCol w:w="372"/>
        <w:gridCol w:w="319"/>
        <w:gridCol w:w="109"/>
        <w:gridCol w:w="109"/>
        <w:gridCol w:w="109"/>
        <w:gridCol w:w="186"/>
        <w:gridCol w:w="186"/>
        <w:gridCol w:w="186"/>
        <w:gridCol w:w="383"/>
        <w:gridCol w:w="383"/>
        <w:gridCol w:w="186"/>
        <w:gridCol w:w="186"/>
        <w:gridCol w:w="186"/>
        <w:gridCol w:w="192"/>
        <w:gridCol w:w="109"/>
        <w:gridCol w:w="109"/>
        <w:gridCol w:w="109"/>
        <w:gridCol w:w="762"/>
        <w:gridCol w:w="762"/>
        <w:gridCol w:w="1085"/>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w:t>
              <w:br/>
              <w:t xml:space="preserve">due from counterparty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Notional amount </w:t>
              <w:br/>
              <w:t xml:space="preserve">due to counterparty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life</w:t>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CHF</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CHF</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certain derivative instruments that are “forward-starting,” such that the initial exchange occurs at a date subsequent to September 30, 2024. These instruments are typically entered into in order to extend existing hedges without the need to amend existing contracts.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(b)Includes certain derivative instruments that do not involve the exchange of notional amounts at the inception and maturity of the instruments. Accordingly, the only cash flows associated with these derivative instruments are coupon-related payments and receipts.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Interest Rate Swap Contracts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U.S. dollar equivalents of the notional amounts and the related weighted average remaining contractual lives of our interest rate swap contracts at September 30, 2024:</w:t>
      </w:r>
    </w:p>
    <w:tbl>
      <w:tblPr>
        <w:tblW w:w="10205" w:type="dxa"/>
        <w:jc w:val="left"/>
        <w:tblInd w:w="0" w:type="dxa"/>
        <w:tblLayout w:type="fixed"/>
        <w:tblCellMar>
          <w:top w:w="28" w:type="dxa"/>
          <w:left w:w="28" w:type="dxa"/>
          <w:bottom w:w="28" w:type="dxa"/>
          <w:right w:w="28" w:type="dxa"/>
        </w:tblCellMar>
      </w:tblPr>
      <w:tblGrid>
        <w:gridCol w:w="460"/>
        <w:gridCol w:w="404"/>
        <w:gridCol w:w="407"/>
        <w:gridCol w:w="211"/>
        <w:gridCol w:w="766"/>
        <w:gridCol w:w="109"/>
        <w:gridCol w:w="143"/>
        <w:gridCol w:w="143"/>
        <w:gridCol w:w="143"/>
        <w:gridCol w:w="143"/>
        <w:gridCol w:w="143"/>
        <w:gridCol w:w="148"/>
        <w:gridCol w:w="120"/>
        <w:gridCol w:w="120"/>
        <w:gridCol w:w="121"/>
        <w:gridCol w:w="708"/>
        <w:gridCol w:w="708"/>
        <w:gridCol w:w="710"/>
        <w:gridCol w:w="211"/>
        <w:gridCol w:w="766"/>
        <w:gridCol w:w="109"/>
        <w:gridCol w:w="143"/>
        <w:gridCol w:w="143"/>
        <w:gridCol w:w="143"/>
        <w:gridCol w:w="143"/>
        <w:gridCol w:w="143"/>
        <w:gridCol w:w="148"/>
        <w:gridCol w:w="125"/>
        <w:gridCol w:w="125"/>
        <w:gridCol w:w="121"/>
        <w:gridCol w:w="634"/>
        <w:gridCol w:w="634"/>
        <w:gridCol w:w="910"/>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Pays fixed rate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Receives fixed rate</w:t>
            </w:r>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6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br/>
              <w:t>amount</w:t>
            </w:r>
          </w:p>
        </w:tc>
        <w:tc>
          <w:tcPr>
            <w:tcW w:w="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life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br/>
              <w:t>amount</w:t>
            </w:r>
          </w:p>
        </w:tc>
        <w:tc>
          <w:tcPr>
            <w:tcW w:w="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life</w:t>
            </w:r>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71"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tcPr>
          <w:p>
            <w:pPr>
              <w:pStyle w:val="TableContents"/>
              <w:bidi w:val="0"/>
              <w:spacing w:before="0" w:after="283"/>
              <w:jc w:val="left"/>
              <w:rPr>
                <w:sz w:val="4"/>
                <w:szCs w:val="4"/>
              </w:rPr>
            </w:pPr>
            <w:r>
              <w:rPr>
                <w:sz w:val="4"/>
                <w:szCs w:val="4"/>
              </w:rPr>
            </w:r>
          </w:p>
        </w:tc>
      </w:tr>
      <w:tr>
        <w:trPr/>
        <w:tc>
          <w:tcPr>
            <w:tcW w:w="12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71"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r>
      <w:tr>
        <w:trPr/>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178" w:type="dxa"/>
            <w:gridSpan w:val="3"/>
            <w:tcBorders/>
          </w:tcPr>
          <w:p>
            <w:pPr>
              <w:pStyle w:val="TableContents"/>
              <w:bidi w:val="0"/>
              <w:spacing w:before="0" w:after="283"/>
              <w:jc w:val="left"/>
              <w:rPr>
                <w:sz w:val="4"/>
                <w:szCs w:val="4"/>
              </w:rPr>
            </w:pPr>
            <w:r>
              <w:rPr>
                <w:sz w:val="4"/>
                <w:szCs w:val="4"/>
              </w:rPr>
            </w:r>
          </w:p>
        </w:tc>
      </w:tr>
      <w:tr>
        <w:trPr/>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178" w:type="dxa"/>
            <w:gridSpan w:val="3"/>
            <w:tcBorders/>
          </w:tcPr>
          <w:p>
            <w:pPr>
              <w:pStyle w:val="TableContents"/>
              <w:bidi w:val="0"/>
              <w:spacing w:before="0" w:after="283"/>
              <w:jc w:val="left"/>
              <w:rPr>
                <w:sz w:val="4"/>
                <w:szCs w:val="4"/>
              </w:rPr>
            </w:pPr>
            <w:r>
              <w:rPr>
                <w:sz w:val="4"/>
                <w:szCs w:val="4"/>
              </w:rPr>
            </w:r>
          </w:p>
        </w:tc>
      </w:tr>
      <w:tr>
        <w:trPr/>
        <w:tc>
          <w:tcPr>
            <w:tcW w:w="12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71"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r>
      <w:tr>
        <w:trPr/>
        <w:tc>
          <w:tcPr>
            <w:tcW w:w="12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434" w:type="dxa"/>
            <w:gridSpan w:val="3"/>
            <w:tcBorders/>
            <w:vAlign w:val="center"/>
          </w:tcPr>
          <w:p>
            <w:pPr>
              <w:pStyle w:val="TableContents"/>
              <w:bidi w:val="0"/>
              <w:spacing w:before="0" w:after="283"/>
              <w:jc w:val="left"/>
              <w:rPr>
                <w:sz w:val="4"/>
                <w:szCs w:val="4"/>
              </w:rPr>
            </w:pPr>
            <w:r>
              <w:rPr>
                <w:sz w:val="4"/>
                <w:szCs w:val="4"/>
              </w:rPr>
            </w:r>
          </w:p>
        </w:tc>
        <w:tc>
          <w:tcPr>
            <w:tcW w:w="371"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forward-starting derivative instruments.</w:t>
      </w:r>
    </w:p>
    <w:p>
      <w:pPr>
        <w:pStyle w:val="TextBody"/>
        <w:bidi w:val="0"/>
        <w:spacing w:before="0" w:after="0"/>
        <w:ind w:left="0" w:right="0" w:hanging="180"/>
        <w:jc w:val="both"/>
        <w:rPr/>
      </w:pPr>
      <w:r>
        <w:rPr/>
      </w:r>
    </w:p>
    <w:p>
      <w:pPr>
        <w:pStyle w:val="TextBody"/>
        <w:bidi w:val="0"/>
        <w:spacing w:before="0" w:after="0"/>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Interest Rate Swap Options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have entered into various interest rate swap options (</w:t>
      </w:r>
      <w:r>
        <w:rPr>
          <w:rFonts w:ascii="Times New Roman;sans-serif" w:hAnsi="Times New Roman;sans-serif"/>
          <w:b/>
          <w:color w:val="000000"/>
          <w:sz w:val="20"/>
        </w:rPr>
        <w:t>swaptions</w:t>
      </w:r>
      <w:r>
        <w:rPr>
          <w:rFonts w:ascii="Times New Roman;sans-serif" w:hAnsi="Times New Roman;sans-serif"/>
          <w:b w:val="false"/>
          <w:color w:val="000000"/>
          <w:sz w:val="20"/>
        </w:rPr>
        <w:t>), which give either us or the bank the right, but not the obligation, to enter into certain interest rate swap contracts at set dates in the future, with each such contract having a life of no more than five years. At the transaction date, where we have bought the swaption, the strike rate of the contract was above the corresponding market rate. Where the bank has bought the swaption, the strike rate was below the corresponding market rate. The following table sets forth certain information regarding our swaptions at September 30, 2024:</w:t>
      </w:r>
    </w:p>
    <w:tbl>
      <w:tblPr>
        <w:tblW w:w="10205" w:type="dxa"/>
        <w:jc w:val="left"/>
        <w:tblInd w:w="0" w:type="dxa"/>
        <w:tblLayout w:type="fixed"/>
        <w:tblCellMar>
          <w:top w:w="28" w:type="dxa"/>
          <w:left w:w="28" w:type="dxa"/>
          <w:bottom w:w="28" w:type="dxa"/>
          <w:right w:w="28" w:type="dxa"/>
        </w:tblCellMar>
      </w:tblPr>
      <w:tblGrid>
        <w:gridCol w:w="388"/>
        <w:gridCol w:w="342"/>
        <w:gridCol w:w="346"/>
        <w:gridCol w:w="256"/>
        <w:gridCol w:w="931"/>
        <w:gridCol w:w="132"/>
        <w:gridCol w:w="109"/>
        <w:gridCol w:w="109"/>
        <w:gridCol w:w="109"/>
        <w:gridCol w:w="606"/>
        <w:gridCol w:w="606"/>
        <w:gridCol w:w="608"/>
        <w:gridCol w:w="109"/>
        <w:gridCol w:w="109"/>
        <w:gridCol w:w="109"/>
        <w:gridCol w:w="955"/>
        <w:gridCol w:w="955"/>
        <w:gridCol w:w="959"/>
        <w:gridCol w:w="109"/>
        <w:gridCol w:w="109"/>
        <w:gridCol w:w="109"/>
        <w:gridCol w:w="623"/>
        <w:gridCol w:w="623"/>
        <w:gridCol w:w="894"/>
      </w:tblGrid>
      <w:tr>
        <w:trPr/>
        <w:tc>
          <w:tcPr>
            <w:tcW w:w="3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Underlying swap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option expiration period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strike rate (b)</w:t>
            </w:r>
          </w:p>
        </w:tc>
      </w:tr>
      <w:tr>
        <w:trPr/>
        <w:tc>
          <w:tcPr>
            <w:tcW w:w="107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position</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position</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the weighted average period until the date on which we have the option to enter into the interest rate swap contracts.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the weighted average interest rate that we would pay if either we or our counterparties exercised our respective options to enter into the interest rate swap contracts.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Basis Swaps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September 30, 2024:</w:t>
      </w:r>
    </w:p>
    <w:tbl>
      <w:tblPr>
        <w:tblW w:w="7584" w:type="dxa"/>
        <w:jc w:val="left"/>
        <w:tblInd w:w="0" w:type="dxa"/>
        <w:tblLayout w:type="fixed"/>
        <w:tblCellMar>
          <w:top w:w="28" w:type="dxa"/>
          <w:left w:w="28" w:type="dxa"/>
          <w:bottom w:w="28" w:type="dxa"/>
          <w:right w:w="28" w:type="dxa"/>
        </w:tblCellMar>
      </w:tblPr>
      <w:tblGrid>
        <w:gridCol w:w="266"/>
        <w:gridCol w:w="233"/>
        <w:gridCol w:w="233"/>
        <w:gridCol w:w="233"/>
        <w:gridCol w:w="233"/>
        <w:gridCol w:w="240"/>
        <w:gridCol w:w="621"/>
        <w:gridCol w:w="2263"/>
        <w:gridCol w:w="326"/>
        <w:gridCol w:w="109"/>
        <w:gridCol w:w="109"/>
        <w:gridCol w:w="109"/>
        <w:gridCol w:w="762"/>
        <w:gridCol w:w="762"/>
        <w:gridCol w:w="1085"/>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due from 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life</w:t>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tcPr>
          <w:p>
            <w:pPr>
              <w:pStyle w:val="TableContents"/>
              <w:bidi w:val="0"/>
              <w:spacing w:before="0" w:after="283"/>
              <w:jc w:val="left"/>
              <w:rPr>
                <w:sz w:val="4"/>
                <w:szCs w:val="4"/>
              </w:rPr>
            </w:pPr>
            <w:r>
              <w:rPr>
                <w:sz w:val="4"/>
                <w:szCs w:val="4"/>
              </w:rPr>
            </w:r>
          </w:p>
        </w:tc>
      </w:tr>
      <w:tr>
        <w:trPr/>
        <w:tc>
          <w:tcPr>
            <w:tcW w:w="732"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r>
      <w:tr>
        <w:trPr/>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r>
      <w:tr>
        <w:trPr/>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r>
    </w:tbl>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Interest Rate Caps, Floors and Collars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September 30, 2024, we had no interest rate collar agreements, and the total U.S. dollar equivalents of the notional amounts of our purchased interest rate caps and floors were $1.3 billion</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$4.5 billion, respectively.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Impact of Derivative Instruments on Borrowing Costs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impact of the derivative instruments that mitigate our foreign currency and interest rate risk, as described above, on our borrowing costs is as follows: </w:t>
      </w:r>
    </w:p>
    <w:tbl>
      <w:tblPr>
        <w:tblW w:w="6208" w:type="dxa"/>
        <w:jc w:val="left"/>
        <w:tblInd w:w="0" w:type="dxa"/>
        <w:tblLayout w:type="fixed"/>
        <w:tblCellMar>
          <w:top w:w="28" w:type="dxa"/>
          <w:left w:w="28" w:type="dxa"/>
          <w:bottom w:w="28" w:type="dxa"/>
          <w:right w:w="28" w:type="dxa"/>
        </w:tblCellMar>
      </w:tblPr>
      <w:tblGrid>
        <w:gridCol w:w="524"/>
        <w:gridCol w:w="459"/>
        <w:gridCol w:w="459"/>
        <w:gridCol w:w="459"/>
        <w:gridCol w:w="459"/>
        <w:gridCol w:w="473"/>
        <w:gridCol w:w="688"/>
        <w:gridCol w:w="688"/>
        <w:gridCol w:w="1999"/>
      </w:tblGrid>
      <w:tr>
        <w:trPr/>
        <w:tc>
          <w:tcPr>
            <w:tcW w:w="52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Decrease to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borrowing costs at September 30, 2024 (a)</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3375" w:type="dxa"/>
            <w:gridSpan w:val="3"/>
            <w:tcBorders/>
          </w:tcPr>
          <w:p>
            <w:pPr>
              <w:pStyle w:val="TableContents"/>
              <w:bidi w:val="0"/>
              <w:spacing w:before="0" w:after="283"/>
              <w:jc w:val="left"/>
              <w:rPr>
                <w:sz w:val="4"/>
                <w:szCs w:val="4"/>
              </w:rPr>
            </w:pPr>
            <w:r>
              <w:rPr>
                <w:sz w:val="4"/>
                <w:szCs w:val="4"/>
              </w:rPr>
            </w:r>
          </w:p>
        </w:tc>
      </w:tr>
      <w:tr>
        <w:trPr/>
        <w:tc>
          <w:tcPr>
            <w:tcW w:w="28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99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99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decrease to borrowing costs</w:t>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the effect of derivative instruments in effect at September 30, 2024 and does not include forward-starting derivative instruments or swaptions.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Foreign Currency Forwards and Options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enter into foreign currency forward and option contracts with respect to non-functional currency exposure. As of September 30, 2024, the total U.S. dollar equivalent of the notional amounts of our foreign currency forward and option contracts was $2.6 billion.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(7)    </w:t>
      </w:r>
      <w:r>
        <w:rPr>
          <w:rFonts w:ascii="Times New Roman;sans-serif" w:hAnsi="Times New Roman;sans-serif"/>
          <w:b/>
          <w:color w:val="000000"/>
          <w:sz w:val="20"/>
          <w:u w:val="single"/>
        </w:rPr>
        <w:t>Fair Value Measurements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the fair value method to account for (i) certain of our investments and (ii) our derivative instruments. The reported fair values of these investments and derivative instruments as of September 30, 2024 are unlikely to represent the value that will be paid or received upon the ultimate settlement or disposition of these assets and liabilities.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 contracts are quantified and further explained in note 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measurements are also used for nonrecurring valuations performed in connection with acquisition accounting and impairment assessments. These nonrecurring valuations include the valuation of reporting units, customer relationships and other intangible assets, property and equipment and the implied value of goodwill. The valuation of reporting units is based on an income-based approach (discounted cash flows) using assumptions in our long-range business plans or a market-based approach (current multiples of comparable public companies and guideline transactions) and, in some cases, a combination of an income-based approach and a market-based approach.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16),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pPr>
      <w:r>
        <w:rPr>
          <w:rFonts w:ascii="Times New Roman;sans-serif" w:hAnsi="Times New Roman;sans-serif"/>
          <w:b w:val="false"/>
          <w:color w:val="000000"/>
          <w:sz w:val="20"/>
        </w:rPr>
        <w:t>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nine months ended September 30, 2024 we did not perform any significant nonrecurring fair value measurements.</w:t>
      </w:r>
      <w:r>
        <w:rPr>
          <w:color w:val="000000"/>
        </w:rPr>
        <w:t xml:space="preserve"> </w:t>
      </w:r>
      <w:r>
        <w:rPr>
          <w:rFonts w:ascii="Times New Roman;sans-serif" w:hAnsi="Times New Roman;sans-serif"/>
          <w:b w:val="false"/>
          <w:color w:val="000000"/>
          <w:sz w:val="20"/>
        </w:rPr>
        <w:t>During the</w:t>
      </w:r>
      <w:r>
        <w:rPr>
          <w:color w:val="000000"/>
        </w:rPr>
        <w:t xml:space="preserve"> </w:t>
      </w:r>
      <w:r>
        <w:rPr>
          <w:rFonts w:ascii="Times New Roman;sans-serif" w:hAnsi="Times New Roman;sans-serif"/>
          <w:b w:val="false"/>
          <w:color w:val="000000"/>
          <w:sz w:val="20"/>
        </w:rPr>
        <w:t>nine months ended September 30, 2023, we performed a nonrecurring valuation in association with the Telenet Wyre Transaction. The tangible asset value of the cable infrastructure contributed by Fluvius was based on the depreciated replacement cost method with a range of estimated useful lives up to 19 years.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concerning our fair value measurements, see note 9 to the consolidated financial statements included in our 2023 10-K.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assets and liabilities that are measured at fair value on a recurring basis is as follows:</w:t>
      </w:r>
    </w:p>
    <w:tbl>
      <w:tblPr>
        <w:tblW w:w="10205" w:type="dxa"/>
        <w:jc w:val="left"/>
        <w:tblInd w:w="0" w:type="dxa"/>
        <w:tblLayout w:type="fixed"/>
        <w:tblCellMar>
          <w:top w:w="28" w:type="dxa"/>
          <w:left w:w="28" w:type="dxa"/>
          <w:bottom w:w="28" w:type="dxa"/>
          <w:right w:w="28" w:type="dxa"/>
        </w:tblCellMar>
      </w:tblPr>
      <w:tblGrid>
        <w:gridCol w:w="670"/>
        <w:gridCol w:w="587"/>
        <w:gridCol w:w="591"/>
        <w:gridCol w:w="199"/>
        <w:gridCol w:w="199"/>
        <w:gridCol w:w="199"/>
        <w:gridCol w:w="219"/>
        <w:gridCol w:w="796"/>
        <w:gridCol w:w="113"/>
        <w:gridCol w:w="109"/>
        <w:gridCol w:w="109"/>
        <w:gridCol w:w="109"/>
        <w:gridCol w:w="429"/>
        <w:gridCol w:w="1561"/>
        <w:gridCol w:w="225"/>
        <w:gridCol w:w="109"/>
        <w:gridCol w:w="109"/>
        <w:gridCol w:w="109"/>
        <w:gridCol w:w="334"/>
        <w:gridCol w:w="1213"/>
        <w:gridCol w:w="172"/>
        <w:gridCol w:w="109"/>
        <w:gridCol w:w="109"/>
        <w:gridCol w:w="109"/>
        <w:gridCol w:w="318"/>
        <w:gridCol w:w="1158"/>
        <w:gridCol w:w="241"/>
      </w:tblGrid>
      <w:tr>
        <w:trPr/>
        <w:tc>
          <w:tcPr>
            <w:tcW w:w="67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 2024 using:</w:t>
            </w:r>
          </w:p>
        </w:tc>
      </w:tr>
      <w:tr>
        <w:trPr/>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 in active markets 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other 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unobservable inputs</w:t>
              <w:br/>
              <w:t>(Level 3)</w:t>
            </w:r>
          </w:p>
        </w:tc>
      </w:tr>
      <w:tr>
        <w:trPr/>
        <w:tc>
          <w:tcPr>
            <w:tcW w:w="1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instruments</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tcPr>
          <w:p>
            <w:pPr>
              <w:pStyle w:val="TableContents"/>
              <w:bidi w:val="0"/>
              <w:spacing w:before="0" w:after="283"/>
              <w:jc w:val="left"/>
              <w:rPr>
                <w:sz w:val="4"/>
                <w:szCs w:val="4"/>
              </w:rPr>
            </w:pPr>
            <w:r>
              <w:rPr>
                <w:sz w:val="4"/>
                <w:szCs w:val="4"/>
              </w:rPr>
            </w:r>
          </w:p>
        </w:tc>
      </w:tr>
      <w:tr>
        <w:trPr/>
        <w:tc>
          <w:tcPr>
            <w:tcW w:w="1848"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tcPr>
          <w:p>
            <w:pPr>
              <w:pStyle w:val="TableContents"/>
              <w:bidi w:val="0"/>
              <w:spacing w:before="0" w:after="283"/>
              <w:jc w:val="left"/>
              <w:rPr>
                <w:sz w:val="4"/>
                <w:szCs w:val="4"/>
              </w:rPr>
            </w:pPr>
            <w:r>
              <w:rPr>
                <w:sz w:val="4"/>
                <w:szCs w:val="4"/>
              </w:rPr>
            </w:r>
          </w:p>
        </w:tc>
      </w:tr>
      <w:tr>
        <w:trPr/>
        <w:tc>
          <w:tcPr>
            <w:tcW w:w="1848"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tcPr>
          <w:p>
            <w:pPr>
              <w:pStyle w:val="TableContents"/>
              <w:bidi w:val="0"/>
              <w:spacing w:before="0" w:after="283"/>
              <w:jc w:val="left"/>
              <w:rPr>
                <w:sz w:val="4"/>
                <w:szCs w:val="4"/>
              </w:rPr>
            </w:pPr>
            <w:r>
              <w:rPr>
                <w:sz w:val="4"/>
                <w:szCs w:val="4"/>
              </w:rPr>
            </w:r>
          </w:p>
        </w:tc>
      </w:tr>
      <w:tr>
        <w:trPr/>
        <w:tc>
          <w:tcPr>
            <w:tcW w:w="24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59"/>
        <w:gridCol w:w="577"/>
        <w:gridCol w:w="581"/>
        <w:gridCol w:w="196"/>
        <w:gridCol w:w="196"/>
        <w:gridCol w:w="196"/>
        <w:gridCol w:w="242"/>
        <w:gridCol w:w="882"/>
        <w:gridCol w:w="125"/>
        <w:gridCol w:w="109"/>
        <w:gridCol w:w="109"/>
        <w:gridCol w:w="109"/>
        <w:gridCol w:w="421"/>
        <w:gridCol w:w="1534"/>
        <w:gridCol w:w="221"/>
        <w:gridCol w:w="109"/>
        <w:gridCol w:w="109"/>
        <w:gridCol w:w="109"/>
        <w:gridCol w:w="329"/>
        <w:gridCol w:w="1197"/>
        <w:gridCol w:w="170"/>
        <w:gridCol w:w="109"/>
        <w:gridCol w:w="109"/>
        <w:gridCol w:w="109"/>
        <w:gridCol w:w="315"/>
        <w:gridCol w:w="1145"/>
        <w:gridCol w:w="238"/>
      </w:tblGrid>
      <w:tr>
        <w:trPr/>
        <w:tc>
          <w:tcPr>
            <w:tcW w:w="6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 using:</w:t>
            </w:r>
          </w:p>
        </w:tc>
      </w:tr>
      <w:tr>
        <w:trPr/>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 in active markets 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other 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unobservable inputs</w:t>
              <w:br/>
              <w:t>(Level 3)</w:t>
            </w:r>
          </w:p>
        </w:tc>
      </w:tr>
      <w:tr>
        <w:trPr/>
        <w:tc>
          <w:tcPr>
            <w:tcW w:w="1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instruments</w:t>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1,563.1 </w:t>
            </w:r>
          </w:p>
        </w:tc>
        <w:tc>
          <w:tcPr>
            <w:tcW w:w="23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1,873.8 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3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r>
      <w:tr>
        <w:trPr/>
        <w:tc>
          <w:tcPr>
            <w:tcW w:w="181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tcPr>
          <w:p>
            <w:pPr>
              <w:pStyle w:val="TableContents"/>
              <w:bidi w:val="0"/>
              <w:spacing w:before="0" w:after="283"/>
              <w:jc w:val="left"/>
              <w:rPr>
                <w:sz w:val="4"/>
                <w:szCs w:val="4"/>
              </w:rPr>
            </w:pPr>
            <w:r>
              <w:rPr>
                <w:sz w:val="4"/>
                <w:szCs w:val="4"/>
              </w:rPr>
            </w:r>
          </w:p>
        </w:tc>
      </w:tr>
      <w:tr>
        <w:trPr/>
        <w:tc>
          <w:tcPr>
            <w:tcW w:w="181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tcPr>
          <w:p>
            <w:pPr>
              <w:pStyle w:val="TableContents"/>
              <w:bidi w:val="0"/>
              <w:spacing w:before="0" w:after="283"/>
              <w:jc w:val="left"/>
              <w:rPr>
                <w:sz w:val="4"/>
                <w:szCs w:val="4"/>
              </w:rPr>
            </w:pPr>
            <w:r>
              <w:rPr>
                <w:sz w:val="4"/>
                <w:szCs w:val="4"/>
              </w:rPr>
            </w:r>
          </w:p>
        </w:tc>
      </w:tr>
      <w:tr>
        <w:trPr/>
        <w:tc>
          <w:tcPr>
            <w:tcW w:w="24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our assets and liabilities measured at fair value on a recurring basis using significant unobservable, or Level 3, inputs is as follows:</w:t>
      </w:r>
    </w:p>
    <w:tbl>
      <w:tblPr>
        <w:tblW w:w="10205" w:type="dxa"/>
        <w:jc w:val="left"/>
        <w:tblInd w:w="0" w:type="dxa"/>
        <w:tblLayout w:type="fixed"/>
        <w:tblCellMar>
          <w:top w:w="28" w:type="dxa"/>
          <w:left w:w="28" w:type="dxa"/>
          <w:bottom w:w="28" w:type="dxa"/>
          <w:right w:w="28" w:type="dxa"/>
        </w:tblCellMar>
      </w:tblPr>
      <w:tblGrid>
        <w:gridCol w:w="2205"/>
        <w:gridCol w:w="1839"/>
        <w:gridCol w:w="1854"/>
        <w:gridCol w:w="211"/>
        <w:gridCol w:w="766"/>
        <w:gridCol w:w="109"/>
        <w:gridCol w:w="109"/>
        <w:gridCol w:w="109"/>
        <w:gridCol w:w="109"/>
        <w:gridCol w:w="109"/>
        <w:gridCol w:w="109"/>
        <w:gridCol w:w="274"/>
        <w:gridCol w:w="800"/>
        <w:gridCol w:w="142"/>
        <w:gridCol w:w="109"/>
        <w:gridCol w:w="109"/>
        <w:gridCol w:w="109"/>
        <w:gridCol w:w="211"/>
        <w:gridCol w:w="766"/>
        <w:gridCol w:w="156"/>
      </w:tblGrid>
      <w:tr>
        <w:trPr/>
        <w:tc>
          <w:tcPr>
            <w:tcW w:w="220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Equity-related</w:t>
              <w:b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7"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460" w:type="dxa"/>
            <w:gridSpan w:val="6"/>
            <w:tcBorders/>
          </w:tcPr>
          <w:p>
            <w:pPr>
              <w:pStyle w:val="TableContents"/>
              <w:bidi w:val="0"/>
              <w:spacing w:before="0" w:after="283"/>
              <w:jc w:val="left"/>
              <w:rPr>
                <w:sz w:val="4"/>
                <w:szCs w:val="4"/>
              </w:rPr>
            </w:pPr>
            <w:r>
              <w:rPr>
                <w:sz w:val="4"/>
                <w:szCs w:val="4"/>
              </w:rPr>
            </w:r>
          </w:p>
        </w:tc>
      </w:tr>
      <w:tr>
        <w:trPr/>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of net assets at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included in net loss (a):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on derivative instruments,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due to changes in fair values of certain investments,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and other,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of net assets at September 30, 2024 (b)</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(a)With the exception of a $75.8 million loss related to the sale of our investment in Lacework, amounts primarily relate to assets and liabilities that we continue to carry on our condensed consolidated balance sheet as of September 30, 2024.</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 of September 30, 2024, $396.6 million of our Level 3 investments were accounted for under the measurement alternative at cost less impairment, adjusted for observable price changes.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(8)    </w:t>
      </w:r>
      <w:r>
        <w:rPr>
          <w:rFonts w:ascii="Times New Roman;sans-serif" w:hAnsi="Times New Roman;sans-serif"/>
          <w:b/>
          <w:color w:val="000000"/>
          <w:sz w:val="20"/>
          <w:u w:val="single"/>
        </w:rPr>
        <w:t>Long-lived Assets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property and equipment and the related accumulated depreciation are set forth below:</w:t>
      </w:r>
    </w:p>
    <w:tbl>
      <w:tblPr>
        <w:tblW w:w="6062" w:type="dxa"/>
        <w:jc w:val="left"/>
        <w:tblInd w:w="0" w:type="dxa"/>
        <w:tblLayout w:type="fixed"/>
        <w:tblCellMar>
          <w:top w:w="28" w:type="dxa"/>
          <w:left w:w="28" w:type="dxa"/>
          <w:bottom w:w="28" w:type="dxa"/>
          <w:right w:w="28" w:type="dxa"/>
        </w:tblCellMar>
      </w:tblPr>
      <w:tblGrid>
        <w:gridCol w:w="1194"/>
        <w:gridCol w:w="1052"/>
        <w:gridCol w:w="1054"/>
        <w:gridCol w:w="212"/>
        <w:gridCol w:w="878"/>
        <w:gridCol w:w="109"/>
        <w:gridCol w:w="109"/>
        <w:gridCol w:w="109"/>
        <w:gridCol w:w="109"/>
        <w:gridCol w:w="211"/>
        <w:gridCol w:w="871"/>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systems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 equipment, buildings and land</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premises equipment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nine months ended September 30, 2024 and 2023, we recorded non-cash increases to our property and equipment related to vendor financing arrangements of $98.8 million and $129.9 million, respectively, which exclude related value-added taxes (</w:t>
      </w:r>
      <w:r>
        <w:rPr>
          <w:rFonts w:ascii="Times New Roman;sans-serif" w:hAnsi="Times New Roman;sans-serif"/>
          <w:b/>
          <w:color w:val="000000"/>
          <w:sz w:val="20"/>
        </w:rPr>
        <w:t>VAT</w:t>
      </w:r>
      <w:r>
        <w:rPr>
          <w:rFonts w:ascii="Times New Roman;sans-serif" w:hAnsi="Times New Roman;sans-serif"/>
          <w:b w:val="false"/>
          <w:color w:val="000000"/>
          <w:sz w:val="20"/>
        </w:rPr>
        <w:t>) of $10.9 million and $14.8 million, respectively, that were also financed under these arrangements.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our goodwill during the nine months ended September 30, 2024 are set forth below:</w:t>
      </w:r>
    </w:p>
    <w:tbl>
      <w:tblPr>
        <w:tblW w:w="8481" w:type="dxa"/>
        <w:jc w:val="left"/>
        <w:tblInd w:w="0" w:type="dxa"/>
        <w:tblLayout w:type="fixed"/>
        <w:tblCellMar>
          <w:top w:w="28" w:type="dxa"/>
          <w:left w:w="28" w:type="dxa"/>
          <w:bottom w:w="28" w:type="dxa"/>
          <w:right w:w="28" w:type="dxa"/>
        </w:tblCellMar>
      </w:tblPr>
      <w:tblGrid>
        <w:gridCol w:w="564"/>
        <w:gridCol w:w="493"/>
        <w:gridCol w:w="502"/>
        <w:gridCol w:w="236"/>
        <w:gridCol w:w="977"/>
        <w:gridCol w:w="122"/>
        <w:gridCol w:w="109"/>
        <w:gridCol w:w="109"/>
        <w:gridCol w:w="109"/>
        <w:gridCol w:w="236"/>
        <w:gridCol w:w="707"/>
        <w:gridCol w:w="123"/>
        <w:gridCol w:w="109"/>
        <w:gridCol w:w="109"/>
        <w:gridCol w:w="109"/>
        <w:gridCol w:w="109"/>
        <w:gridCol w:w="109"/>
        <w:gridCol w:w="109"/>
        <w:gridCol w:w="109"/>
        <w:gridCol w:w="462"/>
        <w:gridCol w:w="1155"/>
        <w:gridCol w:w="242"/>
        <w:gridCol w:w="109"/>
        <w:gridCol w:w="109"/>
        <w:gridCol w:w="109"/>
        <w:gridCol w:w="212"/>
        <w:gridCol w:w="878"/>
        <w:gridCol w:w="155"/>
      </w:tblGrid>
      <w:tr>
        <w:trPr/>
        <w:tc>
          <w:tcPr>
            <w:tcW w:w="56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Acquisitions</w:t>
              <w:br/>
              <w:t>and related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br/>
              <w:t>currency</w:t>
              <w:br/>
              <w:t>translation</w:t>
              <w:br/>
              <w:t>adjustments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540" w:type="dxa"/>
            <w:gridSpan w:val="10"/>
            <w:tcBorders/>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(a)</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10,325.6 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 connection with the final purchase price allocation for the Telenet Wyre Transaction, we recorded a net reduction to goodwill of €126.8 million ($138.4 million at the applicable rate) in June 2024, with corresponding increases to certain network-related and other intangible assets. As a result, the final goodwill balance associated with the Telenet Wyre Transaction is €389.4 million ($425.2 million at the applicable rate).</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Intangible Assets Subject to Amortization, Net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intangible assets subject to amortization are set forth below:</w:t>
      </w:r>
    </w:p>
    <w:tbl>
      <w:tblPr>
        <w:tblW w:w="10205" w:type="dxa"/>
        <w:jc w:val="left"/>
        <w:tblInd w:w="0" w:type="dxa"/>
        <w:tblLayout w:type="fixed"/>
        <w:tblCellMar>
          <w:top w:w="28" w:type="dxa"/>
          <w:left w:w="28" w:type="dxa"/>
          <w:bottom w:w="28" w:type="dxa"/>
          <w:right w:w="28" w:type="dxa"/>
        </w:tblCellMar>
      </w:tblPr>
      <w:tblGrid>
        <w:gridCol w:w="463"/>
        <w:gridCol w:w="407"/>
        <w:gridCol w:w="408"/>
        <w:gridCol w:w="231"/>
        <w:gridCol w:w="841"/>
        <w:gridCol w:w="119"/>
        <w:gridCol w:w="109"/>
        <w:gridCol w:w="109"/>
        <w:gridCol w:w="109"/>
        <w:gridCol w:w="234"/>
        <w:gridCol w:w="905"/>
        <w:gridCol w:w="121"/>
        <w:gridCol w:w="109"/>
        <w:gridCol w:w="109"/>
        <w:gridCol w:w="109"/>
        <w:gridCol w:w="227"/>
        <w:gridCol w:w="824"/>
        <w:gridCol w:w="117"/>
        <w:gridCol w:w="109"/>
        <w:gridCol w:w="109"/>
        <w:gridCol w:w="109"/>
        <w:gridCol w:w="231"/>
        <w:gridCol w:w="841"/>
        <w:gridCol w:w="119"/>
        <w:gridCol w:w="109"/>
        <w:gridCol w:w="109"/>
        <w:gridCol w:w="109"/>
        <w:gridCol w:w="234"/>
        <w:gridCol w:w="905"/>
        <w:gridCol w:w="121"/>
        <w:gridCol w:w="109"/>
        <w:gridCol w:w="109"/>
        <w:gridCol w:w="109"/>
        <w:gridCol w:w="226"/>
        <w:gridCol w:w="822"/>
        <w:gridCol w:w="174"/>
      </w:tblGrid>
      <w:tr>
        <w:trPr/>
        <w:tc>
          <w:tcPr>
            <w:tcW w:w="46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(2,334.0)</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(1,974.2)</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color w:val="000000"/>
          <w:sz w:val="20"/>
        </w:rPr>
        <w:t>(9)    </w:t>
      </w:r>
      <w:r>
        <w:rPr>
          <w:rFonts w:ascii="Times New Roman;sans-serif" w:hAnsi="Times New Roman;sans-serif"/>
          <w:b/>
          <w:color w:val="000000"/>
          <w:sz w:val="20"/>
          <w:u w:val="single"/>
        </w:rPr>
        <w:t>Debt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 dollar equivalents of the components of our debt are as follows:</w:t>
      </w:r>
    </w:p>
    <w:tbl>
      <w:tblPr>
        <w:tblW w:w="10205" w:type="dxa"/>
        <w:jc w:val="left"/>
        <w:tblInd w:w="0" w:type="dxa"/>
        <w:tblLayout w:type="fixed"/>
        <w:tblCellMar>
          <w:top w:w="28" w:type="dxa"/>
          <w:left w:w="28" w:type="dxa"/>
          <w:bottom w:w="28" w:type="dxa"/>
          <w:right w:w="28" w:type="dxa"/>
        </w:tblCellMar>
      </w:tblPr>
      <w:tblGrid>
        <w:gridCol w:w="1174"/>
        <w:gridCol w:w="975"/>
        <w:gridCol w:w="982"/>
        <w:gridCol w:w="255"/>
        <w:gridCol w:w="256"/>
        <w:gridCol w:w="467"/>
        <w:gridCol w:w="109"/>
        <w:gridCol w:w="109"/>
        <w:gridCol w:w="109"/>
        <w:gridCol w:w="301"/>
        <w:gridCol w:w="822"/>
        <w:gridCol w:w="145"/>
        <w:gridCol w:w="109"/>
        <w:gridCol w:w="109"/>
        <w:gridCol w:w="109"/>
        <w:gridCol w:w="211"/>
        <w:gridCol w:w="766"/>
        <w:gridCol w:w="109"/>
        <w:gridCol w:w="109"/>
        <w:gridCol w:w="109"/>
        <w:gridCol w:w="109"/>
        <w:gridCol w:w="211"/>
        <w:gridCol w:w="874"/>
        <w:gridCol w:w="109"/>
        <w:gridCol w:w="109"/>
        <w:gridCol w:w="109"/>
        <w:gridCol w:w="109"/>
        <w:gridCol w:w="211"/>
        <w:gridCol w:w="871"/>
        <w:gridCol w:w="158"/>
      </w:tblGrid>
      <w:tr>
        <w:trPr/>
        <w:tc>
          <w:tcPr>
            <w:tcW w:w="117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r>
      <w:tr>
        <w:trPr/>
        <w:tc>
          <w:tcPr>
            <w:tcW w:w="3131" w:type="dxa"/>
            <w:gridSpan w:val="3"/>
            <w:vMerge w:val="continue"/>
            <w:tcBorders/>
            <w:tcMar>
              <w:top w:w="0" w:type="dxa"/>
              <w:left w:w="0" w:type="dxa"/>
              <w:bottom w:w="0" w:type="dxa"/>
              <w:right w:w="0" w:type="dxa"/>
            </w:tcMar>
            <w:vAlign w:val="center"/>
          </w:tcPr>
          <w:p>
            <w:pPr>
              <w:pStyle w:val="Normal"/>
              <w:bidi w:val="0"/>
              <w:jc w:val="left"/>
              <w:rPr/>
            </w:pPr>
            <w:r>
              <w:rPr/>
            </w:r>
          </w:p>
        </w:tc>
        <w:tc>
          <w:tcPr>
            <w:tcW w:w="9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interest</w:t>
              <w:br/>
              <w:t>rate (a)</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Unused borrowing</w:t>
              <w:br/>
              <w:t>capacity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131" w:type="dxa"/>
            <w:gridSpan w:val="3"/>
            <w:vMerge w:val="continue"/>
            <w:tcBorders/>
            <w:tcMar>
              <w:top w:w="0" w:type="dxa"/>
              <w:left w:w="0" w:type="dxa"/>
              <w:bottom w:w="0" w:type="dxa"/>
              <w:right w:w="0" w:type="dxa"/>
            </w:tcMar>
            <w:vAlign w:val="center"/>
          </w:tcPr>
          <w:p>
            <w:pPr>
              <w:pStyle w:val="Normal"/>
              <w:bidi w:val="0"/>
              <w:jc w:val="left"/>
              <w:rPr/>
            </w:pPr>
            <w:r>
              <w:rPr/>
            </w:r>
          </w:p>
        </w:tc>
        <w:tc>
          <w:tcPr>
            <w:tcW w:w="9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Borrowing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w:t>
              <w:br/>
              <w:t>equivalent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 Bank Facility (c)</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 SPE Notes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 Senior Notes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Credit Facility (d)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Senior Secured Notes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 Credit Facility (e)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Vodafone Collar Loan (f)</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financing (g)</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(h)</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before deferred financing costs, discounts and premiums (i)</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15,857.6 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total debt before deferred financing costs, discounts and premiums to total debt and finance lease obligations:</w:t>
      </w:r>
    </w:p>
    <w:tbl>
      <w:tblPr>
        <w:tblW w:w="8311" w:type="dxa"/>
        <w:jc w:val="left"/>
        <w:tblInd w:w="0" w:type="dxa"/>
        <w:tblLayout w:type="fixed"/>
        <w:tblCellMar>
          <w:top w:w="28" w:type="dxa"/>
          <w:left w:w="28" w:type="dxa"/>
          <w:bottom w:w="28" w:type="dxa"/>
          <w:right w:w="28" w:type="dxa"/>
        </w:tblCellMar>
      </w:tblPr>
      <w:tblGrid>
        <w:gridCol w:w="2006"/>
        <w:gridCol w:w="1764"/>
        <w:gridCol w:w="1779"/>
        <w:gridCol w:w="212"/>
        <w:gridCol w:w="878"/>
        <w:gridCol w:w="109"/>
        <w:gridCol w:w="109"/>
        <w:gridCol w:w="109"/>
        <w:gridCol w:w="109"/>
        <w:gridCol w:w="211"/>
        <w:gridCol w:w="871"/>
        <w:gridCol w:w="154"/>
      </w:tblGrid>
      <w:tr>
        <w:trPr/>
        <w:tc>
          <w:tcPr>
            <w:tcW w:w="2006"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debt before deferred financing costs, discounts and premiums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discounts and premiums, net</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amount of debt</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(note 10)</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debt and finance lease obligations</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finance lease obligations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finance lease obligations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the weighted average interest rate in effect at September 30, 2024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3.44% at September 30, 2024. The weighted average interest rate calculation includes principal amounts outstanding associated with all of our secured and unsecured borrowings. For information regarding our derivative instruments, see note 6.</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(b)Unused borrowing capacity represents the maximum availability under the applicable facility at September 30, 2024 without regard to covenant compliance calculations or other conditions precedent to borrowing. The following 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provides our borrowing availability and amounts available to loan or distribute in accordance with the terms of the respective subsidiary facilities (i) at September 30, 2024 and (ii) upon completion of the relevant September 30, 2024 compliance reporting requirements. These amounts do not consider any actual or potential changes to our borrowing levels or any amounts loaned or distributed subsequent to September 30, 2024, or the full impact of additional amounts that may be available to borrow, loan or distribute under certain defined baskets within each respective facility.</w:t>
      </w:r>
    </w:p>
    <w:tbl>
      <w:tblPr>
        <w:tblW w:w="10205" w:type="dxa"/>
        <w:jc w:val="left"/>
        <w:tblInd w:w="0" w:type="dxa"/>
        <w:tblLayout w:type="fixed"/>
        <w:tblCellMar>
          <w:top w:w="28" w:type="dxa"/>
          <w:left w:w="28" w:type="dxa"/>
          <w:bottom w:w="28" w:type="dxa"/>
          <w:right w:w="28" w:type="dxa"/>
        </w:tblCellMar>
      </w:tblPr>
      <w:tblGrid>
        <w:gridCol w:w="722"/>
        <w:gridCol w:w="627"/>
        <w:gridCol w:w="629"/>
        <w:gridCol w:w="332"/>
        <w:gridCol w:w="907"/>
        <w:gridCol w:w="160"/>
        <w:gridCol w:w="109"/>
        <w:gridCol w:w="109"/>
        <w:gridCol w:w="109"/>
        <w:gridCol w:w="211"/>
        <w:gridCol w:w="616"/>
        <w:gridCol w:w="109"/>
        <w:gridCol w:w="109"/>
        <w:gridCol w:w="109"/>
        <w:gridCol w:w="109"/>
        <w:gridCol w:w="523"/>
        <w:gridCol w:w="1427"/>
        <w:gridCol w:w="252"/>
        <w:gridCol w:w="252"/>
        <w:gridCol w:w="252"/>
        <w:gridCol w:w="252"/>
        <w:gridCol w:w="488"/>
        <w:gridCol w:w="1427"/>
        <w:gridCol w:w="365"/>
      </w:tblGrid>
      <w:tr>
        <w:trPr/>
        <w:tc>
          <w:tcPr>
            <w:tcW w:w="72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Availability</w:t>
            </w:r>
          </w:p>
        </w:tc>
      </w:tr>
      <w:tr>
        <w:trPr/>
        <w:tc>
          <w:tcPr>
            <w:tcW w:w="1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Upon completion of the relevant September 30, 2024 compliance reporting requirements</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Borrowing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w:t>
              <w:br/>
              <w:t>equivalent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Borrowing currency</w:t>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w:t>
              <w:br/>
              <w:t>equivalent</w:t>
            </w:r>
          </w:p>
        </w:tc>
      </w:tr>
      <w:tr>
        <w:trPr/>
        <w:tc>
          <w:tcPr>
            <w:tcW w:w="1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Available to borrow:</w:t>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 Bank Facility</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Credit Facility</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 Credit Facility</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Available to loan or distribute:</w:t>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 Bank Facility</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Credit Facility</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 Credit Facility</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(c)Unused borrowing capacity under the Sunrise Holding Bank Facility relates to an equivalent €707.0 million</w:t>
      </w:r>
      <w:r>
        <w:rPr>
          <w:color w:val="000000"/>
        </w:rPr>
        <w:t xml:space="preserve"> </w:t>
      </w:r>
      <w:r>
        <w:rPr>
          <w:rFonts w:ascii="Times New Roman;sans-serif" w:hAnsi="Times New Roman;sans-serif"/>
          <w:b w:val="false"/>
          <w:color w:val="000000"/>
          <w:sz w:val="20"/>
        </w:rPr>
        <w:t>($788.2 million) under the Sunrise Holding Revolving Facility, comprising (i) €697.0 million ($777.1 million) under Sunrise Holding Revolving Facility B and (ii) €10.0 million ($11.1 million) under Sunrise Holding Revolving Facility A. With the exception of €23.0 million ($25.6 million) of borrowings under the ancillary facilities, the Sunrise Holding Revolving Facility was undrawn at September 30, 2024. In February 2024, commitments under the Sunrise Holding Revolving Facility were reduced by €18.0 million ($20.1 million) and €60.0 million ($66.9 million) of commitments under Sunrise Holding Revolving Facility A were extended and redesignated under Sunrise Holding Revolving Facility B. As a result, the Sunrise Holding Revolving Facility now provides for maximum borrowing capacity of €730.0 million ($813.8 million), including €60.0 million under the related ancillary facilities. Sunrise Holding Revolving Facility A has a maximum borrowing capacity of €10.0 million and a final maturity date of May 31, 2026 and Sunrise Holding Revolving Facility B has a maximum borrowing capacity of €720.0 million ($802.7 million), including €60.0 million under the ancillary facilities, and a final maturity date of September 30, 2029. In April 2024, Sunrise Holding Revolving Facility B was amended to include an Environmental, Social and Governance (</w:t>
      </w:r>
      <w:r>
        <w:rPr>
          <w:rFonts w:ascii="Times New Roman;sans-serif" w:hAnsi="Times New Roman;sans-serif"/>
          <w:b/>
          <w:color w:val="000000"/>
          <w:sz w:val="20"/>
        </w:rPr>
        <w:t>ESG</w:t>
      </w:r>
      <w:r>
        <w:rPr>
          <w:rFonts w:ascii="Times New Roman;sans-serif" w:hAnsi="Times New Roman;sans-serif"/>
          <w:b w:val="false"/>
          <w:color w:val="000000"/>
          <w:sz w:val="20"/>
        </w:rPr>
        <w:t>)-linked margin ratchet. The interest rate on Sunrise Holding Revolving Facility B is now subject to adjustment based on the achievement or otherwise of certain ESG metrics.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(d)Unused borrowing capacity under the Telenet Credit Facility comprises (i) €570.0 million ($635.4 million) under Telenet Revolving Facility B, (ii) €25.0 million ($27.9 million) under the Telenet Overdraft Facility and (iii) €20.0 million ($22.3 million) under the Telenet Revolving Facility, each of which were undrawn at September 30, 2024. In February 2024, the €30.0 million ($33.4 million) of commitments under Telenet Revolving Facility A were cancelled in full.</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(e)Unused borrowing capacity under the VM Ireland Credit Facility relates to €100.0 million ($111.5 million) under the VM Ireland Revolving Facility, which was undrawn at September 30, 2024.</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(f)For information regarding the Vodafone Collar Loan, see note 5.</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the nine months ended September 30, 2024 and 2023, the constructive cash outflow included in cash flows from operating activities and the corresponding constructive cash inflow included in cash flows from financing activities related to these operating expenses were $579.4 million and $444.5 million, respectively. Repayments of vendor financing obligations at the time we pay the financing intermediary are included in repayments and repurchases of debt and finance lease obligations in our condensed consolidated statements of cash flows.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(h)Amounts include $430.6 million</w:t>
      </w:r>
      <w:r>
        <w:rPr>
          <w:color w:val="000000"/>
        </w:rPr>
        <w:t xml:space="preserve"> </w:t>
      </w:r>
      <w:r>
        <w:rPr>
          <w:rFonts w:ascii="Times New Roman;sans-serif" w:hAnsi="Times New Roman;sans-serif"/>
          <w:b w:val="false"/>
          <w:color w:val="000000"/>
          <w:sz w:val="20"/>
        </w:rPr>
        <w:t>and $430.8 million at September 30, 2024 and December 31, 2023, respectively,</w:t>
      </w:r>
      <w:r>
        <w:rPr>
          <w:color w:val="000000"/>
        </w:rPr>
        <w:t xml:space="preserve"> </w:t>
      </w:r>
      <w:r>
        <w:rPr>
          <w:rFonts w:ascii="Times New Roman;sans-serif" w:hAnsi="Times New Roman;sans-serif"/>
          <w:b w:val="false"/>
          <w:color w:val="000000"/>
          <w:sz w:val="20"/>
        </w:rPr>
        <w:t>of liabilities related to Telenet’s acquisition of mobile spectrum licenses. Telenet will make annual payments for the license fees over the terms of the respective licenses.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(i)As of September 30, 2024 and December 31, 2023, our debt had an estimated fair value of $15.7 billion and $15.5 billion, respectively. The estimated fair values of our debt instruments are generally determined using the average of applicable bid and ask prices (mostly Level 1 of the fair value hierarchy). For additional information regarding fair value hierarchies, see note 7.</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General Information</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most of our outstanding debt had been incurred by one of our three subsidiary “borrowing groups.” References to these borrowing groups, which comprise Sunrise Holding, Telenet and VM Ireland, include their respective restricted parent and subsidiary entities. Below we provide summary descriptions of certain financing transactions completed during 2024. For information regarding the general terms and conditions of our debt and capitalized terms not defined herein, see note 11 to the consolidated financial statements included in our 2023 10-K.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Financing Transactions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in connection with the Spin-off, Sunrise Holding notified certain lenders under the Sunrise Holding Bank Facility and certain holders of the Sunrise Holding SPE Notes and the Sunrise Holding Senior Notes that it intends to prepay, purchase or redeem an aggregate $1.4 billion of its outstanding indebtedness, including associated derivative instruments. These transactions are expected to be completed by the end of October 2024.</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Maturities of Debt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our debt as of September 30, 2024 are presented below for the named entity and its subsidiaries, unless otherwise noted, and represent U.S. dollar equivalents based on September 30, 2024 exchange rates.</w:t>
      </w:r>
    </w:p>
    <w:tbl>
      <w:tblPr>
        <w:tblW w:w="10205" w:type="dxa"/>
        <w:jc w:val="left"/>
        <w:tblInd w:w="0" w:type="dxa"/>
        <w:tblLayout w:type="fixed"/>
        <w:tblCellMar>
          <w:top w:w="28" w:type="dxa"/>
          <w:left w:w="28" w:type="dxa"/>
          <w:bottom w:w="28" w:type="dxa"/>
          <w:right w:w="28" w:type="dxa"/>
        </w:tblCellMar>
      </w:tblPr>
      <w:tblGrid>
        <w:gridCol w:w="1246"/>
        <w:gridCol w:w="1035"/>
        <w:gridCol w:w="868"/>
        <w:gridCol w:w="264"/>
        <w:gridCol w:w="958"/>
        <w:gridCol w:w="136"/>
        <w:gridCol w:w="109"/>
        <w:gridCol w:w="109"/>
        <w:gridCol w:w="109"/>
        <w:gridCol w:w="211"/>
        <w:gridCol w:w="766"/>
        <w:gridCol w:w="109"/>
        <w:gridCol w:w="109"/>
        <w:gridCol w:w="109"/>
        <w:gridCol w:w="109"/>
        <w:gridCol w:w="221"/>
        <w:gridCol w:w="644"/>
        <w:gridCol w:w="113"/>
        <w:gridCol w:w="109"/>
        <w:gridCol w:w="109"/>
        <w:gridCol w:w="109"/>
        <w:gridCol w:w="211"/>
        <w:gridCol w:w="766"/>
        <w:gridCol w:w="109"/>
        <w:gridCol w:w="109"/>
        <w:gridCol w:w="109"/>
        <w:gridCol w:w="109"/>
        <w:gridCol w:w="211"/>
        <w:gridCol w:w="871"/>
        <w:gridCol w:w="158"/>
      </w:tblGrid>
      <w:tr>
        <w:trPr/>
        <w:tc>
          <w:tcPr>
            <w:tcW w:w="12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Sunrise Holding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Telenet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VM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maturities (c)</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discounts and premiums, net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990.8 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6,114.7 </w:t>
            </w:r>
          </w:p>
        </w:tc>
        <w:tc>
          <w:tcPr>
            <w:tcW w:w="1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14,847.9 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(a)Amounts include certain senior secured notes issued by special purpose financing entities that are consolidated by Sunrise Holding and Liberty Global.</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(b)Includes $1,402.4 million related to the Vodafone Collar Loan, which has settlement dates in 2025 and 2026 consistent with the Vodafone Collar.</w:t>
      </w:r>
      <w:r>
        <w:rPr>
          <w:color w:val="000000"/>
        </w:rPr>
        <w:t xml:space="preserve"> </w:t>
      </w:r>
      <w:r>
        <w:rPr>
          <w:rFonts w:ascii="Times New Roman;sans-serif" w:hAnsi="Times New Roman;sans-serif"/>
          <w:b w:val="false"/>
          <w:color w:val="000000"/>
          <w:sz w:val="20"/>
        </w:rPr>
        <w:t>We may elect to use cash or the collective value of the related shares and Vodafone Collar to settle amounts under the Vodafone Collar Loan.</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(c)Amounts include vendor financing obligations of $806.1 million, as set forth below:</w:t>
      </w:r>
    </w:p>
    <w:tbl>
      <w:tblPr>
        <w:tblW w:w="8041" w:type="dxa"/>
        <w:jc w:val="left"/>
        <w:tblInd w:w="0" w:type="dxa"/>
        <w:tblLayout w:type="fixed"/>
        <w:tblCellMar>
          <w:top w:w="28" w:type="dxa"/>
          <w:left w:w="28" w:type="dxa"/>
          <w:bottom w:w="28" w:type="dxa"/>
          <w:right w:w="28" w:type="dxa"/>
        </w:tblCellMar>
      </w:tblPr>
      <w:tblGrid>
        <w:gridCol w:w="1030"/>
        <w:gridCol w:w="908"/>
        <w:gridCol w:w="911"/>
        <w:gridCol w:w="304"/>
        <w:gridCol w:w="889"/>
        <w:gridCol w:w="157"/>
        <w:gridCol w:w="109"/>
        <w:gridCol w:w="109"/>
        <w:gridCol w:w="109"/>
        <w:gridCol w:w="211"/>
        <w:gridCol w:w="616"/>
        <w:gridCol w:w="109"/>
        <w:gridCol w:w="109"/>
        <w:gridCol w:w="109"/>
        <w:gridCol w:w="109"/>
        <w:gridCol w:w="109"/>
        <w:gridCol w:w="109"/>
        <w:gridCol w:w="211"/>
        <w:gridCol w:w="406"/>
        <w:gridCol w:w="109"/>
        <w:gridCol w:w="109"/>
        <w:gridCol w:w="109"/>
        <w:gridCol w:w="109"/>
        <w:gridCol w:w="211"/>
        <w:gridCol w:w="616"/>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Sunrise Holding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Telenet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84"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308" w:type="dxa"/>
            <w:gridSpan w:val="6"/>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vendor financing maturities</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3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Vendor Financing Obligations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our vendor financing obligations for the indicated periods is set forth below:</w:t>
      </w:r>
    </w:p>
    <w:tbl>
      <w:tblPr>
        <w:tblW w:w="7059" w:type="dxa"/>
        <w:jc w:val="left"/>
        <w:tblInd w:w="0" w:type="dxa"/>
        <w:tblLayout w:type="fixed"/>
        <w:tblCellMar>
          <w:top w:w="28" w:type="dxa"/>
          <w:left w:w="28" w:type="dxa"/>
          <w:bottom w:w="28" w:type="dxa"/>
          <w:right w:w="28" w:type="dxa"/>
        </w:tblCellMar>
      </w:tblPr>
      <w:tblGrid>
        <w:gridCol w:w="1745"/>
        <w:gridCol w:w="1528"/>
        <w:gridCol w:w="1542"/>
        <w:gridCol w:w="211"/>
        <w:gridCol w:w="616"/>
        <w:gridCol w:w="109"/>
        <w:gridCol w:w="109"/>
        <w:gridCol w:w="109"/>
        <w:gridCol w:w="109"/>
        <w:gridCol w:w="211"/>
        <w:gridCol w:w="616"/>
        <w:gridCol w:w="154"/>
      </w:tblGrid>
      <w:tr>
        <w:trPr/>
        <w:tc>
          <w:tcPr>
            <w:tcW w:w="174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Operating-related vendor financing 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Capital-related vendor financing additions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operating-related vendor financing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capital-related vendor financing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(10) </w:t>
      </w:r>
      <w:r>
        <w:rPr>
          <w:rFonts w:ascii="Times New Roman;sans-serif" w:hAnsi="Times New Roman;sans-serif"/>
          <w:b/>
          <w:color w:val="000000"/>
          <w:sz w:val="20"/>
          <w:u w:val="single"/>
        </w:rPr>
        <w:t>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operating and finance leases for network equipment, real estate, mobile site sharing and vehicles. We provide residual value guarantees on certain of our vehicle leases. </w:t>
      </w:r>
    </w:p>
    <w:p>
      <w:pPr>
        <w:pStyle w:val="TextBody"/>
        <w:bidi w:val="0"/>
        <w:spacing w:before="0" w:after="0"/>
        <w:ind w:left="0" w:right="0" w:firstLine="36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 Balances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A summary of our ROU</w:t>
      </w:r>
      <w:r>
        <w:rPr>
          <w:color w:val="000000"/>
        </w:rPr>
        <w:t xml:space="preserve"> </w:t>
      </w:r>
      <w:r>
        <w:rPr>
          <w:rFonts w:ascii="Times New Roman;sans-serif" w:hAnsi="Times New Roman;sans-serif"/>
          <w:b w:val="false"/>
          <w:color w:val="000000"/>
          <w:sz w:val="20"/>
        </w:rPr>
        <w:t xml:space="preserve">assets and lease liabilities is set forth below: </w:t>
      </w:r>
    </w:p>
    <w:tbl>
      <w:tblPr>
        <w:tblW w:w="4759" w:type="dxa"/>
        <w:jc w:val="left"/>
        <w:tblInd w:w="0" w:type="dxa"/>
        <w:tblLayout w:type="fixed"/>
        <w:tblCellMar>
          <w:top w:w="28" w:type="dxa"/>
          <w:left w:w="28" w:type="dxa"/>
          <w:bottom w:w="28" w:type="dxa"/>
          <w:right w:w="28" w:type="dxa"/>
        </w:tblCellMar>
      </w:tblPr>
      <w:tblGrid>
        <w:gridCol w:w="663"/>
        <w:gridCol w:w="580"/>
        <w:gridCol w:w="587"/>
        <w:gridCol w:w="233"/>
        <w:gridCol w:w="847"/>
        <w:gridCol w:w="120"/>
        <w:gridCol w:w="109"/>
        <w:gridCol w:w="109"/>
        <w:gridCol w:w="109"/>
        <w:gridCol w:w="221"/>
        <w:gridCol w:w="804"/>
        <w:gridCol w:w="114"/>
        <w:gridCol w:w="109"/>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ROU assets: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(a)</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(b)</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ROU assets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(c)</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(a)At September 30, 2024, the weighted average remaining lease term for operating leases was 12.8 years and the weighted average discount rate was 5.2%. During the nine months ended September 30, 2024 and 2023, we recorded non-cash additions to our operating lease ROU assets of $137.3 million and $38.0 million,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(b)Our finance lease ROU assets are included in property and equipment, net, on our condensed consolidated balance sheets. At September 30, 2024, the weighted average remaining lease term for finance leases was 11.2 years and the weighted average discount rate was 5.0%. During the nine months ended September 30, 2024 and 2023, we recorded non-cash additions to our finance lease ROU assets of $0.6 million and $20.8 million, respectively.</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(c)The current portions of our operating lease liabilities are included within other accrued and current liabilities on our condensed consolidated balance sheets.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(d)The current and long-term portions of our finance lease liabilities are included within current portion of debt and finance lease obligations and long-term debt and finance lease obligations, respectively, on our condensed consolidated balance sheets.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aggregate lease expense is set forth below: </w:t>
      </w:r>
    </w:p>
    <w:tbl>
      <w:tblPr>
        <w:tblW w:w="7341" w:type="dxa"/>
        <w:jc w:val="left"/>
        <w:tblInd w:w="0" w:type="dxa"/>
        <w:tblLayout w:type="fixed"/>
        <w:tblCellMar>
          <w:top w:w="28" w:type="dxa"/>
          <w:left w:w="28" w:type="dxa"/>
          <w:bottom w:w="28" w:type="dxa"/>
          <w:right w:w="28" w:type="dxa"/>
        </w:tblCellMar>
      </w:tblPr>
      <w:tblGrid>
        <w:gridCol w:w="951"/>
        <w:gridCol w:w="833"/>
        <w:gridCol w:w="840"/>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311"/>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17"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expense</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 (b)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 (c)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(a)Amounts for the 2023 periods include the reversal of previously recognized interest expense as a result of certain settlements of lease liabilities.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cash outflows from operating and finance leases is set forth below: </w:t>
      </w:r>
    </w:p>
    <w:tbl>
      <w:tblPr>
        <w:tblW w:w="8108" w:type="dxa"/>
        <w:jc w:val="left"/>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finance leases (interest component)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outflows from finance leases (principal component)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outflows from operating and finance leases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our operating and finance lease liabilities as of September 30, 2024 are presented below. Amounts represent U.S. dollar equivalents based on September 30, 2024 exchange rates.</w:t>
      </w:r>
    </w:p>
    <w:tbl>
      <w:tblPr>
        <w:tblW w:w="5252" w:type="dxa"/>
        <w:jc w:val="left"/>
        <w:tblInd w:w="0" w:type="dxa"/>
        <w:tblLayout w:type="fixed"/>
        <w:tblCellMar>
          <w:top w:w="28" w:type="dxa"/>
          <w:left w:w="28" w:type="dxa"/>
          <w:bottom w:w="28" w:type="dxa"/>
          <w:right w:w="28" w:type="dxa"/>
        </w:tblCellMar>
      </w:tblPr>
      <w:tblGrid>
        <w:gridCol w:w="971"/>
        <w:gridCol w:w="855"/>
        <w:gridCol w:w="858"/>
        <w:gridCol w:w="265"/>
        <w:gridCol w:w="963"/>
        <w:gridCol w:w="137"/>
        <w:gridCol w:w="109"/>
        <w:gridCol w:w="109"/>
        <w:gridCol w:w="109"/>
        <w:gridCol w:w="211"/>
        <w:gridCol w:w="51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Finance </w:t>
              <w:br/>
              <w:t>leases</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payments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2,000.9 </w:t>
            </w:r>
          </w:p>
        </w:tc>
        <w:tc>
          <w:tcPr>
            <w:tcW w:w="1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(11)    </w:t>
      </w:r>
      <w:r>
        <w:rPr>
          <w:rFonts w:ascii="Times New Roman;sans-serif" w:hAnsi="Times New Roman;sans-serif"/>
          <w:b/>
          <w:color w:val="000000"/>
          <w:sz w:val="20"/>
          <w:u w:val="single"/>
        </w:rPr>
        <w:t>Income Taxes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attributable to our earnings (loss) before income taxes differs from the amounts computed using the applicable income tax rate as a result of the following factors: </w:t>
      </w:r>
    </w:p>
    <w:tbl>
      <w:tblPr>
        <w:tblW w:w="10205" w:type="dxa"/>
        <w:jc w:val="left"/>
        <w:tblInd w:w="0" w:type="dxa"/>
        <w:tblLayout w:type="fixed"/>
        <w:tblCellMar>
          <w:top w:w="28" w:type="dxa"/>
          <w:left w:w="28" w:type="dxa"/>
          <w:bottom w:w="28" w:type="dxa"/>
          <w:right w:w="28" w:type="dxa"/>
        </w:tblCellMar>
      </w:tblPr>
      <w:tblGrid>
        <w:gridCol w:w="2047"/>
        <w:gridCol w:w="1646"/>
        <w:gridCol w:w="1649"/>
        <w:gridCol w:w="211"/>
        <w:gridCol w:w="616"/>
        <w:gridCol w:w="109"/>
        <w:gridCol w:w="109"/>
        <w:gridCol w:w="109"/>
        <w:gridCol w:w="109"/>
        <w:gridCol w:w="211"/>
        <w:gridCol w:w="661"/>
        <w:gridCol w:w="109"/>
        <w:gridCol w:w="109"/>
        <w:gridCol w:w="109"/>
        <w:gridCol w:w="109"/>
        <w:gridCol w:w="211"/>
        <w:gridCol w:w="616"/>
        <w:gridCol w:w="109"/>
        <w:gridCol w:w="109"/>
        <w:gridCol w:w="109"/>
        <w:gridCol w:w="109"/>
        <w:gridCol w:w="211"/>
        <w:gridCol w:w="661"/>
        <w:gridCol w:w="157"/>
      </w:tblGrid>
      <w:tr>
        <w:trPr/>
        <w:tc>
          <w:tcPr>
            <w:tcW w:w="204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5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Computed “expected” tax benefit (expense)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or non-taxable interest and other items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or non-taxable foreign currency exchange results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Basis and other differences in the treatment of items associated with investments in subsidiaries and affiliates (b)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rate differences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associated with technology innovation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statutory or “expected” tax rates are the U.K. rates of 25.0% for the 2024 periods and 23.5% for the 2023 periods. The statutory rate for the 2023 periods represents the blended rate in effect for the year ended December 31, 2023 based on the 19.0% statutory rate that was in effect for the first quarter of 2023 and the 25.0% statutory rate in effect from April 1, 2023. Although we are domiciled in Bermuda, we use the U.K. statutory rate to compute our “expected” tax benefit (expense) as management believes it is more meaningful.</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(b)Amounts reflect the net impact of differences in the treatment of income and loss items between financial and tax accounting related to investments in subsidiaries and affiliates, including the effects of foreign earnings. The 2023 amounts also include the non-taxable gain associated with the Telenet Wyre Transaction.</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(c)Amounts reflect adjustments (either a benefit or expense) to the “expected” tax benefit (expense)</w:t>
      </w:r>
      <w:r>
        <w:rPr>
          <w:color w:val="000000"/>
        </w:rPr>
        <w:t xml:space="preserve"> </w:t>
      </w:r>
      <w:r>
        <w:rPr>
          <w:rFonts w:ascii="Times New Roman;sans-serif" w:hAnsi="Times New Roman;sans-serif"/>
          <w:b w:val="false"/>
          <w:color w:val="000000"/>
          <w:sz w:val="20"/>
        </w:rPr>
        <w:t>for statutory rates in jurisdictions in which we operate outside of the U.K.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August 16, 2022, the Inflation Reduction Act was signed into law in the U.S. Although this legislation does not increase the U.S. corporate income tax rate, it includes, among other provisions, a corporate alternative minimum tax (</w:t>
      </w:r>
      <w:r>
        <w:rPr>
          <w:rFonts w:ascii="Times New Roman;sans-serif" w:hAnsi="Times New Roman;sans-serif"/>
          <w:b/>
          <w:color w:val="000000"/>
          <w:sz w:val="20"/>
        </w:rPr>
        <w:t>CAMT</w:t>
      </w:r>
      <w:r>
        <w:rPr>
          <w:rFonts w:ascii="Times New Roman;sans-serif" w:hAnsi="Times New Roman;sans-serif"/>
          <w:b w:val="false"/>
          <w:color w:val="000000"/>
          <w:sz w:val="20"/>
        </w:rPr>
        <w:t>) on “adjusted financial statement income” that is effective for tax years beginning after December 31, 2022.</w:t>
      </w:r>
      <w:r>
        <w:rPr>
          <w:color w:val="000000"/>
        </w:rPr>
        <w:t xml:space="preserve"> </w:t>
      </w:r>
      <w:r>
        <w:rPr>
          <w:rFonts w:ascii="Times New Roman;sans-serif" w:hAnsi="Times New Roman;sans-serif"/>
          <w:b w:val="false"/>
          <w:color w:val="000000"/>
          <w:sz w:val="20"/>
        </w:rPr>
        <w:t>CAMT did not have an impact on our consolidated financial statements through September 30, 2024, although we will continue to monitor additional guidance as it is issued to assess the impact to our tax position. We will disregard our CAMT status when evaluating our deferred tax assets under the regular U.S. tax system.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December 2021, the Organization for Economic Co-Operation and Development (</w:t>
      </w:r>
      <w:r>
        <w:rPr>
          <w:rFonts w:ascii="Times New Roman;sans-serif" w:hAnsi="Times New Roman;sans-serif"/>
          <w:b/>
          <w:color w:val="000000"/>
          <w:sz w:val="20"/>
        </w:rPr>
        <w:t>OECD</w:t>
      </w:r>
      <w:r>
        <w:rPr>
          <w:rFonts w:ascii="Times New Roman;sans-serif" w:hAnsi="Times New Roman;sans-serif"/>
          <w:b w:val="false"/>
          <w:color w:val="000000"/>
          <w:sz w:val="20"/>
        </w:rPr>
        <w:t>)/G20 Inclusive Framework on Base Erosion and Profit Shifting (</w:t>
      </w:r>
      <w:r>
        <w:rPr>
          <w:rFonts w:ascii="Times New Roman;sans-serif" w:hAnsi="Times New Roman;sans-serif"/>
          <w:b/>
          <w:color w:val="000000"/>
          <w:sz w:val="20"/>
        </w:rPr>
        <w:t>BEPS</w:t>
      </w:r>
      <w:r>
        <w:rPr>
          <w:rFonts w:ascii="Times New Roman;sans-serif" w:hAnsi="Times New Roman;sans-serif"/>
          <w:b w:val="false"/>
          <w:color w:val="000000"/>
          <w:sz w:val="20"/>
        </w:rPr>
        <w:t>) released Model Global Anti-Base Erosion (</w:t>
      </w:r>
      <w:r>
        <w:rPr>
          <w:rFonts w:ascii="Times New Roman;sans-serif" w:hAnsi="Times New Roman;sans-serif"/>
          <w:b/>
          <w:color w:val="000000"/>
          <w:sz w:val="20"/>
        </w:rPr>
        <w:t>GLoBE</w:t>
      </w:r>
      <w:r>
        <w:rPr>
          <w:rFonts w:ascii="Times New Roman;sans-serif" w:hAnsi="Times New Roman;sans-serif"/>
          <w:b w:val="false"/>
          <w:color w:val="000000"/>
          <w:sz w:val="20"/>
        </w:rPr>
        <w:t>) rules under Pillar Two. These rules provide for the taxation of certain large multinational corporations at a minimum rate of 15.0%, calculated on a jurisdictional basis. Numerous countries in which we operate, including the U.K. and certain European Union (</w:t>
      </w:r>
      <w:r>
        <w:rPr>
          <w:rFonts w:ascii="Times New Roman;sans-serif" w:hAnsi="Times New Roman;sans-serif"/>
          <w:b/>
          <w:color w:val="000000"/>
          <w:sz w:val="20"/>
        </w:rPr>
        <w:t>E.U.</w:t>
      </w:r>
      <w:r>
        <w:rPr>
          <w:rFonts w:ascii="Times New Roman;sans-serif" w:hAnsi="Times New Roman;sans-serif"/>
          <w:b w:val="false"/>
          <w:color w:val="000000"/>
          <w:sz w:val="20"/>
        </w:rPr>
        <w:t>) member states, have enacted legislation to implement many aspects of the Pillar Two rules beginning on January 1, 2024, with certain remaining impacts to be effective from January 1, 2025. We do not currently anticipate that Pillar Two legislation will have a material impact on our consolidated financial statements, but we will continue to monitor future legislation and any additional guidance that is issued.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As of September 30, 2024, our unrecognized tax benefits were</w:t>
      </w:r>
      <w:r>
        <w:rPr>
          <w:color w:val="000000"/>
        </w:rPr>
        <w:t xml:space="preserve"> </w:t>
      </w:r>
      <w:r>
        <w:rPr>
          <w:rFonts w:ascii="Times New Roman;sans-serif" w:hAnsi="Times New Roman;sans-serif"/>
          <w:b w:val="false"/>
          <w:color w:val="000000"/>
          <w:sz w:val="20"/>
        </w:rPr>
        <w:t>$500.0 million, of which $402.7 million would have a favorable</w:t>
      </w:r>
      <w:r>
        <w:rPr>
          <w:color w:val="000000"/>
        </w:rPr>
        <w:t xml:space="preserve"> </w:t>
      </w:r>
      <w:r>
        <w:rPr>
          <w:rFonts w:ascii="Times New Roman;sans-serif" w:hAnsi="Times New Roman;sans-serif"/>
          <w:b w:val="false"/>
          <w:color w:val="000000"/>
          <w:sz w:val="20"/>
        </w:rPr>
        <w:t>impact on our effective income tax rate if ultimately recognized, after considering amounts that we would expect to be offset by valuation allowances and other factors. During the next 12 months, it is reasonably possible that the resolution of ongoing tax controversies, as well as the expiration of statutes of limitation and other items, could result in reductions to our unrecognized tax benefits related to tax positions taken as of September 30, 2024. The amount of such reductions could range up to $401 million. No assurance can be given as to the nature or impact of any changes in our unrecognized tax positions during the next 12 months.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tax returns filed by our company or our subsidiaries for years prior to 2016 are no longer subject to examination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tax authorities. Certain of our subsidiaries are currently involved in income tax examinations in various jurisdictions in which we operate, including Ireland, Luxembourg, Switzerland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October 7, 2022, the U.S. Department of Justice filed a suit against Liberty Global, Inc. (</w:t>
      </w:r>
      <w:r>
        <w:rPr>
          <w:rFonts w:ascii="Times New Roman;sans-serif" w:hAnsi="Times New Roman;sans-serif"/>
          <w:b/>
          <w:color w:val="000000"/>
          <w:sz w:val="20"/>
        </w:rPr>
        <w:t>LGI</w:t>
      </w:r>
      <w:r>
        <w:rPr>
          <w:rFonts w:ascii="Times New Roman;sans-serif" w:hAnsi="Times New Roman;sans-serif"/>
          <w:b w:val="false"/>
          <w:color w:val="000000"/>
          <w:sz w:val="20"/>
        </w:rPr>
        <w:t>), a wholly-owned U.S. subsidiary of Liberty Global, in the U.S. District Court of Colorado for unpaid federal income taxes and penalties for the 2018 tax year of approximately $284 million. This action by the U.S. Department of Justice is related to the November 2020 complaint filed by LGI in the U.S. District Court of Colorado seeking a refund of approximately $110 million of taxes, penalties and interest associated with the application of certain temporary treasury regulations issued in June 2019. In October 2023, the U.S. District Court of Colorado entered judgement against LGI with respect to the refund claim and we appealed this decision to the U.S. Court of Appeals for the Tenth Circuit (</w:t>
      </w:r>
      <w:r>
        <w:rPr>
          <w:rFonts w:ascii="Times New Roman;sans-serif" w:hAnsi="Times New Roman;sans-serif"/>
          <w:b/>
          <w:color w:val="000000"/>
          <w:sz w:val="20"/>
        </w:rPr>
        <w:t>Court of Appeals</w:t>
      </w:r>
      <w:r>
        <w:rPr>
          <w:rFonts w:ascii="Times New Roman;sans-serif" w:hAnsi="Times New Roman;sans-serif"/>
          <w:b w:val="false"/>
          <w:color w:val="000000"/>
          <w:sz w:val="20"/>
        </w:rPr>
        <w:t>) in December 2023. No amounts have been accrued by LGI with respect to this matter. We will vigorously defend this matter and continue to actively pursue our claim for refund.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we petitioned the U.S. Tax Court with respect to unresolved issues related to our 2010 tax year for which we had already recognized an accrued liability for an uncertain tax position. In November 2023, we received an unfavorable decision, which we will appeal to the Court of Appeals. In December 2023, we made a payment of the disputed tax in the amount of $315 million, which reduced our accrued liability for uncertain tax benefits on our consolidated balance sheet but will continue to be included in our inventory of unrecognized tax benefits as the position is not yet settled. We will continue to vigorously defend our position, however, due to the inherent uncertainty involved in the litigation process, there can be no assurance that the Court of Appeals will rule in our favor.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(12)    </w:t>
      </w:r>
      <w:r>
        <w:rPr>
          <w:rFonts w:ascii="Times New Roman;sans-serif" w:hAnsi="Times New Roman;sans-serif"/>
          <w:b/>
          <w:color w:val="000000"/>
          <w:sz w:val="20"/>
          <w:u w:val="single"/>
        </w:rPr>
        <w:t>Equity</w:t>
      </w:r>
    </w:p>
    <w:p>
      <w:pPr>
        <w:pStyle w:val="TextBody"/>
        <w:bidi w:val="0"/>
        <w:spacing w:before="0" w:after="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Share Repurchases</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we repurchased 26,914,892 of our Class C common shares at an average price per share of $18.69, for an aggregate purchase price of $503.1 million, including direct acquisition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current share repurchase program, we are authorized during 2024 to repurchase up to 10% of our total outstanding shares as of December 31, 2023. As of September 30, 2024, the remaining number of our Class A and/or Class C common shares that we are authorized to repurchase during 2024 was 11.3 million. Based on the average of the respective closing share prices as of September 30, 2024, this would equate to additional share repurchases during the remainder of 2024 of approximately $241.4 million. However, the actual U.S. dollar amount of our share repurchases during the remainder of 2024 will be determined by the actual transaction date share prices during the year and could differ significantly from this amount.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Telenet Takeover Bid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June 8, 2023, following approval by the Belgian Financial Services and Markets Authority, Liberty Global Broadband Holding B.V. (</w:t>
      </w:r>
      <w:r>
        <w:rPr>
          <w:rFonts w:ascii="Times New Roman;sans-serif" w:hAnsi="Times New Roman;sans-serif"/>
          <w:b/>
          <w:color w:val="000000"/>
          <w:sz w:val="20"/>
        </w:rPr>
        <w:t>LGBH</w:t>
      </w:r>
      <w:r>
        <w:rPr>
          <w:rFonts w:ascii="Times New Roman;sans-serif" w:hAnsi="Times New Roman;sans-serif"/>
          <w:b w:val="false"/>
          <w:color w:val="000000"/>
          <w:sz w:val="20"/>
        </w:rPr>
        <w:t xml:space="preserve">), an indirect wholly-owned subsidiary of Liberty Global, launched a voluntary and conditional public takeover bid for all of the shares of Telenet that we did not already own or that were not held by Telenet (the </w:t>
      </w:r>
      <w:r>
        <w:rPr>
          <w:rFonts w:ascii="Times New Roman;sans-serif" w:hAnsi="Times New Roman;sans-serif"/>
          <w:b/>
          <w:color w:val="000000"/>
          <w:sz w:val="20"/>
        </w:rPr>
        <w:t>Telenet Takeover Bid</w:t>
      </w:r>
      <w:r>
        <w:rPr>
          <w:rFonts w:ascii="Times New Roman;sans-serif" w:hAnsi="Times New Roman;sans-serif"/>
          <w:b w:val="false"/>
          <w:color w:val="000000"/>
          <w:sz w:val="20"/>
        </w:rPr>
        <w:t xml:space="preserve">). Following the conclusion of a simplified squeeze-out procedure, Telenet was delisted from Euronext Brussels at the close of trade on October 13, 2023. The shares of Telenet that were acquired as a result of the simplified squeeze-out procedure were settled on October 19, 2023 and, from that date, Telenet was owned 100% by LGBH.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Telenet Takeover Bid was funded through (i) available borrowings and (ii) the existing liquidity of Liberty Global. As of September 30, 2023, the consideration associated with the Telenet Takeover Bid, including certain fees and expenses, totaled €807.6 million ($891.3 million at the applicable transaction dates), excluding €96.1 million ($101.6 million at the applicable rate) associated with the shares subject to the squeeze-out procedure.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color w:val="000000"/>
          <w:sz w:val="20"/>
        </w:rPr>
        <w:t>(13)    </w:t>
      </w:r>
      <w:r>
        <w:rPr>
          <w:rFonts w:ascii="Times New Roman;sans-serif" w:hAnsi="Times New Roman;sans-serif"/>
          <w:b/>
          <w:color w:val="000000"/>
          <w:sz w:val="20"/>
          <w:u w:val="single"/>
        </w:rPr>
        <w:t>Share-based Compensation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share-based compensation expense primarily relates to the share-based incentive awards issued by Liberty Global to its employees and employees of its subsidiaries. A summary of our aggregate share-based compensation expense is set forth below: </w:t>
      </w:r>
    </w:p>
    <w:tbl>
      <w:tblPr>
        <w:tblW w:w="8437" w:type="dxa"/>
        <w:jc w:val="left"/>
        <w:tblInd w:w="0" w:type="dxa"/>
        <w:tblLayout w:type="fixed"/>
        <w:tblCellMar>
          <w:top w:w="28" w:type="dxa"/>
          <w:left w:w="28" w:type="dxa"/>
          <w:bottom w:w="28" w:type="dxa"/>
          <w:right w:w="28" w:type="dxa"/>
        </w:tblCellMar>
      </w:tblPr>
      <w:tblGrid>
        <w:gridCol w:w="1347"/>
        <w:gridCol w:w="1181"/>
        <w:gridCol w:w="1192"/>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311"/>
      </w:tblGrid>
      <w:tr>
        <w:trPr/>
        <w:tc>
          <w:tcPr>
            <w:tcW w:w="134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(a):</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Non-performance based incentive awards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incentive awards (c)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Liberty Global</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2024 amounts include share-based compensation expense related to certain Telenet Replacement Awards.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(b)In April 2023, the compensation committee of our board of directors approved the extension of the expiration dates of outstanding share appreciation rights (</w:t>
      </w:r>
      <w:r>
        <w:rPr>
          <w:rFonts w:ascii="Times New Roman;sans-serif" w:hAnsi="Times New Roman;sans-serif"/>
          <w:b/>
          <w:color w:val="000000"/>
          <w:sz w:val="20"/>
        </w:rPr>
        <w:t>SARs</w:t>
      </w:r>
      <w:r>
        <w:rPr>
          <w:rFonts w:ascii="Times New Roman;sans-serif" w:hAnsi="Times New Roman;sans-serif"/>
          <w:b w:val="false"/>
          <w:color w:val="000000"/>
          <w:sz w:val="20"/>
        </w:rPr>
        <w:t>) and director options granted in 2016 through 2018 from a seven-year term to a ten-year term. Accordingly, the Black-Scholes fair values of the outstanding awards increased, resulting in the recognition of an aggregate incremental share-based compensation expense of $27.1 million during the second quarter of 2023.</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(c)The 2024 amounts include share-based compensation expense related to the 2024 PSUs, as defined and described below.</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(d)Represents annual incentive compensation and defined contribution plan liabilities that have been or are expected to be settled with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following table provides the aggregate number of options, SARs and performance-based share appreciation rights (</w:t>
      </w:r>
      <w:r>
        <w:rPr>
          <w:rFonts w:ascii="Times New Roman;sans-serif" w:hAnsi="Times New Roman;sans-serif"/>
          <w:b/>
          <w:color w:val="000000"/>
          <w:sz w:val="20"/>
        </w:rPr>
        <w:t>PSARs</w:t>
      </w:r>
      <w:r>
        <w:rPr>
          <w:rFonts w:ascii="Times New Roman;sans-serif" w:hAnsi="Times New Roman;sans-serif"/>
          <w:b w:val="false"/>
          <w:color w:val="000000"/>
          <w:sz w:val="20"/>
        </w:rPr>
        <w:t xml:space="preserve">) with respect to awards issued by Liberty Global that were (i) outstanding and (ii) exercisable as of September 30, 2024: </w:t>
      </w:r>
    </w:p>
    <w:tbl>
      <w:tblPr>
        <w:tblW w:w="10205" w:type="dxa"/>
        <w:jc w:val="left"/>
        <w:tblInd w:w="0" w:type="dxa"/>
        <w:tblLayout w:type="fixed"/>
        <w:tblCellMar>
          <w:top w:w="28" w:type="dxa"/>
          <w:left w:w="28" w:type="dxa"/>
          <w:bottom w:w="28" w:type="dxa"/>
          <w:right w:w="28" w:type="dxa"/>
        </w:tblCellMar>
      </w:tblPr>
      <w:tblGrid>
        <w:gridCol w:w="779"/>
        <w:gridCol w:w="468"/>
        <w:gridCol w:w="470"/>
        <w:gridCol w:w="1005"/>
        <w:gridCol w:w="653"/>
        <w:gridCol w:w="655"/>
        <w:gridCol w:w="109"/>
        <w:gridCol w:w="109"/>
        <w:gridCol w:w="109"/>
        <w:gridCol w:w="318"/>
        <w:gridCol w:w="931"/>
        <w:gridCol w:w="164"/>
        <w:gridCol w:w="109"/>
        <w:gridCol w:w="109"/>
        <w:gridCol w:w="109"/>
        <w:gridCol w:w="1005"/>
        <w:gridCol w:w="653"/>
        <w:gridCol w:w="655"/>
        <w:gridCol w:w="109"/>
        <w:gridCol w:w="109"/>
        <w:gridCol w:w="109"/>
        <w:gridCol w:w="313"/>
        <w:gridCol w:w="917"/>
        <w:gridCol w:w="238"/>
      </w:tblGrid>
      <w:tr>
        <w:trPr/>
        <w:tc>
          <w:tcPr>
            <w:tcW w:w="7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w:t>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number of shares underlying option, SAR and PSAR awards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or base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number of shares underlying option, SAR and PSAR awards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or base price</w:t>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Held by Liberty Global employees:</w:t>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26,287,357 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58,072,571 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16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20,090,708 </w:t>
            </w:r>
          </w:p>
        </w:tc>
        <w:tc>
          <w:tcPr>
            <w:tcW w:w="6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46,907,609 </w:t>
            </w:r>
          </w:p>
        </w:tc>
        <w:tc>
          <w:tcPr>
            <w:tcW w:w="6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25.68 </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Held by former Liberty Global employees (b):</w:t>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747,931 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1,453,922 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165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727,565 </w:t>
            </w:r>
          </w:p>
        </w:tc>
        <w:tc>
          <w:tcPr>
            <w:tcW w:w="6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1,425,478 </w:t>
            </w:r>
          </w:p>
        </w:tc>
        <w:tc>
          <w:tcPr>
            <w:tcW w:w="6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(b)Amounts represent certain share-based awards that continue to be held by former employees of Liberty Global subsequent to certain split-off or disposal transactions. Although future exercises of these awards by former employees will not result in the recognition of share-based compensation expense, such exercises will increase the number of our outstanding common shares.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following table provides the aggregate number of restricted share units (</w:t>
      </w:r>
      <w:r>
        <w:rPr>
          <w:rFonts w:ascii="Times New Roman;sans-serif" w:hAnsi="Times New Roman;sans-serif"/>
          <w:b/>
          <w:color w:val="000000"/>
          <w:sz w:val="20"/>
        </w:rPr>
        <w:t>RSUs</w:t>
      </w:r>
      <w:r>
        <w:rPr>
          <w:rFonts w:ascii="Times New Roman;sans-serif" w:hAnsi="Times New Roman;sans-serif"/>
          <w:b w:val="false"/>
          <w:color w:val="000000"/>
          <w:sz w:val="20"/>
        </w:rPr>
        <w:t>) and performance-based restricted share units (</w:t>
      </w:r>
      <w:r>
        <w:rPr>
          <w:rFonts w:ascii="Times New Roman;sans-serif" w:hAnsi="Times New Roman;sans-serif"/>
          <w:b/>
          <w:color w:val="000000"/>
          <w:sz w:val="20"/>
        </w:rPr>
        <w:t>PSUs</w:t>
      </w:r>
      <w:r>
        <w:rPr>
          <w:rFonts w:ascii="Times New Roman;sans-serif" w:hAnsi="Times New Roman;sans-serif"/>
          <w:b w:val="false"/>
          <w:color w:val="000000"/>
          <w:sz w:val="20"/>
        </w:rPr>
        <w:t>) that were outstanding as of September 30, 2024. The number of shares to be issued on the vesting date of these awards will be reduced by the amount of the employee’s required income tax withholding.</w:t>
      </w:r>
    </w:p>
    <w:tbl>
      <w:tblPr>
        <w:tblW w:w="6854" w:type="dxa"/>
        <w:jc w:val="left"/>
        <w:tblInd w:w="0" w:type="dxa"/>
        <w:tblLayout w:type="fixed"/>
        <w:tblCellMar>
          <w:top w:w="28" w:type="dxa"/>
          <w:left w:w="28" w:type="dxa"/>
          <w:bottom w:w="28" w:type="dxa"/>
          <w:right w:w="28" w:type="dxa"/>
        </w:tblCellMar>
      </w:tblPr>
      <w:tblGrid>
        <w:gridCol w:w="1380"/>
        <w:gridCol w:w="1211"/>
        <w:gridCol w:w="1219"/>
        <w:gridCol w:w="488"/>
        <w:gridCol w:w="488"/>
        <w:gridCol w:w="236"/>
        <w:gridCol w:w="109"/>
        <w:gridCol w:w="109"/>
        <w:gridCol w:w="109"/>
        <w:gridCol w:w="109"/>
        <w:gridCol w:w="109"/>
        <w:gridCol w:w="488"/>
        <w:gridCol w:w="488"/>
        <w:gridCol w:w="311"/>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by Liberty Global employees:</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2,972,588 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4,840,745 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1,236,057 </w:t>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1,831,419 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by former Liberty Global employees (a):</w:t>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2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(a)Amounts represent certain share-based awards that continue to be held by former employees of Liberty Global subsequent to certain split-off or disposal transactions. The future vesting of these RSUs and PSUs will increase the number of our outstanding common shares.</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2024 PSUs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May 2024, the compensation committee of our board of directors approved the grant of PSUs to executive officers and other key employees (the </w:t>
      </w:r>
      <w:r>
        <w:rPr>
          <w:rFonts w:ascii="Times New Roman;sans-serif" w:hAnsi="Times New Roman;sans-serif"/>
          <w:b/>
          <w:color w:val="000000"/>
          <w:sz w:val="20"/>
        </w:rPr>
        <w:t>2024 PSUs</w:t>
      </w:r>
      <w:r>
        <w:rPr>
          <w:rFonts w:ascii="Times New Roman;sans-serif" w:hAnsi="Times New Roman;sans-serif"/>
          <w:b w:val="false"/>
          <w:color w:val="000000"/>
          <w:sz w:val="20"/>
        </w:rPr>
        <w:t>). The performance metric for the 2024 PSUs is based on Liberty Global’s relative total shareholder return (</w:t>
      </w:r>
      <w:r>
        <w:rPr>
          <w:rFonts w:ascii="Times New Roman;sans-serif" w:hAnsi="Times New Roman;sans-serif"/>
          <w:b/>
          <w:color w:val="000000"/>
          <w:sz w:val="20"/>
        </w:rPr>
        <w:t>rTSR</w:t>
      </w:r>
      <w:r>
        <w:rPr>
          <w:rFonts w:ascii="Times New Roman;sans-serif" w:hAnsi="Times New Roman;sans-serif"/>
          <w:b w:val="false"/>
          <w:color w:val="000000"/>
          <w:sz w:val="20"/>
        </w:rPr>
        <w:t>) during the performance period commencing May 10, 2024 and ending December 31, 2026, calculated based on a comparison of Liberty Global’s total shareholder return (</w:t>
      </w:r>
      <w:r>
        <w:rPr>
          <w:rFonts w:ascii="Times New Roman;sans-serif" w:hAnsi="Times New Roman;sans-serif"/>
          <w:b/>
          <w:color w:val="000000"/>
          <w:sz w:val="20"/>
        </w:rPr>
        <w:t>TSR</w:t>
      </w:r>
      <w:r>
        <w:rPr>
          <w:rFonts w:ascii="Times New Roman;sans-serif" w:hAnsi="Times New Roman;sans-serif"/>
          <w:b w:val="false"/>
          <w:color w:val="000000"/>
          <w:sz w:val="20"/>
        </w:rPr>
        <w:t>) compared to the TSR of a comparator group of companies, which comprises all companies continuously listed in the NASDAQ Telecommunications Index or the Stoxx Europe 600 Telecom Index during the performance period. The market condition related to Liberty Global’s rTSR performance relative to the comparator group of companies is incorporated into the measurement of the grant date fair value of the award. The 2024 PSUs include over- and under-performance payout opportunities should the rTSR exceed or fail to meet the target, as applicable. Achieving an rTSR between the 25th percentile to at or above the 75th percentile will generally result in award recipients earning 25% to 200% of their target 2024 PSUs, subject to forfeitures. The 2024 PSUs have a maximum payout of 100% should the TSR be negative. In addition, 50% of the 2024 PSUs will be earned if Liberty Global’s rTSR is equal to or greater than the median TSR for the comparator group of companies as of December 31, 2025. The earned 2024 PSUs will fully vest on or around February 15, 2027.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(14)    </w:t>
      </w:r>
      <w:r>
        <w:rPr>
          <w:rFonts w:ascii="Times New Roman;sans-serif" w:hAnsi="Times New Roman;sans-serif"/>
          <w:b/>
          <w:color w:val="000000"/>
          <w:sz w:val="20"/>
          <w:u w:val="single"/>
        </w:rPr>
        <w:t>Earnings (Loss) per Share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Basic earnings or loss per share (</w:t>
      </w:r>
      <w:r>
        <w:rPr>
          <w:rFonts w:ascii="Times New Roman;sans-serif" w:hAnsi="Times New Roman;sans-serif"/>
          <w:b/>
          <w:color w:val="000000"/>
          <w:sz w:val="20"/>
        </w:rPr>
        <w:t>EPS</w:t>
      </w:r>
      <w:r>
        <w:rPr>
          <w:rFonts w:ascii="Times New Roman;sans-serif" w:hAnsi="Times New Roman;sans-serif"/>
          <w:b w:val="false"/>
          <w:color w:val="000000"/>
          <w:sz w:val="20"/>
        </w:rPr>
        <w:t>) is computed by dividing net earnings or loss by the weighted average number of shares outstanding for the period. Diluted EPS presents the dilutive effect, if any, on a per share basis of potential shares from share-based incentive awards as if they had been exercised, vested or converted at the beginning of the periods presented. For additional information regarding our share-based incentive awards, see note 13.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basic and diluted weighted average common shares outstanding are set forth below:</w:t>
      </w:r>
    </w:p>
    <w:tbl>
      <w:tblPr>
        <w:tblW w:w="10205" w:type="dxa"/>
        <w:jc w:val="left"/>
        <w:tblInd w:w="0" w:type="dxa"/>
        <w:tblLayout w:type="fixed"/>
        <w:tblCellMar>
          <w:top w:w="28" w:type="dxa"/>
          <w:left w:w="28" w:type="dxa"/>
          <w:bottom w:w="28" w:type="dxa"/>
          <w:right w:w="28" w:type="dxa"/>
        </w:tblCellMar>
      </w:tblPr>
      <w:tblGrid>
        <w:gridCol w:w="1339"/>
        <w:gridCol w:w="1134"/>
        <w:gridCol w:w="1138"/>
        <w:gridCol w:w="624"/>
        <w:gridCol w:w="562"/>
        <w:gridCol w:w="148"/>
        <w:gridCol w:w="148"/>
        <w:gridCol w:w="148"/>
        <w:gridCol w:w="148"/>
        <w:gridCol w:w="624"/>
        <w:gridCol w:w="562"/>
        <w:gridCol w:w="148"/>
        <w:gridCol w:w="109"/>
        <w:gridCol w:w="109"/>
        <w:gridCol w:w="109"/>
        <w:gridCol w:w="593"/>
        <w:gridCol w:w="593"/>
        <w:gridCol w:w="145"/>
        <w:gridCol w:w="142"/>
        <w:gridCol w:w="142"/>
        <w:gridCol w:w="142"/>
        <w:gridCol w:w="593"/>
        <w:gridCol w:w="593"/>
        <w:gridCol w:w="212"/>
      </w:tblGrid>
      <w:tr>
        <w:trPr/>
        <w:tc>
          <w:tcPr>
            <w:tcW w:w="133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6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EPS computation)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363,156,702 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416,014,282 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370,673,984 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437,255,956 </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shares (a)</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4,959,080 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 EPS computation)</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363,156,702 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420,973,362 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370,673,984 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437,255,956 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(a)We use the treasury stock method in order to calculate our incremental shares attributable to the assumed exercise or release of outstanding share-based incentive awards upon vesting. Certain of our share incentive plans include performance and/or other features such that the associated shares are contingently issuable. For purposes of applying the treasury stock method, the dilutive effect of these awards is calculated based on the number of the shares that would be issuable as if the end of the reporting period was the end of the contingency period.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reported net losses attributable to Liberty Global shareholders for the three and nine months ended September 30, 2024 and the nine months ended September 30, 2023. Therefore, the potentially dilutive effect at September 30, 2024 and September 30, 2023 excludes 102.1 million and 96.0 million shares issuable pursuant to outstanding share-based incentive awards in the computation of diluted net loss attributable to Liberty Global shareholders per share, respectively, because their inclusion would have been anti-dilutive to the computation.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of diluted EPS excludes aggregate share-based incentive awards of 75.1 million for the three months ended September 30, 2023 because their effect would have been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net earnings (loss) attributable to Liberty Global shareholders is set forth below:</w:t>
      </w:r>
    </w:p>
    <w:tbl>
      <w:tblPr>
        <w:tblW w:w="10205" w:type="dxa"/>
        <w:jc w:val="left"/>
        <w:tblInd w:w="0" w:type="dxa"/>
        <w:tblLayout w:type="fixed"/>
        <w:tblCellMar>
          <w:top w:w="28" w:type="dxa"/>
          <w:left w:w="28" w:type="dxa"/>
          <w:bottom w:w="28" w:type="dxa"/>
          <w:right w:w="28" w:type="dxa"/>
        </w:tblCellMar>
      </w:tblPr>
      <w:tblGrid>
        <w:gridCol w:w="1837"/>
        <w:gridCol w:w="1612"/>
        <w:gridCol w:w="1613"/>
        <w:gridCol w:w="211"/>
        <w:gridCol w:w="839"/>
        <w:gridCol w:w="109"/>
        <w:gridCol w:w="109"/>
        <w:gridCol w:w="109"/>
        <w:gridCol w:w="109"/>
        <w:gridCol w:w="211"/>
        <w:gridCol w:w="616"/>
        <w:gridCol w:w="109"/>
        <w:gridCol w:w="109"/>
        <w:gridCol w:w="109"/>
        <w:gridCol w:w="109"/>
        <w:gridCol w:w="211"/>
        <w:gridCol w:w="689"/>
        <w:gridCol w:w="109"/>
        <w:gridCol w:w="109"/>
        <w:gridCol w:w="109"/>
        <w:gridCol w:w="109"/>
        <w:gridCol w:w="211"/>
        <w:gridCol w:w="689"/>
        <w:gridCol w:w="158"/>
      </w:tblGrid>
      <w:tr>
        <w:trPr/>
        <w:tc>
          <w:tcPr>
            <w:tcW w:w="1837"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50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noncontrolling interests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Liberty Global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62"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(15)    </w:t>
      </w:r>
      <w:r>
        <w:rPr>
          <w:rFonts w:ascii="Times New Roman;sans-serif" w:hAnsi="Times New Roman;sans-serif"/>
          <w:b/>
          <w:color w:val="000000"/>
          <w:sz w:val="20"/>
          <w:u w:val="single"/>
        </w:rPr>
        <w:t>Commitments and Contingencies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enter into agreements that commit our company to make cash payments in future periods with respect to purchases of CPE and other equipment and services, programming contracts, network and connectivity commitments and other items. The following table sets forth the U.S. dollar equivalents of such commitments as of September 30, 2024. The commitments included in this table do not reflect any liabilities that are included on our September 30, 2024 condensed consolidated balance sheet.</w:t>
      </w:r>
    </w:p>
    <w:tbl>
      <w:tblPr>
        <w:tblW w:w="11108" w:type="dxa"/>
        <w:jc w:val="left"/>
        <w:tblInd w:w="0" w:type="dxa"/>
        <w:tblLayout w:type="fixed"/>
        <w:tblCellMar>
          <w:top w:w="28" w:type="dxa"/>
          <w:left w:w="28" w:type="dxa"/>
          <w:bottom w:w="28" w:type="dxa"/>
          <w:right w:w="28" w:type="dxa"/>
        </w:tblCellMar>
      </w:tblPr>
      <w:tblGrid>
        <w:gridCol w:w="440"/>
        <w:gridCol w:w="387"/>
        <w:gridCol w:w="389"/>
        <w:gridCol w:w="216"/>
        <w:gridCol w:w="632"/>
        <w:gridCol w:w="113"/>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76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3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during: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Remainder of 2024</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9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commitments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commitments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and connectivity commitments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commitments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commitments include unconditional and legally binding obligations related to (i) certain service-related commitments, including software development, information technology, maintenance and call center services and (ii) the purchase of network and other equipment and CPE.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w:t>
      </w:r>
      <w:r>
        <w:rPr>
          <w:color w:val="000000"/>
        </w:rPr>
        <w:t xml:space="preserve"> </w:t>
      </w:r>
      <w:r>
        <w:rPr>
          <w:rFonts w:ascii="Times New Roman;sans-serif" w:hAnsi="Times New Roman;sans-serif"/>
          <w:b w:val="false"/>
          <w:color w:val="000000"/>
          <w:sz w:val="20"/>
        </w:rPr>
        <w:t>In this regard, our total programming and copyright costs aggregated $401.7 million and</w:t>
      </w:r>
      <w:r>
        <w:rPr>
          <w:color w:val="000000"/>
        </w:rPr>
        <w:t xml:space="preserve"> </w:t>
      </w:r>
      <w:r>
        <w:rPr>
          <w:rFonts w:ascii="Times New Roman;sans-serif" w:hAnsi="Times New Roman;sans-serif"/>
          <w:b w:val="false"/>
          <w:color w:val="000000"/>
          <w:sz w:val="20"/>
        </w:rPr>
        <w:t>$408.7 million</w:t>
      </w:r>
      <w:r>
        <w:rPr>
          <w:color w:val="000000"/>
        </w:rPr>
        <w:t xml:space="preserve"> </w:t>
      </w:r>
      <w:r>
        <w:rPr>
          <w:rFonts w:ascii="Times New Roman;sans-serif" w:hAnsi="Times New Roman;sans-serif"/>
          <w:b w:val="false"/>
          <w:color w:val="000000"/>
          <w:sz w:val="20"/>
        </w:rPr>
        <w:t xml:space="preserve">during the nine months ended September 30, 2024 and 2023,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Network and connectivity commitments include (i) certain equipment and service-related commitments at Telenet and (ii) certain network capacity arrangements at Sunrise.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commitments include (i) our share of the funding commitment associated with the nexfibre JV and (ii) various sports sponsorships.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see note 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 </w:t>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Guarantees and Other Credit Enhancements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Legal and Regulatory Proceedings and Other Contingencies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Interkabel Acquisition. </w:t>
      </w:r>
      <w:r>
        <w:rPr>
          <w:rFonts w:ascii="Times New Roman;sans-serif" w:hAnsi="Times New Roman;sans-serif"/>
          <w:b w:val="false"/>
          <w:color w:val="000000"/>
          <w:sz w:val="20"/>
        </w:rPr>
        <w:t>On November 26, 2007, Telenet and four associations of municipalities in Belgium, which we refer to as the pure intercommunales or the “</w:t>
      </w:r>
      <w:r>
        <w:rPr>
          <w:rFonts w:ascii="Times New Roman;sans-serif" w:hAnsi="Times New Roman;sans-serif"/>
          <w:b/>
          <w:color w:val="000000"/>
          <w:sz w:val="20"/>
        </w:rPr>
        <w:t>PICs</w:t>
      </w:r>
      <w:r>
        <w:rPr>
          <w:rFonts w:ascii="Times New Roman;sans-serif" w:hAnsi="Times New Roman;sans-serif"/>
          <w:b w:val="false"/>
          <w:color w:val="000000"/>
          <w:sz w:val="20"/>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Times New Roman;sans-serif" w:hAnsi="Times New Roman;sans-serif"/>
          <w:b/>
          <w:color w:val="000000"/>
          <w:sz w:val="20"/>
        </w:rPr>
        <w:t>2008 PICs Agreement</w:t>
      </w:r>
      <w:r>
        <w:rPr>
          <w:rFonts w:ascii="Times New Roman;sans-serif" w:hAnsi="Times New Roman;sans-serif"/>
          <w:b w:val="false"/>
          <w:color w:val="000000"/>
          <w:sz w:val="20"/>
        </w:rPr>
        <w:t>), which closed effective October 1, 2008. Beginning in December 2007, Proximus NV/SA (</w:t>
      </w:r>
      <w:r>
        <w:rPr>
          <w:rFonts w:ascii="Times New Roman;sans-serif" w:hAnsi="Times New Roman;sans-serif"/>
          <w:b/>
          <w:color w:val="000000"/>
          <w:sz w:val="20"/>
        </w:rPr>
        <w:t>Proximus</w:t>
      </w:r>
      <w:r>
        <w:rPr>
          <w:rFonts w:ascii="Times New Roman;sans-serif" w:hAnsi="Times New Roman;sans-serif"/>
          <w:b w:val="false"/>
          <w:color w:val="000000"/>
          <w:sz w:val="20"/>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w:t>
      </w:r>
      <w:r>
        <w:rPr>
          <w:color w:val="000000"/>
        </w:rPr>
        <w:t xml:space="preserve"> </w:t>
      </w:r>
      <w:r>
        <w:rPr>
          <w:rFonts w:ascii="Times New Roman;sans-serif" w:hAnsi="Times New Roman;sans-serif"/>
          <w:b w:val="false"/>
          <w:color w:val="000000"/>
          <w:sz w:val="20"/>
        </w:rPr>
        <w:t>($1.6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Telekom Deutschland Litigation. </w:t>
      </w:r>
      <w:r>
        <w:rPr>
          <w:rFonts w:ascii="Times New Roman;sans-serif" w:hAnsi="Times New Roman;sans-serif"/>
          <w:b w:val="false"/>
          <w:color w:val="000000"/>
          <w:sz w:val="20"/>
        </w:rPr>
        <w:t>On December 28, 2012, Unitymedia filed a lawsuit against Telekom Deutschland GmbH (</w:t>
      </w:r>
      <w:r>
        <w:rPr>
          <w:rFonts w:ascii="Times New Roman;sans-serif" w:hAnsi="Times New Roman;sans-serif"/>
          <w:b/>
          <w:color w:val="000000"/>
          <w:sz w:val="20"/>
        </w:rPr>
        <w:t>Telekom Deutschland</w:t>
      </w:r>
      <w:r>
        <w:rPr>
          <w:rFonts w:ascii="Times New Roman;sans-serif" w:hAnsi="Times New Roman;sans-serif"/>
          <w:b w:val="false"/>
          <w:color w:val="000000"/>
          <w:sz w:val="20"/>
        </w:rPr>
        <w:t xml:space="preserve">) in 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pPr>
      <w:r>
        <w:rPr>
          <w:rFonts w:ascii="Times New Roman;sans-serif" w:hAnsi="Times New Roman;sans-serif"/>
          <w:b w:val="false"/>
          <w:color w:val="000000"/>
          <w:sz w:val="20"/>
        </w:rPr>
        <w:t xml:space="preserve">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 </w:t>
      </w:r>
      <w:r>
        <w:rPr>
          <w:rFonts w:ascii="Times New Roman;sans-serif" w:hAnsi="Times New Roman;sans-serif"/>
          <w:b/>
          <w:color w:val="000000"/>
          <w:sz w:val="20"/>
        </w:rPr>
        <w:t>Vodafone Disposal Group</w:t>
      </w:r>
      <w:r>
        <w:rPr>
          <w:rFonts w:ascii="Times New Roman;sans-serif" w:hAnsi="Times New Roman;sans-serif"/>
          <w:b w:val="false"/>
          <w:color w:val="000000"/>
          <w:sz w:val="20"/>
        </w:rPr>
        <w:t>)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i/>
          <w:color w:val="000000"/>
          <w:sz w:val="20"/>
        </w:rPr>
        <w:t>Swisscom MVNO Matter.</w:t>
      </w:r>
      <w:r>
        <w:rPr>
          <w:color w:val="000000"/>
        </w:rPr>
        <w:t xml:space="preserve"> </w:t>
      </w:r>
      <w:r>
        <w:rPr>
          <w:rFonts w:ascii="Times New Roman;sans-serif" w:hAnsi="Times New Roman;sans-serif"/>
          <w:b w:val="false"/>
          <w:color w:val="000000"/>
          <w:sz w:val="20"/>
        </w:rPr>
        <w:t>On December 8, 2017, one of our subsidiaries, Sunrise GmbH, formerly known as UPC Schweiz GmbH, entered into a mobile virtual network operator (</w:t>
      </w:r>
      <w:r>
        <w:rPr>
          <w:rFonts w:ascii="Times New Roman;sans-serif" w:hAnsi="Times New Roman;sans-serif"/>
          <w:b/>
          <w:color w:val="000000"/>
          <w:sz w:val="20"/>
        </w:rPr>
        <w:t>MVNO</w:t>
      </w:r>
      <w:r>
        <w:rPr>
          <w:rFonts w:ascii="Times New Roman;sans-serif" w:hAnsi="Times New Roman;sans-serif"/>
          <w:b w:val="false"/>
          <w:color w:val="000000"/>
          <w:sz w:val="20"/>
        </w:rPr>
        <w:t>) agreement with Swisscom (Schweiz) AG (</w:t>
      </w:r>
      <w:r>
        <w:rPr>
          <w:rFonts w:ascii="Times New Roman;sans-serif" w:hAnsi="Times New Roman;sans-serif"/>
          <w:b/>
          <w:color w:val="000000"/>
          <w:sz w:val="20"/>
        </w:rPr>
        <w:t>Swisscom</w:t>
      </w:r>
      <w:r>
        <w:rPr>
          <w:rFonts w:ascii="Times New Roman;sans-serif" w:hAnsi="Times New Roman;sans-serif"/>
          <w:b w:val="false"/>
          <w:color w:val="000000"/>
          <w:sz w:val="20"/>
        </w:rPr>
        <w:t xml:space="preserve">), as subsequently amended (the </w:t>
      </w:r>
      <w:r>
        <w:rPr>
          <w:rFonts w:ascii="Times New Roman;sans-serif" w:hAnsi="Times New Roman;sans-serif"/>
          <w:b/>
          <w:color w:val="000000"/>
          <w:sz w:val="20"/>
        </w:rPr>
        <w:t>Swisscom MVNO</w:t>
      </w:r>
      <w:r>
        <w:rPr>
          <w:rFonts w:ascii="Times New Roman;sans-serif" w:hAnsi="Times New Roman;sans-serif"/>
          <w:b w:val="false"/>
          <w:color w:val="000000"/>
          <w:sz w:val="20"/>
        </w:rPr>
        <w:t>), for the provision of mobile network services to certain of Sunrise GmbH’s end customers. In January 2023, Swisscom filed a formal lawsuit against Sunrise GmbH, asserting that it is in breach of the Swisscom MVNO and claiming approximately CHF 90 million</w:t>
      </w:r>
      <w:r>
        <w:rPr>
          <w:color w:val="000000"/>
        </w:rPr>
        <w:t xml:space="preserve"> </w:t>
      </w:r>
      <w:r>
        <w:rPr>
          <w:rFonts w:ascii="Times New Roman;sans-serif" w:hAnsi="Times New Roman;sans-serif"/>
          <w:b w:val="false"/>
          <w:color w:val="000000"/>
          <w:sz w:val="20"/>
        </w:rPr>
        <w:t>($107 million)</w:t>
      </w:r>
      <w:r>
        <w:rPr>
          <w:color w:val="000000"/>
        </w:rPr>
        <w:t xml:space="preserve"> </w:t>
      </w:r>
      <w:r>
        <w:rPr>
          <w:rFonts w:ascii="Times New Roman;sans-serif" w:hAnsi="Times New Roman;sans-serif"/>
          <w:b w:val="false"/>
          <w:color w:val="000000"/>
          <w:sz w:val="20"/>
        </w:rPr>
        <w:t>in damages. In April 2024, we agreed with Swisscom to resolve the matter, the terms of which are not material to us and, as a result, the lawsuit against Sunrise GmbH has been withdrawn.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Other Contingency Matters.</w:t>
      </w:r>
      <w:r>
        <w:rPr>
          <w:color w:val="000000"/>
        </w:rPr>
        <w:t xml:space="preserve"> </w:t>
      </w:r>
      <w:r>
        <w:rPr>
          <w:rFonts w:ascii="Times New Roman;sans-serif" w:hAnsi="Times New Roman;sans-serif"/>
          <w:b w:val="false"/>
          <w:color w:val="000000"/>
          <w:sz w:val="20"/>
        </w:rPr>
        <w:t>In connection with the dispositions of certain of our operations, we provided tax indemnities to the counterparties for certain tax liabilities that could arise from the period we owned the respective operations, the amounts of which could be significant, subject to certain thresholds. No amounts have been accrued by our company related to unasserted claims for indemnification,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Other Regulatory Matters. </w:t>
      </w:r>
      <w:r>
        <w:rPr>
          <w:rFonts w:ascii="Times New Roman;sans-serif" w:hAnsi="Times New Roman;sans-serif"/>
          <w:b w:val="false"/>
          <w:color w:val="000000"/>
          <w:sz w:val="20"/>
        </w:rPr>
        <w:t xml:space="preserve">Broadband internet, video distribution, fixed-line telephony, mobile and content businesses are regulated in each of the countries in which we or our affiliates operate. The scope of regulation varies from country to country, although in some significant respects regulation in European markets is harmonized under the regulatory structure of the E.U.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color w:val="000000"/>
          <w:sz w:val="20"/>
        </w:rPr>
        <w:t>(16)    </w:t>
      </w:r>
      <w:r>
        <w:rPr>
          <w:rFonts w:ascii="Times New Roman;sans-serif" w:hAnsi="Times New Roman;sans-serif"/>
          <w:b/>
          <w:color w:val="000000"/>
          <w:sz w:val="20"/>
          <w:u w:val="single"/>
        </w:rPr>
        <w:t>Segment Reporting</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The significant accounting policies of our reportable segments are the same as those described in note 3 to the consolidated financial statements included in our 2023 10-K. In addition, we review non-financial measures such as customer growth, as appropriate.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Times New Roman;sans-serif" w:hAnsi="Times New Roman;sans-serif"/>
          <w:b/>
          <w:color w:val="000000"/>
          <w:sz w:val="20"/>
        </w:rPr>
        <w:t>Adjusted EBITDA</w:t>
      </w:r>
      <w:r>
        <w:rPr>
          <w:color w:val="000000"/>
        </w:rPr>
        <w:t xml:space="preserve">” </w:t>
      </w:r>
      <w:r>
        <w:rPr>
          <w:rFonts w:ascii="Times New Roman;sans-serif" w:hAnsi="Times New Roman;sans-serif"/>
          <w:b w:val="false"/>
          <w:color w:val="000000"/>
          <w:sz w:val="20"/>
        </w:rPr>
        <w:t>is defined as net earnings (loss) before net income tax benefit (expense), other non-operating income or expenses, net share of results of affiliates, net gains (losses) on debt extinguishment, net realized and unrealized gains (losses) due to changes in fair values of certain investments, net foreign currency transaction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total consolidated reportable segment Adjusted EBITDA to earnings (loss) before income taxes is presented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our reportable segments are as follows:</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Consolidated:</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Sunrise</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Telenet</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VM Ireland</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Central and Other</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Nonconsolidated:</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VMO2 JV</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VodafoneZiggo JV</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Sunrise, Telenet and VM Ireland reportable segments derive their revenue primarily from residential and B2B communications services, including broadband internet, video, fixed-line telephony and mobile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w:t>
      </w:r>
      <w:r>
        <w:rPr>
          <w:rFonts w:ascii="Times New Roman;sans-serif" w:hAnsi="Times New Roman;sans-serif"/>
          <w:b/>
          <w:color w:val="000000"/>
          <w:sz w:val="20"/>
        </w:rPr>
        <w:t>Central and Other</w:t>
      </w:r>
      <w:r>
        <w:rPr>
          <w:color w:val="000000"/>
        </w:rPr>
        <w:t xml:space="preserve">” </w:t>
      </w:r>
      <w:r>
        <w:rPr>
          <w:rFonts w:ascii="Times New Roman;sans-serif" w:hAnsi="Times New Roman;sans-serif"/>
          <w:b w:val="false"/>
          <w:color w:val="000000"/>
          <w:sz w:val="20"/>
        </w:rPr>
        <w:t xml:space="preserve">reportable segment primarily includes (i) revenue associated with services provided to the VMO2 JV, the VodafoneZiggo JV and various third parties related to service agreements, (ii) sales of CPE to the VMO2 JV and the VodafoneZiggo JV, (iii) certain centralized functions, including billing systems, network operations, technology, marketing, facilities, finance and other administrative functions, and (iv) our operations in Slovakia.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Our centrally-managed technology and innovation function (our </w:t>
      </w:r>
      <w:r>
        <w:rPr>
          <w:rFonts w:ascii="Times New Roman;sans-serif" w:hAnsi="Times New Roman;sans-serif"/>
          <w:b/>
          <w:color w:val="000000"/>
          <w:sz w:val="20"/>
        </w:rPr>
        <w:t>T&amp;I Function</w:t>
      </w:r>
      <w:r>
        <w:rPr>
          <w:rFonts w:ascii="Times New Roman;sans-serif" w:hAnsi="Times New Roman;sans-serif"/>
          <w:b w:val="false"/>
          <w:color w:val="000000"/>
          <w:sz w:val="20"/>
        </w:rPr>
        <w:t xml:space="preserve">) provides, and allocates charges for, certain products and services to our consolidated reportable segments and, beginning in 2024, the VMO2 JV (the </w:t>
      </w:r>
      <w:r>
        <w:rPr>
          <w:rFonts w:ascii="Times New Roman;sans-serif" w:hAnsi="Times New Roman;sans-serif"/>
          <w:b/>
          <w:color w:val="000000"/>
          <w:sz w:val="20"/>
        </w:rPr>
        <w:t>Tech Framework</w:t>
      </w:r>
      <w:r>
        <w:rPr>
          <w:rFonts w:ascii="Times New Roman;sans-serif" w:hAnsi="Times New Roman;sans-serif"/>
          <w:b w:val="false"/>
          <w:color w:val="000000"/>
          <w:sz w:val="20"/>
        </w:rPr>
        <w:t xml:space="preserve">). These products and services include CPE hardware and related essential software, maintenance, hosting and other services. Our consolidated reportable segments and the VMO2 JV capitalize the combined cost of the CPE hardware and essential software as property and equipment additions and the corresponding amounts charged by our T&amp;I Function are reflected as revenue when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second quarter of 2023, we determined to market and sell certain of our internally-developed software to third parties. As a result of these strategic and operational changes, from May 2023, proceeds from the licensing and related sale of products from this internally-developed software (including proceeds generated from our arrangements with the VMO2 JV and the VodafoneZiggo JV) were applied against the net book value of our existing internally-developed capitalized software. As of December 31, 2023, the net book value of our existing internally-developed software was reduced to zero, after which time we began recognizing revenue for such licensing and related sale of products. Further, from May 2023, we expense the costs of development of such software due to the fact that it is able to be externally marketed to third parties.</w:t>
      </w:r>
      <w:r>
        <w:rPr>
          <w:color w:val="000000"/>
        </w:rPr>
        <w:t xml:space="preserve"> </w:t>
      </w:r>
      <w:r>
        <w:rPr>
          <w:rFonts w:ascii="Times New Roman;sans-serif" w:hAnsi="Times New Roman;sans-serif"/>
          <w:b w:val="false"/>
          <w:color w:val="000000"/>
          <w:sz w:val="20"/>
        </w:rPr>
        <w:t>During the three and nine months ended September 30, 2023, revenue within Central and Other was reduced by $61.5 million and $92.2 million, respectively, including $33.8 million and $49.5 million, respectively, from the VMO2 JV and $19.9 million and $29.7 million, respectively, from the VodafoneZiggo JV, as a result of this change and the associated accounting treatment.</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Performance Measures of Our Reportable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presented below represent 100% of each of our consolidated and nonconsolidated reportable segment’s revenue and Adjusted EBITDA, despite only holding a 50% noncontrolling interest in both the VMO2 JV and the VodafoneZiggo JV. We account for our 50% interest in both the VMO2 JV and the VodafoneZiggo JV as an equity method investment and as such, our share of the operating results of the VMO2 JV and the VodafoneZiggo JV is included in share of results of affiliates, net, in our condensed consolidated statements of operations. The noncontrolling owners’ interests in the operating results of Telenet, prior to the Telenet Takeover Bid, and other less significant majority-owned subsidiaries are reflected in net earnings or loss attributable to noncontrolling interests in our condensed consolidated statements of operations. </w:t>
      </w:r>
    </w:p>
    <w:tbl>
      <w:tblPr>
        <w:tblW w:w="9510" w:type="dxa"/>
        <w:jc w:val="left"/>
        <w:tblInd w:w="0" w:type="dxa"/>
        <w:tblLayout w:type="fixed"/>
        <w:tblCellMar>
          <w:top w:w="28" w:type="dxa"/>
          <w:left w:w="28" w:type="dxa"/>
          <w:bottom w:w="28" w:type="dxa"/>
          <w:right w:w="28" w:type="dxa"/>
        </w:tblCellMar>
      </w:tblPr>
      <w:tblGrid>
        <w:gridCol w:w="1420"/>
        <w:gridCol w:w="1243"/>
        <w:gridCol w:w="1267"/>
        <w:gridCol w:w="211"/>
        <w:gridCol w:w="766"/>
        <w:gridCol w:w="109"/>
        <w:gridCol w:w="109"/>
        <w:gridCol w:w="109"/>
        <w:gridCol w:w="109"/>
        <w:gridCol w:w="211"/>
        <w:gridCol w:w="766"/>
        <w:gridCol w:w="109"/>
        <w:gridCol w:w="109"/>
        <w:gridCol w:w="109"/>
        <w:gridCol w:w="109"/>
        <w:gridCol w:w="211"/>
        <w:gridCol w:w="871"/>
        <w:gridCol w:w="109"/>
        <w:gridCol w:w="109"/>
        <w:gridCol w:w="109"/>
        <w:gridCol w:w="109"/>
        <w:gridCol w:w="211"/>
        <w:gridCol w:w="871"/>
        <w:gridCol w:w="154"/>
      </w:tblGrid>
      <w:tr>
        <w:trPr/>
        <w:tc>
          <w:tcPr>
            <w:tcW w:w="142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 (a)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reportable segment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 (b)</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 (c)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(a)Amounts include services agreements revenue from the VMO2 JV ($90.8 million, $34.2 million, $294.3 million and $155.4 million, respectively) and the VodafoneZiggo JV ($42.5 million, $37.3 million, $164.2 million and $157.8 million, respectively), our nonconsolidated reportable segments, as further described in note 5. The remaining revenue is derived from other consolidated reportable segments, which is disclosed as intersegment eliminations pursuant to footnote (b), external parties and other affiliates.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(b)Amounts primarily relate to revenue recognized within Central and Other from other consolidated reportable segments associated with the</w:t>
      </w:r>
      <w:r>
        <w:rPr>
          <w:color w:val="000000"/>
        </w:rPr>
        <w:t xml:space="preserve"> </w:t>
      </w:r>
      <w:r>
        <w:rPr>
          <w:rFonts w:ascii="Times New Roman;sans-serif" w:hAnsi="Times New Roman;sans-serif"/>
          <w:b w:val="false"/>
          <w:color w:val="000000"/>
          <w:sz w:val="20"/>
        </w:rPr>
        <w:t>Tech Framework.</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(c)Total consolidated revenue does not include the revenue of our nonconsolidated reportable segments, which are separately shown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139" w:type="dxa"/>
        <w:jc w:val="left"/>
        <w:tblInd w:w="0" w:type="dxa"/>
        <w:tblLayout w:type="fixed"/>
        <w:tblCellMar>
          <w:top w:w="28" w:type="dxa"/>
          <w:left w:w="28" w:type="dxa"/>
          <w:bottom w:w="28" w:type="dxa"/>
          <w:right w:w="28" w:type="dxa"/>
        </w:tblCellMar>
      </w:tblPr>
      <w:tblGrid>
        <w:gridCol w:w="1724"/>
        <w:gridCol w:w="1508"/>
        <w:gridCol w:w="1537"/>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Adjusted EBITDA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 (a)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reportable segment Adjusted EBITDA</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consolidated intersegment eliminations (b)</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Adjusted EBITDA (c)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(a)Amounts include development costs related to our internally-developed software subsequent to our decision in May 2023 to externally market such software.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(b)Amounts relate to the Adjusted EBITDA impact within Central and Other related to the</w:t>
      </w:r>
      <w:r>
        <w:rPr>
          <w:color w:val="000000"/>
        </w:rPr>
        <w:t xml:space="preserve"> </w:t>
      </w:r>
      <w:r>
        <w:rPr>
          <w:rFonts w:ascii="Times New Roman;sans-serif" w:hAnsi="Times New Roman;sans-serif"/>
          <w:b w:val="false"/>
          <w:color w:val="000000"/>
          <w:sz w:val="20"/>
        </w:rPr>
        <w:t>Tech Framework.</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(c)Total consolidated Adjusted EBITDA does not include the Adjusted EBITDA of our nonconsolidated reportable segments, which are separately shown below.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following table provides a reconciliation of total consolidated reportable segment Adjusted EBITDA to earnings (loss)</w:t>
      </w:r>
      <w:r>
        <w:rPr>
          <w:color w:val="000000"/>
        </w:rPr>
        <w:t xml:space="preserve"> </w:t>
      </w:r>
      <w:r>
        <w:rPr>
          <w:rFonts w:ascii="Times New Roman;sans-serif" w:hAnsi="Times New Roman;sans-serif"/>
          <w:b w:val="false"/>
          <w:color w:val="000000"/>
          <w:sz w:val="20"/>
        </w:rPr>
        <w:t>before income taxes:</w:t>
      </w:r>
    </w:p>
    <w:tbl>
      <w:tblPr>
        <w:tblW w:w="10205" w:type="dxa"/>
        <w:jc w:val="left"/>
        <w:tblInd w:w="0" w:type="dxa"/>
        <w:tblLayout w:type="fixed"/>
        <w:tblCellMar>
          <w:top w:w="28" w:type="dxa"/>
          <w:left w:w="28" w:type="dxa"/>
          <w:bottom w:w="28" w:type="dxa"/>
          <w:right w:w="28" w:type="dxa"/>
        </w:tblCellMar>
      </w:tblPr>
      <w:tblGrid>
        <w:gridCol w:w="1862"/>
        <w:gridCol w:w="1531"/>
        <w:gridCol w:w="1541"/>
        <w:gridCol w:w="211"/>
        <w:gridCol w:w="815"/>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186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reportable segment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 operating items,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(losses) on derivative instruments, net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gains (losses),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(losses) due to changes in fair values of certain investments, net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results of affiliates,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All3Media</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associated with the Telenet Wyre Transaction</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Property and Equipment Additions of our Reportable Segments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tbl>
      <w:tblPr>
        <w:tblW w:w="8589" w:type="dxa"/>
        <w:jc w:val="left"/>
        <w:tblInd w:w="0" w:type="dxa"/>
        <w:tblLayout w:type="fixed"/>
        <w:tblCellMar>
          <w:top w:w="28" w:type="dxa"/>
          <w:left w:w="28" w:type="dxa"/>
          <w:bottom w:w="28" w:type="dxa"/>
          <w:right w:w="28" w:type="dxa"/>
        </w:tblCellMar>
      </w:tblPr>
      <w:tblGrid>
        <w:gridCol w:w="2185"/>
        <w:gridCol w:w="1912"/>
        <w:gridCol w:w="1948"/>
        <w:gridCol w:w="211"/>
        <w:gridCol w:w="766"/>
        <w:gridCol w:w="109"/>
        <w:gridCol w:w="109"/>
        <w:gridCol w:w="109"/>
        <w:gridCol w:w="109"/>
        <w:gridCol w:w="211"/>
        <w:gridCol w:w="766"/>
        <w:gridCol w:w="154"/>
      </w:tblGrid>
      <w:tr>
        <w:trPr/>
        <w:tc>
          <w:tcPr>
            <w:tcW w:w="21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 (a)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reportable segment property and equipment additions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 (b)</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property and equipment additions (c)</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under capital-related vendor financing arrangements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under finance leases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current liabilities related to capital expenditures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additions: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(i) property and equipment additions representing centrally-owned assets that benefit our operating segments, including development costs related to our internally-developed software prior to our decision to externally market such software during the second quarter of 2023, (ii) the net impact of certain centrally-procured network equipment that is ultimately transferred to our operating segments and (iii) property and equipment additions of our operations in Slovakia.</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(b)Amounts reflect the charge under the Tech Framework to each respective consolidated reportable segment related to the portion of the charges attributed to centrally-held internally developed technology that is embedded within our various CPE, as well as any applicable markup.</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(c)Total consolidated property and equipment additions do not include the property and equipment additions of our nonconsolidated reportable segments, which are separately shown below.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Revenue by Major Category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by major category for our consolidated reportable segments is set forth below:</w:t>
      </w:r>
    </w:p>
    <w:tbl>
      <w:tblPr>
        <w:tblW w:w="8129" w:type="dxa"/>
        <w:jc w:val="left"/>
        <w:tblInd w:w="0" w:type="dxa"/>
        <w:tblLayout w:type="fixed"/>
        <w:tblCellMar>
          <w:top w:w="28" w:type="dxa"/>
          <w:left w:w="28" w:type="dxa"/>
          <w:bottom w:w="28" w:type="dxa"/>
          <w:right w:w="28" w:type="dxa"/>
        </w:tblCellMar>
      </w:tblPr>
      <w:tblGrid>
        <w:gridCol w:w="1000"/>
        <w:gridCol w:w="877"/>
        <w:gridCol w:w="882"/>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fixed revenue (a):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(b):</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internet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Fixed-line telephony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subscription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fixed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mobile revenue (c):</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mobile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B2B revenue (d):</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B2B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(c)Residential mobile subscription revenue includes amounts received from subscribers for ongoing services. Residential mobile non-subscription revenue includes, among other items, interconnect revenue and revenue from sales of mobile handsets and other devices.</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(d)B2B subscription revenue represents revenue from (i) services provided to small or home office (</w:t>
      </w:r>
      <w:r>
        <w:rPr>
          <w:rFonts w:ascii="Times New Roman;sans-serif" w:hAnsi="Times New Roman;sans-serif"/>
          <w:b/>
          <w:color w:val="000000"/>
          <w:sz w:val="20"/>
        </w:rPr>
        <w:t>SOHO</w:t>
      </w:r>
      <w:r>
        <w:rPr>
          <w:rFonts w:ascii="Times New Roman;sans-serif" w:hAnsi="Times New Roman;sans-serif"/>
          <w:b w:val="false"/>
          <w:color w:val="000000"/>
          <w:sz w:val="20"/>
        </w:rPr>
        <w:t xml:space="preserve">)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enterprises and, fixed-line and mobile services on a wholesale basis, to other operators and (b) revenue from long-term leases of portions of our network.</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(e)Other revenue includes, among other items, (i) broadcasting revenue at Telenet, VM Ireland and Sunrise, (ii) revenue earned from the U.K. JV Services and NL JV Services and (iii) revenue earned from the sale of CPE to the VMO2 JV and VodafoneZiggo JV.</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Geographic Segments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revenue of our geographic segments is set forth below:</w:t>
      </w:r>
    </w:p>
    <w:tbl>
      <w:tblPr>
        <w:tblW w:w="9449" w:type="dxa"/>
        <w:jc w:val="left"/>
        <w:tblInd w:w="0" w:type="dxa"/>
        <w:tblLayout w:type="fixed"/>
        <w:tblCellMar>
          <w:top w:w="28" w:type="dxa"/>
          <w:left w:w="28" w:type="dxa"/>
          <w:bottom w:w="28" w:type="dxa"/>
          <w:right w:w="28" w:type="dxa"/>
        </w:tblCellMar>
      </w:tblPr>
      <w:tblGrid>
        <w:gridCol w:w="1398"/>
        <w:gridCol w:w="1229"/>
        <w:gridCol w:w="1242"/>
        <w:gridCol w:w="211"/>
        <w:gridCol w:w="766"/>
        <w:gridCol w:w="109"/>
        <w:gridCol w:w="109"/>
        <w:gridCol w:w="109"/>
        <w:gridCol w:w="109"/>
        <w:gridCol w:w="211"/>
        <w:gridCol w:w="766"/>
        <w:gridCol w:w="109"/>
        <w:gridCol w:w="109"/>
        <w:gridCol w:w="109"/>
        <w:gridCol w:w="109"/>
        <w:gridCol w:w="211"/>
        <w:gridCol w:w="871"/>
        <w:gridCol w:w="109"/>
        <w:gridCol w:w="109"/>
        <w:gridCol w:w="109"/>
        <w:gridCol w:w="109"/>
        <w:gridCol w:w="211"/>
        <w:gridCol w:w="871"/>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Slovakia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including intersegment eliminations (a)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 (U.K.)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VodafoneZiggo JV (Netherlands)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3,297.0 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(a)Revenue from our other geographic segments relates to (i) our Central functions, most of which are located in the Netherlands and the U.K., and (ii) certain other operations at Telenet, primarily in the U.S. and Luxembourg.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Item 2.</w:t>
      </w:r>
      <w:r>
        <w:rPr>
          <w:rFonts w:ascii="Times New Roman;sans-serif" w:hAnsi="Times New Roman;sans-serif"/>
          <w:b/>
          <w:color w:val="000000"/>
          <w:sz w:val="20"/>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which should be read in conjunction with our consolidated financial statements and the discussion and analysis included in our 2023 10-K, is intended to assist in providing an understanding of changes in our results of operations and financial condition and is organized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Forward-Looking Statements. </w:t>
      </w:r>
      <w:r>
        <w:rPr>
          <w:rFonts w:ascii="Times New Roman;sans-serif" w:hAnsi="Times New Roman;sans-serif"/>
          <w:b w:val="false"/>
          <w:color w:val="000000"/>
          <w:sz w:val="20"/>
        </w:rPr>
        <w:t>This section provides a description of certain factors that could cause actual results or events to differ materially from anticipated results or events.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Overview.</w:t>
      </w:r>
      <w:r>
        <w:rPr>
          <w:color w:val="000000"/>
        </w:rPr>
        <w:t xml:space="preserve"> </w:t>
      </w:r>
      <w:r>
        <w:rPr>
          <w:rFonts w:ascii="Times New Roman;sans-serif" w:hAnsi="Times New Roman;sans-serif"/>
          <w:b w:val="false"/>
          <w:color w:val="000000"/>
          <w:sz w:val="20"/>
        </w:rPr>
        <w:t>This section provides a general description of our business and recent events.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Material Changes in Results of Operations.</w:t>
      </w:r>
      <w:r>
        <w:rPr>
          <w:color w:val="000000"/>
        </w:rPr>
        <w:t xml:space="preserve"> </w:t>
      </w:r>
      <w:r>
        <w:rPr>
          <w:rFonts w:ascii="Times New Roman;sans-serif" w:hAnsi="Times New Roman;sans-serif"/>
          <w:b w:val="false"/>
          <w:color w:val="000000"/>
          <w:sz w:val="20"/>
        </w:rPr>
        <w:t>This section provides an analysis of our results of operations for the three and nine months ended September 30, 2024 and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Material Changes in Financial Condition.</w:t>
      </w:r>
      <w:r>
        <w:rPr>
          <w:color w:val="000000"/>
        </w:rPr>
        <w:t xml:space="preserve"> </w:t>
      </w:r>
      <w:r>
        <w:rPr>
          <w:rFonts w:ascii="Times New Roman;sans-serif" w:hAnsi="Times New Roman;sans-serif"/>
          <w:b w:val="false"/>
          <w:color w:val="000000"/>
          <w:sz w:val="20"/>
        </w:rPr>
        <w:t>This section provides an analysis of our corporate and subsidiary liquidity and our condensed consolidated statements of cash flows.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convenience translations into U.S. dollars are calculated, and operational data is presented, as of September 30, 2024.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w:t>
      </w:r>
      <w:r>
        <w:rPr>
          <w:color w:val="000000"/>
        </w:rPr>
        <w:t xml:space="preserve">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Part I, Item 3. </w:t>
      </w:r>
      <w:r>
        <w:rPr>
          <w:rFonts w:ascii="Times New Roman;sans-serif" w:hAnsi="Times New Roman;sans-serif"/>
          <w:b w:val="false"/>
          <w:i/>
          <w:color w:val="000000"/>
          <w:sz w:val="20"/>
        </w:rPr>
        <w:t xml:space="preserve">Quantitative and Qualitative Disclosures About Market Risk </w:t>
      </w:r>
      <w:r>
        <w:rPr>
          <w:rFonts w:ascii="Times New Roman;sans-serif" w:hAnsi="Times New Roman;sans-serif"/>
          <w:b w:val="false"/>
          <w:color w:val="000000"/>
          <w:sz w:val="20"/>
        </w:rPr>
        <w:t xml:space="preserve">and Part II, Item 2. </w:t>
      </w:r>
      <w:r>
        <w:rPr>
          <w:rFonts w:ascii="Times New Roman;sans-serif" w:hAnsi="Times New Roman;sans-serif"/>
          <w:b w:val="false"/>
          <w:i/>
          <w:color w:val="000000"/>
          <w:sz w:val="20"/>
        </w:rPr>
        <w:t>Unregistered Sales of Equity Securities and Use of Proceeds</w:t>
      </w:r>
      <w:r>
        <w:rPr>
          <w:color w:val="000000"/>
        </w:rPr>
        <w:t xml:space="preserve"> </w:t>
      </w:r>
      <w:r>
        <w:rPr>
          <w:rFonts w:ascii="Times New Roman;sans-serif" w:hAnsi="Times New Roman;sans-serif"/>
          <w:b w:val="false"/>
          <w:color w:val="000000"/>
          <w:sz w:val="20"/>
        </w:rPr>
        <w:t>may</w:t>
      </w:r>
      <w:r>
        <w:rPr>
          <w:color w:val="000000"/>
        </w:rPr>
        <w:t xml:space="preserve"> </w:t>
      </w:r>
      <w:r>
        <w:rPr>
          <w:rFonts w:ascii="Times New Roman;sans-serif" w:hAnsi="Times New Roman;sans-serif"/>
          <w:b w:val="false"/>
          <w:color w:val="000000"/>
          <w:sz w:val="20"/>
        </w:rPr>
        <w:t xml:space="preserve">contain forward-looking statements, including statements regarding our business, product, foreign currency, hedging and finance strategies, our property and equipment additions, subscriber growth and retention rates, competitive, regulatory and economic factors, the timing and impacts of proposed transactions, the maturity of our markets, the potential impact of large-scale health crises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our share repurchase programs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of our 2023 10-K, as well as the following list of some, but not all, of the factors that could cause actual results or events (including with respect to affiliates) to differ materially from anticipated results or events: </w:t>
      </w:r>
    </w:p>
    <w:p>
      <w:pPr>
        <w:pStyle w:val="TextBody"/>
        <w:bidi w:val="0"/>
        <w:spacing w:before="0" w:after="0"/>
        <w:ind w:left="0" w:right="0" w:firstLine="36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economic and business conditions and industry trends in the countries in which we or our affiliates operate;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competitive environment in the industries and in the countries in which we or our affiliates operate, including competitor responses to our products and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fluctuations in currency exchange rates and interest rates;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instability in global financial markets, including sovereign debt issues, currency instability and related fiscal reforms;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consumer disposable income and spending levels, including the availability and amount of individual consumer debt, as a result of, among other things, inflationary pressures;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consumer television viewing, mobile and broadband usage preferences and habits;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manage rapid technological changes, including our ability to adequately manage our legacy technologies and transformation, and the rate at which our current technology becomes obsolete;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or increase the number of subscriptions to our broadband internet, video, fixed-line telephony and mobile service offerings and our average revenue per household;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provide satisfactory customer service, including support for new and evolving products and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or increase rates to our subscribers or to pass through increased costs to our subscribers, including with respect to our significant property and equipment additions, as a result of, among other things, inflationary pressures;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impact of our future financial performance, or market conditions generally, on the availability, terms and deployment of capital;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or failure or inability to comply with, government regulations and legislation in the countries in which we or our affiliates operate and adverse outcomes from regulatory proceedings;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government intervention that requires opening our broadband distribution networks to competitors, such as certain regulatory obligations imposed in Belgium;</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and further develop our direct and indirect distribution channels;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effect of perceived health risks associated with electromagnetic radiation from base stations and associated equipment;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effect on our businesses of strikes or collective action by certain of our employees that are represented by trade unions;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obtain regulatory approval and shareholder approval and satisfy other conditions necessary to close acquisitions, dispositions, combinations or joint ventures and the impact of conditions imposed by competition and other regulatory authorities in connection with acquisitions, combinations and joint ventures;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successfully acquire new businesses or form joint ventures and, if acquired or joined, to integrate, realize anticipated efficiencies from, and implement our business plan with respect to, the businesses we have acquired or joined or that we expect to acquire or join;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laws or treaties relating to taxation, or the interpretation thereof, in the U.K., the U.S. or in other countries in which we or our affiliates operate;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laws, monetary policies and government regulations that may impact the availability or cost of capital and the derivative instruments that hedge certain of our financial risks;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navigate the potential impacts on our business resulting from the U.K.’s departure from the E.U.;</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ability of suppliers and vendors (including our third-party wireless network provider, Three (Hutchison), under our MVNO arrangement at VM Ireland) to timely deliver quality products, equipment, software, services and access;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activities of device manufacturers, and our operating companies’ ability to secure adequate and timely supply of handsets that experience high demand;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availability of attractive programming for our video services and the costs associated with such programming, including, but not limited to, production costs, retransmission and copyright fees payable to public and private broadcasters;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uncertainties inherent in the development and integration of new business lines and business strategies;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adequately forecast and plan future network requirements;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availability and cost of capital for the acquisition, maintenance and/or development of telecommunications networks, products and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availability, cost and regulation of spectrum;</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problems we may discover post-closing with the operations, including the internal controls and financial reporting processes, of businesses we acquire;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successfully integrating businesses or operations that we acquire or partner with on the timelines or within the budgets estimated for such integrations;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operating costs, customer loss and business disruption, including maintaining relationships with employees, customers, suppliers or vendors, may be greater than expected in connection with our acquisitions, dispositions or joint ventures;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realize the expected synergies from our acquisitions and joint ventures in the amounts anticipated or on the anticipated timelines;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profit from investments, such as our joint ventures, that we do not solely control;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anticipate, protect against, mitigate and contain loss of our and our customers’ data as a result of cyber attacks on us or any of our operating companies;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leakage of sensitive customer or company data or the failure to comply with applicable data protection laws, regulations and rules;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failure in our network and information systems, whether caused by a natural failure or a security breach, and unauthorized access to our networks;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outcome of any pending or threatened litigation;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loss of key employees and the availability of qualified personnel;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the nature of key strategic relationships with partners and joint venturers;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risk of default by counterparties to our cash investments, derivative and other financial instruments and undrawn debt facilities;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capital structure and factors related to our debt arrangements;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events that are outside of our control, such as political unrest in international markets, terrorist attacks, armed conflicts, malicious human acts, natural disasters, epidemics, pandemics and other similar events, including the ongoing invasion of Ukraine by Russia and the Israeli-Palestinian conflict.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broadband distribution and mobile service industries are changing rapidly and, therefore, the forward-looking statements of expectations, plans and intents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international provider of broadband internet, video, fixed-line telephony and mobile communications services to residential customers and businesses in Europe. Our businesses provide residential and B2B communications services in (i) Switzerland, which we refer to as Sunrise, and Slovakia through Sunrise Holding, (ii) Belgium and Luxembourg through Telenet and (iii) Ireland through VM Ireland. In addition, we own 50% noncontrolling interests in (a) the VMO2 JV, which provides residential and B2B communications services in the U.K., and (b) the VodafoneZiggo JV, which provides residential and B2B communications services in the Netherlands. We also own (1) a 50% noncontrolling voting interest in the AtlasEdge JV, which is a leading European Edge data center platform, and (2) a 25% noncontrolling interest in the nexfibre JV, which is constructing a new fiber network in the U.K. outside of the existing footprint of the VMO2 JV.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announced our intention to spin-off the Sunrise Entities in November 2024. The Spin-off was approved at a special meeting of Liberty Global shareholders held on October 25,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we completed the Telenet Takeover Bid, pursuant to which we increased our ownership interest in Telenet to 100%.</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we owned and operated networks that passed 8,546,000 homes and served 4,008,800 fixed-line customers and 5,932,500 mobile subscribers.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Competition and Other External Factors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Times New Roman;sans-serif" w:hAnsi="Times New Roman;sans-serif"/>
          <w:b/>
          <w:color w:val="000000"/>
          <w:sz w:val="20"/>
        </w:rPr>
        <w:t>ARPU</w:t>
      </w:r>
      <w:r>
        <w:rPr>
          <w:rFonts w:ascii="Times New Roman;sans-serif" w:hAnsi="Times New Roman;sans-serif"/>
          <w:b w:val="false"/>
          <w:color w:val="000000"/>
          <w:sz w:val="20"/>
        </w:rPr>
        <w:t xml:space="preserve">). For additional information regarding the revenue impact of changes in the fixed-line customers and ARPU of our consolidated reportable segments, see </w:t>
      </w:r>
      <w:r>
        <w:rPr>
          <w:rFonts w:ascii="Times New Roman;sans-serif" w:hAnsi="Times New Roman;sans-serif"/>
          <w:b w:val="false"/>
          <w:i/>
          <w:color w:val="000000"/>
          <w:sz w:val="20"/>
        </w:rPr>
        <w:t>Discussion and Analysis of our Reportable Segments</w:t>
      </w:r>
      <w:r>
        <w:rPr>
          <w:color w:val="000000"/>
        </w:rPr>
        <w:t xml:space="preserve"> </w:t>
      </w:r>
      <w:r>
        <w:rPr>
          <w:rFonts w:ascii="Times New Roman;sans-serif" w:hAnsi="Times New Roman;sans-serif"/>
          <w:b w:val="false"/>
          <w:color w:val="000000"/>
          <w:sz w:val="20"/>
        </w:rPr>
        <w:t>below</w:t>
      </w:r>
      <w:r>
        <w:rPr>
          <w:rFonts w:ascii="Times New Roman;sans-serif" w:hAnsi="Times New Roman;sans-serif"/>
          <w:b w:val="false"/>
          <w:i/>
          <w:color w:val="000000"/>
          <w:sz w:val="2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Material Changes in Results of Operations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the following discussion, we quantify the estimated impact of material acquisitions (the </w:t>
      </w:r>
      <w:r>
        <w:rPr>
          <w:rFonts w:ascii="Times New Roman;sans-serif" w:hAnsi="Times New Roman;sans-serif"/>
          <w:b/>
          <w:color w:val="000000"/>
          <w:sz w:val="20"/>
        </w:rPr>
        <w:t>Acquisition Impact</w:t>
      </w:r>
      <w:r>
        <w:rPr>
          <w:rFonts w:ascii="Times New Roman;sans-serif" w:hAnsi="Times New Roman;sans-serif"/>
          <w:b w:val="false"/>
          <w:color w:val="000000"/>
          <w:sz w:val="20"/>
        </w:rPr>
        <w:t xml:space="preserve">)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Changes in foreign currency exchange rates have a significant impact on our reported operating results as all of our operating segments have functional currencies other than the U.S. dollar. Our primary exposure to foreign exchange (</w:t>
      </w:r>
      <w:r>
        <w:rPr>
          <w:rFonts w:ascii="Times New Roman;sans-serif" w:hAnsi="Times New Roman;sans-serif"/>
          <w:b/>
          <w:color w:val="000000"/>
          <w:sz w:val="20"/>
        </w:rPr>
        <w:t>FX</w:t>
      </w:r>
      <w:r>
        <w:rPr>
          <w:rFonts w:ascii="Times New Roman;sans-serif" w:hAnsi="Times New Roman;sans-serif"/>
          <w:b w:val="false"/>
          <w:color w:val="000000"/>
          <w:sz w:val="20"/>
        </w:rPr>
        <w:t>) risk during the three months ended September 30, 2024 was to the euro and Swiss franc, as 56.5% and 45.2% of our reported revenue during the period was derived from subsidiaries whose functional currencies are the euro and Swiss franc, respectively. In addition, our reported operating results are impacted by changes in the exchange rates for certain other local currencies in Europe. The portions of the changes</w:t>
      </w:r>
      <w:r>
        <w:rPr>
          <w:color w:val="000000"/>
        </w:rPr>
        <w:t xml:space="preserve"> </w:t>
      </w:r>
      <w:r>
        <w:rPr>
          <w:rFonts w:ascii="Times New Roman;sans-serif" w:hAnsi="Times New Roman;sans-serif"/>
          <w:b w:val="false"/>
          <w:color w:val="000000"/>
          <w:sz w:val="20"/>
        </w:rPr>
        <w:t xml:space="preserve">in the various components of our results of operations that are attributable to changes in FX are highlighted under </w:t>
      </w:r>
      <w:r>
        <w:rPr>
          <w:rFonts w:ascii="Times New Roman;sans-serif" w:hAnsi="Times New Roman;sans-serif"/>
          <w:b w:val="false"/>
          <w:i/>
          <w:color w:val="000000"/>
          <w:sz w:val="20"/>
        </w:rPr>
        <w:t>Discussion and Analysis of our</w:t>
      </w:r>
      <w:r>
        <w:rPr>
          <w:color w:val="000000"/>
        </w:rPr>
        <w:t xml:space="preserve"> </w:t>
      </w:r>
      <w:r>
        <w:rPr>
          <w:rFonts w:ascii="Times New Roman;sans-serif" w:hAnsi="Times New Roman;sans-serif"/>
          <w:b w:val="false"/>
          <w:i/>
          <w:color w:val="000000"/>
          <w:sz w:val="20"/>
        </w:rPr>
        <w:t xml:space="preserve">Reportable Segments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Discussion and Analysis of our Consolidated Operating Results </w:t>
      </w:r>
      <w:r>
        <w:rPr>
          <w:rFonts w:ascii="Times New Roman;sans-serif" w:hAnsi="Times New Roman;sans-serif"/>
          <w:b w:val="false"/>
          <w:color w:val="000000"/>
          <w:sz w:val="20"/>
        </w:rPr>
        <w:t xml:space="preserve">below. For information regarding our foreign currency risks and the applicable foreign currency exchange rates in effect for the periods covered by this Quarterly Report, see Part I, Item 3. </w:t>
      </w:r>
      <w:r>
        <w:rPr>
          <w:rFonts w:ascii="Times New Roman;sans-serif" w:hAnsi="Times New Roman;sans-serif"/>
          <w:b w:val="false"/>
          <w:i/>
          <w:color w:val="000000"/>
          <w:sz w:val="20"/>
        </w:rPr>
        <w:t>Quantitative and Qualitative Disclosures about Market Risk — Foreign Currency Risk</w:t>
      </w:r>
      <w:r>
        <w:rPr>
          <w:color w:val="000000"/>
        </w:rPr>
        <w:t xml:space="preserve"> </w:t>
      </w:r>
      <w:r>
        <w:rPr>
          <w:rFonts w:ascii="Times New Roman;sans-serif" w:hAnsi="Times New Roman;sans-serif"/>
          <w:b w:val="false"/>
          <w:color w:val="000000"/>
          <w:sz w:val="20"/>
        </w:rPr>
        <w:t>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presented and discussed below represent 100% of each of our consolidated and nonconsolidated reportable segment’s results of operations, despite only holding a 50% noncontrolling interest in both the VMO2 JV and the VodafoneZiggo JV. We account for our 50% interest in both the VMO2 JV and the VodafoneZiggo JV as an equity method investment and as such, our share of the operating results of the VMO2 JV and the VodafoneZiggo JV is included in share of results of affiliates, net, in our condensed consolidated statements of operations. The noncontrolling owners’ interests at Telenet and other less significant majority-owned subsidiaries are reflected in net earnings or loss attributable to noncontrolling interests in our condensed consolidated statements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Discussion and Analysis of our Reportable Segments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Our Sunrise, Telenet and VM Ireland reportable segments derive their revenue primarily from residential and B2B communications services. Our Central and Other reportable segment primarily includes (i) revenue associated with services provided to the VMO2 JV, the VodafoneZiggo JV and various third parties related to service agreements, (ii) sales of CPE to the VMO2 JV and the VodafoneZiggo JV, (iii) certain centralized functions, including billing systems, network operations, technology, marketing, facilities, finance and other administrative functions, and (iv) our operations in Slovakia. For detailed information regarding the composition of our reportable segments and how we define and categorize our revenue components, see note 16 to our condensed consolidated financial statements. For information regarding the results of operations of the VMO2 JV and the VodafoneZiggo JV, refer to </w:t>
      </w:r>
      <w:r>
        <w:rPr>
          <w:rFonts w:ascii="Times New Roman;sans-serif" w:hAnsi="Times New Roman;sans-serif"/>
          <w:b w:val="false"/>
          <w:i/>
          <w:color w:val="000000"/>
          <w:sz w:val="20"/>
        </w:rPr>
        <w:t xml:space="preserve">Discussion and Analysis of our Consolidated Operating Results — Share of results of affiliates, net </w:t>
      </w:r>
      <w:r>
        <w:rPr>
          <w:rFonts w:ascii="Times New Roman;sans-serif" w:hAnsi="Times New Roman;sans-serif"/>
          <w:b w:val="false"/>
          <w:color w:val="000000"/>
          <w:sz w:val="20"/>
        </w:rPr>
        <w:t>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presented below in this section provide the details of the revenue and Adjusted EBITDA of our reportable segments for the three and nine months ended September 30, 2024, as compared to the corresponding periods in 2023.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the three and nine months ended September 30, 2024 and 2023 at the end of this section.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earnings (loss) to Adjusted EBITDA:</w:t>
      </w:r>
    </w:p>
    <w:tbl>
      <w:tblPr>
        <w:tblW w:w="10205" w:type="dxa"/>
        <w:jc w:val="left"/>
        <w:tblInd w:w="0" w:type="dxa"/>
        <w:tblLayout w:type="fixed"/>
        <w:tblCellMar>
          <w:top w:w="28" w:type="dxa"/>
          <w:left w:w="28" w:type="dxa"/>
          <w:bottom w:w="28" w:type="dxa"/>
          <w:right w:w="28" w:type="dxa"/>
        </w:tblCellMar>
      </w:tblPr>
      <w:tblGrid>
        <w:gridCol w:w="1914"/>
        <w:gridCol w:w="1507"/>
        <w:gridCol w:w="1513"/>
        <w:gridCol w:w="211"/>
        <w:gridCol w:w="815"/>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1914"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associated with the Telenet Wyre Transaction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All3Media</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results of affiliates, net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(gains) due to changes in fair values of certain investments,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losses (gains), net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(gains) on derivative instruments,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 operating items, net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1,823.6 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Revenue of our Reportable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General. </w:t>
      </w:r>
      <w:r>
        <w:rPr>
          <w:rFonts w:ascii="Times New Roman;sans-serif" w:hAnsi="Times New Roman;sans-serif"/>
          <w:b w:val="false"/>
          <w:color w:val="000000"/>
          <w:sz w:val="20"/>
        </w:rPr>
        <w:t xml:space="preserve">While not specifically discussed in the below explanations of the changes in the revenue of our reportable segments, we are experiencing competition in all of our markets. This competition has an adverse impact on our ability to increase or maintain our total number of customers and/or our ARPU.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64" w:type="dxa"/>
        <w:jc w:val="left"/>
        <w:tblInd w:w="0" w:type="dxa"/>
        <w:tblLayout w:type="fixed"/>
        <w:tblCellMar>
          <w:top w:w="28" w:type="dxa"/>
          <w:left w:w="28" w:type="dxa"/>
          <w:bottom w:w="28" w:type="dxa"/>
          <w:right w:w="28" w:type="dxa"/>
        </w:tblCellMar>
      </w:tblPr>
      <w:tblGrid>
        <w:gridCol w:w="807"/>
        <w:gridCol w:w="708"/>
        <w:gridCol w:w="719"/>
        <w:gridCol w:w="211"/>
        <w:gridCol w:w="766"/>
        <w:gridCol w:w="109"/>
        <w:gridCol w:w="109"/>
        <w:gridCol w:w="109"/>
        <w:gridCol w:w="109"/>
        <w:gridCol w:w="211"/>
        <w:gridCol w:w="766"/>
        <w:gridCol w:w="109"/>
        <w:gridCol w:w="109"/>
        <w:gridCol w:w="109"/>
        <w:gridCol w:w="109"/>
        <w:gridCol w:w="221"/>
        <w:gridCol w:w="537"/>
        <w:gridCol w:w="114"/>
        <w:gridCol w:w="114"/>
        <w:gridCol w:w="114"/>
        <w:gridCol w:w="114"/>
        <w:gridCol w:w="254"/>
        <w:gridCol w:w="257"/>
        <w:gridCol w:w="114"/>
        <w:gridCol w:w="109"/>
        <w:gridCol w:w="109"/>
        <w:gridCol w:w="109"/>
        <w:gridCol w:w="293"/>
        <w:gridCol w:w="816"/>
        <w:gridCol w:w="151"/>
        <w:gridCol w:w="151"/>
        <w:gridCol w:w="151"/>
        <w:gridCol w:w="151"/>
        <w:gridCol w:w="254"/>
        <w:gridCol w:w="257"/>
        <w:gridCol w:w="214"/>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3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927" w:type="dxa"/>
        <w:jc w:val="left"/>
        <w:tblInd w:w="0" w:type="dxa"/>
        <w:tblLayout w:type="fixed"/>
        <w:tblCellMar>
          <w:top w:w="28" w:type="dxa"/>
          <w:left w:w="28" w:type="dxa"/>
          <w:bottom w:w="28" w:type="dxa"/>
          <w:right w:w="28" w:type="dxa"/>
        </w:tblCellMar>
      </w:tblPr>
      <w:tblGrid>
        <w:gridCol w:w="807"/>
        <w:gridCol w:w="708"/>
        <w:gridCol w:w="719"/>
        <w:gridCol w:w="211"/>
        <w:gridCol w:w="871"/>
        <w:gridCol w:w="109"/>
        <w:gridCol w:w="109"/>
        <w:gridCol w:w="109"/>
        <w:gridCol w:w="109"/>
        <w:gridCol w:w="211"/>
        <w:gridCol w:w="871"/>
        <w:gridCol w:w="109"/>
        <w:gridCol w:w="109"/>
        <w:gridCol w:w="109"/>
        <w:gridCol w:w="109"/>
        <w:gridCol w:w="211"/>
        <w:gridCol w:w="616"/>
        <w:gridCol w:w="109"/>
        <w:gridCol w:w="109"/>
        <w:gridCol w:w="109"/>
        <w:gridCol w:w="109"/>
        <w:gridCol w:w="254"/>
        <w:gridCol w:w="257"/>
        <w:gridCol w:w="109"/>
        <w:gridCol w:w="109"/>
        <w:gridCol w:w="109"/>
        <w:gridCol w:w="109"/>
        <w:gridCol w:w="288"/>
        <w:gridCol w:w="842"/>
        <w:gridCol w:w="149"/>
        <w:gridCol w:w="149"/>
        <w:gridCol w:w="149"/>
        <w:gridCol w:w="149"/>
        <w:gridCol w:w="254"/>
        <w:gridCol w:w="257"/>
        <w:gridCol w:w="210"/>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Sunrise. </w:t>
      </w:r>
      <w:r>
        <w:rPr>
          <w:rFonts w:ascii="Times New Roman;sans-serif" w:hAnsi="Times New Roman;sans-serif"/>
          <w:b w:val="false"/>
          <w:color w:val="000000"/>
          <w:sz w:val="20"/>
        </w:rPr>
        <w:t>The details of the increases</w:t>
      </w:r>
      <w:r>
        <w:rPr>
          <w:color w:val="000000"/>
        </w:rPr>
        <w:t xml:space="preserve"> </w:t>
      </w:r>
      <w:r>
        <w:rPr>
          <w:rFonts w:ascii="Times New Roman;sans-serif" w:hAnsi="Times New Roman;sans-serif"/>
          <w:b w:val="false"/>
          <w:color w:val="000000"/>
          <w:sz w:val="20"/>
        </w:rPr>
        <w:t>in Sunrise’s revenue during the three and nine months ended September 30, 2024</w:t>
      </w:r>
      <w:r>
        <w:rPr>
          <w:rFonts w:ascii="Times New Roman;sans-serif" w:hAnsi="Times New Roman;sans-serif"/>
          <w:b w:val="false"/>
          <w:color w:val="2C2C2C"/>
          <w:sz w:val="20"/>
        </w:rPr>
        <w:t>,</w:t>
      </w:r>
      <w:r>
        <w:rPr>
          <w:color w:val="000000"/>
        </w:rPr>
        <w:t xml:space="preserve"> </w:t>
      </w:r>
      <w:r>
        <w:rPr>
          <w:rFonts w:ascii="Times New Roman;sans-serif" w:hAnsi="Times New Roman;sans-serif"/>
          <w:b w:val="false"/>
          <w:color w:val="000000"/>
          <w:sz w:val="20"/>
        </w:rPr>
        <w:t xml:space="preserve">as compared to the corresponding periods in </w:t>
      </w:r>
      <w:r>
        <w:rPr>
          <w:rFonts w:ascii="Times New Roman;sans-serif" w:hAnsi="Times New Roman;sans-serif"/>
          <w:b w:val="false"/>
          <w:color w:val="2C2C2C"/>
          <w:sz w:val="20"/>
        </w:rPr>
        <w:t>2023</w:t>
      </w:r>
      <w:r>
        <w:rPr>
          <w:rFonts w:ascii="Times New Roman;sans-serif" w:hAnsi="Times New Roman;sans-serif"/>
          <w:b w:val="false"/>
          <w:color w:val="000000"/>
          <w:sz w:val="20"/>
        </w:rPr>
        <w:t>, are set forth below:</w:t>
      </w:r>
    </w:p>
    <w:tbl>
      <w:tblPr>
        <w:tblW w:w="10205" w:type="dxa"/>
        <w:jc w:val="left"/>
        <w:tblInd w:w="0" w:type="dxa"/>
        <w:tblLayout w:type="fixed"/>
        <w:tblCellMar>
          <w:top w:w="28" w:type="dxa"/>
          <w:left w:w="28" w:type="dxa"/>
          <w:bottom w:w="28" w:type="dxa"/>
          <w:right w:w="28" w:type="dxa"/>
        </w:tblCellMar>
      </w:tblPr>
      <w:tblGrid>
        <w:gridCol w:w="879"/>
        <w:gridCol w:w="467"/>
        <w:gridCol w:w="470"/>
        <w:gridCol w:w="273"/>
        <w:gridCol w:w="683"/>
        <w:gridCol w:w="142"/>
        <w:gridCol w:w="109"/>
        <w:gridCol w:w="109"/>
        <w:gridCol w:w="109"/>
        <w:gridCol w:w="369"/>
        <w:gridCol w:w="895"/>
        <w:gridCol w:w="192"/>
        <w:gridCol w:w="109"/>
        <w:gridCol w:w="109"/>
        <w:gridCol w:w="109"/>
        <w:gridCol w:w="211"/>
        <w:gridCol w:w="425"/>
        <w:gridCol w:w="109"/>
        <w:gridCol w:w="109"/>
        <w:gridCol w:w="109"/>
        <w:gridCol w:w="109"/>
        <w:gridCol w:w="273"/>
        <w:gridCol w:w="683"/>
        <w:gridCol w:w="142"/>
        <w:gridCol w:w="109"/>
        <w:gridCol w:w="109"/>
        <w:gridCol w:w="109"/>
        <w:gridCol w:w="369"/>
        <w:gridCol w:w="895"/>
        <w:gridCol w:w="192"/>
        <w:gridCol w:w="109"/>
        <w:gridCol w:w="109"/>
        <w:gridCol w:w="109"/>
        <w:gridCol w:w="211"/>
        <w:gridCol w:w="530"/>
        <w:gridCol w:w="160"/>
      </w:tblGrid>
      <w:tr>
        <w:trPr/>
        <w:tc>
          <w:tcPr>
            <w:tcW w:w="87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Three-month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Nine-month period</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Subscription </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Non-subscription</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Subscription </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Non-subscription</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fixed subscription revenue due to change in:</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customers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fixed non-subscription revenue (a)</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decrease in residential fixed revenue</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residential mobile revenue (b)</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B2B revenue (c)</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other revenue</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organic increase (decrease)</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8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FX</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decreases in residential fixed non-subscription revenue are primarily due to lower revenue from equipment sales.</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(b)The decreases in residential mobile subscription revenue are primarily attributable to lower ARPU, partially offset by increases in the average number of mobile subscribers. The increases in residential mobile non-subscription revenue are primarily due to (i) increases in cancellation revenue, (ii) higher revenue associated with build-to-suit construction services and (iii) for the three-month comparison, higher revenue from handset sales.</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(c)The increases in B2B non-subscription revenue are primarily attributable to higher interconnect revenue.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Telenet.</w:t>
      </w:r>
      <w:r>
        <w:rPr>
          <w:color w:val="000000"/>
        </w:rPr>
        <w:t xml:space="preserve"> </w:t>
      </w:r>
      <w:r>
        <w:rPr>
          <w:rFonts w:ascii="Times New Roman;sans-serif" w:hAnsi="Times New Roman;sans-serif"/>
          <w:b w:val="false"/>
          <w:color w:val="000000"/>
          <w:sz w:val="20"/>
        </w:rPr>
        <w:t>The details of the</w:t>
      </w:r>
      <w:r>
        <w:rPr>
          <w:color w:val="000000"/>
        </w:rPr>
        <w:t xml:space="preserve"> </w:t>
      </w:r>
      <w:r>
        <w:rPr>
          <w:rFonts w:ascii="Times New Roman;sans-serif" w:hAnsi="Times New Roman;sans-serif"/>
          <w:b w:val="false"/>
          <w:color w:val="000000"/>
          <w:sz w:val="20"/>
        </w:rPr>
        <w:t>increases</w:t>
      </w:r>
      <w:r>
        <w:rPr>
          <w:color w:val="000000"/>
        </w:rPr>
        <w:t xml:space="preserve"> </w:t>
      </w:r>
      <w:r>
        <w:rPr>
          <w:rFonts w:ascii="Times New Roman;sans-serif" w:hAnsi="Times New Roman;sans-serif"/>
          <w:b w:val="false"/>
          <w:color w:val="000000"/>
          <w:sz w:val="20"/>
        </w:rPr>
        <w:t>in Telenet’s revenue during the three and nine months ended September 30, 2024</w:t>
      </w:r>
      <w:r>
        <w:rPr>
          <w:rFonts w:ascii="Times New Roman;sans-serif" w:hAnsi="Times New Roman;sans-serif"/>
          <w:b w:val="false"/>
          <w:color w:val="2C2C2C"/>
          <w:sz w:val="20"/>
        </w:rPr>
        <w:t>,</w:t>
      </w:r>
      <w:r>
        <w:rPr>
          <w:color w:val="000000"/>
        </w:rPr>
        <w:t xml:space="preserve"> </w:t>
      </w:r>
      <w:r>
        <w:rPr>
          <w:rFonts w:ascii="Times New Roman;sans-serif" w:hAnsi="Times New Roman;sans-serif"/>
          <w:b w:val="false"/>
          <w:color w:val="000000"/>
          <w:sz w:val="20"/>
        </w:rPr>
        <w:t xml:space="preserve">as compared to the corresponding periods in </w:t>
      </w:r>
      <w:r>
        <w:rPr>
          <w:rFonts w:ascii="Times New Roman;sans-serif" w:hAnsi="Times New Roman;sans-serif"/>
          <w:b w:val="false"/>
          <w:color w:val="2C2C2C"/>
          <w:sz w:val="20"/>
        </w:rPr>
        <w:t>2023</w:t>
      </w:r>
      <w:r>
        <w:rPr>
          <w:rFonts w:ascii="Times New Roman;sans-serif" w:hAnsi="Times New Roman;sans-serif"/>
          <w:b w:val="false"/>
          <w:color w:val="000000"/>
          <w:sz w:val="20"/>
        </w:rPr>
        <w:t xml:space="preserve">, are set forth below: </w:t>
      </w:r>
    </w:p>
    <w:tbl>
      <w:tblPr>
        <w:tblW w:w="10205" w:type="dxa"/>
        <w:jc w:val="left"/>
        <w:tblInd w:w="0" w:type="dxa"/>
        <w:tblLayout w:type="fixed"/>
        <w:tblCellMar>
          <w:top w:w="28" w:type="dxa"/>
          <w:left w:w="28" w:type="dxa"/>
          <w:bottom w:w="28" w:type="dxa"/>
          <w:right w:w="28" w:type="dxa"/>
        </w:tblCellMar>
      </w:tblPr>
      <w:tblGrid>
        <w:gridCol w:w="851"/>
        <w:gridCol w:w="432"/>
        <w:gridCol w:w="435"/>
        <w:gridCol w:w="273"/>
        <w:gridCol w:w="682"/>
        <w:gridCol w:w="142"/>
        <w:gridCol w:w="109"/>
        <w:gridCol w:w="109"/>
        <w:gridCol w:w="109"/>
        <w:gridCol w:w="423"/>
        <w:gridCol w:w="814"/>
        <w:gridCol w:w="219"/>
        <w:gridCol w:w="109"/>
        <w:gridCol w:w="109"/>
        <w:gridCol w:w="109"/>
        <w:gridCol w:w="211"/>
        <w:gridCol w:w="528"/>
        <w:gridCol w:w="109"/>
        <w:gridCol w:w="109"/>
        <w:gridCol w:w="109"/>
        <w:gridCol w:w="109"/>
        <w:gridCol w:w="273"/>
        <w:gridCol w:w="682"/>
        <w:gridCol w:w="142"/>
        <w:gridCol w:w="109"/>
        <w:gridCol w:w="109"/>
        <w:gridCol w:w="109"/>
        <w:gridCol w:w="414"/>
        <w:gridCol w:w="827"/>
        <w:gridCol w:w="215"/>
        <w:gridCol w:w="109"/>
        <w:gridCol w:w="109"/>
        <w:gridCol w:w="109"/>
        <w:gridCol w:w="211"/>
        <w:gridCol w:w="528"/>
        <w:gridCol w:w="159"/>
      </w:tblGrid>
      <w:tr>
        <w:trPr/>
        <w:tc>
          <w:tcPr>
            <w:tcW w:w="8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Three-month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Nine-month period</w:t>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Subscription </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Non-subscription</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Subscription </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Non-subscription</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residential fixed subscription revenue due to change in:</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customers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residential fixed non-subscription revenue</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increase (decrease) in residential fixed revenue</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residential mobile revenue (a)</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B2B revenue (b)</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other revenue (c)</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organic increase (decrease)</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acquisitions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FX</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decreases in residential mobile non-subscription revenue are primarily attributable to lower interconnect revenue.</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(b)The increases in B2B subscription revenue are primarily due to increases in the average number of customers. The decreases in B2B non-subscription revenue are primarily attributable to (i) decreases in revenue from wholesale services and (ii) lower interconnect revenue.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(c)The increases in other revenue include the one-off impact of the recognition of previously deferred revenue of approximately $18 million during the third quarter of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VM Ireland.</w:t>
      </w:r>
      <w:r>
        <w:rPr>
          <w:color w:val="000000"/>
        </w:rPr>
        <w:t xml:space="preserve"> </w:t>
      </w:r>
      <w:r>
        <w:rPr>
          <w:rFonts w:ascii="Times New Roman;sans-serif" w:hAnsi="Times New Roman;sans-serif"/>
          <w:b w:val="false"/>
          <w:color w:val="000000"/>
          <w:sz w:val="20"/>
        </w:rPr>
        <w:t xml:space="preserve">The details of the decreases in VM Ireland’s revenue during the three and nine months ended September 30, 2024, as compared to the corresponding periods in </w:t>
      </w:r>
      <w:r>
        <w:rPr>
          <w:rFonts w:ascii="Times New Roman;sans-serif" w:hAnsi="Times New Roman;sans-serif"/>
          <w:b w:val="false"/>
          <w:color w:val="2C2C2C"/>
          <w:sz w:val="20"/>
        </w:rPr>
        <w:t>2023</w:t>
      </w:r>
      <w:r>
        <w:rPr>
          <w:rFonts w:ascii="Times New Roman;sans-serif" w:hAnsi="Times New Roman;sans-serif"/>
          <w:b w:val="false"/>
          <w:color w:val="000000"/>
          <w:sz w:val="20"/>
        </w:rPr>
        <w:t>, are set forth below:</w:t>
      </w:r>
    </w:p>
    <w:tbl>
      <w:tblPr>
        <w:tblW w:w="10205" w:type="dxa"/>
        <w:jc w:val="left"/>
        <w:tblInd w:w="0" w:type="dxa"/>
        <w:tblLayout w:type="fixed"/>
        <w:tblCellMar>
          <w:top w:w="28" w:type="dxa"/>
          <w:left w:w="28" w:type="dxa"/>
          <w:bottom w:w="28" w:type="dxa"/>
          <w:right w:w="28" w:type="dxa"/>
        </w:tblCellMar>
      </w:tblPr>
      <w:tblGrid>
        <w:gridCol w:w="909"/>
        <w:gridCol w:w="502"/>
        <w:gridCol w:w="505"/>
        <w:gridCol w:w="313"/>
        <w:gridCol w:w="624"/>
        <w:gridCol w:w="162"/>
        <w:gridCol w:w="109"/>
        <w:gridCol w:w="109"/>
        <w:gridCol w:w="109"/>
        <w:gridCol w:w="414"/>
        <w:gridCol w:w="827"/>
        <w:gridCol w:w="215"/>
        <w:gridCol w:w="109"/>
        <w:gridCol w:w="109"/>
        <w:gridCol w:w="109"/>
        <w:gridCol w:w="211"/>
        <w:gridCol w:w="427"/>
        <w:gridCol w:w="109"/>
        <w:gridCol w:w="109"/>
        <w:gridCol w:w="109"/>
        <w:gridCol w:w="109"/>
        <w:gridCol w:w="313"/>
        <w:gridCol w:w="624"/>
        <w:gridCol w:w="162"/>
        <w:gridCol w:w="109"/>
        <w:gridCol w:w="109"/>
        <w:gridCol w:w="109"/>
        <w:gridCol w:w="414"/>
        <w:gridCol w:w="827"/>
        <w:gridCol w:w="215"/>
        <w:gridCol w:w="109"/>
        <w:gridCol w:w="109"/>
        <w:gridCol w:w="109"/>
        <w:gridCol w:w="211"/>
        <w:gridCol w:w="427"/>
        <w:gridCol w:w="159"/>
      </w:tblGrid>
      <w:tr>
        <w:trPr/>
        <w:tc>
          <w:tcPr>
            <w:tcW w:w="9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Three-month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Nine-month period</w:t>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Subscription </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Non-subscription</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Subscription </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Non-subscription</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fixed subscription revenue due to change in:</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customers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fixed non-subscription revenue</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decrease in residential fixed revenue</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mobile revenue</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B2B revenue</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other revenue</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organic decrease</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FX</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ans-serif" w:hAnsi="Times New Roman;sans-serif"/>
          <w:b w:val="false"/>
          <w:i/>
          <w:color w:val="000000"/>
          <w:sz w:val="20"/>
        </w:rPr>
        <w:t>Central and Other</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On an organic basis, our Central and Other</w:t>
      </w:r>
      <w:r>
        <w:rPr>
          <w:color w:val="000000"/>
        </w:rPr>
        <w:t xml:space="preserve"> </w:t>
      </w:r>
      <w:r>
        <w:rPr>
          <w:rFonts w:ascii="Times New Roman;sans-serif" w:hAnsi="Times New Roman;sans-serif"/>
          <w:b w:val="false"/>
          <w:color w:val="000000"/>
          <w:sz w:val="20"/>
        </w:rPr>
        <w:t>revenue increased $58.3 million or 35.5% and $154.7 million or 25.2% during the three and nine months ended September 30, 2024, respectively, as compared to the corresponding periods in 2023, primarily due to increases related to revenue earned from (i) the sale of CPE to the VMO2 JV beginning in 2024 and (ii) the U.K. JV Services and NL JV Services.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Programming and Other Direct Costs of Services, Other Operating Expenses and SG&amp;A Expenses of our Consolidated Reportable Segments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For information regarding the changes in our (i) programming and other direct costs of services, (ii) other operating expenses and (iii) SG&amp;A expenses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see</w:t>
      </w:r>
      <w:r>
        <w:rPr>
          <w:color w:val="000000"/>
        </w:rPr>
        <w:t xml:space="preserve"> </w:t>
      </w:r>
      <w:r>
        <w:rPr>
          <w:rFonts w:ascii="Times New Roman;sans-serif" w:hAnsi="Times New Roman;sans-serif"/>
          <w:b w:val="false"/>
          <w:i/>
          <w:color w:val="000000"/>
          <w:sz w:val="20"/>
        </w:rPr>
        <w:t xml:space="preserve">Discussion and Analysis of our Consolidated Operating Results </w:t>
      </w:r>
      <w:r>
        <w:rPr>
          <w:rFonts w:ascii="Times New Roman;sans-serif" w:hAnsi="Times New Roman;sans-serif"/>
          <w:b w:val="false"/>
          <w:color w:val="000000"/>
          <w:sz w:val="20"/>
        </w:rPr>
        <w:t>below.</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Adjusted EBITDA of our Reportable Segments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reportable segments: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059" w:type="dxa"/>
        <w:jc w:val="left"/>
        <w:tblInd w:w="0" w:type="dxa"/>
        <w:tblLayout w:type="fixed"/>
        <w:tblCellMar>
          <w:top w:w="28" w:type="dxa"/>
          <w:left w:w="28" w:type="dxa"/>
          <w:bottom w:w="28" w:type="dxa"/>
          <w:right w:w="28" w:type="dxa"/>
        </w:tblCellMar>
      </w:tblPr>
      <w:tblGrid>
        <w:gridCol w:w="807"/>
        <w:gridCol w:w="708"/>
        <w:gridCol w:w="719"/>
        <w:gridCol w:w="239"/>
        <w:gridCol w:w="869"/>
        <w:gridCol w:w="123"/>
        <w:gridCol w:w="123"/>
        <w:gridCol w:w="123"/>
        <w:gridCol w:w="123"/>
        <w:gridCol w:w="239"/>
        <w:gridCol w:w="869"/>
        <w:gridCol w:w="123"/>
        <w:gridCol w:w="109"/>
        <w:gridCol w:w="109"/>
        <w:gridCol w:w="109"/>
        <w:gridCol w:w="221"/>
        <w:gridCol w:w="537"/>
        <w:gridCol w:w="114"/>
        <w:gridCol w:w="114"/>
        <w:gridCol w:w="114"/>
        <w:gridCol w:w="114"/>
        <w:gridCol w:w="254"/>
        <w:gridCol w:w="257"/>
        <w:gridCol w:w="114"/>
        <w:gridCol w:w="109"/>
        <w:gridCol w:w="109"/>
        <w:gridCol w:w="109"/>
        <w:gridCol w:w="308"/>
        <w:gridCol w:w="746"/>
        <w:gridCol w:w="159"/>
        <w:gridCol w:w="159"/>
        <w:gridCol w:w="159"/>
        <w:gridCol w:w="159"/>
        <w:gridCol w:w="293"/>
        <w:gridCol w:w="293"/>
        <w:gridCol w:w="225"/>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527.8 </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518.3 </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52" w:type="dxa"/>
        <w:jc w:val="left"/>
        <w:tblInd w:w="0" w:type="dxa"/>
        <w:tblLayout w:type="fixed"/>
        <w:tblCellMar>
          <w:top w:w="28" w:type="dxa"/>
          <w:left w:w="28" w:type="dxa"/>
          <w:bottom w:w="28" w:type="dxa"/>
          <w:right w:w="28" w:type="dxa"/>
        </w:tblCellMar>
      </w:tblPr>
      <w:tblGrid>
        <w:gridCol w:w="807"/>
        <w:gridCol w:w="708"/>
        <w:gridCol w:w="719"/>
        <w:gridCol w:w="211"/>
        <w:gridCol w:w="766"/>
        <w:gridCol w:w="109"/>
        <w:gridCol w:w="109"/>
        <w:gridCol w:w="109"/>
        <w:gridCol w:w="109"/>
        <w:gridCol w:w="211"/>
        <w:gridCol w:w="766"/>
        <w:gridCol w:w="109"/>
        <w:gridCol w:w="109"/>
        <w:gridCol w:w="109"/>
        <w:gridCol w:w="109"/>
        <w:gridCol w:w="221"/>
        <w:gridCol w:w="537"/>
        <w:gridCol w:w="114"/>
        <w:gridCol w:w="114"/>
        <w:gridCol w:w="114"/>
        <w:gridCol w:w="114"/>
        <w:gridCol w:w="254"/>
        <w:gridCol w:w="257"/>
        <w:gridCol w:w="114"/>
        <w:gridCol w:w="109"/>
        <w:gridCol w:w="109"/>
        <w:gridCol w:w="109"/>
        <w:gridCol w:w="308"/>
        <w:gridCol w:w="746"/>
        <w:gridCol w:w="159"/>
        <w:gridCol w:w="159"/>
        <w:gridCol w:w="159"/>
        <w:gridCol w:w="159"/>
        <w:gridCol w:w="254"/>
        <w:gridCol w:w="257"/>
        <w:gridCol w:w="225"/>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Adjusted EBITDA Margin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Adjusted EBITDA margins (Adjusted EBITDA divided by revenue) of each of our reportable segments:</w:t>
      </w:r>
    </w:p>
    <w:tbl>
      <w:tblPr>
        <w:tblW w:w="6574" w:type="dxa"/>
        <w:jc w:val="left"/>
        <w:tblInd w:w="0" w:type="dxa"/>
        <w:tblLayout w:type="fixed"/>
        <w:tblCellMar>
          <w:top w:w="28" w:type="dxa"/>
          <w:left w:w="28" w:type="dxa"/>
          <w:bottom w:w="28" w:type="dxa"/>
          <w:right w:w="28" w:type="dxa"/>
        </w:tblCellMar>
      </w:tblPr>
      <w:tblGrid>
        <w:gridCol w:w="601"/>
        <w:gridCol w:w="527"/>
        <w:gridCol w:w="536"/>
        <w:gridCol w:w="291"/>
        <w:gridCol w:w="294"/>
        <w:gridCol w:w="352"/>
        <w:gridCol w:w="141"/>
        <w:gridCol w:w="141"/>
        <w:gridCol w:w="141"/>
        <w:gridCol w:w="291"/>
        <w:gridCol w:w="294"/>
        <w:gridCol w:w="352"/>
        <w:gridCol w:w="109"/>
        <w:gridCol w:w="109"/>
        <w:gridCol w:w="109"/>
        <w:gridCol w:w="291"/>
        <w:gridCol w:w="294"/>
        <w:gridCol w:w="331"/>
        <w:gridCol w:w="133"/>
        <w:gridCol w:w="133"/>
        <w:gridCol w:w="133"/>
        <w:gridCol w:w="291"/>
        <w:gridCol w:w="294"/>
        <w:gridCol w:w="386"/>
      </w:tblGrid>
      <w:tr>
        <w:trPr/>
        <w:tc>
          <w:tcPr>
            <w:tcW w:w="60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Times New Roman;sans-serif" w:hAnsi="Times New Roman;sans-serif"/>
          <w:b w:val="false"/>
          <w:i/>
          <w:color w:val="000000"/>
          <w:sz w:val="20"/>
        </w:rPr>
        <w:t>Discussion and Analysis of our Reportable Segments</w:t>
      </w:r>
      <w:r>
        <w:rPr>
          <w:color w:val="000000"/>
        </w:rPr>
        <w:t xml:space="preserve"> </w:t>
      </w:r>
      <w:r>
        <w:rPr>
          <w:rFonts w:ascii="Times New Roman;sans-serif" w:hAnsi="Times New Roman;sans-serif"/>
          <w:b w:val="false"/>
          <w:color w:val="000000"/>
          <w:sz w:val="20"/>
        </w:rPr>
        <w:t xml:space="preserve">above and the analysis of our expenses included in </w:t>
      </w:r>
      <w:r>
        <w:rPr>
          <w:rFonts w:ascii="Times New Roman;sans-serif" w:hAnsi="Times New Roman;sans-serif"/>
          <w:b w:val="false"/>
          <w:i/>
          <w:color w:val="000000"/>
          <w:sz w:val="20"/>
        </w:rPr>
        <w:t xml:space="preserve">Discussion and Analysis of our Consolidated Operating Results </w:t>
      </w:r>
      <w:r>
        <w:rPr>
          <w:rFonts w:ascii="Times New Roman;sans-serif" w:hAnsi="Times New Roman;sans-serif"/>
          <w:b w:val="false"/>
          <w:color w:val="000000"/>
          <w:sz w:val="20"/>
        </w:rPr>
        <w:t xml:space="preserve">below. For discussion of the factors contributing to the changes in the Adjusted EBITDA margins of the VMO2 JV and the VodafoneZiggo JV, see </w:t>
      </w:r>
      <w:r>
        <w:rPr>
          <w:rFonts w:ascii="Times New Roman;sans-serif" w:hAnsi="Times New Roman;sans-serif"/>
          <w:b w:val="false"/>
          <w:i/>
          <w:color w:val="000000"/>
          <w:sz w:val="20"/>
        </w:rPr>
        <w:t>Discussion and Analysis of our Consolidated Operating Results — Share of results of affiliates, net</w:t>
      </w:r>
      <w:r>
        <w:rPr>
          <w:color w:val="000000"/>
        </w:rPr>
        <w:t xml:space="preserve"> </w:t>
      </w:r>
      <w:r>
        <w:rPr>
          <w:rFonts w:ascii="Times New Roman;sans-serif" w:hAnsi="Times New Roman;sans-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Discussion and Analysis of our Consolidated Operating Results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more detailed explanations of the changes in our revenue, see </w:t>
      </w:r>
      <w:r>
        <w:rPr>
          <w:rFonts w:ascii="Times New Roman;sans-serif" w:hAnsi="Times New Roman;sans-serif"/>
          <w:b w:val="false"/>
          <w:i/>
          <w:color w:val="000000"/>
          <w:sz w:val="20"/>
        </w:rPr>
        <w:t xml:space="preserve">Discussion and Analysis of our Reportable Segments </w:t>
      </w:r>
      <w:r>
        <w:rPr>
          <w:rFonts w:ascii="Times New Roman;sans-serif" w:hAnsi="Times New Roman;sans-serif"/>
          <w:b w:val="false"/>
          <w:color w:val="000000"/>
          <w:sz w:val="20"/>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by major category is set forth below: </w:t>
      </w:r>
    </w:p>
    <w:tbl>
      <w:tblPr>
        <w:tblW w:w="10205" w:type="dxa"/>
        <w:jc w:val="left"/>
        <w:tblInd w:w="0" w:type="dxa"/>
        <w:tblLayout w:type="fixed"/>
        <w:tblCellMar>
          <w:top w:w="28" w:type="dxa"/>
          <w:left w:w="28" w:type="dxa"/>
          <w:bottom w:w="28" w:type="dxa"/>
          <w:right w:w="28" w:type="dxa"/>
        </w:tblCellMar>
      </w:tblPr>
      <w:tblGrid>
        <w:gridCol w:w="991"/>
        <w:gridCol w:w="844"/>
        <w:gridCol w:w="849"/>
        <w:gridCol w:w="211"/>
        <w:gridCol w:w="766"/>
        <w:gridCol w:w="109"/>
        <w:gridCol w:w="109"/>
        <w:gridCol w:w="109"/>
        <w:gridCol w:w="109"/>
        <w:gridCol w:w="211"/>
        <w:gridCol w:w="766"/>
        <w:gridCol w:w="109"/>
        <w:gridCol w:w="109"/>
        <w:gridCol w:w="109"/>
        <w:gridCol w:w="109"/>
        <w:gridCol w:w="220"/>
        <w:gridCol w:w="535"/>
        <w:gridCol w:w="113"/>
        <w:gridCol w:w="113"/>
        <w:gridCol w:w="113"/>
        <w:gridCol w:w="113"/>
        <w:gridCol w:w="289"/>
        <w:gridCol w:w="292"/>
        <w:gridCol w:w="113"/>
        <w:gridCol w:w="109"/>
        <w:gridCol w:w="109"/>
        <w:gridCol w:w="109"/>
        <w:gridCol w:w="302"/>
        <w:gridCol w:w="731"/>
        <w:gridCol w:w="156"/>
        <w:gridCol w:w="156"/>
        <w:gridCol w:w="156"/>
        <w:gridCol w:w="156"/>
        <w:gridCol w:w="289"/>
        <w:gridCol w:w="292"/>
        <w:gridCol w:w="229"/>
      </w:tblGrid>
      <w:tr>
        <w:trPr/>
        <w:tc>
          <w:tcPr>
            <w:tcW w:w="99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fixed revenue (a):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(b):</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internet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Fixed-line telephony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subscription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fixed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mobile revenue (c):</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mobile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B2B revenue (d):</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B2B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6"/>
        <w:gridCol w:w="823"/>
        <w:gridCol w:w="827"/>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88"/>
        <w:gridCol w:w="291"/>
        <w:gridCol w:w="109"/>
        <w:gridCol w:w="109"/>
        <w:gridCol w:w="109"/>
        <w:gridCol w:w="109"/>
        <w:gridCol w:w="280"/>
        <w:gridCol w:w="819"/>
        <w:gridCol w:w="145"/>
        <w:gridCol w:w="145"/>
        <w:gridCol w:w="145"/>
        <w:gridCol w:w="145"/>
        <w:gridCol w:w="288"/>
        <w:gridCol w:w="291"/>
        <w:gridCol w:w="207"/>
      </w:tblGrid>
      <w:tr>
        <w:trPr/>
        <w:tc>
          <w:tcPr>
            <w:tcW w:w="98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2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fixed revenue (a):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(b):</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internet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Fixed-line telephony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subscription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fixed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mobile revenue (c):</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mobile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B2B revenue (d):</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B2B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$28.3 million and $28.0 million during the three months ended September 30, 2024 and 2023, respectively, and $88.2 million and $88.5 million during the nine months ended September 30, 2024 and 2023, respectively.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(d)B2B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A portion of the</w:t>
      </w:r>
      <w:r>
        <w:rPr>
          <w:color w:val="000000"/>
        </w:rPr>
        <w:t xml:space="preserve"> </w:t>
      </w:r>
      <w:r>
        <w:rPr>
          <w:rFonts w:ascii="Times New Roman;sans-serif" w:hAnsi="Times New Roman;sans-serif"/>
          <w:b w:val="false"/>
          <w:color w:val="000000"/>
          <w:sz w:val="20"/>
        </w:rPr>
        <w:t>change in our B2B subscription revenue is attributable to the conversion of certain residential subscribers to SOHO subscribers.</w:t>
      </w:r>
      <w:r>
        <w:rPr>
          <w:color w:val="000000"/>
        </w:rPr>
        <w:t xml:space="preserve"> </w:t>
      </w:r>
      <w:r>
        <w:rPr>
          <w:rFonts w:ascii="Times New Roman;sans-serif" w:hAnsi="Times New Roman;sans-serif"/>
          <w:b w:val="false"/>
          <w:color w:val="000000"/>
          <w:sz w:val="20"/>
        </w:rPr>
        <w:t>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(e)Other revenue includes, among other items, (i) broadcasting revenue at Telenet, VM Ireland and Sunrise, (ii) revenue earned from the U.K. JV Services and NL JV Services and (iii) revenue earned from the sale of CPE to the VMO2 JV and VodafoneZiggo JV.</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Total revenue.</w:t>
      </w:r>
      <w:r>
        <w:rPr>
          <w:color w:val="000000"/>
        </w:rPr>
        <w:t xml:space="preserve"> </w:t>
      </w:r>
      <w:r>
        <w:rPr>
          <w:rFonts w:ascii="Times New Roman;sans-serif" w:hAnsi="Times New Roman;sans-serif"/>
          <w:b w:val="false"/>
          <w:color w:val="000000"/>
          <w:sz w:val="20"/>
        </w:rPr>
        <w:t>Our consolidated revenue</w:t>
      </w:r>
      <w:r>
        <w:rPr>
          <w:color w:val="000000"/>
        </w:rPr>
        <w:t xml:space="preserve"> </w:t>
      </w:r>
      <w:r>
        <w:rPr>
          <w:rFonts w:ascii="Times New Roman;sans-serif" w:hAnsi="Times New Roman;sans-serif"/>
          <w:b w:val="false"/>
          <w:color w:val="000000"/>
          <w:sz w:val="20"/>
        </w:rPr>
        <w:t>increased $80.7 million or 4.4% and $183.1 million or 3.3% during the three and nine months ended September 30, 2024, respectively, as compared to the corresponding periods in 2023. On an organic basis, our consolidated revenue</w:t>
      </w:r>
      <w:r>
        <w:rPr>
          <w:color w:val="000000"/>
        </w:rPr>
        <w:t xml:space="preserve"> </w:t>
      </w:r>
      <w:r>
        <w:rPr>
          <w:rFonts w:ascii="Times New Roman;sans-serif" w:hAnsi="Times New Roman;sans-serif"/>
          <w:b w:val="false"/>
          <w:color w:val="000000"/>
          <w:sz w:val="20"/>
        </w:rPr>
        <w:t>increased $46.9 million or 2.5% and $122.0 million or 2.2%,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Residential revenue.</w:t>
      </w:r>
      <w:r>
        <w:rPr>
          <w:color w:val="000000"/>
        </w:rPr>
        <w:t xml:space="preserve"> </w:t>
      </w:r>
      <w:r>
        <w:rPr>
          <w:rFonts w:ascii="Times New Roman;sans-serif" w:hAnsi="Times New Roman;sans-serif"/>
          <w:b w:val="false"/>
          <w:color w:val="000000"/>
          <w:sz w:val="20"/>
        </w:rPr>
        <w:t>The details of the decreases in our consolidated residential revenue during the three and nine months ended September 30, 2024, as compared to the corresponding periods in 2023, are as follows:</w:t>
      </w:r>
    </w:p>
    <w:tbl>
      <w:tblPr>
        <w:tblW w:w="10016" w:type="dxa"/>
        <w:jc w:val="left"/>
        <w:tblInd w:w="0" w:type="dxa"/>
        <w:tblLayout w:type="fixed"/>
        <w:tblCellMar>
          <w:top w:w="28" w:type="dxa"/>
          <w:left w:w="28" w:type="dxa"/>
          <w:bottom w:w="28" w:type="dxa"/>
          <w:right w:w="28" w:type="dxa"/>
        </w:tblCellMar>
      </w:tblPr>
      <w:tblGrid>
        <w:gridCol w:w="2321"/>
        <w:gridCol w:w="2036"/>
        <w:gridCol w:w="2048"/>
        <w:gridCol w:w="414"/>
        <w:gridCol w:w="1035"/>
        <w:gridCol w:w="216"/>
        <w:gridCol w:w="109"/>
        <w:gridCol w:w="109"/>
        <w:gridCol w:w="109"/>
        <w:gridCol w:w="382"/>
        <w:gridCol w:w="956"/>
        <w:gridCol w:w="281"/>
      </w:tblGrid>
      <w:tr>
        <w:trPr/>
        <w:tc>
          <w:tcPr>
            <w:tcW w:w="2321"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Three-month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Nine-month period</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residential fixed subscription revenue due to change in:</w:t>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customers</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fixed non-subscription revenue</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decrease in residential fixed revenue</w:t>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mobile subscription revenue</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residential mobile non-subscription revenue</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organic decrease in residential revenue</w:t>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FX</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decrease in residential revenue</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an organic basis, our consolidated residential fixed subscription revenue decreased $27.6 million or 3.7% and $51.9 million or 2.4% during the three and nine months ended September 30, 2024, respectively, as compared to the corresponding periods in 2023, primarily attributable to decreases at Sunrise</w:t>
      </w:r>
      <w:r>
        <w:rPr>
          <w:rFonts w:ascii="Times New Roman;sans-serif" w:hAnsi="Times New Roman;sans-serif"/>
          <w:b w:val="false"/>
          <w:color w:val="2C2C2C"/>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an organic basis, our consolidated residential fixed non-subscription revenue decreased $6.5 million or 35.5% and $12.2 million or 24.0% during the three and nine months ended September 30, 2024, respectively, as compared to the corresponding periods in 2023, primarily due to decreases at Sunrise.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an organic basis, our consolidated residential mobile subscription revenue</w:t>
      </w:r>
      <w:r>
        <w:rPr>
          <w:color w:val="000000"/>
        </w:rPr>
        <w:t xml:space="preserve"> </w:t>
      </w:r>
      <w:r>
        <w:rPr>
          <w:rFonts w:ascii="Times New Roman;sans-serif" w:hAnsi="Times New Roman;sans-serif"/>
          <w:b w:val="false"/>
          <w:color w:val="000000"/>
          <w:sz w:val="20"/>
        </w:rPr>
        <w:t>decreased $12.2 million or 3.1% and $4.5 million or 0.4% during the three and nine months ended September 30, 2024, respectively, as compared to the corresponding periods in 2023, primarily attributable to decreases at Sunrise.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an organic basis, our consolidated residential mobile non-subscription revenue increased $2.2 million or 1.8%</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$1.7 million or 0.4% during the three and nine months ended September 30, 2024, respectively, as compared to the corresponding periods in 2023, primarily due to the net effect of (i) increases at</w:t>
      </w:r>
      <w:r>
        <w:rPr>
          <w:color w:val="2C2C2C"/>
        </w:rPr>
        <w:t xml:space="preserve"> </w:t>
      </w:r>
      <w:r>
        <w:rPr>
          <w:rFonts w:ascii="Times New Roman;sans-serif" w:hAnsi="Times New Roman;sans-serif"/>
          <w:b w:val="false"/>
          <w:color w:val="000000"/>
          <w:sz w:val="20"/>
        </w:rPr>
        <w:t>Sunrise and (ii) decreases at Telenet.</w:t>
      </w:r>
      <w:r>
        <w:rPr>
          <w:color w:val="2C2C2C"/>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B2B revenue. </w:t>
      </w:r>
      <w:r>
        <w:rPr>
          <w:rFonts w:ascii="Times New Roman;sans-serif" w:hAnsi="Times New Roman;sans-serif"/>
          <w:b w:val="false"/>
          <w:color w:val="000000"/>
          <w:sz w:val="20"/>
        </w:rPr>
        <w:t>On an organic basis, our consolidated B2B subscription revenue increased $1.7 million or 1.2% and $12.8 million or 3.1% during the three and nine months ended September 30, 2024, respectively, as compared to the corresponding periods in 2023,</w:t>
      </w:r>
      <w:r>
        <w:rPr>
          <w:color w:val="000000"/>
        </w:rPr>
        <w:t xml:space="preserve"> </w:t>
      </w:r>
      <w:r>
        <w:rPr>
          <w:rFonts w:ascii="Times New Roman;sans-serif" w:hAnsi="Times New Roman;sans-serif"/>
          <w:b w:val="false"/>
          <w:color w:val="000000"/>
          <w:sz w:val="20"/>
        </w:rPr>
        <w:t xml:space="preserve">primarily attributable to increases at Telenet.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an organic basis, our consolidated B2B non-subscription revenue</w:t>
      </w:r>
      <w:r>
        <w:rPr>
          <w:color w:val="000000"/>
        </w:rPr>
        <w:t xml:space="preserve"> </w:t>
      </w:r>
      <w:r>
        <w:rPr>
          <w:rFonts w:ascii="Times New Roman;sans-serif" w:hAnsi="Times New Roman;sans-serif"/>
          <w:b w:val="false"/>
          <w:color w:val="000000"/>
          <w:sz w:val="20"/>
        </w:rPr>
        <w:t>increased $7.0 million or 3.0%</w:t>
      </w:r>
      <w:r>
        <w:rPr>
          <w:color w:val="000000"/>
        </w:rPr>
        <w:t xml:space="preserve"> </w:t>
      </w:r>
      <w:r>
        <w:rPr>
          <w:rFonts w:ascii="Times New Roman;sans-serif" w:hAnsi="Times New Roman;sans-serif"/>
          <w:b w:val="false"/>
          <w:color w:val="000000"/>
          <w:sz w:val="20"/>
        </w:rPr>
        <w:t>and $4.7 million or 0.7% during the three and nine months ended September 30, 2024, respectively, as compared to the corresponding periods in 2023, primarily due to the net effect of (i) increases at Sunrise and (ii) decreases at Telenet.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On an organic basis, our consolidated other revenue increased $82.3 million or 45.2% and $171.4 million or 24.6% during the three and nine months ended September 30, 2024, respectively, as compared to the corresponding periods in 2023, primarily due to (i) increases at Central and Other related to revenue earned from (a) the sale of CPE to the VMO2 JV beginning in 2024 and (b) the U.K. JV Services and NL JV Services and (ii) the one-off impact of the recognition of previously deferred revenue at Telenet during the third quarter of 2024.</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ind w:left="0" w:right="0" w:firstLine="360"/>
        <w:jc w:val="left"/>
        <w:rPr/>
      </w:pPr>
      <w:r>
        <w:rPr>
          <w:rFonts w:ascii="Times New Roman;sans-serif" w:hAnsi="Times New Roman;sans-serif"/>
          <w:b w:val="false"/>
          <w:color w:val="000000"/>
          <w:sz w:val="20"/>
        </w:rPr>
        <w:t xml:space="preserve">For additional information regarding the changes in our residential, B2B and other revenue, see </w:t>
      </w:r>
      <w:r>
        <w:rPr>
          <w:rFonts w:ascii="Times New Roman;sans-serif" w:hAnsi="Times New Roman;sans-serif"/>
          <w:b w:val="false"/>
          <w:i/>
          <w:color w:val="000000"/>
          <w:sz w:val="20"/>
        </w:rPr>
        <w:t xml:space="preserve">Discussion and Analysis of our Reportable Segments </w:t>
      </w:r>
      <w:r>
        <w:rPr>
          <w:rFonts w:ascii="Times New Roman;sans-serif" w:hAnsi="Times New Roman;sans-serif"/>
          <w:b w:val="false"/>
          <w:color w:val="000000"/>
          <w:sz w:val="20"/>
        </w:rPr>
        <w:t xml:space="preserve">above.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Programming and other direct costs of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and certain costs related to the development of externally marketed software.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details of our programming and other direct costs of services are as follows: </w:t>
      </w:r>
    </w:p>
    <w:tbl>
      <w:tblPr>
        <w:tblW w:w="9329" w:type="dxa"/>
        <w:jc w:val="left"/>
        <w:tblInd w:w="0" w:type="dxa"/>
        <w:tblLayout w:type="fixed"/>
        <w:tblCellMar>
          <w:top w:w="28" w:type="dxa"/>
          <w:left w:w="28" w:type="dxa"/>
          <w:bottom w:w="28" w:type="dxa"/>
          <w:right w:w="28" w:type="dxa"/>
        </w:tblCellMar>
      </w:tblPr>
      <w:tblGrid>
        <w:gridCol w:w="807"/>
        <w:gridCol w:w="708"/>
        <w:gridCol w:w="719"/>
        <w:gridCol w:w="211"/>
        <w:gridCol w:w="616"/>
        <w:gridCol w:w="109"/>
        <w:gridCol w:w="109"/>
        <w:gridCol w:w="109"/>
        <w:gridCol w:w="109"/>
        <w:gridCol w:w="211"/>
        <w:gridCol w:w="616"/>
        <w:gridCol w:w="109"/>
        <w:gridCol w:w="109"/>
        <w:gridCol w:w="109"/>
        <w:gridCol w:w="109"/>
        <w:gridCol w:w="238"/>
        <w:gridCol w:w="459"/>
        <w:gridCol w:w="123"/>
        <w:gridCol w:w="123"/>
        <w:gridCol w:w="123"/>
        <w:gridCol w:w="123"/>
        <w:gridCol w:w="254"/>
        <w:gridCol w:w="257"/>
        <w:gridCol w:w="123"/>
        <w:gridCol w:w="109"/>
        <w:gridCol w:w="109"/>
        <w:gridCol w:w="109"/>
        <w:gridCol w:w="314"/>
        <w:gridCol w:w="717"/>
        <w:gridCol w:w="162"/>
        <w:gridCol w:w="162"/>
        <w:gridCol w:w="162"/>
        <w:gridCol w:w="162"/>
        <w:gridCol w:w="254"/>
        <w:gridCol w:w="257"/>
        <w:gridCol w:w="229"/>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9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696" w:type="dxa"/>
        <w:jc w:val="left"/>
        <w:tblInd w:w="0" w:type="dxa"/>
        <w:tblLayout w:type="fixed"/>
        <w:tblCellMar>
          <w:top w:w="28" w:type="dxa"/>
          <w:left w:w="28" w:type="dxa"/>
          <w:bottom w:w="28" w:type="dxa"/>
          <w:right w:w="28" w:type="dxa"/>
        </w:tblCellMar>
      </w:tblPr>
      <w:tblGrid>
        <w:gridCol w:w="807"/>
        <w:gridCol w:w="708"/>
        <w:gridCol w:w="71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54"/>
        <w:gridCol w:w="257"/>
        <w:gridCol w:w="109"/>
        <w:gridCol w:w="109"/>
        <w:gridCol w:w="109"/>
        <w:gridCol w:w="109"/>
        <w:gridCol w:w="308"/>
        <w:gridCol w:w="746"/>
        <w:gridCol w:w="159"/>
        <w:gridCol w:w="159"/>
        <w:gridCol w:w="159"/>
        <w:gridCol w:w="159"/>
        <w:gridCol w:w="254"/>
        <w:gridCol w:w="257"/>
        <w:gridCol w:w="225"/>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6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programming and other direct costs of services</w:t>
      </w:r>
      <w:r>
        <w:rPr>
          <w:color w:val="000000"/>
        </w:rPr>
        <w:t xml:space="preserve"> </w:t>
      </w:r>
      <w:r>
        <w:rPr>
          <w:rFonts w:ascii="Times New Roman;sans-serif" w:hAnsi="Times New Roman;sans-serif"/>
          <w:b w:val="false"/>
          <w:color w:val="000000"/>
          <w:sz w:val="20"/>
        </w:rPr>
        <w:t>increased $5.3 million or 0.9% and $112.5 million or 6.5%</w:t>
      </w:r>
      <w:r>
        <w:rPr>
          <w:color w:val="000000"/>
        </w:rPr>
        <w:t xml:space="preserve"> </w:t>
      </w:r>
      <w:r>
        <w:rPr>
          <w:rFonts w:ascii="Times New Roman;sans-serif" w:hAnsi="Times New Roman;sans-serif"/>
          <w:b w:val="false"/>
          <w:color w:val="000000"/>
          <w:sz w:val="20"/>
        </w:rPr>
        <w:t>during the three and nine months ended September 30, 2024, respectively, as compared to the corresponding periods in 2023. On an organic basis, our programming and other direct costs of services increased (decreased) ($3.9 million) or (0.7%) and $91.9 million or 5.3%, respectively. These changes include the following factors: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costs of $25.3 million and $97.6 million, respectively, at Central and Other related to the sale of CPE to the VMO2 JV beginning in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For the nine-month comparison, an increase in costs of $48.1 million at Central and Other due to lower capitalization as a result of our decision in May 2023 to market and sell certain of our internally-developed software to third parties, as further described in note 16 to our condensed consolidated financial statements;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Decreases in programming and copyright costs of $9.3 million or 5.8% and $17.9 million or 3.5%, respectively, primarily attributable to lower costs for certain content at Telenet and VM Ireland;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Decreases in mobile handset and other device costs of $4.1 million or 5.2% and $7.9 million or 2.4%, respectively, primarily due to (i) lower average costs per handset sold at Telenet and (ii) for the nine-month comparison, lower sales volumes, as a decrease at Sunrise was only partially offset by an increase at Telenet.</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operating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other operating expenses are as follows:</w:t>
      </w:r>
    </w:p>
    <w:tbl>
      <w:tblPr>
        <w:tblW w:w="10205" w:type="dxa"/>
        <w:jc w:val="left"/>
        <w:tblInd w:w="0" w:type="dxa"/>
        <w:tblLayout w:type="fixed"/>
        <w:tblCellMar>
          <w:top w:w="28" w:type="dxa"/>
          <w:left w:w="28" w:type="dxa"/>
          <w:bottom w:w="28" w:type="dxa"/>
          <w:right w:w="28" w:type="dxa"/>
        </w:tblCellMar>
      </w:tblPr>
      <w:tblGrid>
        <w:gridCol w:w="1401"/>
        <w:gridCol w:w="1119"/>
        <w:gridCol w:w="1060"/>
        <w:gridCol w:w="211"/>
        <w:gridCol w:w="616"/>
        <w:gridCol w:w="109"/>
        <w:gridCol w:w="109"/>
        <w:gridCol w:w="109"/>
        <w:gridCol w:w="109"/>
        <w:gridCol w:w="211"/>
        <w:gridCol w:w="616"/>
        <w:gridCol w:w="109"/>
        <w:gridCol w:w="109"/>
        <w:gridCol w:w="109"/>
        <w:gridCol w:w="109"/>
        <w:gridCol w:w="223"/>
        <w:gridCol w:w="430"/>
        <w:gridCol w:w="115"/>
        <w:gridCol w:w="115"/>
        <w:gridCol w:w="115"/>
        <w:gridCol w:w="115"/>
        <w:gridCol w:w="254"/>
        <w:gridCol w:w="257"/>
        <w:gridCol w:w="115"/>
        <w:gridCol w:w="109"/>
        <w:gridCol w:w="109"/>
        <w:gridCol w:w="109"/>
        <w:gridCol w:w="265"/>
        <w:gridCol w:w="510"/>
        <w:gridCol w:w="137"/>
        <w:gridCol w:w="137"/>
        <w:gridCol w:w="137"/>
        <w:gridCol w:w="137"/>
        <w:gridCol w:w="254"/>
        <w:gridCol w:w="257"/>
        <w:gridCol w:w="199"/>
      </w:tblGrid>
      <w:tr>
        <w:trPr/>
        <w:tc>
          <w:tcPr>
            <w:tcW w:w="140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3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operating expenses excluding share-based compensation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85"/>
        <w:gridCol w:w="1103"/>
        <w:gridCol w:w="1042"/>
        <w:gridCol w:w="211"/>
        <w:gridCol w:w="616"/>
        <w:gridCol w:w="109"/>
        <w:gridCol w:w="109"/>
        <w:gridCol w:w="109"/>
        <w:gridCol w:w="109"/>
        <w:gridCol w:w="211"/>
        <w:gridCol w:w="616"/>
        <w:gridCol w:w="109"/>
        <w:gridCol w:w="109"/>
        <w:gridCol w:w="109"/>
        <w:gridCol w:w="109"/>
        <w:gridCol w:w="215"/>
        <w:gridCol w:w="522"/>
        <w:gridCol w:w="111"/>
        <w:gridCol w:w="111"/>
        <w:gridCol w:w="111"/>
        <w:gridCol w:w="111"/>
        <w:gridCol w:w="276"/>
        <w:gridCol w:w="276"/>
        <w:gridCol w:w="111"/>
        <w:gridCol w:w="109"/>
        <w:gridCol w:w="109"/>
        <w:gridCol w:w="109"/>
        <w:gridCol w:w="256"/>
        <w:gridCol w:w="552"/>
        <w:gridCol w:w="132"/>
        <w:gridCol w:w="132"/>
        <w:gridCol w:w="132"/>
        <w:gridCol w:w="132"/>
        <w:gridCol w:w="222"/>
        <w:gridCol w:w="224"/>
        <w:gridCol w:w="196"/>
      </w:tblGrid>
      <w:tr>
        <w:trPr/>
        <w:tc>
          <w:tcPr>
            <w:tcW w:w="138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operating expenses excluding share-based compensation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other operating expenses (exclusive of share-based compensation expense) increased $5.4 million or 1.8% and $2.1 million or 0.2% during the three and nine months ended September 30, 2024, respectively, as compared to the corresponding periods in 2023. On an organic basis, our other operating expenses increased (decreased) $1.1 million or 0.4% and ($8.9 million) or (1.0%), respectively. These changes include the following factors: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Decreases in customer service costs of $8.9 million or 22.4% and $16.8 million or 14.7%, respectively, primarily related to lower call center costs at Sunrise and Telenet;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For the nine-month comparison, a $11.2 million increase in costs at Telenet associated with the one-time benefit from expected settlements of certain operational contingencies during the second quarter of 2023;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Decreases in business service costs of $4.9 million or 10.6% and $10.4 million or 7.0%, respectively, primarily due to (i) lower consulting costs at Central and Other and (ii) lower energy costs, as decreases at Telenet were only partially offset by increases at Sunrise;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Decreases in personnel costs of $4.5 million or 4.8% and $9.5 million or 3.4%, respectively, primarily due to the net effect of (i) lower staffing levels, primarily at Central and Other and Sunrise, and (ii) higher average costs per employee, primarily at Telenet and Central and Other;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outsourced labor costs of $2.4 million or 8.5% and $8.7 million or 10.1%, respectively, primarily associated with customer-facing activities at Telenet;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(decrease) in core network and information technology-related costs of $6.9 million or 9.9% and ($8.5 million) or (4.4%), respectively, primarily due to the net effect of (i) increases in information technology-related costs at Central and Other, (ii) lower leased bandwidth and outsourced data center costs, primarily at Telenet, and (iii) for the nine-month comparison, lower network maintenance expense and outsourced data center costs, primarily at Central and Other;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service delivery platform costs of $4.2 million or 12.2% and $4.2 million or 8.6%, respectively, primarily related to higher CPE software costs at Central and Other.</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SG&amp;A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SG&amp;A expenses are as follows:</w:t>
      </w:r>
    </w:p>
    <w:tbl>
      <w:tblPr>
        <w:tblW w:w="10205" w:type="dxa"/>
        <w:jc w:val="left"/>
        <w:tblInd w:w="0" w:type="dxa"/>
        <w:tblLayout w:type="fixed"/>
        <w:tblCellMar>
          <w:top w:w="28" w:type="dxa"/>
          <w:left w:w="28" w:type="dxa"/>
          <w:bottom w:w="28" w:type="dxa"/>
          <w:right w:w="28" w:type="dxa"/>
        </w:tblCellMar>
      </w:tblPr>
      <w:tblGrid>
        <w:gridCol w:w="1351"/>
        <w:gridCol w:w="1084"/>
        <w:gridCol w:w="1031"/>
        <w:gridCol w:w="211"/>
        <w:gridCol w:w="616"/>
        <w:gridCol w:w="109"/>
        <w:gridCol w:w="109"/>
        <w:gridCol w:w="109"/>
        <w:gridCol w:w="109"/>
        <w:gridCol w:w="211"/>
        <w:gridCol w:w="616"/>
        <w:gridCol w:w="109"/>
        <w:gridCol w:w="109"/>
        <w:gridCol w:w="109"/>
        <w:gridCol w:w="109"/>
        <w:gridCol w:w="218"/>
        <w:gridCol w:w="468"/>
        <w:gridCol w:w="112"/>
        <w:gridCol w:w="112"/>
        <w:gridCol w:w="112"/>
        <w:gridCol w:w="112"/>
        <w:gridCol w:w="276"/>
        <w:gridCol w:w="279"/>
        <w:gridCol w:w="112"/>
        <w:gridCol w:w="109"/>
        <w:gridCol w:w="109"/>
        <w:gridCol w:w="109"/>
        <w:gridCol w:w="252"/>
        <w:gridCol w:w="671"/>
        <w:gridCol w:w="130"/>
        <w:gridCol w:w="130"/>
        <w:gridCol w:w="130"/>
        <w:gridCol w:w="130"/>
        <w:gridCol w:w="224"/>
        <w:gridCol w:w="226"/>
        <w:gridCol w:w="192"/>
      </w:tblGrid>
      <w:tr>
        <w:trPr/>
        <w:tc>
          <w:tcPr>
            <w:tcW w:w="135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34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4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3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SG&amp;A expenses excluding share-based compensation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71"/>
        <w:gridCol w:w="1003"/>
        <w:gridCol w:w="941"/>
        <w:gridCol w:w="211"/>
        <w:gridCol w:w="766"/>
        <w:gridCol w:w="109"/>
        <w:gridCol w:w="109"/>
        <w:gridCol w:w="109"/>
        <w:gridCol w:w="109"/>
        <w:gridCol w:w="211"/>
        <w:gridCol w:w="766"/>
        <w:gridCol w:w="109"/>
        <w:gridCol w:w="109"/>
        <w:gridCol w:w="109"/>
        <w:gridCol w:w="109"/>
        <w:gridCol w:w="217"/>
        <w:gridCol w:w="463"/>
        <w:gridCol w:w="112"/>
        <w:gridCol w:w="112"/>
        <w:gridCol w:w="112"/>
        <w:gridCol w:w="112"/>
        <w:gridCol w:w="274"/>
        <w:gridCol w:w="277"/>
        <w:gridCol w:w="112"/>
        <w:gridCol w:w="109"/>
        <w:gridCol w:w="109"/>
        <w:gridCol w:w="109"/>
        <w:gridCol w:w="247"/>
        <w:gridCol w:w="655"/>
        <w:gridCol w:w="127"/>
        <w:gridCol w:w="127"/>
        <w:gridCol w:w="127"/>
        <w:gridCol w:w="127"/>
        <w:gridCol w:w="222"/>
        <w:gridCol w:w="224"/>
        <w:gridCol w:w="190"/>
      </w:tblGrid>
      <w:tr>
        <w:trPr/>
        <w:tc>
          <w:tcPr>
            <w:tcW w:w="127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9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3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Central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N.M. </w:t>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SG&amp;A expenses excluding share-based compensation expense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SG&amp;A expense information</w:t>
      </w:r>
    </w:p>
    <w:tbl>
      <w:tblPr>
        <w:tblW w:w="9657" w:type="dxa"/>
        <w:jc w:val="left"/>
        <w:tblInd w:w="0" w:type="dxa"/>
        <w:tblLayout w:type="fixed"/>
        <w:tblCellMar>
          <w:top w:w="28" w:type="dxa"/>
          <w:left w:w="28" w:type="dxa"/>
          <w:bottom w:w="28" w:type="dxa"/>
          <w:right w:w="28" w:type="dxa"/>
        </w:tblCellMar>
      </w:tblPr>
      <w:tblGrid>
        <w:gridCol w:w="930"/>
        <w:gridCol w:w="816"/>
        <w:gridCol w:w="818"/>
        <w:gridCol w:w="211"/>
        <w:gridCol w:w="616"/>
        <w:gridCol w:w="109"/>
        <w:gridCol w:w="109"/>
        <w:gridCol w:w="109"/>
        <w:gridCol w:w="109"/>
        <w:gridCol w:w="211"/>
        <w:gridCol w:w="616"/>
        <w:gridCol w:w="109"/>
        <w:gridCol w:w="109"/>
        <w:gridCol w:w="109"/>
        <w:gridCol w:w="109"/>
        <w:gridCol w:w="226"/>
        <w:gridCol w:w="516"/>
        <w:gridCol w:w="116"/>
        <w:gridCol w:w="116"/>
        <w:gridCol w:w="116"/>
        <w:gridCol w:w="116"/>
        <w:gridCol w:w="254"/>
        <w:gridCol w:w="257"/>
        <w:gridCol w:w="116"/>
        <w:gridCol w:w="109"/>
        <w:gridCol w:w="109"/>
        <w:gridCol w:w="109"/>
        <w:gridCol w:w="293"/>
        <w:gridCol w:w="816"/>
        <w:gridCol w:w="151"/>
        <w:gridCol w:w="151"/>
        <w:gridCol w:w="151"/>
        <w:gridCol w:w="151"/>
        <w:gridCol w:w="239"/>
        <w:gridCol w:w="241"/>
        <w:gridCol w:w="21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9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108" w:type="dxa"/>
        <w:jc w:val="left"/>
        <w:tblInd w:w="0" w:type="dxa"/>
        <w:tblLayout w:type="fixed"/>
        <w:tblCellMar>
          <w:top w:w="28" w:type="dxa"/>
          <w:left w:w="28" w:type="dxa"/>
          <w:bottom w:w="28" w:type="dxa"/>
          <w:right w:w="28" w:type="dxa"/>
        </w:tblCellMar>
      </w:tblPr>
      <w:tblGrid>
        <w:gridCol w:w="930"/>
        <w:gridCol w:w="816"/>
        <w:gridCol w:w="818"/>
        <w:gridCol w:w="211"/>
        <w:gridCol w:w="766"/>
        <w:gridCol w:w="109"/>
        <w:gridCol w:w="109"/>
        <w:gridCol w:w="109"/>
        <w:gridCol w:w="109"/>
        <w:gridCol w:w="211"/>
        <w:gridCol w:w="766"/>
        <w:gridCol w:w="109"/>
        <w:gridCol w:w="109"/>
        <w:gridCol w:w="109"/>
        <w:gridCol w:w="109"/>
        <w:gridCol w:w="211"/>
        <w:gridCol w:w="511"/>
        <w:gridCol w:w="109"/>
        <w:gridCol w:w="109"/>
        <w:gridCol w:w="109"/>
        <w:gridCol w:w="109"/>
        <w:gridCol w:w="203"/>
        <w:gridCol w:w="203"/>
        <w:gridCol w:w="109"/>
        <w:gridCol w:w="109"/>
        <w:gridCol w:w="109"/>
        <w:gridCol w:w="109"/>
        <w:gridCol w:w="211"/>
        <w:gridCol w:w="511"/>
        <w:gridCol w:w="109"/>
        <w:gridCol w:w="109"/>
        <w:gridCol w:w="109"/>
        <w:gridCol w:w="109"/>
        <w:gridCol w:w="203"/>
        <w:gridCol w:w="203"/>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4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sales and marketing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(a)General and administrative expenses include all personnel-related costs within our SG&amp;A expenses, including personnel-related costs associated with our sales and marketing function.</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SG&amp;A expenses (exclusive of share-based compensation expense) increased (decreased) ($0.6 million) or (0.2%) and $37.7 million or 3.4% during the three and nine months ended September 30, 2024, respectively, as compared to the corresponding periods in 2023. On an organic basis, our SG&amp;A expenses increased (decreased) ($5.9 million) and (1.6%) or $22.5 million or 2.0%, respectively. These</w:t>
      </w:r>
      <w:r>
        <w:rPr>
          <w:color w:val="000000"/>
        </w:rPr>
        <w:t xml:space="preserve"> </w:t>
      </w:r>
      <w:r>
        <w:rPr>
          <w:rFonts w:ascii="Times New Roman;sans-serif" w:hAnsi="Times New Roman;sans-serif"/>
          <w:b w:val="false"/>
          <w:color w:val="000000"/>
          <w:sz w:val="20"/>
        </w:rPr>
        <w:t>changes</w:t>
      </w:r>
      <w:r>
        <w:rPr>
          <w:color w:val="000000"/>
        </w:rPr>
        <w:t xml:space="preserve"> </w:t>
      </w:r>
      <w:r>
        <w:rPr>
          <w:rFonts w:ascii="Times New Roman;sans-serif" w:hAnsi="Times New Roman;sans-serif"/>
          <w:b w:val="false"/>
          <w:color w:val="000000"/>
          <w:sz w:val="20"/>
        </w:rPr>
        <w:t>include the following factors: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For the nine-month comparison, an increase in personnel costs of $13.9 million or 2.7%, primarily due to (i) an increase in temporary personnel costs at Telenet and (ii) higher costs due to lower capitalizable activities, primarily at Sunrise;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external sales and marketing costs of $6.8 million or 9.0% and $12.5 million or 5.3%, respectively, primarily due to higher costs associated with advertising campaigns at Telenet;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core network and information technology-related costs of $1.6 million or 5.7% and $9.7 million or 11.4%, respectively, primarily at Sunrise;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Decreases in business service costs of $4.0 million or 8.1% and $7.8 million or 5.1%, respectively, primarily due to lower consulting costs at Sunrise.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 expense</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share-based compensation expense primarily relates to the share-based incentive awards issued by Liberty Global to its employees and employees of its subsidiaries. A summary of our aggregate share-based compensation expense is set forth below: </w:t>
      </w:r>
    </w:p>
    <w:tbl>
      <w:tblPr>
        <w:tblW w:w="8280" w:type="dxa"/>
        <w:jc w:val="left"/>
        <w:tblInd w:w="0" w:type="dxa"/>
        <w:tblLayout w:type="fixed"/>
        <w:tblCellMar>
          <w:top w:w="28" w:type="dxa"/>
          <w:left w:w="28" w:type="dxa"/>
          <w:bottom w:w="28" w:type="dxa"/>
          <w:right w:w="28" w:type="dxa"/>
        </w:tblCellMar>
      </w:tblPr>
      <w:tblGrid>
        <w:gridCol w:w="1347"/>
        <w:gridCol w:w="1181"/>
        <w:gridCol w:w="1192"/>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(a):</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Non-performance based incentive awards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based incentive awards (c)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Liberty Global</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2024 amounts include share-based compensation expense related to certain Telenet Replacement Awards.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(b)In April 2023, the compensation committee of our board of directors approved the extension of the expiration dates of outstanding SARs and director options granted in 2016 through 2018 from a seven-year term to a ten-year term. Accordingly, the Black-Scholes fair values of the outstanding awards increased, resulting in the recognition of an aggregate incremental share-based compensation expense of $27.1 million during the second quarter of 2023.</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(c)The 2024 amounts include share-based compensation expense related to the 2024 PSUs.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(d)Represents annual incentive compensation and defined contribution plan liabilities that have been or are expected to be settled with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share-based compensation expense, see note 13 to our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Depreciation and amortization expense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depreciation and amortization expense was $500.6 million and $1,512.7 million for the three and nine months ended September 30, 2024, respectively, and $584.0 million and $1,681.8 million for the three and nine months ended September 30, 2023, respectively. Excluding the effects of FX, depreciation and amortization expense decreased</w:t>
      </w:r>
      <w:r>
        <w:rPr>
          <w:color w:val="000000"/>
        </w:rPr>
        <w:t xml:space="preserve"> </w:t>
      </w:r>
      <w:r>
        <w:rPr>
          <w:rFonts w:ascii="Times New Roman;sans-serif" w:hAnsi="Times New Roman;sans-serif"/>
          <w:b w:val="false"/>
          <w:color w:val="000000"/>
          <w:sz w:val="20"/>
        </w:rPr>
        <w:t>$89.5 million or 15.3% and $182.7 million or 10.9% during the three and nine months ended September 30, 2024, respectively, as compared to the corresponding periods in 2023. These decreases are primarily due to the net effect of (i) decreases associated with certain assets becoming fully depreciated, primarily at Central and Other, Telenet and Sunrise, (ii) increases associated with property and equipment additions related to the installation of CPE, the expansion and upgrade of our networks and other capital initiatives, primarily at Telenet, Sunrise and VM Ireland, and (iii) increases associated with acquisitions, primarily related to the Telenet Wyre Transaction.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Impairment, restructuring and other operating items, net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impairment, restructuring and other operating items, net, of $13.5 million and $51.7 million during the three and nine months ended September 30, 2024, respectively, and ($13.7 million) and $6.6 million during the three and nine months ended September 30, 2023,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for the 2024 periods include (i) restructuring costs of $5.4 million and $24.6 million, respectively, primarily at Central and Other and Telenet, and (ii) a provision for legal contingencies of $17.5 million at Central and Other during the first quarter of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for the 2023 periods include (i) direct acquisition and disposition costs of $4.2 million and $25.7 million, respectively, primarily at Telenet and Central and Other, (ii) restructuring costs of $3.3 million and $24.4 million, respectively, primarily at Sunrise and Telenet, (iii) a $21.3 million credit to abandoned lease expense at Sunrise during the second quarter of 2023 and (iv) a $19.2 million credit related to a settlement at Sunrise during the third quarter of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interest expense of $251.2 million and $756.2 million during the three and nine months ended September 30, 2024, respectively, and $241.4 million and $656.0 million during the three and nine months ended September 30, 2023, respectively. Excluding the effects of FX, interest expense increased $7.1 million or 2.9% and $97.0 million or 14.8% during the three and nine months ended September 30, 2024, respectively, as compared to the corresponding periods in 2023. These increases are primarily attributable to (i) higher average outstanding debt balances and (ii) for the nine-month period, a higher weighted average interest rate. For additional information regarding our outstanding indebtedness, see note 9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Part I, Item 3.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below, we use derivative instruments to manage our interest rate risks.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pPr>
      <w:r>
        <w:rPr>
          <w:rFonts w:ascii="Times New Roman;sans-serif" w:hAnsi="Times New Roman;sans-serif"/>
          <w:b w:val="false"/>
          <w:i/>
          <w:color w:val="000000"/>
          <w:sz w:val="20"/>
        </w:rPr>
        <w:t>Realized and unrealized</w:t>
      </w:r>
      <w:r>
        <w:rPr>
          <w:color w:val="000000"/>
        </w:rPr>
        <w:t xml:space="preserve"> </w:t>
      </w:r>
      <w:r>
        <w:rPr>
          <w:rFonts w:ascii="Times New Roman;sans-serif" w:hAnsi="Times New Roman;sans-serif"/>
          <w:b w:val="false"/>
          <w:i/>
          <w:color w:val="000000"/>
          <w:sz w:val="20"/>
        </w:rPr>
        <w:t>gains (losses)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tbl>
      <w:tblPr>
        <w:tblW w:w="9419" w:type="dxa"/>
        <w:jc w:val="left"/>
        <w:tblInd w:w="0" w:type="dxa"/>
        <w:tblLayout w:type="fixed"/>
        <w:tblCellMar>
          <w:top w:w="28" w:type="dxa"/>
          <w:left w:w="28" w:type="dxa"/>
          <w:bottom w:w="28" w:type="dxa"/>
          <w:right w:w="28" w:type="dxa"/>
        </w:tblCellMar>
      </w:tblPr>
      <w:tblGrid>
        <w:gridCol w:w="1657"/>
        <w:gridCol w:w="1455"/>
        <w:gridCol w:w="1462"/>
        <w:gridCol w:w="211"/>
        <w:gridCol w:w="69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 (b)</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(a)The</w:t>
      </w:r>
      <w:r>
        <w:rPr>
          <w:color w:val="000000"/>
        </w:rPr>
        <w:t xml:space="preserve"> </w:t>
      </w:r>
      <w:r>
        <w:rPr>
          <w:rFonts w:ascii="Times New Roman;sans-serif" w:hAnsi="Times New Roman;sans-serif"/>
          <w:b w:val="false"/>
          <w:color w:val="000000"/>
          <w:sz w:val="20"/>
        </w:rPr>
        <w:t>results</w:t>
      </w:r>
      <w:r>
        <w:rPr>
          <w:color w:val="000000"/>
        </w:rPr>
        <w:t xml:space="preserve"> </w:t>
      </w:r>
      <w:r>
        <w:rPr>
          <w:rFonts w:ascii="Times New Roman;sans-serif" w:hAnsi="Times New Roman;sans-serif"/>
          <w:b w:val="false"/>
          <w:color w:val="000000"/>
          <w:sz w:val="20"/>
        </w:rPr>
        <w:t>for the 2024 periods are primarily attributable to the</w:t>
      </w:r>
      <w:r>
        <w:rPr>
          <w:color w:val="000000"/>
        </w:rPr>
        <w:t xml:space="preserve"> </w:t>
      </w:r>
      <w:r>
        <w:rPr>
          <w:rFonts w:ascii="Times New Roman;sans-serif" w:hAnsi="Times New Roman;sans-serif"/>
          <w:b w:val="false"/>
          <w:color w:val="000000"/>
          <w:sz w:val="20"/>
        </w:rPr>
        <w:t>net effect of (i) net losses associated with changes in certain market interest rates and (ii) a net loss for the three-month period and a net gain for the nine-month period associated the relative value of certain currencies. In addition, the results</w:t>
      </w:r>
      <w:r>
        <w:rPr>
          <w:color w:val="000000"/>
        </w:rPr>
        <w:t xml:space="preserve"> </w:t>
      </w:r>
      <w:r>
        <w:rPr>
          <w:rFonts w:ascii="Times New Roman;sans-serif" w:hAnsi="Times New Roman;sans-serif"/>
          <w:b w:val="false"/>
          <w:color w:val="000000"/>
          <w:sz w:val="20"/>
        </w:rPr>
        <w:t>for the 2024 periods include a net gain (loss) of $0.4 million and ($41.1 million), respectively,</w:t>
      </w:r>
      <w:r>
        <w:rPr>
          <w:color w:val="000000"/>
        </w:rPr>
        <w:t xml:space="preserve"> </w:t>
      </w:r>
      <w:r>
        <w:rPr>
          <w:rFonts w:ascii="Times New Roman;sans-serif" w:hAnsi="Times New Roman;sans-serif"/>
          <w:b w:val="false"/>
          <w:color w:val="000000"/>
          <w:sz w:val="20"/>
        </w:rPr>
        <w:t>resulting from changes in our credit risk valuation adjustments.</w:t>
      </w:r>
      <w:r>
        <w:rPr>
          <w:color w:val="000000"/>
        </w:rPr>
        <w:t xml:space="preserve"> </w:t>
      </w:r>
      <w:r>
        <w:rPr>
          <w:rFonts w:ascii="Times New Roman;sans-serif" w:hAnsi="Times New Roman;sans-serif"/>
          <w:b w:val="false"/>
          <w:color w:val="000000"/>
          <w:sz w:val="20"/>
        </w:rPr>
        <w:t>The gains for the 2023 periods are primarily attributable to the net effect of (a) a net loss for the three-month period and a net gain for the nine-month period associated with changes in certain market interest rates and (b) a net gain for the three-month period and a net loss for the nine-month period associated with changes in the relative value of certain currencies. In addition, the gains for the 2023 periods include a net gain (loss) of ($6.9 million) and $15.3 million, respectively, resulting from changes in our credit risk valuation adjustments.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(b)The recurring fair value measurements of our equity-related derivative instruments are based on Black-Scholes pricing models.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additional information concerning our derivative instruments, see notes 6 and 7 to our condensed consolidated financial statements and Part I, Item 3. </w:t>
      </w:r>
      <w:r>
        <w:rPr>
          <w:rFonts w:ascii="Times New Roman;sans-serif" w:hAnsi="Times New Roman;sans-serif"/>
          <w:b w:val="false"/>
          <w:i/>
          <w:color w:val="000000"/>
          <w:sz w:val="20"/>
        </w:rPr>
        <w:t xml:space="preserve">Quantitative and Qualitative Disclosures about Market Risk </w:t>
      </w:r>
      <w:r>
        <w:rPr>
          <w:rFonts w:ascii="Times New Roman;sans-serif" w:hAnsi="Times New Roman;sans-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transaction gains (losses),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tbl>
      <w:tblPr>
        <w:tblW w:w="10205" w:type="dxa"/>
        <w:jc w:val="left"/>
        <w:tblInd w:w="0" w:type="dxa"/>
        <w:tblLayout w:type="fixed"/>
        <w:tblCellMar>
          <w:top w:w="28" w:type="dxa"/>
          <w:left w:w="28" w:type="dxa"/>
          <w:bottom w:w="28" w:type="dxa"/>
          <w:right w:w="28" w:type="dxa"/>
        </w:tblCellMar>
      </w:tblPr>
      <w:tblGrid>
        <w:gridCol w:w="2059"/>
        <w:gridCol w:w="1635"/>
        <w:gridCol w:w="1640"/>
        <w:gridCol w:w="211"/>
        <w:gridCol w:w="665"/>
        <w:gridCol w:w="109"/>
        <w:gridCol w:w="109"/>
        <w:gridCol w:w="109"/>
        <w:gridCol w:w="109"/>
        <w:gridCol w:w="211"/>
        <w:gridCol w:w="616"/>
        <w:gridCol w:w="109"/>
        <w:gridCol w:w="109"/>
        <w:gridCol w:w="109"/>
        <w:gridCol w:w="109"/>
        <w:gridCol w:w="211"/>
        <w:gridCol w:w="665"/>
        <w:gridCol w:w="109"/>
        <w:gridCol w:w="109"/>
        <w:gridCol w:w="109"/>
        <w:gridCol w:w="109"/>
        <w:gridCol w:w="211"/>
        <w:gridCol w:w="616"/>
        <w:gridCol w:w="157"/>
      </w:tblGrid>
      <w:tr>
        <w:trPr/>
        <w:tc>
          <w:tcPr>
            <w:tcW w:w="2059"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5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balances denominated in a currency other than the entity’s functional currency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dollar-denominated debt issued by euro functional currency entities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denominated in a currency other than the entity’s functional currency</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33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33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33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(a)Amounts primarily relate to (i) loans between certain of our non-operating subsidiaries in Europe and (ii) loans between certain of our non-operating and operating subsidiaries in Europe, which generally are denominated in the currency of the applicable operating subsidiary.</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ans-serif" w:hAnsi="Times New Roman;sans-serif"/>
          <w:b w:val="false"/>
          <w:i/>
          <w:color w:val="000000"/>
          <w:sz w:val="20"/>
        </w:rPr>
        <w:t>Realized and unrealized</w:t>
      </w:r>
      <w:r>
        <w:rPr>
          <w:color w:val="000000"/>
        </w:rPr>
        <w:t xml:space="preserve"> </w:t>
      </w:r>
      <w:r>
        <w:rPr>
          <w:rFonts w:ascii="Times New Roman;sans-serif" w:hAnsi="Times New Roman;sans-serif"/>
          <w:b w:val="false"/>
          <w:i/>
          <w:color w:val="000000"/>
          <w:sz w:val="20"/>
        </w:rPr>
        <w:t>gains (losses)</w:t>
      </w:r>
      <w:r>
        <w:rPr>
          <w:color w:val="000000"/>
        </w:rPr>
        <w:t xml:space="preserve"> </w:t>
      </w:r>
      <w:r>
        <w:rPr>
          <w:rFonts w:ascii="Times New Roman;sans-serif" w:hAnsi="Times New Roman;sans-serif"/>
          <w:b w:val="false"/>
          <w:i/>
          <w:color w:val="000000"/>
          <w:sz w:val="20"/>
        </w:rPr>
        <w:t xml:space="preserve">due to changes in fair values of certain investments, net </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5 and 7, respectively, to our condensed consolidated financial statements. The details of our realized and unrealized</w:t>
      </w:r>
      <w:r>
        <w:rPr>
          <w:color w:val="000000"/>
        </w:rPr>
        <w:t xml:space="preserve"> </w:t>
      </w:r>
      <w:r>
        <w:rPr>
          <w:rFonts w:ascii="Times New Roman;sans-serif" w:hAnsi="Times New Roman;sans-serif"/>
          <w:b w:val="false"/>
          <w:color w:val="000000"/>
          <w:sz w:val="20"/>
        </w:rPr>
        <w:t>gains (losses) due to changes in fair values of certain investments, net, are as follows:</w:t>
      </w:r>
    </w:p>
    <w:tbl>
      <w:tblPr>
        <w:tblW w:w="6404" w:type="dxa"/>
        <w:jc w:val="left"/>
        <w:tblInd w:w="0" w:type="dxa"/>
        <w:tblLayout w:type="fixed"/>
        <w:tblCellMar>
          <w:top w:w="28" w:type="dxa"/>
          <w:left w:w="28" w:type="dxa"/>
          <w:bottom w:w="28" w:type="dxa"/>
          <w:right w:w="28" w:type="dxa"/>
        </w:tblCellMar>
      </w:tblPr>
      <w:tblGrid>
        <w:gridCol w:w="602"/>
        <w:gridCol w:w="528"/>
        <w:gridCol w:w="534"/>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91"/>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ITV</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EdgeConneX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Televisa Univision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Lacework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Aviatrix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Pax8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Lionsgate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(a)We completed the sale of our investment in Lacework during the third quarter of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of results of affiliates, net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following table sets forth the details of our share of results</w:t>
      </w:r>
      <w:r>
        <w:rPr>
          <w:color w:val="000000"/>
        </w:rPr>
        <w:t xml:space="preserve"> </w:t>
      </w:r>
      <w:r>
        <w:rPr>
          <w:rFonts w:ascii="Times New Roman;sans-serif" w:hAnsi="Times New Roman;sans-serif"/>
          <w:b w:val="false"/>
          <w:color w:val="000000"/>
          <w:sz w:val="20"/>
        </w:rPr>
        <w:t>of affiliates, net:</w:t>
      </w:r>
    </w:p>
    <w:tbl>
      <w:tblPr>
        <w:tblW w:w="6989" w:type="dxa"/>
        <w:jc w:val="left"/>
        <w:tblInd w:w="0" w:type="dxa"/>
        <w:tblLayout w:type="fixed"/>
        <w:tblCellMar>
          <w:top w:w="28" w:type="dxa"/>
          <w:left w:w="28" w:type="dxa"/>
          <w:bottom w:w="28" w:type="dxa"/>
          <w:right w:w="28" w:type="dxa"/>
        </w:tblCellMar>
      </w:tblPr>
      <w:tblGrid>
        <w:gridCol w:w="695"/>
        <w:gridCol w:w="611"/>
        <w:gridCol w:w="613"/>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 (b)</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AtlasEdge JV</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Formula 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All3Media</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nexfibre JV</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(i) our 50% share of the results of operations of the VodafoneZiggo JV and (ii) interest income of $14.2 million, $14.0 million, $41.7 million and $41.4 million in the respective periods shown, representing 100% of the interest earned on the VodafoneZiggo JV Receivables. The summarized results of operations of the VodafoneZiggo JV are set forth below:</w:t>
      </w:r>
    </w:p>
    <w:tbl>
      <w:tblPr>
        <w:tblW w:w="7650" w:type="dxa"/>
        <w:jc w:val="left"/>
        <w:tblInd w:w="0" w:type="dxa"/>
        <w:tblLayout w:type="fixed"/>
        <w:tblCellMar>
          <w:top w:w="28" w:type="dxa"/>
          <w:left w:w="28" w:type="dxa"/>
          <w:bottom w:w="28" w:type="dxa"/>
          <w:right w:w="28" w:type="dxa"/>
        </w:tblCellMar>
      </w:tblPr>
      <w:tblGrid>
        <w:gridCol w:w="823"/>
        <w:gridCol w:w="725"/>
        <w:gridCol w:w="732"/>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expense (1)</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_______________</w:t>
      </w:r>
    </w:p>
    <w:p>
      <w:pPr>
        <w:pStyle w:val="TextBody"/>
        <w:bidi w:val="0"/>
        <w:spacing w:before="0" w:after="0"/>
        <w:ind w:left="0" w:right="0" w:hanging="54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(1)Includes interest expense of $208.3 million, $205.2 million, $619.5 million and $581.6 million, in the respective periods shown.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changes in the VodafoneZiggo JV’s revenue during the three and nine months ended September 30, 2024, as compared to the corresponding periods in 2023, are primarily due to the net effect of (i) increases in residential mobile revenue, (ii) increases in B2B fixed revenue and (iii) decreases in residential fixed revenue. The changes in the VodafoneZiggo JV’s Adjusted EBITDA during the three and nine months ended September 30, 2024, as compared to the corresponding periods in 2023, are primarily due to the net effect of (a) the aforementioned changes in revenue, (b) increases in wage costs and (c) higher programming costs.</w:t>
      </w:r>
      <w:r>
        <w:rPr>
          <w:color w:val="000000"/>
        </w:rPr>
        <w:t xml:space="preserve"> </w:t>
      </w:r>
      <w:r>
        <w:rPr>
          <w:rFonts w:ascii="Times New Roman;sans-serif" w:hAnsi="Times New Roman;sans-serif"/>
          <w:b w:val="false"/>
          <w:color w:val="000000"/>
          <w:sz w:val="20"/>
        </w:rPr>
        <w:t>In addition, the reported revenue and Adjusted EBITDA amounts are impacted by FX.</w:t>
      </w:r>
    </w:p>
    <w:p>
      <w:pPr>
        <w:pStyle w:val="TextBody"/>
        <w:bidi w:val="0"/>
        <w:spacing w:before="0" w:after="0"/>
        <w:ind w:left="0" w:right="0" w:firstLine="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 The summarized results of operations of the VMO2 JV are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tbl>
      <w:tblPr>
        <w:tblW w:w="7860" w:type="dxa"/>
        <w:jc w:val="left"/>
        <w:tblInd w:w="0" w:type="dxa"/>
        <w:tblLayout w:type="fixed"/>
        <w:tblCellMar>
          <w:top w:w="28" w:type="dxa"/>
          <w:left w:w="28" w:type="dxa"/>
          <w:bottom w:w="28" w:type="dxa"/>
          <w:right w:w="28" w:type="dxa"/>
        </w:tblCellMar>
      </w:tblPr>
      <w:tblGrid>
        <w:gridCol w:w="823"/>
        <w:gridCol w:w="725"/>
        <w:gridCol w:w="732"/>
        <w:gridCol w:w="211"/>
        <w:gridCol w:w="766"/>
        <w:gridCol w:w="109"/>
        <w:gridCol w:w="109"/>
        <w:gridCol w:w="109"/>
        <w:gridCol w:w="109"/>
        <w:gridCol w:w="211"/>
        <w:gridCol w:w="766"/>
        <w:gridCol w:w="109"/>
        <w:gridCol w:w="109"/>
        <w:gridCol w:w="109"/>
        <w:gridCol w:w="109"/>
        <w:gridCol w:w="211"/>
        <w:gridCol w:w="871"/>
        <w:gridCol w:w="109"/>
        <w:gridCol w:w="109"/>
        <w:gridCol w:w="109"/>
        <w:gridCol w:w="109"/>
        <w:gridCol w:w="211"/>
        <w:gridCol w:w="871"/>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expense (1)</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_______________</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(1)Includes interest expense of $406.4 million, $394.6 million, $1,239.5 million and $1,087.2 million, in the respective periods shown.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VMO2 JV’s revenue during the three and nine months ended September 30, 2024, as compared to the corresponding periods in 2023, are primarily due to the net effect of (i) decreases in mobile revenue due to lower handset sales, (ii) increases in other revenue related to low-margin construction revenue from the nexfibre JV, (iii) increases in residential fixed revenue and (iv) a one-time increase in 2023 of $48 million in other revenue due to a change in the contract terms with a related-party supplier, with each revenue category as defined and reported by the VMO2 JV. The changes in the VMO2 JV’s Adjusted EBITDA during the three and nine months ended September 30, 2024, as compared to the corresponding periods in 2023, are primarily due to the net effect of (a) the benefit of approximately $18 million and $46 million during the three and nine months ended September 30, 2024, respectively, related to higher capitalized costs by the VMO2 JV due to a change in the terms of a related-party contract under which Liberty Global now sells CPE hardware and embedded essential software to the VMO2 JV and (b) the aforementioned one-time revenue increase in 2023. In addition, the reported revenue and Adjusted EBITDA amounts are impacted by FX.</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Gain on sale of All3Media</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connection with the sale of All3Media, we recognized a gain of $242.9 million during the nine months ended September 30, 2024.</w:t>
      </w:r>
      <w:r>
        <w:rPr>
          <w:color w:val="000000"/>
        </w:rPr>
        <w:t xml:space="preserve"> </w:t>
      </w:r>
      <w:r>
        <w:rPr>
          <w:rFonts w:ascii="Times New Roman;sans-serif" w:hAnsi="Times New Roman;sans-serif"/>
          <w:b w:val="false"/>
          <w:color w:val="000000"/>
          <w:sz w:val="20"/>
        </w:rPr>
        <w:t>For additional information, see note 5 to our condensed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Gain associated with the Telenet Wyre Transaction</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connection with the Telenet Wyre Transaction, we recognized a net gain of $377.8 million during the nine months ended September 30, 2023.</w:t>
      </w:r>
      <w:r>
        <w:rPr>
          <w:color w:val="000000"/>
        </w:rPr>
        <w:t xml:space="preserve"> </w:t>
      </w:r>
      <w:r>
        <w:rPr>
          <w:rFonts w:ascii="Times New Roman;sans-serif" w:hAnsi="Times New Roman;sans-serif"/>
          <w:b w:val="false"/>
          <w:color w:val="000000"/>
          <w:sz w:val="20"/>
        </w:rPr>
        <w:t>For additional information, see note 4 to our condensed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net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other income, net, of $63.9 million and $39.8 million during the three months ended September 30, 2024 and 2023, respectively, and $191.1 million and $159.5 million during the nine months ended September 30, 2024 and 2023, respectively. These amounts include (i) interest and dividend income of $57.2 million and $36.5 million during the three-month periods, respectively, and $169.8 million and $140.7 million during the nine-month periods, respectively, and (ii) credits related to the non-service component of our net periodic pension costs of $7.2 million and $6.4 million during the three-month periods, respectively, and $21.5 million and $15.8 million during the nine-month periods, respectively.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benefit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income tax benefit (expense) of ($0.9 million) and ($88.5 million) during the three and nine months ended September 30, 2024, respectively, and $1.7 million and ($170.0 million) during the three and nine months ended September 30, 2023,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expense during the three months ended September 30, 2024 differs from the expected income tax benefit of $352.6 million (based on the U.K. statutory income tax rate of 25.0%), primarily due to the net negative impact of (i) non-deductible or non-taxable foreign currency exchange results and (ii) certain permanent differences between the financial and tax accounting treatment of items associated with investments in subsidiaries and affiliates.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expense during the nine months ended September 30, 2024 differs from the expected income tax benefit of $130.1 million (based on the U.K. statutory income tax rate of 25.0%), primarily due to the net negative impact of (i) certain permanent differences between the financial and tax accounting treatment of interest and other items, (ii) non-deductible or non-taxable foreign currency exchange results and (iii) certain permanent differences between the financial and tax accounting treatment of items associated with investments in subsidiaries and affiliates.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benefit during the three months ended September 30, 2023 differs from the expected income tax expense of $193.0 million (based on the U.K. blended income tax rate of 23.5%), primarily due to the net positive impact of non-deductible or non-taxable foreign currency exchange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expense during the nine months ended September 30, 2023 differs from the expected income tax benefit of $54.5 million (based on the U.K. blended income tax rate of 23.5%), primarily due to the net negative impact of (i) a net increase in valuation allowances and (ii) certain permanent differences between the financial and tax accounting treatment of interest and other items. The net negative impact of these items was partially offset by the net positive impact of non-deductible or non-taxable foreign currency exchange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concerning our income taxes, see note 11 to our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Net earnings (loss)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three months ended September 30, 2024 and 2023, we reported net</w:t>
      </w:r>
      <w:r>
        <w:rPr>
          <w:color w:val="000000"/>
        </w:rPr>
        <w:t xml:space="preserve"> </w:t>
      </w:r>
      <w:r>
        <w:rPr>
          <w:rFonts w:ascii="Times New Roman;sans-serif" w:hAnsi="Times New Roman;sans-serif"/>
          <w:b w:val="false"/>
          <w:color w:val="000000"/>
          <w:sz w:val="20"/>
        </w:rPr>
        <w:t>earnings (loss) of ($1,410.9 million) and $822.7 million, respectively, consisting of (i) operating</w:t>
      </w:r>
      <w:r>
        <w:rPr>
          <w:color w:val="000000"/>
        </w:rPr>
        <w:t xml:space="preserve"> </w:t>
      </w:r>
      <w:r>
        <w:rPr>
          <w:rFonts w:ascii="Times New Roman;sans-serif" w:hAnsi="Times New Roman;sans-serif"/>
          <w:b w:val="false"/>
          <w:color w:val="000000"/>
          <w:sz w:val="20"/>
        </w:rPr>
        <w:t>income (loss) of $101.3 million and ($27.4 million), respectively, (ii) net non-operating income (expense) of ($1,511.3 million) and $848.4 million, respectively, and (iii) income tax benefit (expense)</w:t>
      </w:r>
      <w:r>
        <w:rPr>
          <w:color w:val="000000"/>
        </w:rPr>
        <w:t xml:space="preserve"> </w:t>
      </w:r>
      <w:r>
        <w:rPr>
          <w:rFonts w:ascii="Times New Roman;sans-serif" w:hAnsi="Times New Roman;sans-serif"/>
          <w:b w:val="false"/>
          <w:color w:val="000000"/>
          <w:sz w:val="20"/>
        </w:rPr>
        <w:t>of ($0.9 million) and $1.7 million,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nine months ended September 30, 2024 and 2023, we reported net loss of $608.7 million and $402.1 million, respectively, consisting of (i) operating income (loss) of $143.0 million and ($39.2 million), respectively, (ii) net non-operating</w:t>
      </w:r>
      <w:r>
        <w:rPr>
          <w:color w:val="000000"/>
        </w:rPr>
        <w:t xml:space="preserve"> </w:t>
      </w:r>
      <w:r>
        <w:rPr>
          <w:rFonts w:ascii="Times New Roman;sans-serif" w:hAnsi="Times New Roman;sans-serif"/>
          <w:b w:val="false"/>
          <w:color w:val="000000"/>
          <w:sz w:val="20"/>
        </w:rPr>
        <w:t>expense of $663.2 million and $192.9 million, respectively, and (iii) income tax expense of $88.5 million and $170.0 million, respectively.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Due largely to the fact that we seek to maintain our debt at levels that provide for attractive equity returns, as discussed under </w:t>
      </w:r>
      <w:r>
        <w:rPr>
          <w:rFonts w:ascii="Times New Roman;sans-serif" w:hAnsi="Times New Roman;sans-serif"/>
          <w:b w:val="false"/>
          <w:i/>
          <w:color w:val="000000"/>
          <w:sz w:val="20"/>
        </w:rPr>
        <w:t xml:space="preserve">Material Changes in Financial Condition </w:t>
      </w:r>
      <w:r>
        <w:rPr>
          <w:color w:val="000000"/>
        </w:rPr>
        <w:t xml:space="preserve">— </w:t>
      </w:r>
      <w:r>
        <w:rPr>
          <w:rFonts w:ascii="Times New Roman;sans-serif" w:hAnsi="Times New Roman;sans-serif"/>
          <w:b w:val="false"/>
          <w:i/>
          <w:color w:val="000000"/>
          <w:sz w:val="20"/>
        </w:rPr>
        <w:t>Capitalization</w:t>
      </w:r>
      <w:r>
        <w:rPr>
          <w:color w:val="000000"/>
        </w:rPr>
        <w:t xml:space="preserve"> </w:t>
      </w:r>
      <w:r>
        <w:rPr>
          <w:rFonts w:ascii="Times New Roman;sans-serif" w:hAnsi="Times New Roman;sans-serif"/>
          <w:b w:val="false"/>
          <w:color w:val="000000"/>
          <w:sz w:val="20"/>
        </w:rPr>
        <w:t xml:space="preserve">below, we expect we will continue to report significant levels of interest expense for the foreseeable future. For information concerning our expectations with respect to trends that may affect certain aspects of our operating results in future periods, see the discussion under </w:t>
      </w:r>
      <w:r>
        <w:rPr>
          <w:rFonts w:ascii="Times New Roman;sans-serif" w:hAnsi="Times New Roman;sans-serif"/>
          <w:b w:val="false"/>
          <w:i/>
          <w:color w:val="000000"/>
          <w:sz w:val="20"/>
        </w:rPr>
        <w:t xml:space="preserve">Overview </w:t>
      </w:r>
      <w:r>
        <w:rPr>
          <w:rFonts w:ascii="Times New Roman;sans-serif" w:hAnsi="Times New Roman;sans-serif"/>
          <w:b w:val="false"/>
          <w:color w:val="000000"/>
          <w:sz w:val="20"/>
        </w:rPr>
        <w:t xml:space="preserve">above. For information concerning the reasons for changes in specific line items in our condensed consolidated statements of operations, see </w:t>
      </w:r>
      <w:r>
        <w:rPr>
          <w:rFonts w:ascii="Times New Roman;sans-serif" w:hAnsi="Times New Roman;sans-serif"/>
          <w:b w:val="false"/>
          <w:i/>
          <w:color w:val="000000"/>
          <w:sz w:val="20"/>
        </w:rPr>
        <w:t xml:space="preserve">Discussion and Analysis of our Reportable Segments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Discussion and Analysis of our Consolidated Operating Results </w:t>
      </w:r>
      <w:r>
        <w:rPr>
          <w:rFonts w:ascii="Times New Roman;sans-serif" w:hAnsi="Times New Roman;sans-serif"/>
          <w:b w:val="false"/>
          <w:color w:val="000000"/>
          <w:sz w:val="20"/>
        </w:rPr>
        <w:t>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Net earnings attributable to noncontrolling interests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Net</w:t>
      </w:r>
      <w:r>
        <w:rPr>
          <w:color w:val="000000"/>
        </w:rPr>
        <w:t xml:space="preserve"> </w:t>
      </w:r>
      <w:r>
        <w:rPr>
          <w:rFonts w:ascii="Times New Roman;sans-serif" w:hAnsi="Times New Roman;sans-serif"/>
          <w:b w:val="false"/>
          <w:color w:val="000000"/>
          <w:sz w:val="20"/>
        </w:rPr>
        <w:t>earnings attributable to noncontrolling interests was $23.2 million and $163.5 million during the three months ended September 30, 2024 and 2023, respectively, and $47.3 million and $159.7 million during the nine months ended September 30, 2024 and 2023, respectively, primarily attributable to certain noncontrolling interests at Telenet.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Material Changes in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Sources and Uses of Cash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Sunrise Holding,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and SMAs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the U.S. dollar equivalent balances of our consolidated cash and cash equivalents at September 30, 2024 are set forth in the following table (in millions):</w:t>
      </w:r>
    </w:p>
    <w:tbl>
      <w:tblPr>
        <w:tblW w:w="6808" w:type="dxa"/>
        <w:jc w:val="left"/>
        <w:tblInd w:w="0" w:type="dxa"/>
        <w:tblLayout w:type="fixed"/>
        <w:tblCellMar>
          <w:top w:w="28" w:type="dxa"/>
          <w:left w:w="28" w:type="dxa"/>
          <w:bottom w:w="28" w:type="dxa"/>
          <w:right w:w="28" w:type="dxa"/>
        </w:tblCellMar>
      </w:tblPr>
      <w:tblGrid>
        <w:gridCol w:w="1998"/>
        <w:gridCol w:w="1755"/>
        <w:gridCol w:w="1767"/>
        <w:gridCol w:w="211"/>
        <w:gridCol w:w="766"/>
        <w:gridCol w:w="311"/>
      </w:tblGrid>
      <w:tr>
        <w:trPr/>
        <w:tc>
          <w:tcPr>
            <w:tcW w:w="199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held by:</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and unrestricted subsidiaries:</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Unrestricted subsidiaries (b)</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Liberty Global and unrestricted subsidiaries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 groups (c):</w:t>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Sunrise Holding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 groups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held under SMAs (e)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investments held under SMAs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3,450.9 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_______________</w:t>
      </w:r>
    </w:p>
    <w:p>
      <w:pPr>
        <w:pStyle w:val="TextBody"/>
        <w:bidi w:val="0"/>
        <w:spacing w:before="0" w:after="0"/>
        <w:ind w:left="0" w:right="0" w:firstLine="9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the amount held by Liberty Global on a standalone basis.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(b)Represents the aggregate amount held by subsidiaries that are outside of our borrowing groups.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(c)Represents the aggregate amounts held by the parent entity and restricted subsidiaries of our borrowing groups.</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(d)The total cash and cash equivalents balance includes $1,289.0 million or 54.7% and $1,034.3 million or 43.9% denominated in euros and U.S. dollars,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(e)The balance of our investments held under SMAs is</w:t>
      </w:r>
      <w:r>
        <w:rPr>
          <w:color w:val="000000"/>
        </w:rPr>
        <w:t xml:space="preserve"> </w:t>
      </w:r>
      <w:r>
        <w:rPr>
          <w:rFonts w:ascii="Times New Roman;sans-serif" w:hAnsi="Times New Roman;sans-serif"/>
          <w:b w:val="false"/>
          <w:color w:val="000000"/>
          <w:sz w:val="20"/>
        </w:rPr>
        <w:t>held by unrestricted subsidiaries of Liberty Global and includes $1,067.8 million or 97.6%</w:t>
      </w:r>
      <w:r>
        <w:rPr>
          <w:color w:val="000000"/>
        </w:rPr>
        <w:t xml:space="preserve"> </w:t>
      </w:r>
      <w:r>
        <w:rPr>
          <w:rFonts w:ascii="Times New Roman;sans-serif" w:hAnsi="Times New Roman;sans-serif"/>
          <w:b w:val="false"/>
          <w:color w:val="000000"/>
          <w:sz w:val="20"/>
        </w:rPr>
        <w:t>denominated in U.S. dollars.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additional information regarding our cash and cash equivalents and investments held under SMAs, see the discussion under Part I, Item 3. </w:t>
      </w:r>
      <w:r>
        <w:rPr>
          <w:rFonts w:ascii="Times New Roman;sans-serif" w:hAnsi="Times New Roman;sans-serif"/>
          <w:b w:val="false"/>
          <w:i/>
          <w:color w:val="000000"/>
          <w:sz w:val="20"/>
        </w:rPr>
        <w:t>Quantitative and Qualitative Disclosures about Market Risk</w:t>
      </w:r>
      <w:r>
        <w:rPr>
          <w:color w:val="000000"/>
        </w:rPr>
        <w:t xml:space="preserve"> — </w:t>
      </w:r>
      <w:r>
        <w:rPr>
          <w:rFonts w:ascii="Times New Roman;sans-serif" w:hAnsi="Times New Roman;sans-serif"/>
          <w:b w:val="false"/>
          <w:i/>
          <w:color w:val="000000"/>
          <w:sz w:val="20"/>
        </w:rPr>
        <w:t xml:space="preserve">Cash and Investments </w:t>
      </w:r>
      <w:r>
        <w:rPr>
          <w:rFonts w:ascii="Times New Roman;sans-serif" w:hAnsi="Times New Roman;sans-serif"/>
          <w:b w:val="false"/>
          <w:color w:val="000000"/>
          <w:sz w:val="20"/>
        </w:rPr>
        <w:t>below.</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 of Liberty Global and its unrestricted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$8.2 million of cash held by Liberty Global and, subject to certain tax and legal considerations, the $1,253.6 million of aggregate cash and cash equivalents held by unrestricted subsidiaries, together with the $1,094.5 million of investments held under SMAs, represented available liquidity at the corporate level at September 30, 2024. Our remaining cash and cash equivalents of $1,094.6 million at September 30, 2024 were held by our borrowing groups, as set forth in the table above. As noted above, various factors may limit our ability to access the cash of our borrowing groups. For information regarding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limitations imposed by our subsidiaries’ debt instruments at September 30, 2024, see note 9 to our condensed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short-term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 distributions received from the VMO2 JV or the VodafoneZiggo JV, (iv) cash received with respect to transitional and other services provided to various third parties and (v) interest payments received with respect to the VodafoneZiggo JV Receivables.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Liberty Global and its unrestricted subsidiaries may also receive (i) proceeds in the form of dividend distributions or loan repayments from Liberty Global’s borrowing groups or affiliates (including amounts from the VMO2 JV or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our consolidated cash and cash equivalents include $2,348.2 million held by entities that are domiciled outside of Bermuda.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amount of cash we receive from our subsidiaries and affiliates to satisfy U.S. dollar-denominated liquidity requirements is impacted by fluctuations in exchange rates, particularly with regard to the translation of euros, British pound sterling and Swiss francs into U.S. dollars. In this regard, the strengthening (weakening) of the U.S. dollar against these currencies will result in decreases (increases) in the U.S. dollars received from the applicable subsidiaries and affiliates to fund the repurchase of our equity securities and other U.S. dollar-denominated liquidity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short- and long-term liquidity requirements include (i) corporate general and administrative expenses, (ii) interest payments on the Vodafone Collar Loan and (iii) principal payments on the Vodafone Collar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For additional information regarding our intention to repay certain third-party debt in connection with the Spin-off, see note 9 to our condensed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aggregate amount of our share repurchases, including direct acquisition costs, was $503.1 million. Under our current share repurchase program, we are authorized during 2024 to repurchase up to 10% of our total outstanding shares as of December 31, 2023. For additional information regarding our share repurchase programs, see note 12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 of borrowing groups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September 30, 2024, see note 9 to our condensed consolidated financial statements. The aforementioned sources of liquidity may be supplemented in certain cases by contributions and/or loans from Liberty Global and its unrestricted subsidiaries.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liquidity of our borrowing groups generally is used to fund (i) property and equipment additions, (ii) debt service requirements and (iii) income tax payments, as well as to settle certain obligations that are not included on our September 30, 2024 condensed consolidated balance sheet. In this regard, we have significant commitments related to (a) purchase obligations associated with CPE and certain service-related commitments, (b) programming, studio output and sports rights contracts and (c) certain operating costs associated with our networks. These obligations are expected to represent a significant liquidity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requirement of our borrowing groups, a significant portion of which is due over the next 12 to 24 months. For additional information regarding our commitments, see note 15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borrowing groups may also require liquidity in connection with (i) acquisitions and other investment opportunities, (ii) loans to Liberty Global or its unrestricted subsidiaries, (iii) capital distributions to Liberty Global and other equity owners or (iv) the satisfaction of contingent liabilities. No assurance can be given that any external funding would be available to our borrowing groups on favorable terms, or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additional information regarding our consolidated cash flows, see the discussion under </w:t>
      </w:r>
      <w:r>
        <w:rPr>
          <w:rFonts w:ascii="Times New Roman;sans-serif" w:hAnsi="Times New Roman;sans-serif"/>
          <w:b w:val="false"/>
          <w:i/>
          <w:color w:val="000000"/>
          <w:sz w:val="20"/>
        </w:rPr>
        <w:t xml:space="preserve">Condensed Consolidated Statements of Cash Flows </w:t>
      </w:r>
      <w:r>
        <w:rPr>
          <w:rFonts w:ascii="Times New Roman;sans-serif" w:hAnsi="Times New Roman;sans-serif"/>
          <w:b w:val="false"/>
          <w:color w:val="000000"/>
          <w:sz w:val="20"/>
        </w:rPr>
        <w:t>below.</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Capitalization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maintain our debt at levels that provide for attractive equity returns without assuming undue risk. In this regard, we generally seek to cause our operating subsidiaries to maintain their debt at levels that result in a consolidated debt balance (excluding the Vodafone Collar Loan and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Ltd.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September 30, 2024, each of our borrowing groups was in compliance with its debt covenants. In addition, we do not anticipate any instances of non-compliance with respect to the debt covenants of our borrowing groups that would have a material adverse impact on our liquidity during the next 12 months.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outstanding principal amount of our consolidated debt, together with our finance lease obligations, aggregated $16.0 billion, including $1.0 billion that is classified as current on our condensed consolidated balance sheet and $1.6 billion that is not due until 2030 or thereafter. All of our consolidated debt and finance lease obligations have been borrowed or incurred by our subsidiaries at September 30,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concerning our debt and finance lease obligations, see notes 9 and 10, respectively, to our condensed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Condensed Consolidated Statements of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 xml:space="preserve">Our cash flows are subject to significant variations due to FX.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Summary.</w:t>
      </w:r>
      <w:r>
        <w:rPr>
          <w:color w:val="000000"/>
        </w:rPr>
        <w:t xml:space="preserve"> </w:t>
      </w:r>
      <w:r>
        <w:rPr>
          <w:rFonts w:ascii="Times New Roman;sans-serif" w:hAnsi="Times New Roman;sans-serif"/>
          <w:b w:val="false"/>
          <w:color w:val="000000"/>
          <w:sz w:val="20"/>
        </w:rPr>
        <w:t>The condensed consolidated statements of cash flows for the nine months ended September 30, 2024 and 2023 are summarized as follows:</w:t>
      </w:r>
    </w:p>
    <w:tbl>
      <w:tblPr>
        <w:tblW w:w="10205" w:type="dxa"/>
        <w:jc w:val="left"/>
        <w:tblInd w:w="0" w:type="dxa"/>
        <w:tblLayout w:type="fixed"/>
        <w:tblCellMar>
          <w:top w:w="28" w:type="dxa"/>
          <w:left w:w="28" w:type="dxa"/>
          <w:bottom w:w="28" w:type="dxa"/>
          <w:right w:w="28" w:type="dxa"/>
        </w:tblCellMar>
      </w:tblPr>
      <w:tblGrid>
        <w:gridCol w:w="2319"/>
        <w:gridCol w:w="2036"/>
        <w:gridCol w:w="2042"/>
        <w:gridCol w:w="211"/>
        <w:gridCol w:w="766"/>
        <w:gridCol w:w="109"/>
        <w:gridCol w:w="109"/>
        <w:gridCol w:w="109"/>
        <w:gridCol w:w="109"/>
        <w:gridCol w:w="211"/>
        <w:gridCol w:w="766"/>
        <w:gridCol w:w="109"/>
        <w:gridCol w:w="109"/>
        <w:gridCol w:w="109"/>
        <w:gridCol w:w="109"/>
        <w:gridCol w:w="211"/>
        <w:gridCol w:w="616"/>
        <w:gridCol w:w="155"/>
      </w:tblGrid>
      <w:tr>
        <w:trPr/>
        <w:tc>
          <w:tcPr>
            <w:tcW w:w="231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investing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financing activities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 and restricted cash</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Operating Activities.</w:t>
      </w:r>
      <w:r>
        <w:rPr>
          <w:color w:val="000000"/>
        </w:rPr>
        <w:t xml:space="preserve"> </w:t>
      </w:r>
      <w:r>
        <w:rPr>
          <w:rFonts w:ascii="Times New Roman;sans-serif" w:hAnsi="Times New Roman;sans-serif"/>
          <w:b w:val="false"/>
          <w:color w:val="000000"/>
          <w:sz w:val="20"/>
        </w:rPr>
        <w:t>The decrease in net cash provided by operating activities is primarily attributable to the net effect of (i) a decrease in cash provided by our Adjusted EBITDA and related working capital items, (ii) a decrease in cash provided due to higher payments of interest, (iii) an increase in cash provided due to higher receipts of interest and (iv) an increase in cash provided due to higher net cash receipts related to derivative instruments. Consolidated Adjusted EBITDA is a non-GAAP measure, which investors should view as a supplement to, and not a substitute for, GAAP measures of performance included in our condensed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Investing Activities. </w:t>
      </w:r>
      <w:r>
        <w:rPr>
          <w:rFonts w:ascii="Times New Roman;sans-serif" w:hAnsi="Times New Roman;sans-serif"/>
          <w:b w:val="false"/>
          <w:color w:val="000000"/>
          <w:sz w:val="20"/>
        </w:rPr>
        <w:t xml:space="preserve">The change in net cash provided (used) by investing activities is primarily attributable to the net effect of (i) an increase in cash of $1,579.7 million associated with (a) lower net cash paid for investments primarily related to our investment in Vodafone in 2023 and (b) higher net cash received from the sale of our investments held under SMAs, (ii) a decrease in cash of $815.2 million due to lower dividend distributions received from the VMO2 JV, (iii) an increase in cash of $411.7 million in connection with the sale of our investment in All3Media during the second quarter of 2024 and (iv) an increase in cash of $100.1 million associated with lower net cash paid for acquisitions.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w:t>
      </w:r>
      <w:r>
        <w:rPr>
          <w:color w:val="000000"/>
        </w:rPr>
        <w:t xml:space="preserve"> </w:t>
      </w:r>
      <w:r>
        <w:rPr>
          <w:rFonts w:ascii="Times New Roman;sans-serif" w:hAnsi="Times New Roman;sans-serif"/>
          <w:b w:val="false"/>
          <w:color w:val="000000"/>
          <w:sz w:val="20"/>
        </w:rPr>
        <w:t>(i) our capital expenditures as reported in our condensed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16 to our condensed consolidated financial statements. A reconciliation of our consolidated property and equipment additions to our consolidated capital expenditures, as reported in our condensed consolidated statements of cash flows, is set forth below:</w:t>
      </w:r>
    </w:p>
    <w:tbl>
      <w:tblPr>
        <w:tblW w:w="8214" w:type="dxa"/>
        <w:jc w:val="left"/>
        <w:tblInd w:w="0" w:type="dxa"/>
        <w:tblLayout w:type="fixed"/>
        <w:tblCellMar>
          <w:top w:w="28" w:type="dxa"/>
          <w:left w:w="28" w:type="dxa"/>
          <w:bottom w:w="28" w:type="dxa"/>
          <w:right w:w="28" w:type="dxa"/>
        </w:tblCellMar>
      </w:tblPr>
      <w:tblGrid>
        <w:gridCol w:w="2054"/>
        <w:gridCol w:w="1802"/>
        <w:gridCol w:w="1814"/>
        <w:gridCol w:w="211"/>
        <w:gridCol w:w="766"/>
        <w:gridCol w:w="109"/>
        <w:gridCol w:w="109"/>
        <w:gridCol w:w="109"/>
        <w:gridCol w:w="109"/>
        <w:gridCol w:w="211"/>
        <w:gridCol w:w="766"/>
        <w:gridCol w:w="154"/>
      </w:tblGrid>
      <w:tr>
        <w:trPr/>
        <w:tc>
          <w:tcPr>
            <w:tcW w:w="205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additions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under capital-related vendor financing arrangements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under finance leases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current liabilities related to capital expenditures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our property and equipment additions during the nine months ended September 30, 2024, as compared to the corresponding period in 2023, is due to (i) an increase due to FX and (ii) an increase in local currency expenditures of our subsidiaries due to the net effect of (a) an increase in new build and upgrade projects, (b) a decrease in expenditures to support new customer products and operational efficiency initiatives, (c) a decrease in expenditures for the purchase and installation of CPE and (d) an increase in baseline expenditures, including network improvements and expenditures for property and facilities and information technology systems.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The increase in net cash used by financing activities is primarily attributable to the net effect of (i) an increase in cash used of $2,100.4 million due to higher net repayments of debt, including with respect to our 2023 borrowings related to (a) the Vodafone Collar Loan and (b) the Telenet Takeover Bid, (ii) a decrease in cash used of $872.9 million due to the acquisition of shares in connection with the Telenet Takeover Bid in 2023, (iii) a decrease in cash used of $621.2 million due to lower repurchases of Liberty Global common shares, (iv) a decrease in cash used of $155.7 million due to lower net repayments of vendor financing and (v) a decrease in cash used of $79.7 million due to higher net cash receipts related to derivatives.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Adjusted Free Cash Flow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free cash flow as net cash provided by operating activities,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Net cash provided by operating activities includes cash paid for third-party costs directly associated with successful and unsuccessful acquisitions and dispositions of $7.6 million and $23.8 million during the nine months ended September 30, 2024 and 2023,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details of our adjusted free cash flow:</w:t>
      </w:r>
    </w:p>
    <w:tbl>
      <w:tblPr>
        <w:tblW w:w="7358" w:type="dxa"/>
        <w:jc w:val="left"/>
        <w:tblInd w:w="0" w:type="dxa"/>
        <w:tblLayout w:type="fixed"/>
        <w:tblCellMar>
          <w:top w:w="28" w:type="dxa"/>
          <w:left w:w="28" w:type="dxa"/>
          <w:bottom w:w="28" w:type="dxa"/>
          <w:right w:w="28" w:type="dxa"/>
        </w:tblCellMar>
      </w:tblPr>
      <w:tblGrid>
        <w:gridCol w:w="1743"/>
        <w:gridCol w:w="1533"/>
        <w:gridCol w:w="1538"/>
        <w:gridCol w:w="211"/>
        <w:gridCol w:w="766"/>
        <w:gridCol w:w="109"/>
        <w:gridCol w:w="109"/>
        <w:gridCol w:w="109"/>
        <w:gridCol w:w="109"/>
        <w:gridCol w:w="211"/>
        <w:gridCol w:w="766"/>
        <w:gridCol w:w="154"/>
      </w:tblGrid>
      <w:tr>
        <w:trPr/>
        <w:tc>
          <w:tcPr>
            <w:tcW w:w="174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Operating-related vendor financing additions (a)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capital expenditures,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operating-related vendor financing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capital-related vendor financing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ans-serif" w:hAnsi="Times New Roman;sans-serif"/>
          <w:b/>
          <w:i/>
          <w:color w:val="000000"/>
          <w:sz w:val="20"/>
        </w:rPr>
        <w:t>General</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information in this section should be read in conjunction with the more complete discussion that appears under Part II, Item 7A.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 our 2023 10-K. The following discussion updates selected numerical information to September 30,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convenience translations into U.S. dollars are calculated as of September 30,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Cash and Investments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September 30, 2024,</w:t>
      </w:r>
      <w:r>
        <w:rPr>
          <w:color w:val="000000"/>
        </w:rPr>
        <w:t xml:space="preserve"> </w:t>
      </w:r>
      <w:r>
        <w:rPr>
          <w:rFonts w:ascii="Times New Roman;sans-serif" w:hAnsi="Times New Roman;sans-serif"/>
          <w:b w:val="false"/>
          <w:color w:val="000000"/>
          <w:sz w:val="20"/>
        </w:rPr>
        <w:t>$1,289.0 million or</w:t>
      </w:r>
      <w:r>
        <w:rPr>
          <w:color w:val="000000"/>
        </w:rPr>
        <w:t xml:space="preserve"> </w:t>
      </w:r>
      <w:r>
        <w:rPr>
          <w:rFonts w:ascii="Times New Roman;sans-serif" w:hAnsi="Times New Roman;sans-serif"/>
          <w:b w:val="false"/>
          <w:color w:val="000000"/>
          <w:sz w:val="20"/>
        </w:rPr>
        <w:t>54.7% and $1,034.3 million or 43.9%</w:t>
      </w:r>
      <w:r>
        <w:rPr>
          <w:color w:val="000000"/>
        </w:rPr>
        <w:t xml:space="preserve"> </w:t>
      </w:r>
      <w:r>
        <w:rPr>
          <w:rFonts w:ascii="Times New Roman;sans-serif" w:hAnsi="Times New Roman;sans-serif"/>
          <w:b w:val="false"/>
          <w:color w:val="000000"/>
          <w:sz w:val="20"/>
        </w:rPr>
        <w:t>of our consolidated cash balance was denominated in euros and U.S. dollars, respectively, and</w:t>
      </w:r>
      <w:r>
        <w:rPr>
          <w:color w:val="000000"/>
        </w:rPr>
        <w:t xml:space="preserve"> </w:t>
      </w:r>
      <w:r>
        <w:rPr>
          <w:rFonts w:ascii="Times New Roman;sans-serif" w:hAnsi="Times New Roman;sans-serif"/>
          <w:b w:val="false"/>
          <w:color w:val="000000"/>
          <w:sz w:val="20"/>
        </w:rPr>
        <w:t>$1,067.8 million or 97.6% of our consolidated balance of investments held under SMAs was denominated in U.S. dollars.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price fluctuations related to our investment in Vodafone shares, which had an aggregate value of $1,342.5 million at September 30, 2024. Our exposure to market risk is limited for our Vodafone shares, all which are held through the Vodafone Collar. For information regarding the Vodafone Collar, Vodafone Collar Loan and our investment in Vodafone shares, see note 5 to our condensed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relationships between the primary currencies of the countries in which we operate and the U.S. dollar, which is our reporting currency, are shown below, per one U.S. dollar: </w:t>
      </w:r>
    </w:p>
    <w:tbl>
      <w:tblPr>
        <w:tblW w:w="4643" w:type="dxa"/>
        <w:jc w:val="left"/>
        <w:tblInd w:w="0" w:type="dxa"/>
        <w:tblLayout w:type="fixed"/>
        <w:tblCellMar>
          <w:top w:w="28" w:type="dxa"/>
          <w:left w:w="28" w:type="dxa"/>
          <w:bottom w:w="28" w:type="dxa"/>
          <w:right w:w="28" w:type="dxa"/>
        </w:tblCellMar>
      </w:tblPr>
      <w:tblGrid>
        <w:gridCol w:w="686"/>
        <w:gridCol w:w="607"/>
        <w:gridCol w:w="611"/>
        <w:gridCol w:w="399"/>
        <w:gridCol w:w="399"/>
        <w:gridCol w:w="401"/>
        <w:gridCol w:w="109"/>
        <w:gridCol w:w="109"/>
        <w:gridCol w:w="109"/>
        <w:gridCol w:w="360"/>
        <w:gridCol w:w="361"/>
        <w:gridCol w:w="492"/>
      </w:tblGrid>
      <w:tr>
        <w:trPr/>
        <w:tc>
          <w:tcPr>
            <w:tcW w:w="68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Spot rates: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0.8970 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0.9038 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franc</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0.8445 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0.8392 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sterling</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0.7462 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0.7835 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Polish zloty</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tbl>
      <w:tblPr>
        <w:tblW w:w="7003" w:type="dxa"/>
        <w:jc w:val="left"/>
        <w:tblInd w:w="0" w:type="dxa"/>
        <w:tblLayout w:type="fixed"/>
        <w:tblCellMar>
          <w:top w:w="28" w:type="dxa"/>
          <w:left w:w="28" w:type="dxa"/>
          <w:bottom w:w="28" w:type="dxa"/>
          <w:right w:w="28" w:type="dxa"/>
        </w:tblCellMar>
      </w:tblPr>
      <w:tblGrid>
        <w:gridCol w:w="690"/>
        <w:gridCol w:w="606"/>
        <w:gridCol w:w="609"/>
        <w:gridCol w:w="379"/>
        <w:gridCol w:w="342"/>
        <w:gridCol w:w="188"/>
        <w:gridCol w:w="188"/>
        <w:gridCol w:w="188"/>
        <w:gridCol w:w="188"/>
        <w:gridCol w:w="379"/>
        <w:gridCol w:w="342"/>
        <w:gridCol w:w="188"/>
        <w:gridCol w:w="109"/>
        <w:gridCol w:w="109"/>
        <w:gridCol w:w="109"/>
        <w:gridCol w:w="360"/>
        <w:gridCol w:w="361"/>
        <w:gridCol w:w="175"/>
        <w:gridCol w:w="175"/>
        <w:gridCol w:w="175"/>
        <w:gridCol w:w="175"/>
        <w:gridCol w:w="360"/>
        <w:gridCol w:w="361"/>
        <w:gridCol w:w="247"/>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rates:</w:t>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0.9192 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0.9232 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franc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0.8657 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0.8835 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0.9025 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sterling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0.7689 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0.8039 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Polish zloty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Inflation and Foreign Investment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Interest Rate Risks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changes in interest rates primarily as a result of our borrowing activities, which include fixed-rate and variable-rate borrowings by our borrowing groups. Our primary exposure to variable-rate debt is through the EURIBOR-indexed and Term SOFR-indexed debt of our borrowing groups and the variable-rate debt of certain of our other subsidiaries.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 upon notional principal amount. From time to time, we also use interest rate cap, floor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significant changes in the benchmark interest rates used to set floating rates on our debt and derivative instruments. ICE Benchmark Administration (the entity that administers LIBOR) ceased to publish CHF and GBP LIBOR rates after December 31, 2021, and it ceased to publish USD LIBOR rates after June 30, 2023. The methodology for EURIBOR has been reformed and EURIBOR has been granted regulatory approval to continue to be used.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agreed amendments in respect of all of our debt and derivative instruments to replace the ceased rates. For USD, these reference the Secured Overnight Financing Rate administered by the Federal Reserve Bank of New York or Term SOFR administered by CME Group Benchmark Administration Limited. For CHF, these reference the Swiss Average Rate Overnight administered by the SIX Swiss Exchange. For GBP, these reference the Sterling Overnight Index Average administered by the Bank of England.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Weighted Average Variable Interest Rate. </w:t>
      </w:r>
      <w:r>
        <w:rPr>
          <w:rFonts w:ascii="Times New Roman;sans-serif" w:hAnsi="Times New Roman;sans-serif"/>
          <w:b w:val="false"/>
          <w:color w:val="000000"/>
          <w:sz w:val="20"/>
        </w:rPr>
        <w:t xml:space="preserve">At September 30, 2024, the outstanding principal amount of our variable-rate indebtedness aggregated $10.4 billion, and the weighted average interest rate (including margin) on such variable-rate indebtedness was approximately 6.6%,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$52.0 million. As discussed above and in note 6 to our condensed consolidated financial statements, we use interest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Sensitivity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Sunrise Holding Cross-currency and Interest Rate Derivative Contracts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Holding all other factors constant, at September 30, 2024:</w:t>
      </w:r>
    </w:p>
    <w:p>
      <w:pPr>
        <w:pStyle w:val="TextBody"/>
        <w:bidi w:val="0"/>
        <w:spacing w:before="0" w:after="0"/>
        <w:ind w:left="0" w:right="0" w:firstLine="36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(i)an instantaneous increase (decrease) of 10% in the value of the Swiss franc relative to the U.S. dollar would have decreased (increased) the aggregate fair value of the Sunrise Holding cross-currency and interest rate derivative contracts by approximately €433 million</w:t>
      </w:r>
      <w:r>
        <w:rPr>
          <w:color w:val="000000"/>
        </w:rPr>
        <w:t xml:space="preserve"> </w:t>
      </w:r>
      <w:r>
        <w:rPr>
          <w:rFonts w:ascii="Times New Roman;sans-serif" w:hAnsi="Times New Roman;sans-serif"/>
          <w:b w:val="false"/>
          <w:color w:val="000000"/>
          <w:sz w:val="20"/>
        </w:rPr>
        <w:t>($483 million);</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(ii)an instantaneous increase (decrease) of 10% in the value of the Swiss franc relative to the euro would have decreased (increased) the aggregate fair value of the Sunrise Holding cross-currency and interest rate derivative contracts by approximately</w:t>
      </w:r>
      <w:r>
        <w:rPr>
          <w:color w:val="000000"/>
        </w:rPr>
        <w:t xml:space="preserve"> €</w:t>
      </w:r>
      <w:r>
        <w:rPr>
          <w:rFonts w:ascii="Times New Roman;sans-serif" w:hAnsi="Times New Roman;sans-serif"/>
          <w:b w:val="false"/>
          <w:color w:val="000000"/>
          <w:sz w:val="20"/>
        </w:rPr>
        <w:t>252 million</w:t>
      </w:r>
      <w:r>
        <w:rPr>
          <w:color w:val="000000"/>
        </w:rPr>
        <w:t xml:space="preserve"> </w:t>
      </w:r>
      <w:r>
        <w:rPr>
          <w:rFonts w:ascii="Times New Roman;sans-serif" w:hAnsi="Times New Roman;sans-serif"/>
          <w:b w:val="false"/>
          <w:color w:val="000000"/>
          <w:sz w:val="20"/>
        </w:rPr>
        <w:t>($281 million); and</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(iii)an instantaneous increase (decrease) in the relevant base rate of 50 basis points (0.50%) would have increased (decreased) the aggregate fair value of the Sunrise Holding cross-currency and interest rate derivative contracts by approximately €83 million</w:t>
      </w:r>
      <w:r>
        <w:rPr>
          <w:color w:val="000000"/>
        </w:rPr>
        <w:t xml:space="preserve"> </w:t>
      </w:r>
      <w:r>
        <w:rPr>
          <w:rFonts w:ascii="Times New Roman;sans-serif" w:hAnsi="Times New Roman;sans-serif"/>
          <w:b w:val="false"/>
          <w:color w:val="000000"/>
          <w:sz w:val="20"/>
        </w:rPr>
        <w:t>($92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Telenet Cross-currency and Interest Rate Derivative Contracts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Holding all other factors constant, at September 30, 2024:</w:t>
      </w:r>
    </w:p>
    <w:p>
      <w:pPr>
        <w:pStyle w:val="TextBody"/>
        <w:bidi w:val="0"/>
        <w:spacing w:before="0" w:after="0"/>
        <w:ind w:left="0" w:right="0" w:firstLine="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(i)an instantaneous increase (decrease) of 10% in the value of the euro relative to the U.S. dollar would have decreased (increased) the aggregate fair value of the Telenet cross-currency and interest rate derivative contracts by approximately €300 million ($335 million);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(ii)an instantaneous increase (decrease) in the relevant base rate of 50 basis points (0.50%) would have increased (decreased) the aggregate fair value of the Telenet cross-currency and interest rate derivative contracts by approximately €79 million ($88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Vodafone Collar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Holding all other factors constant, at September 30, 2024, (i) an instantaneous increase of 10% in the per share market price of Vodafone’s ordinary shares would have decreased the fair value of the Vodafone Collar by approximately €74 million ($82 million) and (ii) an instantaneous decrease of 10% in the per share market price of Vodafone’s ordinary shares would have increased the fair value of the Vodafone Collar by approximately €78 million ($87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Projected Cash Flows Associated with Derivative Instruments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the projected cash flows associated with our derivative instruments. The U.S. dollar equivalents presented below are based on interest rate projections and exchange rates as of September 30, 2024. These amounts are presented for illustrative purposes only and will likely differ from the actual cash payments or receipts required in future periods. For additional information regarding our derivative instruments, see note 6 to our condensed consolidated financial statements. </w:t>
      </w:r>
    </w:p>
    <w:tbl>
      <w:tblPr>
        <w:tblW w:w="10735" w:type="dxa"/>
        <w:jc w:val="left"/>
        <w:tblInd w:w="0" w:type="dxa"/>
        <w:tblLayout w:type="fixed"/>
        <w:tblCellMar>
          <w:top w:w="28" w:type="dxa"/>
          <w:left w:w="28" w:type="dxa"/>
          <w:bottom w:w="28" w:type="dxa"/>
          <w:right w:w="28" w:type="dxa"/>
        </w:tblCellMar>
      </w:tblPr>
      <w:tblGrid>
        <w:gridCol w:w="982"/>
        <w:gridCol w:w="244"/>
        <w:gridCol w:w="245"/>
        <w:gridCol w:w="211"/>
        <w:gridCol w:w="641"/>
        <w:gridCol w:w="109"/>
        <w:gridCol w:w="109"/>
        <w:gridCol w:w="109"/>
        <w:gridCol w:w="109"/>
        <w:gridCol w:w="211"/>
        <w:gridCol w:w="616"/>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16"/>
        <w:gridCol w:w="109"/>
        <w:gridCol w:w="109"/>
        <w:gridCol w:w="511"/>
        <w:gridCol w:w="109"/>
        <w:gridCol w:w="109"/>
        <w:gridCol w:w="109"/>
        <w:gridCol w:w="211"/>
        <w:gridCol w:w="631"/>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(receipts) due during:</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323" w:type="dxa"/>
            <w:gridSpan w:val="6"/>
            <w:tcBorders/>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Remainder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of 2024</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c>
          <w:tcPr>
            <w:tcW w:w="109" w:type="dxa"/>
            <w:tcBorders/>
            <w:vAlign w:val="center"/>
          </w:tcPr>
          <w:p>
            <w:pPr>
              <w:pStyle w:val="TableContents"/>
              <w:bidi w:val="0"/>
              <w:spacing w:before="0" w:after="283"/>
              <w:jc w:val="left"/>
              <w:rPr>
                <w:sz w:val="4"/>
                <w:szCs w:val="4"/>
              </w:rPr>
            </w:pPr>
            <w:r>
              <w:rPr>
                <w:sz w:val="4"/>
                <w:szCs w:val="4"/>
              </w:rPr>
            </w:r>
          </w:p>
        </w:tc>
        <w:tc>
          <w:tcPr>
            <w:tcW w:w="51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41" w:type="dxa"/>
            <w:gridSpan w:val="3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323" w:type="dxa"/>
            <w:gridSpan w:val="6"/>
            <w:tcBorders/>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Projected derivative cash payments (receipts), net:</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Interest-related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Principal-related (b)</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(i) the cash flows of our interest rate cap, swaption, floor and swap contracts and (ii) the interest-related cash flows of our cross-currency and interest rate swap contracts.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(b)Includes the principal-related cash flows of our cross-currency swap contracts.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(c)Includes amounts related to our equity-related derivative instruments and foreign currency forward contracts. We may elect to use cash or the collective value of the related shares and Vodafone Collar to settle the Vodafone Collar Loan.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4.CONTROLS AND PROCEDURES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accordance with Rule 13a-15 of the Securities Exchange Act of 1934, as amended (the </w:t>
      </w:r>
      <w:r>
        <w:rPr>
          <w:rFonts w:ascii="Times New Roman;sans-serif" w:hAnsi="Times New Roman;sans-serif"/>
          <w:b/>
          <w:color w:val="000000"/>
          <w:sz w:val="20"/>
        </w:rPr>
        <w:t>Exchange Act</w:t>
      </w:r>
      <w:r>
        <w:rPr>
          <w:rFonts w:ascii="Times New Roman;sans-serif" w:hAnsi="Times New Roman;sans-serif"/>
          <w:b w:val="false"/>
          <w:color w:val="000000"/>
          <w:sz w:val="20"/>
        </w:rPr>
        <w:t xml:space="preserve">), we carried out an evaluation, under the supervision and with the participation of management, including our chief executive officer and chief financial officer (the </w:t>
      </w:r>
      <w:r>
        <w:rPr>
          <w:rFonts w:ascii="Times New Roman;sans-serif" w:hAnsi="Times New Roman;sans-serif"/>
          <w:b/>
          <w:color w:val="000000"/>
          <w:sz w:val="20"/>
        </w:rPr>
        <w:t>Executives</w:t>
      </w:r>
      <w:r>
        <w:rPr>
          <w:rFonts w:ascii="Times New Roman;sans-serif" w:hAnsi="Times New Roman;sans-serif"/>
          <w:b w:val="false"/>
          <w:color w:val="000000"/>
          <w:sz w:val="20"/>
        </w:rPr>
        <w:t>), of the effectiveness of our disclosure controls and procedures as of September 30, 2024.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September 30, 2024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Controls over Financial Reporting</w:t>
      </w:r>
    </w:p>
    <w:p>
      <w:pPr>
        <w:pStyle w:val="TextBody"/>
        <w:bidi w:val="0"/>
        <w:spacing w:before="0" w:after="0"/>
        <w:ind w:left="0" w:right="0" w:firstLine="225"/>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before="0" w:after="0"/>
        <w:ind w:left="0" w:right="0" w:hanging="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subsidiaries and affiliates have become involved in litigation relating to claims arising out of their operations in the normal course of business. For additional information, see note 15 to our condensed consolidated financial statements in Part I of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color w:val="000000"/>
          <w:sz w:val="20"/>
        </w:rPr>
        <w:t>(c)</w:t>
      </w:r>
      <w:r>
        <w:rPr>
          <w:color w:val="000000"/>
        </w:rPr>
        <w:t>    </w:t>
      </w:r>
      <w:r>
        <w:rPr>
          <w:rFonts w:ascii="Times New Roman;sans-serif" w:hAnsi="Times New Roman;sans-serif"/>
          <w:b/>
          <w:i/>
          <w:color w:val="000000"/>
          <w:sz w:val="20"/>
        </w:rPr>
        <w:t>Issuer Purchases of Equity Securities</w:t>
      </w:r>
      <w:r>
        <w:rPr>
          <w:color w:val="000000"/>
        </w:rPr>
        <w:t xml:space="preserve"> </w:t>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402"/>
        <w:gridCol w:w="330"/>
        <w:gridCol w:w="332"/>
        <w:gridCol w:w="183"/>
        <w:gridCol w:w="183"/>
        <w:gridCol w:w="183"/>
        <w:gridCol w:w="564"/>
        <w:gridCol w:w="441"/>
        <w:gridCol w:w="437"/>
        <w:gridCol w:w="109"/>
        <w:gridCol w:w="109"/>
        <w:gridCol w:w="109"/>
        <w:gridCol w:w="275"/>
        <w:gridCol w:w="806"/>
        <w:gridCol w:w="144"/>
        <w:gridCol w:w="109"/>
        <w:gridCol w:w="109"/>
        <w:gridCol w:w="109"/>
        <w:gridCol w:w="846"/>
        <w:gridCol w:w="793"/>
        <w:gridCol w:w="794"/>
        <w:gridCol w:w="109"/>
        <w:gridCol w:w="109"/>
        <w:gridCol w:w="109"/>
        <w:gridCol w:w="733"/>
        <w:gridCol w:w="733"/>
        <w:gridCol w:w="1045"/>
      </w:tblGrid>
      <w:tr>
        <w:trPr/>
        <w:tc>
          <w:tcPr>
            <w:tcW w:w="40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w:t>
              <w:br/>
              <w:t>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w:t>
              <w:br/>
              <w:t>paid per  share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plans or programs</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 through July 31, 2024:</w:t>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6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2,971,136 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2,971,136 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6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 through August 31, 2024:</w:t>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6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2,996,000 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2,996,000 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6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2024 through September 30, 2024:</w:t>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6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2,415,644 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2,415,644 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6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 July 1, 2024 through September 30, 2024:</w:t>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6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8,382,780 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8,382,780 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bl>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(a)Average price paid per share includes direct acquisition costs.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(b)Under our current share repurchase program, we are authorized during 2024 to repurchase up to 10% of our total outstanding shares as of December 31, 2023. As of September 30, 2024, the remaining number of our Class A and/or Class C common shares that we are authorized to repurchase during 2024 was 11.3 million. Based on the average of the respective closing share prices as of September 30, 2024, this would equate to additional share repurchases during the remainder of 2024 of approximately $241.4 million. However, the actual U.S. dollar amount of our share repurchases during the remainder of 2024 will be determined by the actual transaction date share prices during the year and could differ significantly from this amount. For additional information, see note 12 to our condensed consolidated financial statements in Part I of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6.</w:t>
      </w:r>
      <w:r>
        <w:rPr>
          <w:rFonts w:ascii="Times New Roman;sans-serif" w:hAnsi="Times New Roman;sans-serif"/>
          <w:b/>
          <w:color w:val="000000"/>
          <w:sz w:val="20"/>
        </w:rPr>
        <w:t xml:space="preserve">EXHIBITS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Listed below are the exhibits filed as part of this Quarterly Report (according to the number assigned to them in Item 601 of Regulation S-K):</w:t>
      </w:r>
    </w:p>
    <w:tbl>
      <w:tblPr>
        <w:tblW w:w="10205" w:type="dxa"/>
        <w:jc w:val="left"/>
        <w:tblInd w:w="0" w:type="dxa"/>
        <w:tblLayout w:type="fixed"/>
        <w:tblCellMar>
          <w:top w:w="28" w:type="dxa"/>
          <w:left w:w="28" w:type="dxa"/>
          <w:bottom w:w="28" w:type="dxa"/>
          <w:right w:w="28" w:type="dxa"/>
        </w:tblCellMar>
      </w:tblPr>
      <w:tblGrid>
        <w:gridCol w:w="475"/>
        <w:gridCol w:w="416"/>
        <w:gridCol w:w="416"/>
        <w:gridCol w:w="416"/>
        <w:gridCol w:w="416"/>
        <w:gridCol w:w="416"/>
        <w:gridCol w:w="2497"/>
        <w:gridCol w:w="2497"/>
        <w:gridCol w:w="2496"/>
        <w:gridCol w:w="160"/>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 — Rule 13a-14(a)/15d-14(a) Certification:</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gq32024ex311.htm">
              <w:r>
                <w:rPr>
                  <w:rStyle w:val="InternetLink"/>
                  <w:rFonts w:ascii="Times New Roman;sans-serif" w:hAnsi="Times New Roman;sans-serif"/>
                  <w:b w:val="false"/>
                  <w:color w:val="0000FF"/>
                  <w:sz w:val="20"/>
                  <w:u w:val="single"/>
                </w:rPr>
                <w:t>Certification of President and Chief Executive Officer*</w:t>
              </w:r>
            </w:hyperlink>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gq32024ex312.htm">
              <w:r>
                <w:rPr>
                  <w:rStyle w:val="InternetLink"/>
                  <w:rFonts w:ascii="Times New Roman;sans-serif" w:hAnsi="Times New Roman;sans-serif"/>
                  <w:b w:val="false"/>
                  <w:color w:val="0000FF"/>
                  <w:sz w:val="20"/>
                  <w:u w:val="single"/>
                </w:rPr>
                <w:t>Certification of Executive Vice President and Chief Financial Officer*</w:t>
              </w:r>
            </w:hyperlink>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lgq32024ex32.htm">
              <w:r>
                <w:rPr>
                  <w:rStyle w:val="InternetLink"/>
                  <w:rFonts w:ascii="Times New Roman;sans-serif" w:hAnsi="Times New Roman;sans-serif"/>
                  <w:b w:val="false"/>
                  <w:color w:val="0000FF"/>
                  <w:sz w:val="20"/>
                  <w:u w:val="single"/>
                </w:rPr>
                <w:t>32 — Section 1350 Certification**</w:t>
              </w:r>
            </w:hyperlink>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tbl>
      <w:tblPr>
        <w:tblW w:w="2052" w:type="dxa"/>
        <w:jc w:val="left"/>
        <w:tblInd w:w="0" w:type="dxa"/>
        <w:tblLayout w:type="fixed"/>
        <w:tblCellMar>
          <w:top w:w="28" w:type="dxa"/>
          <w:left w:w="28" w:type="dxa"/>
          <w:bottom w:w="28" w:type="dxa"/>
          <w:right w:w="28" w:type="dxa"/>
        </w:tblCellMar>
      </w:tblPr>
      <w:tblGrid>
        <w:gridCol w:w="124"/>
        <w:gridCol w:w="109"/>
        <w:gridCol w:w="109"/>
        <w:gridCol w:w="499"/>
        <w:gridCol w:w="499"/>
        <w:gridCol w:w="7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5741" w:type="dxa"/>
        <w:jc w:val="left"/>
        <w:tblInd w:w="0" w:type="dxa"/>
        <w:tblLayout w:type="fixed"/>
        <w:tblCellMar>
          <w:top w:w="28" w:type="dxa"/>
          <w:left w:w="28" w:type="dxa"/>
          <w:bottom w:w="28" w:type="dxa"/>
          <w:right w:w="28" w:type="dxa"/>
        </w:tblCellMar>
      </w:tblPr>
      <w:tblGrid>
        <w:gridCol w:w="238"/>
        <w:gridCol w:w="210"/>
        <w:gridCol w:w="212"/>
        <w:gridCol w:w="504"/>
        <w:gridCol w:w="504"/>
        <w:gridCol w:w="506"/>
        <w:gridCol w:w="109"/>
        <w:gridCol w:w="109"/>
        <w:gridCol w:w="109"/>
        <w:gridCol w:w="946"/>
        <w:gridCol w:w="946"/>
        <w:gridCol w:w="134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LIBERTY GLOBAL LTD.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ans-serif" w:hAnsi="Times New Roman;sans-serif"/>
                <w:b w:val="false"/>
                <w:color w:val="000000"/>
                <w:sz w:val="20"/>
              </w:rPr>
              <w:t>/s/    M</w:t>
            </w:r>
            <w:r>
              <w:rPr>
                <w:rFonts w:ascii="Times New Roman;sans-serif" w:hAnsi="Times New Roman;sans-serif"/>
                <w:b w:val="false"/>
                <w:color w:val="000000"/>
                <w:sz w:val="16"/>
              </w:rPr>
              <w:t>ICHAEL</w:t>
            </w:r>
            <w:r>
              <w:rPr>
                <w:color w:val="000000"/>
              </w:rPr>
              <w:t xml:space="preserve"> </w:t>
            </w:r>
            <w:r>
              <w:rPr>
                <w:rFonts w:ascii="Times New Roman;sans-serif" w:hAnsi="Times New Roman;sans-serif"/>
                <w:b w:val="false"/>
                <w:color w:val="000000"/>
                <w:sz w:val="20"/>
              </w:rPr>
              <w:t>T. F</w:t>
            </w:r>
            <w:r>
              <w:rPr>
                <w:rFonts w:ascii="Times New Roman;sans-serif" w:hAnsi="Times New Roman;sans-serif"/>
                <w:b w:val="false"/>
                <w:color w:val="000000"/>
                <w:sz w:val="16"/>
              </w:rPr>
              <w:t>RIES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Michael T. Fries</w:t>
            </w:r>
          </w:p>
          <w:p>
            <w:pPr>
              <w:pStyle w:val="TableContents"/>
              <w:bidi w:val="0"/>
              <w:spacing w:lineRule="auto" w:line="240" w:before="0" w:after="20"/>
              <w:jc w:val="center"/>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ans-serif" w:hAnsi="Times New Roman;sans-serif"/>
                <w:b w:val="false"/>
                <w:color w:val="000000"/>
                <w:sz w:val="20"/>
              </w:rPr>
              <w:t>/s/    C</w:t>
            </w:r>
            <w:r>
              <w:rPr>
                <w:rFonts w:ascii="Times New Roman;sans-serif" w:hAnsi="Times New Roman;sans-serif"/>
                <w:b w:val="false"/>
                <w:color w:val="000000"/>
                <w:sz w:val="16"/>
              </w:rPr>
              <w:t>HARLES</w:t>
            </w:r>
            <w:r>
              <w:rPr>
                <w:color w:val="000000"/>
              </w:rPr>
              <w:t xml:space="preserve"> </w:t>
            </w:r>
            <w:r>
              <w:rPr>
                <w:rFonts w:ascii="Times New Roman;sans-serif" w:hAnsi="Times New Roman;sans-serif"/>
                <w:b w:val="false"/>
                <w:color w:val="000000"/>
                <w:sz w:val="20"/>
              </w:rPr>
              <w:t>H.R. B</w:t>
            </w:r>
            <w:r>
              <w:rPr>
                <w:rFonts w:ascii="Times New Roman;sans-serif" w:hAnsi="Times New Roman;sans-serif"/>
                <w:b w:val="false"/>
                <w:color w:val="000000"/>
                <w:sz w:val="16"/>
              </w:rPr>
              <w:t>RACKEN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Charles H.R. Bracken</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w:t>
            </w:r>
          </w:p>
          <w:p>
            <w:pPr>
              <w:pStyle w:val="TableContents"/>
              <w:bidi w:val="0"/>
              <w:spacing w:lineRule="auto" w:line="240" w:before="0" w:after="20"/>
              <w:jc w:val="center"/>
              <w:rPr>
                <w:rFonts w:ascii="Times New Roman;sans-serif" w:hAnsi="Times New Roman;sans-serif"/>
                <w:b w:val="false"/>
                <w:i/>
                <w:color w:val="000000"/>
                <w:sz w:val="20"/>
              </w:rPr>
            </w:pPr>
            <w:r>
              <w:rPr>
                <w:rFonts w:ascii="Times New Roman;sans-serif" w:hAnsi="Times New Roman;sans-serif"/>
                <w:b w:val="false"/>
                <w:i/>
                <w:color w:val="000000"/>
                <w:sz w:val="20"/>
              </w:rPr>
              <w:t>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24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both"/>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 Michael T. Fries, certify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Liberty Global Ltd.;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jc w:val="both"/>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Date: October 29, 2024</w:t>
      </w:r>
    </w:p>
    <w:tbl>
      <w:tblPr>
        <w:tblW w:w="3551" w:type="dxa"/>
        <w:jc w:val="center"/>
        <w:tblInd w:w="0" w:type="dxa"/>
        <w:tblLayout w:type="fixed"/>
        <w:tblCellMar>
          <w:top w:w="28" w:type="dxa"/>
          <w:left w:w="28" w:type="dxa"/>
          <w:bottom w:w="28" w:type="dxa"/>
          <w:right w:w="28" w:type="dxa"/>
        </w:tblCellMar>
      </w:tblPr>
      <w:tblGrid>
        <w:gridCol w:w="1151"/>
        <w:gridCol w:w="1007"/>
        <w:gridCol w:w="1021"/>
        <w:gridCol w:w="10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T. Fries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T. Fries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both"/>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 Charles H.R. Bracken, certify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Liberty Global Ltd.;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jc w:val="both"/>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Date: October 29, 2024</w:t>
      </w:r>
    </w:p>
    <w:tbl>
      <w:tblPr>
        <w:tblW w:w="4782" w:type="dxa"/>
        <w:jc w:val="center"/>
        <w:tblInd w:w="0" w:type="dxa"/>
        <w:tblLayout w:type="fixed"/>
        <w:tblCellMar>
          <w:top w:w="28" w:type="dxa"/>
          <w:left w:w="28" w:type="dxa"/>
          <w:bottom w:w="28" w:type="dxa"/>
          <w:right w:w="28" w:type="dxa"/>
        </w:tblCellMar>
      </w:tblPr>
      <w:tblGrid>
        <w:gridCol w:w="1590"/>
        <w:gridCol w:w="1398"/>
        <w:gridCol w:w="1422"/>
        <w:gridCol w:w="109"/>
        <w:gridCol w:w="109"/>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ind w:left="0" w:right="0" w:hanging="405"/>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H.R. Bracken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405"/>
              <w:jc w:val="center"/>
              <w:rPr>
                <w:rFonts w:ascii="Times New Roman;sans-serif" w:hAnsi="Times New Roman;sans-serif"/>
                <w:b w:val="false"/>
                <w:color w:val="000000"/>
                <w:sz w:val="20"/>
              </w:rPr>
            </w:pPr>
            <w:r>
              <w:rPr>
                <w:rFonts w:ascii="Times New Roman;sans-serif" w:hAnsi="Times New Roman;sans-serif"/>
                <w:b w:val="false"/>
                <w:color w:val="000000"/>
                <w:sz w:val="20"/>
              </w:rPr>
              <w:t>Charles H.R. Bracken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(Subsections (a) and (b) of Section 1350, Chapter 63 of Title 18, United States Code)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each of the undersigned officers of Liberty Global Ltd. (the "Company"), does hereby certify, to such officer's knowledge, that: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for the period ended September 30, 2024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September 30, 2024 and December 31, 2023, and for the three and nine months ended September 30, 2024 and 2023.</w:t>
      </w:r>
    </w:p>
    <w:p>
      <w:pPr>
        <w:pStyle w:val="TextBody"/>
        <w:bidi w:val="0"/>
        <w:spacing w:before="100" w:after="283"/>
        <w:jc w:val="both"/>
        <w:rPr/>
      </w:pPr>
      <w:r>
        <w:rPr/>
      </w:r>
    </w:p>
    <w:tbl>
      <w:tblPr>
        <w:tblW w:w="6554" w:type="dxa"/>
        <w:jc w:val="center"/>
        <w:tblInd w:w="0" w:type="dxa"/>
        <w:tblLayout w:type="fixed"/>
        <w:tblCellMar>
          <w:top w:w="28" w:type="dxa"/>
          <w:left w:w="28" w:type="dxa"/>
          <w:bottom w:w="28" w:type="dxa"/>
          <w:right w:w="28" w:type="dxa"/>
        </w:tblCellMar>
      </w:tblPr>
      <w:tblGrid>
        <w:gridCol w:w="765"/>
        <w:gridCol w:w="672"/>
        <w:gridCol w:w="678"/>
        <w:gridCol w:w="1296"/>
        <w:gridCol w:w="1296"/>
        <w:gridCol w:w="1847"/>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October 29, 2024</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T. Fries</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T. Fries</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October 29, 2024</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H.R. Bracken</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Charles H.R. Bracken</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38957</Words>
  <Characters>219295</Characters>
  <CharactersWithSpaces>254912</CharactersWithSpaces>
  <Paragraphs>6687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