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6995160" cy="6647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64718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DREW MARISA D</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1550 WEWATTA STREET, STE 1000</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Liberty Global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LBTY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9" w:lineRule="exact"/>
        <w:rPr>
          <w:sz w:val="24"/>
          <w:szCs w:val="24"/>
          <w:color w:val="auto"/>
        </w:rPr>
      </w:pPr>
    </w:p>
    <w:p>
      <w:pPr>
        <w:sectPr>
          <w:pgSz w:w="11900" w:h="16838" w:orient="portrait"/>
          <w:cols w:equalWidth="0" w:num="3">
            <w:col w:w="3180" w:space="720"/>
            <w:col w:w="3107" w:space="720"/>
            <w:col w:w="3353"/>
          </w:cols>
          <w:pgMar w:left="460" w:top="216" w:right="359" w:bottom="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DENVER</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CO</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80202</w:t>
            </w:r>
          </w:p>
        </w:tc>
      </w:tr>
      <w:tr>
        <w:trPr>
          <w:trHeight w:val="147"/>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40" w:space="16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73"/>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Shares</w:t>
            </w:r>
          </w:p>
        </w:tc>
        <w:tc>
          <w:tcPr>
            <w:tcW w:w="1840" w:type="dxa"/>
            <w:vAlign w:val="bottom"/>
            <w:gridSpan w:val="2"/>
          </w:tcPr>
          <w:p>
            <w:pPr>
              <w:jc w:val="center"/>
              <w:ind w:left="693"/>
              <w:spacing w:after="0"/>
              <w:rPr>
                <w:sz w:val="20"/>
                <w:szCs w:val="20"/>
                <w:color w:val="auto"/>
              </w:rPr>
            </w:pPr>
            <w:r>
              <w:rPr>
                <w:rFonts w:ascii="Times New Roman" w:cs="Times New Roman" w:eastAsia="Times New Roman" w:hAnsi="Times New Roman"/>
                <w:sz w:val="17"/>
                <w:szCs w:val="17"/>
                <w:color w:val="0000FF"/>
                <w:w w:val="98"/>
              </w:rPr>
              <w:t>06/23/2026</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right"/>
              <w:ind w:right="38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5,809</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0000FF"/>
              </w:rPr>
              <w:t>7,606</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Shares</w:t>
            </w:r>
          </w:p>
        </w:tc>
        <w:tc>
          <w:tcPr>
            <w:tcW w:w="1840" w:type="dxa"/>
            <w:vAlign w:val="bottom"/>
            <w:gridSpan w:val="2"/>
          </w:tcPr>
          <w:p>
            <w:pPr>
              <w:jc w:val="center"/>
              <w:ind w:left="693"/>
              <w:spacing w:after="0"/>
              <w:rPr>
                <w:sz w:val="20"/>
                <w:szCs w:val="20"/>
                <w:color w:val="auto"/>
              </w:rPr>
            </w:pPr>
            <w:r>
              <w:rPr>
                <w:rFonts w:ascii="Times New Roman" w:cs="Times New Roman" w:eastAsia="Times New Roman" w:hAnsi="Times New Roman"/>
                <w:sz w:val="17"/>
                <w:szCs w:val="17"/>
                <w:color w:val="0000FF"/>
                <w:w w:val="98"/>
              </w:rPr>
              <w:t>06/23/2026</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right"/>
              <w:ind w:right="38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5,809</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0000FF"/>
              </w:rPr>
              <w:t>9,398</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5,230</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80" w:type="dxa"/>
            <w:vAlign w:val="bottom"/>
          </w:tcPr>
          <w:p>
            <w:pPr>
              <w:spacing w:after="0"/>
              <w:rPr>
                <w:sz w:val="12"/>
                <w:szCs w:val="12"/>
                <w:color w:val="auto"/>
              </w:rPr>
            </w:pPr>
          </w:p>
        </w:tc>
        <w:tc>
          <w:tcPr>
            <w:tcW w:w="760" w:type="dxa"/>
            <w:vAlign w:val="bottom"/>
          </w:tcPr>
          <w:p>
            <w:pPr>
              <w:jc w:val="center"/>
              <w:ind w:right="259"/>
              <w:spacing w:after="0" w:line="141" w:lineRule="exact"/>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5,230</w:t>
            </w:r>
          </w:p>
        </w:tc>
        <w:tc>
          <w:tcPr>
            <w:tcW w:w="4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80" w:type="dxa"/>
            <w:vAlign w:val="bottom"/>
          </w:tcPr>
          <w:p>
            <w:pPr>
              <w:jc w:val="center"/>
              <w:ind w:left="200"/>
              <w:spacing w:after="0" w:line="141" w:lineRule="exact"/>
              <w:rPr>
                <w:sz w:val="20"/>
                <w:szCs w:val="20"/>
                <w:color w:val="auto"/>
              </w:rPr>
            </w:pPr>
            <w:r>
              <w:rPr>
                <w:rFonts w:ascii="Times New Roman" w:cs="Times New Roman" w:eastAsia="Times New Roman" w:hAnsi="Times New Roman"/>
                <w:sz w:val="13"/>
                <w:szCs w:val="13"/>
                <w:color w:val="0000FF"/>
                <w:w w:val="95"/>
              </w:rPr>
              <w:t>5,230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 A</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5,230</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80" w:type="dxa"/>
            <w:vAlign w:val="bottom"/>
          </w:tcPr>
          <w:p>
            <w:pPr>
              <w:spacing w:after="0"/>
              <w:rPr>
                <w:sz w:val="12"/>
                <w:szCs w:val="12"/>
                <w:color w:val="auto"/>
              </w:rPr>
            </w:pPr>
          </w:p>
        </w:tc>
        <w:tc>
          <w:tcPr>
            <w:tcW w:w="760" w:type="dxa"/>
            <w:vAlign w:val="bottom"/>
          </w:tcPr>
          <w:p>
            <w:pPr>
              <w:jc w:val="center"/>
              <w:ind w:right="259"/>
              <w:spacing w:after="0" w:line="141" w:lineRule="exact"/>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5,230</w:t>
            </w:r>
          </w:p>
        </w:tc>
        <w:tc>
          <w:tcPr>
            <w:tcW w:w="4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80" w:type="dxa"/>
            <w:vAlign w:val="bottom"/>
          </w:tcPr>
          <w:p>
            <w:pPr>
              <w:jc w:val="center"/>
              <w:ind w:left="200"/>
              <w:spacing w:after="0" w:line="141" w:lineRule="exact"/>
              <w:rPr>
                <w:sz w:val="20"/>
                <w:szCs w:val="20"/>
                <w:color w:val="auto"/>
              </w:rPr>
            </w:pPr>
            <w:r>
              <w:rPr>
                <w:rFonts w:ascii="Times New Roman" w:cs="Times New Roman" w:eastAsia="Times New Roman" w:hAnsi="Times New Roman"/>
                <w:sz w:val="13"/>
                <w:szCs w:val="13"/>
                <w:color w:val="0000FF"/>
                <w:w w:val="95"/>
              </w:rPr>
              <w:t>5,230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 C</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 A</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12,812</w:t>
            </w: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11.21</w:t>
            </w: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80" w:type="dxa"/>
            <w:vAlign w:val="bottom"/>
          </w:tcPr>
          <w:p>
            <w:pPr>
              <w:spacing w:after="0"/>
              <w:rPr>
                <w:sz w:val="6"/>
                <w:szCs w:val="6"/>
                <w:color w:val="auto"/>
              </w:rPr>
            </w:pPr>
          </w:p>
        </w:tc>
        <w:tc>
          <w:tcPr>
            <w:tcW w:w="760" w:type="dxa"/>
            <w:vAlign w:val="bottom"/>
            <w:vMerge w:val="restart"/>
          </w:tcPr>
          <w:p>
            <w:pPr>
              <w:jc w:val="center"/>
              <w:ind w:right="259"/>
              <w:spacing w:after="0" w:line="141" w:lineRule="exact"/>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12,812</w:t>
            </w:r>
          </w:p>
        </w:tc>
        <w:tc>
          <w:tcPr>
            <w:tcW w:w="4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06/23/2036</w:t>
            </w:r>
          </w:p>
        </w:tc>
        <w:tc>
          <w:tcPr>
            <w:tcW w:w="6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6"/>
                <w:szCs w:val="6"/>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12,812</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 C</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12,812</w:t>
            </w: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10.78</w:t>
            </w: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80" w:type="dxa"/>
            <w:vAlign w:val="bottom"/>
          </w:tcPr>
          <w:p>
            <w:pPr>
              <w:spacing w:after="0"/>
              <w:rPr>
                <w:sz w:val="6"/>
                <w:szCs w:val="6"/>
                <w:color w:val="auto"/>
              </w:rPr>
            </w:pPr>
          </w:p>
        </w:tc>
        <w:tc>
          <w:tcPr>
            <w:tcW w:w="760" w:type="dxa"/>
            <w:vAlign w:val="bottom"/>
            <w:vMerge w:val="restart"/>
          </w:tcPr>
          <w:p>
            <w:pPr>
              <w:jc w:val="center"/>
              <w:ind w:right="259"/>
              <w:spacing w:after="0" w:line="141" w:lineRule="exact"/>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12,812</w:t>
            </w:r>
          </w:p>
        </w:tc>
        <w:tc>
          <w:tcPr>
            <w:tcW w:w="4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06/23/2036</w:t>
            </w:r>
          </w:p>
        </w:tc>
        <w:tc>
          <w:tcPr>
            <w:tcW w:w="6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6"/>
                <w:szCs w:val="6"/>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12,812</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5,809</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80" w:type="dxa"/>
            <w:vAlign w:val="bottom"/>
          </w:tcPr>
          <w:p>
            <w:pPr>
              <w:spacing w:after="0"/>
              <w:rPr>
                <w:sz w:val="12"/>
                <w:szCs w:val="12"/>
                <w:color w:val="auto"/>
              </w:rPr>
            </w:pPr>
          </w:p>
        </w:tc>
        <w:tc>
          <w:tcPr>
            <w:tcW w:w="760" w:type="dxa"/>
            <w:vAlign w:val="bottom"/>
          </w:tcPr>
          <w:p>
            <w:pPr>
              <w:jc w:val="center"/>
              <w:ind w:right="259"/>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5,809</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80" w:type="dxa"/>
            <w:vAlign w:val="bottom"/>
          </w:tcPr>
          <w:p>
            <w:pPr>
              <w:jc w:val="center"/>
              <w:ind w:left="180"/>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 A</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5,809</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06/23/2026</w:t>
            </w:r>
          </w:p>
        </w:tc>
        <w:tc>
          <w:tcPr>
            <w:tcW w:w="1080" w:type="dxa"/>
            <w:vAlign w:val="bottom"/>
          </w:tcPr>
          <w:p>
            <w:pPr>
              <w:spacing w:after="0"/>
              <w:rPr>
                <w:sz w:val="12"/>
                <w:szCs w:val="12"/>
                <w:color w:val="auto"/>
              </w:rPr>
            </w:pPr>
          </w:p>
        </w:tc>
        <w:tc>
          <w:tcPr>
            <w:tcW w:w="760" w:type="dxa"/>
            <w:vAlign w:val="bottom"/>
          </w:tcPr>
          <w:p>
            <w:pPr>
              <w:jc w:val="center"/>
              <w:ind w:right="259"/>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5,809</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80" w:type="dxa"/>
            <w:vAlign w:val="bottom"/>
          </w:tcPr>
          <w:p>
            <w:pPr>
              <w:jc w:val="center"/>
              <w:ind w:left="180"/>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 C</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-3743960</wp:posOffset>
            </wp:positionV>
            <wp:extent cx="28575" cy="3749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7490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Share Unit ("RSU") represents a right to receive one share of Issuer's Class A common shares or Class C common shares, as the case may be.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in full on the date of the Issuer's 2027 annual general meeting.</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vests in three equal annual installments commencing on the date of the Issuer's 2027 annual general meeting of shareholders and on the date of each annual general meeting of shareholders thereafter.</w:t>
      </w:r>
    </w:p>
    <w:p>
      <w:pPr>
        <w:spacing w:after="0" w:line="53" w:lineRule="exact"/>
        <w:rPr>
          <w:rFonts w:ascii="Times New Roman" w:cs="Times New Roman" w:eastAsia="Times New Roman" w:hAnsi="Times New Roman"/>
          <w:sz w:val="12"/>
          <w:szCs w:val="12"/>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in full on the date of the Issuer's 2026 annual general meeting.</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trading symbols for the Issuer's classes of common shares are LBTYA, LBTYB, and LBTYK.</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Colton Lyons,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06/25/2026</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8596" TargetMode="External"/><Relationship Id="rId14" Type="http://schemas.openxmlformats.org/officeDocument/2006/relationships/hyperlink" Target="http://www.sec.gov/cgi-bin/browse-edgar?action=getcompany&amp;CIK=00015705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2026-06-25T17:46:51Z</dcterms:created>
  <dcterms:modified xsi:type="dcterms:W3CDTF">2026-06-25T17:46:51Z</dcterms:modified>
</cp:coreProperties>
</file>