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1529080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1485900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3" w:lineRule="exact"/>
        <w:rPr>
          <w:sz w:val="24"/>
          <w:szCs w:val="24"/>
          <w:color w:val="auto"/>
        </w:rPr>
      </w:pPr>
    </w:p>
    <w:p>
      <w:pPr>
        <w:ind w:left="880" w:hanging="854"/>
        <w:spacing w:after="0"/>
        <w:tabs>
          <w:tab w:leader="none" w:pos="8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58"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2026</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9" w:lineRule="exact"/>
        <w:rPr>
          <w:sz w:val="24"/>
          <w:szCs w:val="24"/>
          <w:color w:val="auto"/>
        </w:rPr>
      </w:pPr>
    </w:p>
    <w:p>
      <w:pPr>
        <w:ind w:left="880" w:hanging="854"/>
        <w:spacing w:after="0"/>
        <w:tabs>
          <w:tab w:leader="none" w:pos="8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58" w:lineRule="exact"/>
        <w:rPr>
          <w:sz w:val="24"/>
          <w:szCs w:val="24"/>
          <w:color w:val="auto"/>
        </w:rPr>
      </w:pPr>
    </w:p>
    <w:p>
      <w:pPr>
        <w:ind w:left="880"/>
        <w:spacing w:after="0"/>
        <w:tabs>
          <w:tab w:leader="none" w:pos="38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3228340</wp:posOffset>
            </wp:positionH>
            <wp:positionV relativeFrom="paragraph">
              <wp:posOffset>47625</wp:posOffset>
            </wp:positionV>
            <wp:extent cx="6940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0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Liberty Global Ltd.</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57" w:lineRule="exact"/>
        <w:rPr>
          <w:sz w:val="24"/>
          <w:szCs w:val="24"/>
          <w:color w:val="auto"/>
        </w:rPr>
      </w:pPr>
    </w:p>
    <w:tbl>
      <w:tblPr>
        <w:tblLayout w:type="fixed"/>
        <w:tblInd w:w="3020" w:type="dxa"/>
        <w:tblCellMar>
          <w:top w:w="0" w:type="dxa"/>
          <w:left w:w="0" w:type="dxa"/>
          <w:bottom w:w="0" w:type="dxa"/>
          <w:right w:w="0" w:type="dxa"/>
        </w:tblCellMar>
      </w:tblPr>
      <w:tr>
        <w:trPr>
          <w:trHeight w:val="178"/>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b w:val="1"/>
                <w:bCs w:val="1"/>
                <w:color w:val="auto"/>
              </w:rPr>
              <w:t>Bermuda</w:t>
            </w:r>
          </w:p>
        </w:tc>
        <w:tc>
          <w:tcPr>
            <w:tcW w:w="2100" w:type="dxa"/>
            <w:vAlign w:val="bottom"/>
          </w:tcPr>
          <w:p>
            <w:pPr>
              <w:jc w:val="center"/>
              <w:ind w:left="1053"/>
              <w:spacing w:after="0"/>
              <w:rPr>
                <w:sz w:val="20"/>
                <w:szCs w:val="20"/>
                <w:color w:val="auto"/>
              </w:rPr>
            </w:pPr>
            <w:r>
              <w:rPr>
                <w:rFonts w:ascii="Times New Roman" w:cs="Times New Roman" w:eastAsia="Times New Roman" w:hAnsi="Times New Roman"/>
                <w:sz w:val="13"/>
                <w:szCs w:val="13"/>
                <w:b w:val="1"/>
                <w:bCs w:val="1"/>
                <w:color w:val="auto"/>
              </w:rPr>
              <w:t>98-1750381</w:t>
            </w:r>
          </w:p>
        </w:tc>
      </w:tr>
      <w:tr>
        <w:trPr>
          <w:trHeight w:val="149"/>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i w:val="1"/>
                <w:iCs w:val="1"/>
                <w:color w:val="auto"/>
              </w:rPr>
              <w:t>(State or other jurisdiction of</w:t>
            </w:r>
          </w:p>
        </w:tc>
        <w:tc>
          <w:tcPr>
            <w:tcW w:w="2100" w:type="dxa"/>
            <w:vAlign w:val="bottom"/>
          </w:tcPr>
          <w:p>
            <w:pPr>
              <w:jc w:val="center"/>
              <w:ind w:left="1053"/>
              <w:spacing w:after="0"/>
              <w:rPr>
                <w:sz w:val="20"/>
                <w:szCs w:val="20"/>
                <w:color w:val="auto"/>
              </w:rPr>
            </w:pPr>
            <w:r>
              <w:rPr>
                <w:rFonts w:ascii="Times New Roman" w:cs="Times New Roman" w:eastAsia="Times New Roman" w:hAnsi="Times New Roman"/>
                <w:sz w:val="13"/>
                <w:szCs w:val="13"/>
                <w:i w:val="1"/>
                <w:iCs w:val="1"/>
                <w:color w:val="auto"/>
              </w:rPr>
              <w:t>(I.R.S. Employer</w:t>
            </w:r>
          </w:p>
        </w:tc>
      </w:tr>
      <w:tr>
        <w:trPr>
          <w:trHeight w:val="176"/>
        </w:trPr>
        <w:tc>
          <w:tcPr>
            <w:tcW w:w="2760" w:type="dxa"/>
            <w:vAlign w:val="bottom"/>
          </w:tcPr>
          <w:p>
            <w:pPr>
              <w:jc w:val="center"/>
              <w:ind w:right="1033"/>
              <w:spacing w:after="0"/>
              <w:rPr>
                <w:sz w:val="20"/>
                <w:szCs w:val="20"/>
                <w:color w:val="auto"/>
              </w:rPr>
            </w:pPr>
            <w:r>
              <w:rPr>
                <w:rFonts w:ascii="Times New Roman" w:cs="Times New Roman" w:eastAsia="Times New Roman" w:hAnsi="Times New Roman"/>
                <w:sz w:val="13"/>
                <w:szCs w:val="13"/>
                <w:i w:val="1"/>
                <w:iCs w:val="1"/>
                <w:color w:val="auto"/>
              </w:rPr>
              <w:t>incorporation or organization)</w:t>
            </w:r>
          </w:p>
        </w:tc>
        <w:tc>
          <w:tcPr>
            <w:tcW w:w="2100" w:type="dxa"/>
            <w:vAlign w:val="bottom"/>
          </w:tcPr>
          <w:p>
            <w:pPr>
              <w:jc w:val="center"/>
              <w:ind w:left="1033"/>
              <w:spacing w:after="0"/>
              <w:rPr>
                <w:sz w:val="20"/>
                <w:szCs w:val="20"/>
                <w:color w:val="auto"/>
              </w:rPr>
            </w:pPr>
            <w:r>
              <w:rPr>
                <w:rFonts w:ascii="Times New Roman" w:cs="Times New Roman" w:eastAsia="Times New Roman" w:hAnsi="Times New Roman"/>
                <w:sz w:val="13"/>
                <w:szCs w:val="13"/>
                <w:i w:val="1"/>
                <w:iCs w:val="1"/>
                <w:color w:val="auto"/>
              </w:rPr>
              <w:t>Identification No.)</w:t>
            </w:r>
          </w:p>
        </w:tc>
      </w:tr>
    </w:tbl>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Richmond House, 12 Par-la-Ville Road, Hamilton HM 08 Bermuda</w:t>
      </w:r>
    </w:p>
    <w:p>
      <w:pPr>
        <w:spacing w:after="0" w:line="9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w:t>
      </w:r>
    </w:p>
    <w:p>
      <w:pPr>
        <w:spacing w:after="0" w:line="10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+1.303.220.6600</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6" w:lineRule="exact"/>
        <w:rPr>
          <w:sz w:val="24"/>
          <w:szCs w:val="24"/>
          <w:color w:val="auto"/>
        </w:rPr>
      </w:pPr>
    </w:p>
    <w:tbl>
      <w:tblPr>
        <w:tblLayout w:type="fixed"/>
        <w:tblInd w:w="1740" w:type="dxa"/>
        <w:tblCellMar>
          <w:top w:w="0" w:type="dxa"/>
          <w:left w:w="0" w:type="dxa"/>
          <w:bottom w:w="0" w:type="dxa"/>
          <w:right w:w="0" w:type="dxa"/>
        </w:tblCellMar>
      </w:tblPr>
      <w:tr>
        <w:trPr>
          <w:trHeight w:val="212"/>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70"/>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A common shares</w:t>
            </w:r>
          </w:p>
        </w:tc>
        <w:tc>
          <w:tcPr>
            <w:tcW w:w="242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7"/>
              </w:rPr>
              <w:t>LBTYA</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B common shares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LBTYB</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216"/>
        </w:trPr>
        <w:tc>
          <w:tcPr>
            <w:tcW w:w="2220" w:type="dxa"/>
            <w:vAlign w:val="bottom"/>
          </w:tcPr>
          <w:p>
            <w:pPr>
              <w:jc w:val="center"/>
              <w:ind w:right="579"/>
              <w:spacing w:after="0"/>
              <w:rPr>
                <w:sz w:val="20"/>
                <w:szCs w:val="20"/>
                <w:color w:val="auto"/>
              </w:rPr>
            </w:pPr>
            <w:r>
              <w:rPr>
                <w:rFonts w:ascii="Times New Roman" w:cs="Times New Roman" w:eastAsia="Times New Roman" w:hAnsi="Times New Roman"/>
                <w:sz w:val="16"/>
                <w:szCs w:val="16"/>
                <w:color w:val="auto"/>
              </w:rPr>
              <w:t>Class C common shares</w:t>
            </w:r>
          </w:p>
        </w:tc>
        <w:tc>
          <w:tcPr>
            <w:tcW w:w="24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LBTYK</w:t>
            </w:r>
          </w:p>
        </w:tc>
        <w:tc>
          <w:tcPr>
            <w:tcW w:w="34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49" w:lineRule="exact"/>
        <w:rPr>
          <w:sz w:val="24"/>
          <w:szCs w:val="24"/>
          <w:color w:val="auto"/>
        </w:rPr>
      </w:pPr>
    </w:p>
    <w:p>
      <w:pPr>
        <w:ind w:right="4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1" w:lineRule="exact"/>
        <w:rPr>
          <w:sz w:val="24"/>
          <w:szCs w:val="24"/>
          <w:color w:val="auto"/>
        </w:rPr>
      </w:pPr>
    </w:p>
    <w:p>
      <w:pPr>
        <w:ind w:left="31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p>
    <w:p>
      <w:pPr>
        <w:spacing w:after="0" w:line="88" w:lineRule="exact"/>
        <w:rPr>
          <w:sz w:val="24"/>
          <w:szCs w:val="24"/>
          <w:color w:val="auto"/>
        </w:rPr>
      </w:pPr>
    </w:p>
    <w:p>
      <w:pPr>
        <w:ind w:left="3460"/>
        <w:spacing w:after="0" w:line="219" w:lineRule="exact"/>
        <w:tabs>
          <w:tab w:leader="none" w:pos="568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90"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15"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number of outstanding common shares of Liberty Global Ltd. as of October 28, 2026 was: 170,729,231 class A common shares, 12,968,658 class B common shares and 148,693,808 class C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12"/>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700" w:type="dxa"/>
            <w:vAlign w:val="bottom"/>
            <w:gridSpan w:val="9"/>
            <w:vMerge w:val="restart"/>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208"/>
        </w:trPr>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700" w:type="dxa"/>
            <w:vAlign w:val="bottom"/>
            <w:gridSpan w:val="9"/>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74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Balance Sheets as of September 30, 2026 and December 31, 2025 (unaudited)</w:t>
            </w:r>
          </w:p>
        </w:tc>
        <w:tc>
          <w:tcPr>
            <w:tcW w:w="1840" w:type="dxa"/>
            <w:vAlign w:val="bottom"/>
            <w:gridSpan w:val="6"/>
          </w:tcPr>
          <w:p>
            <w:pPr>
              <w:spacing w:after="0"/>
              <w:rPr>
                <w:sz w:val="16"/>
                <w:szCs w:val="16"/>
                <w:color w:val="auto"/>
              </w:rPr>
            </w:pPr>
          </w:p>
        </w:tc>
        <w:tc>
          <w:tcPr>
            <w:tcW w:w="480" w:type="dxa"/>
            <w:vAlign w:val="bottom"/>
            <w:gridSpan w:val="2"/>
          </w:tcPr>
          <w:p>
            <w:pPr>
              <w:jc w:val="center"/>
              <w:ind w:left="311"/>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2026 and 2025</w:t>
            </w:r>
          </w:p>
        </w:tc>
        <w:tc>
          <w:tcPr>
            <w:tcW w:w="480" w:type="dxa"/>
            <w:vAlign w:val="bottom"/>
            <w:gridSpan w:val="2"/>
            <w:vMerge w:val="restart"/>
          </w:tcPr>
          <w:p>
            <w:pPr>
              <w:jc w:val="center"/>
              <w:ind w:left="311"/>
              <w:spacing w:after="0"/>
              <w:rPr>
                <w:sz w:val="20"/>
                <w:szCs w:val="20"/>
                <w:color w:val="auto"/>
              </w:rPr>
            </w:pPr>
            <w:r>
              <w:rPr>
                <w:rFonts w:ascii="Times New Roman" w:cs="Times New Roman" w:eastAsia="Times New Roman" w:hAnsi="Times New Roman"/>
                <w:sz w:val="18"/>
                <w:szCs w:val="18"/>
                <w:color w:val="0000FF"/>
                <w:w w:val="88"/>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7640" w:type="dxa"/>
            <w:vAlign w:val="bottom"/>
            <w:tcBorders>
              <w:top w:val="single" w:sz="8" w:color="0000FF"/>
            </w:tcBorders>
            <w:gridSpan w:val="7"/>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930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Earnings (Loss) for the Three and Nine Months Ended September 30,</w:t>
            </w: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60" w:type="dxa"/>
            <w:vAlign w:val="bottom"/>
          </w:tcPr>
          <w:p>
            <w:pPr>
              <w:spacing w:after="0"/>
              <w:rPr>
                <w:sz w:val="17"/>
                <w:szCs w:val="17"/>
                <w:color w:val="auto"/>
              </w:rPr>
            </w:pPr>
          </w:p>
        </w:tc>
        <w:tc>
          <w:tcPr>
            <w:tcW w:w="9300" w:type="dxa"/>
            <w:vAlign w:val="bottom"/>
            <w:gridSpan w:val="15"/>
            <w:vMerge w:val="continue"/>
          </w:tcPr>
          <w:p>
            <w:pPr>
              <w:spacing w:after="0"/>
              <w:rPr>
                <w:sz w:val="17"/>
                <w:szCs w:val="17"/>
                <w:color w:val="auto"/>
              </w:rPr>
            </w:pPr>
          </w:p>
        </w:tc>
        <w:tc>
          <w:tcPr>
            <w:tcW w:w="480" w:type="dxa"/>
            <w:vAlign w:val="bottom"/>
            <w:gridSpan w:val="2"/>
            <w:vMerge w:val="restart"/>
          </w:tcPr>
          <w:p>
            <w:pPr>
              <w:jc w:val="center"/>
              <w:ind w:left="311"/>
              <w:spacing w:after="0"/>
              <w:rPr>
                <w:sz w:val="20"/>
                <w:szCs w:val="20"/>
                <w:color w:val="auto"/>
              </w:rPr>
            </w:pPr>
            <w:r>
              <w:rPr>
                <w:rFonts w:ascii="Times New Roman" w:cs="Times New Roman" w:eastAsia="Times New Roman" w:hAnsi="Times New Roman"/>
                <w:sz w:val="18"/>
                <w:szCs w:val="18"/>
                <w:color w:val="0000FF"/>
                <w:w w:val="88"/>
              </w:rPr>
              <w:t>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96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2026 and 2025 (unaudited)</w:t>
            </w:r>
          </w:p>
        </w:tc>
        <w:tc>
          <w:tcPr>
            <w:tcW w:w="480" w:type="dxa"/>
            <w:vAlign w:val="bottom"/>
            <w:tcBorders>
              <w:top w:val="single" w:sz="8" w:color="0000FF"/>
            </w:tcBorders>
          </w:tcPr>
          <w:p>
            <w:pPr>
              <w:spacing w:after="0"/>
              <w:rPr>
                <w:sz w:val="13"/>
                <w:szCs w:val="13"/>
                <w:color w:val="auto"/>
              </w:rPr>
            </w:pPr>
          </w:p>
        </w:tc>
        <w:tc>
          <w:tcPr>
            <w:tcW w:w="22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720" w:type="dxa"/>
            <w:vAlign w:val="bottom"/>
            <w:tcBorders>
              <w:top w:val="single" w:sz="8" w:color="0000FF"/>
            </w:tcBorders>
            <w:gridSpan w:val="3"/>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60" w:type="dxa"/>
            <w:vAlign w:val="bottom"/>
            <w:gridSpan w:val="2"/>
            <w:shd w:val="clear" w:color="auto" w:fill="0000FF"/>
          </w:tcPr>
          <w:p>
            <w:pPr>
              <w:spacing w:after="0"/>
              <w:rPr>
                <w:sz w:val="2"/>
                <w:szCs w:val="2"/>
                <w:color w:val="auto"/>
              </w:rPr>
            </w:pPr>
          </w:p>
        </w:tc>
        <w:tc>
          <w:tcPr>
            <w:tcW w:w="720" w:type="dxa"/>
            <w:vAlign w:val="bottom"/>
            <w:gridSpan w:val="2"/>
            <w:shd w:val="clear" w:color="auto" w:fill="0000FF"/>
          </w:tcPr>
          <w:p>
            <w:pPr>
              <w:spacing w:after="0"/>
              <w:rPr>
                <w:sz w:val="2"/>
                <w:szCs w:val="2"/>
                <w:color w:val="auto"/>
              </w:rPr>
            </w:pPr>
          </w:p>
        </w:tc>
        <w:tc>
          <w:tcPr>
            <w:tcW w:w="2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7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6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for the Three and Nine Months Ended September 30, 2026 and 2025 (unaudited)</w:t>
            </w: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92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2026 and 2025 (unaudited)</w:t>
            </w:r>
          </w:p>
        </w:tc>
        <w:tc>
          <w:tcPr>
            <w:tcW w:w="100" w:type="dxa"/>
            <w:vAlign w:val="bottom"/>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4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920" w:type="dxa"/>
            <w:vAlign w:val="bottom"/>
            <w:gridSpan w:val="4"/>
          </w:tcPr>
          <w:p>
            <w:pPr>
              <w:spacing w:after="0"/>
              <w:rPr>
                <w:sz w:val="18"/>
                <w:szCs w:val="18"/>
                <w:color w:val="auto"/>
              </w:rPr>
            </w:pPr>
          </w:p>
        </w:tc>
        <w:tc>
          <w:tcPr>
            <w:tcW w:w="500" w:type="dxa"/>
            <w:vAlign w:val="bottom"/>
            <w:gridSpan w:val="4"/>
          </w:tcPr>
          <w:p>
            <w:pPr>
              <w:spacing w:after="0"/>
              <w:rPr>
                <w:sz w:val="18"/>
                <w:szCs w:val="18"/>
                <w:color w:val="auto"/>
              </w:rPr>
            </w:pPr>
          </w:p>
        </w:tc>
        <w:tc>
          <w:tcPr>
            <w:tcW w:w="480" w:type="dxa"/>
            <w:vAlign w:val="bottom"/>
            <w:gridSpan w:val="2"/>
          </w:tcPr>
          <w:p>
            <w:pPr>
              <w:jc w:val="center"/>
              <w:ind w:left="311"/>
              <w:spacing w:after="0"/>
              <w:rPr>
                <w:sz w:val="20"/>
                <w:szCs w:val="20"/>
                <w:color w:val="auto"/>
              </w:rPr>
            </w:pPr>
            <w:r>
              <w:rPr>
                <w:rFonts w:ascii="Times New Roman" w:cs="Times New Roman" w:eastAsia="Times New Roman" w:hAnsi="Times New Roman"/>
                <w:sz w:val="18"/>
                <w:szCs w:val="18"/>
                <w:color w:val="0000FF"/>
                <w:w w:val="88"/>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 w:type="dxa"/>
            <w:vAlign w:val="bottom"/>
            <w:gridSpan w:val="3"/>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50</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80" w:type="dxa"/>
            <w:vAlign w:val="bottom"/>
            <w:gridSpan w:val="2"/>
            <w:shd w:val="clear" w:color="auto" w:fill="0000FF"/>
          </w:tcPr>
          <w:p>
            <w:pPr>
              <w:spacing w:after="0" w:line="20" w:lineRule="exact"/>
              <w:rPr>
                <w:sz w:val="1"/>
                <w:szCs w:val="1"/>
                <w:color w:val="auto"/>
              </w:rPr>
            </w:pPr>
          </w:p>
        </w:tc>
        <w:tc>
          <w:tcPr>
            <w:tcW w:w="284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9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 w:type="dxa"/>
            <w:vAlign w:val="bottom"/>
            <w:gridSpan w:val="3"/>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6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220" w:type="dxa"/>
            <w:vAlign w:val="bottom"/>
            <w:gridSpan w:val="7"/>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245"/>
        </w:trPr>
        <w:tc>
          <w:tcPr>
            <w:tcW w:w="106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6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8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6700" w:type="dxa"/>
            <w:vAlign w:val="bottom"/>
            <w:gridSpan w:val="9"/>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4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8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0000FF"/>
                <w:w w:val="99"/>
              </w:rPr>
              <w:t>LEGAL PROCEEDINGS</w:t>
            </w:r>
          </w:p>
        </w:tc>
        <w:tc>
          <w:tcPr>
            <w:tcW w:w="7420" w:type="dxa"/>
            <w:vAlign w:val="bottom"/>
            <w:gridSpan w:val="11"/>
          </w:tcPr>
          <w:p>
            <w:pPr>
              <w:spacing w:after="0"/>
              <w:rPr>
                <w:sz w:val="16"/>
                <w:szCs w:val="16"/>
                <w:color w:val="auto"/>
              </w:rPr>
            </w:pPr>
          </w:p>
        </w:tc>
        <w:tc>
          <w:tcPr>
            <w:tcW w:w="88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6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220" w:type="dxa"/>
            <w:vAlign w:val="bottom"/>
            <w:gridSpan w:val="7"/>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6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220" w:type="dxa"/>
            <w:vAlign w:val="bottom"/>
            <w:gridSpan w:val="7"/>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420" w:type="dxa"/>
            <w:vAlign w:val="bottom"/>
            <w:gridSpan w:val="11"/>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20" w:type="dxa"/>
            <w:vAlign w:val="bottom"/>
            <w:gridSpan w:val="11"/>
          </w:tcPr>
          <w:p>
            <w:pPr>
              <w:spacing w:after="0"/>
              <w:rPr>
                <w:sz w:val="18"/>
                <w:szCs w:val="18"/>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0" w:type="dxa"/>
            <w:vAlign w:val="bottom"/>
          </w:tcPr>
          <w:p>
            <w:pPr>
              <w:spacing w:after="0"/>
              <w:rPr>
                <w:sz w:val="1"/>
                <w:szCs w:val="1"/>
                <w:color w:val="auto"/>
              </w:rPr>
            </w:pPr>
          </w:p>
        </w:tc>
      </w:tr>
      <w:tr>
        <w:trPr>
          <w:trHeight w:val="1229"/>
        </w:trPr>
        <w:tc>
          <w:tcPr>
            <w:tcW w:w="106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4"/>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7"/>
        </w:trPr>
        <w:tc>
          <w:tcPr>
            <w:tcW w:w="8400" w:type="dxa"/>
            <w:vAlign w:val="bottom"/>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2,081.4</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receivables, net (note 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 (note 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 (note 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 (notes 3 and 5)</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w:t>
            </w:r>
          </w:p>
        </w:tc>
      </w:tr>
      <w:tr>
        <w:trPr>
          <w:trHeight w:val="223"/>
        </w:trPr>
        <w:tc>
          <w:tcPr>
            <w:tcW w:w="8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3,396.4</w:t>
            </w:r>
          </w:p>
        </w:tc>
      </w:tr>
      <w:tr>
        <w:trPr>
          <w:trHeight w:val="176"/>
        </w:trPr>
        <w:tc>
          <w:tcPr>
            <w:tcW w:w="8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Investments and related notes receivable (including $1,060.9 million and $1,631.5 million, respectively, measured</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fair value on a recurring basis) (note 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7,686.1</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(notes 8 and 10)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5,270.3</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(note 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3,502.8</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 (note 8)</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 (notes 3, 6 and 10)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1,390.9</w:t>
            </w:r>
          </w:p>
        </w:tc>
      </w:tr>
      <w:tr>
        <w:trPr>
          <w:trHeight w:val="248"/>
        </w:trPr>
        <w:tc>
          <w:tcPr>
            <w:tcW w:w="8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4"/>
          </w:tcPr>
          <w:p>
            <w:pPr>
              <w:jc w:val="right"/>
              <w:ind w:right="971"/>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7"/>
        </w:trPr>
        <w:tc>
          <w:tcPr>
            <w:tcW w:w="8400" w:type="dxa"/>
            <w:vAlign w:val="bottom"/>
          </w:tcPr>
          <w:p>
            <w:pPr>
              <w:ind w:left="318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 (note 3)</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debt and finance lease obligations (notes 9 and 10)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 (note 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accrued and current liabilities (notes 6 and 10)</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1,219.9</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 (notes 9 and 10)</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7,830.9</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 (note 10)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(notes 4 and 11)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 (notes 3 and 6)</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r>
      <w:tr>
        <w:trPr>
          <w:trHeight w:val="223"/>
        </w:trPr>
        <w:tc>
          <w:tcPr>
            <w:tcW w:w="84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12,650.1</w:t>
            </w:r>
          </w:p>
        </w:tc>
      </w:tr>
      <w:tr>
        <w:trPr>
          <w:trHeight w:val="196"/>
        </w:trPr>
        <w:tc>
          <w:tcPr>
            <w:tcW w:w="8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6, 9, 10, 11 and 15)</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Liberty Global shareholders: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75"/>
        </w:trPr>
        <w:tc>
          <w:tcPr>
            <w:tcW w:w="8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common shares, $0.01 nominal value. Issued and outstanding 170,721,989 and 174,502,063 shares,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75"/>
        </w:trPr>
        <w:tc>
          <w:tcPr>
            <w:tcW w:w="84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B common shares, $0.01 nominal value. Issued and outstanding 12,968,658 and 12,968,658 shares,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84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175"/>
        </w:trPr>
        <w:tc>
          <w:tcPr>
            <w:tcW w:w="840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C common shares, $0.01 nominal value. Issued and outstanding 148,686,315 and 147,333,037 shares,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8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earnings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5,104.5</w:t>
            </w:r>
          </w:p>
        </w:tc>
      </w:tr>
      <w:tr>
        <w:trPr>
          <w:trHeight w:val="230"/>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earnings, net of taxes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3,915.6</w:t>
            </w:r>
          </w:p>
        </w:tc>
      </w:tr>
      <w:tr>
        <w:trPr>
          <w:trHeight w:val="229"/>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shares, at cost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Liberty Global shareholders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9,735.7</w:t>
            </w: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23"/>
        </w:trPr>
        <w:tc>
          <w:tcPr>
            <w:tcW w:w="8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9,945.8</w:t>
            </w:r>
          </w:p>
        </w:tc>
      </w:tr>
      <w:tr>
        <w:trPr>
          <w:trHeight w:val="223"/>
        </w:trPr>
        <w:tc>
          <w:tcPr>
            <w:tcW w:w="84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22,595.9</w:t>
            </w: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280" w:type="dxa"/>
            <w:vAlign w:val="bottom"/>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6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1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0" w:type="dxa"/>
            <w:vAlign w:val="bottom"/>
          </w:tcPr>
          <w:p>
            <w:pPr>
              <w:spacing w:after="0"/>
              <w:rPr>
                <w:sz w:val="1"/>
                <w:szCs w:val="1"/>
                <w:color w:val="auto"/>
              </w:rPr>
            </w:pPr>
          </w:p>
        </w:tc>
      </w:tr>
      <w:tr>
        <w:trPr>
          <w:trHeight w:val="208"/>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760" w:type="dxa"/>
            <w:vAlign w:val="bottom"/>
            <w:gridSpan w:val="7"/>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(notes 3, 5 and 16)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0" w:type="dxa"/>
            <w:vAlign w:val="bottom"/>
          </w:tcPr>
          <w:p>
            <w:pPr>
              <w:spacing w:after="0"/>
              <w:rPr>
                <w:sz w:val="1"/>
                <w:szCs w:val="1"/>
                <w:color w:val="auto"/>
              </w:rPr>
            </w:pPr>
          </w:p>
        </w:tc>
      </w:tr>
      <w:tr>
        <w:trPr>
          <w:trHeight w:val="155"/>
        </w:trPr>
        <w:tc>
          <w:tcPr>
            <w:tcW w:w="6020" w:type="dxa"/>
            <w:vAlign w:val="bottom"/>
          </w:tcPr>
          <w:p>
            <w:pPr>
              <w:ind w:left="40"/>
              <w:spacing w:after="0" w:line="156" w:lineRule="exact"/>
              <w:rPr>
                <w:sz w:val="20"/>
                <w:szCs w:val="20"/>
                <w:color w:val="auto"/>
              </w:rPr>
            </w:pPr>
            <w:r>
              <w:rPr>
                <w:rFonts w:ascii="Times New Roman" w:cs="Times New Roman" w:eastAsia="Times New Roman" w:hAnsi="Times New Roman"/>
                <w:sz w:val="18"/>
                <w:szCs w:val="18"/>
                <w:color w:val="auto"/>
              </w:rPr>
              <w:t>Operating costs and expenses (exclusive of depreciation and amortization, shown</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separately below):</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other direct costs of services (note 10)</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(notes 10 and 13)</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(notes 10 and 13)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restructuring and other operating items, net (note 10)</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gains (losses) on derivative instruments, net (note 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(3,160.9)</w:t>
            </w:r>
          </w:p>
        </w:tc>
        <w:tc>
          <w:tcPr>
            <w:tcW w:w="0" w:type="dxa"/>
            <w:vAlign w:val="bottom"/>
          </w:tcPr>
          <w:p>
            <w:pPr>
              <w:spacing w:after="0"/>
              <w:rPr>
                <w:sz w:val="1"/>
                <w:szCs w:val="1"/>
                <w:color w:val="auto"/>
              </w:rPr>
            </w:pPr>
          </w:p>
        </w:tc>
      </w:tr>
      <w:tr>
        <w:trPr>
          <w:trHeight w:val="175"/>
        </w:trPr>
        <w:tc>
          <w:tcPr>
            <w:tcW w:w="60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investments, net (notes 5 and 7)</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of results of affiliates, net (note 5)</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associated with the VodafoneZiggo Acquisition (note 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(4,378.8)</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(note 11)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(4,180.5)</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 (loss) attributable to Liberty Global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Basic earnings (loss) attributable to Liberty Global shareholders per share (note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60"/>
              <w:spacing w:after="0" w:line="163" w:lineRule="exact"/>
              <w:rPr>
                <w:sz w:val="20"/>
                <w:szCs w:val="20"/>
                <w:color w:val="auto"/>
              </w:rPr>
            </w:pPr>
            <w:r>
              <w:rPr>
                <w:rFonts w:ascii="Times New Roman" w:cs="Times New Roman" w:eastAsia="Times New Roman" w:hAnsi="Times New Roman"/>
                <w:sz w:val="18"/>
                <w:szCs w:val="18"/>
                <w:color w:val="auto"/>
              </w:rPr>
              <w:t>Diluted earnings (loss) attributable to Liberty Global shareholders per share (note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020" w:type="dxa"/>
            <w:vAlign w:val="bottom"/>
            <w:vMerge w:val="continue"/>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0"/>
                <w:szCs w:val="10"/>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0"/>
                <w:szCs w:val="10"/>
                <w:color w:val="auto"/>
              </w:rPr>
            </w:pPr>
          </w:p>
        </w:tc>
        <w:tc>
          <w:tcPr>
            <w:tcW w:w="4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216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18"/>
                <w:szCs w:val="18"/>
                <w:color w:val="auto"/>
              </w:rPr>
            </w:pPr>
          </w:p>
        </w:tc>
      </w:tr>
      <w:tr>
        <w:trPr>
          <w:trHeight w:val="209"/>
        </w:trPr>
        <w:tc>
          <w:tcPr>
            <w:tcW w:w="60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208"/>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0"/>
        </w:trPr>
        <w:tc>
          <w:tcPr>
            <w:tcW w:w="6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(4,180.5)</w:t>
            </w:r>
          </w:p>
        </w:tc>
      </w:tr>
      <w:tr>
        <w:trPr>
          <w:trHeight w:val="21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net of taxes: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4,656.6</w:t>
            </w:r>
          </w:p>
        </w:tc>
      </w:tr>
      <w:tr>
        <w:trPr>
          <w:trHeight w:val="229"/>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 included in net earnings (loss) (notes 4 and 5)</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Pension-related adjustments and 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6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4,656.0</w:t>
            </w:r>
          </w:p>
        </w:tc>
      </w:tr>
      <w:tr>
        <w:trPr>
          <w:trHeight w:val="223"/>
        </w:trPr>
        <w:tc>
          <w:tcPr>
            <w:tcW w:w="6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w:t>
            </w:r>
          </w:p>
        </w:tc>
      </w:tr>
      <w:tr>
        <w:trPr>
          <w:trHeight w:val="229"/>
        </w:trPr>
        <w:tc>
          <w:tcPr>
            <w:tcW w:w="60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Comprehensive earnings attributable to noncontrolling interests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48"/>
        </w:trPr>
        <w:tc>
          <w:tcPr>
            <w:tcW w:w="6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Comprehensive earnings (loss) attributable to Liberty Global shareholders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6"/>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earnings (loss),</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8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7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of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$12,544.3</w:t>
            </w: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(1,323.3)</w:t>
            </w:r>
          </w:p>
        </w:tc>
        <w:tc>
          <w:tcPr>
            <w:tcW w:w="0" w:type="dxa"/>
            <w:vAlign w:val="bottom"/>
          </w:tcPr>
          <w:p>
            <w:pPr>
              <w:spacing w:after="0"/>
              <w:rPr>
                <w:sz w:val="1"/>
                <w:szCs w:val="1"/>
                <w:color w:val="auto"/>
              </w:rPr>
            </w:pPr>
          </w:p>
        </w:tc>
      </w:tr>
      <w:tr>
        <w:trPr>
          <w:trHeight w:val="165"/>
        </w:trPr>
        <w:tc>
          <w:tcPr>
            <w:tcW w:w="28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earnings, net of</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 (note</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3"/>
        </w:trPr>
        <w:tc>
          <w:tcPr>
            <w:tcW w:w="2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2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10,905.3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12,648.8</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12,841.3</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(2,773.8)</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Other comprehensive earnings, net of</w:t>
            </w:r>
          </w:p>
        </w:tc>
        <w:tc>
          <w:tcPr>
            <w:tcW w:w="20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 (note</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7"/>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3"/>
        </w:trPr>
        <w:tc>
          <w:tcPr>
            <w:tcW w:w="2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3"/>
        </w:trPr>
        <w:tc>
          <w:tcPr>
            <w:tcW w:w="2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2025</w:t>
            </w:r>
          </w:p>
        </w:tc>
        <w:tc>
          <w:tcPr>
            <w:tcW w:w="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12,994.0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13,205.0</w:t>
            </w:r>
          </w:p>
        </w:tc>
        <w:tc>
          <w:tcPr>
            <w:tcW w:w="0" w:type="dxa"/>
            <w:vAlign w:val="bottom"/>
          </w:tcPr>
          <w:p>
            <w:pPr>
              <w:spacing w:after="0"/>
              <w:rPr>
                <w:sz w:val="1"/>
                <w:szCs w:val="1"/>
                <w:color w:val="auto"/>
              </w:rPr>
            </w:pPr>
          </w:p>
        </w:tc>
      </w:tr>
      <w:tr>
        <w:trPr>
          <w:trHeight w:val="213"/>
        </w:trPr>
        <w:tc>
          <w:tcPr>
            <w:tcW w:w="2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 (note</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0" w:type="dxa"/>
            <w:vAlign w:val="bottom"/>
          </w:tcPr>
          <w:p>
            <w:pPr>
              <w:spacing w:after="0"/>
              <w:rPr>
                <w:sz w:val="1"/>
                <w:szCs w:val="1"/>
                <w:color w:val="auto"/>
              </w:rPr>
            </w:pPr>
          </w:p>
        </w:tc>
      </w:tr>
      <w:tr>
        <w:trPr>
          <w:trHeight w:val="213"/>
        </w:trPr>
        <w:tc>
          <w:tcPr>
            <w:tcW w:w="2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13)</w:t>
            </w:r>
          </w:p>
        </w:tc>
        <w:tc>
          <w:tcPr>
            <w:tcW w:w="2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0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28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0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$12,962.0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6"/>
                <w:szCs w:val="16"/>
                <w:b w:val="1"/>
                <w:bCs w:val="1"/>
                <w:color w:val="auto"/>
              </w:rPr>
              <w:t>Liberty Global shareholders</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7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6"/>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Liberty</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6"/>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2"/>
                <w:szCs w:val="12"/>
                <w:color w:val="auto"/>
              </w:rPr>
            </w:pPr>
          </w:p>
        </w:tc>
        <w:tc>
          <w:tcPr>
            <w:tcW w:w="116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w w:val="99"/>
              </w:rPr>
              <w:t>earnings, net</w:t>
            </w:r>
          </w:p>
        </w:tc>
        <w:tc>
          <w:tcPr>
            <w:tcW w:w="1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Global</w:t>
            </w:r>
          </w:p>
        </w:tc>
        <w:tc>
          <w:tcPr>
            <w:tcW w:w="88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tcPr>
          <w:p>
            <w:pPr>
              <w:spacing w:after="0"/>
              <w:rPr>
                <w:sz w:val="12"/>
                <w:szCs w:val="12"/>
                <w:color w:val="auto"/>
              </w:rPr>
            </w:pPr>
          </w:p>
        </w:tc>
        <w:tc>
          <w:tcPr>
            <w:tcW w:w="66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6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taxes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9,945.8</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taxes</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13)</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5,442.3</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3,282.0</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9,504.2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9,734.7</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Other comprehensive earnings, net of</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13)</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30, 2026</w:t>
            </w: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9,224.6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9,462.4</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Other comprehensive earnings, net of</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Fair value of equity interest issued to</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Vodafone (note 4)</w:t>
            </w:r>
          </w:p>
        </w:tc>
        <w:tc>
          <w:tcPr>
            <w:tcW w:w="22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w:t>
            </w:r>
          </w:p>
        </w:tc>
        <w:tc>
          <w:tcPr>
            <w:tcW w:w="0" w:type="dxa"/>
            <w:vAlign w:val="bottom"/>
          </w:tcPr>
          <w:p>
            <w:pPr>
              <w:spacing w:after="0"/>
              <w:rPr>
                <w:sz w:val="1"/>
                <w:szCs w:val="1"/>
                <w:color w:val="auto"/>
              </w:rPr>
            </w:pPr>
          </w:p>
        </w:tc>
      </w:tr>
      <w:tr>
        <w:trPr>
          <w:trHeight w:val="165"/>
        </w:trPr>
        <w:tc>
          <w:tcPr>
            <w:tcW w:w="2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Dividend distributions by subsidiaries</w:t>
            </w:r>
          </w:p>
        </w:tc>
        <w:tc>
          <w:tcPr>
            <w:tcW w:w="22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 noncontrolling interest owners</w:t>
            </w:r>
          </w:p>
        </w:tc>
        <w:tc>
          <w:tcPr>
            <w:tcW w:w="22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Repurchases and cancellations of</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color w:val="auto"/>
              </w:rPr>
              <w:t>Liberty Global common shares (note</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(note 13)</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162"/>
        </w:trPr>
        <w:tc>
          <w:tcPr>
            <w:tcW w:w="2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Adjustments due to changes in</w:t>
            </w:r>
          </w:p>
        </w:tc>
        <w:tc>
          <w:tcPr>
            <w:tcW w:w="220" w:type="dxa"/>
            <w:vAlign w:val="bottom"/>
          </w:tcPr>
          <w:p>
            <w:pPr>
              <w:spacing w:after="0"/>
              <w:rPr>
                <w:sz w:val="14"/>
                <w:szCs w:val="14"/>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(157.7)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3"/>
        </w:trPr>
        <w:tc>
          <w:tcPr>
            <w:tcW w:w="2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subsidiaries’ equity and other, net</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10,411.4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166"/>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(4,180.5)</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(loss)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costs and non-cash interest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3,160.9</w:t>
            </w: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associated with the VodafoneZiggo Acquisition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the effects of acquisitions and dispositions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23"/>
        </w:trPr>
        <w:tc>
          <w:tcPr>
            <w:tcW w:w="84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r>
      <w:tr>
        <w:trPr>
          <w:trHeight w:val="250"/>
        </w:trPr>
        <w:tc>
          <w:tcPr>
            <w:tcW w:w="8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in connection with VodafoneZiggo Acquisition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received in connection with the sale of EdgeConneX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from the sale of other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810.4</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in connection with the sale of UPC Slovakia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6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7"/>
        </w:trPr>
        <w:tc>
          <w:tcPr>
            <w:tcW w:w="8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of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Operating-related vendor financing additions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and repurchases of debt and finance lease obligations: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Debt (excluding vendor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0" w:type="dxa"/>
            <w:vAlign w:val="bottom"/>
          </w:tcPr>
          <w:p>
            <w:pPr>
              <w:spacing w:after="0"/>
              <w:rPr>
                <w:sz w:val="1"/>
                <w:szCs w:val="1"/>
                <w:color w:val="auto"/>
              </w:rPr>
            </w:pPr>
          </w:p>
        </w:tc>
      </w:tr>
      <w:tr>
        <w:trPr>
          <w:trHeight w:val="230"/>
        </w:trPr>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9"/>
        </w:trPr>
        <w:tc>
          <w:tcPr>
            <w:tcW w:w="8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 distributions by subsidiaries to noncontrolling interest owners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financing costs and debt premiums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Liberty Global common shares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3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received (paid) related to derivative instruments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0" w:type="dxa"/>
            <w:vAlign w:val="bottom"/>
          </w:tcPr>
          <w:p>
            <w:pPr>
              <w:spacing w:after="0"/>
              <w:rPr>
                <w:sz w:val="1"/>
                <w:szCs w:val="1"/>
                <w:color w:val="auto"/>
              </w:rPr>
            </w:pPr>
          </w:p>
        </w:tc>
      </w:tr>
      <w:tr>
        <w:trPr>
          <w:trHeight w:val="250"/>
        </w:trPr>
        <w:tc>
          <w:tcPr>
            <w:tcW w:w="8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2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10"/>
        </w:trPr>
        <w:tc>
          <w:tcPr>
            <w:tcW w:w="8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0" w:type="dxa"/>
            <w:vAlign w:val="bottom"/>
          </w:tcPr>
          <w:p>
            <w:pPr>
              <w:spacing w:after="0"/>
              <w:rPr>
                <w:sz w:val="1"/>
                <w:szCs w:val="1"/>
                <w:color w:val="auto"/>
              </w:rPr>
            </w:pPr>
          </w:p>
        </w:tc>
      </w:tr>
      <w:tr>
        <w:trPr>
          <w:trHeight w:val="230"/>
        </w:trPr>
        <w:tc>
          <w:tcPr>
            <w:tcW w:w="8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decrease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4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399.4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372.3</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paid for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6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129.3</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Details of end of period cash and cash equivalents and restricted cash:</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1,674.2</w:t>
            </w:r>
          </w:p>
        </w:tc>
        <w:tc>
          <w:tcPr>
            <w:tcW w:w="0" w:type="dxa"/>
            <w:vAlign w:val="bottom"/>
          </w:tcPr>
          <w:p>
            <w:pPr>
              <w:spacing w:after="0"/>
              <w:rPr>
                <w:sz w:val="1"/>
                <w:szCs w:val="1"/>
                <w:color w:val="auto"/>
              </w:rPr>
            </w:pPr>
          </w:p>
        </w:tc>
      </w:tr>
      <w:tr>
        <w:trPr>
          <w:trHeight w:val="230"/>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assets,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and restricted cash included in assets held for sale</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w:t>
      </w:r>
    </w:p>
    <w:p>
      <w:pPr>
        <w:spacing w:after="0" w:line="25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Liberty Global Ltd. (</w:t>
      </w:r>
      <w:r>
        <w:rPr>
          <w:rFonts w:ascii="Times New Roman" w:cs="Times New Roman" w:eastAsia="Times New Roman" w:hAnsi="Times New Roman"/>
          <w:sz w:val="18"/>
          <w:szCs w:val="18"/>
          <w:b w:val="1"/>
          <w:bCs w:val="1"/>
          <w:color w:val="auto"/>
        </w:rPr>
        <w:t>Liberty Global</w:t>
      </w:r>
      <w:r>
        <w:rPr>
          <w:rFonts w:ascii="Times New Roman" w:cs="Times New Roman" w:eastAsia="Times New Roman" w:hAnsi="Times New Roman"/>
          <w:sz w:val="18"/>
          <w:szCs w:val="18"/>
          <w:color w:val="auto"/>
        </w:rPr>
        <w:t>) is a Bermuda exempted company limited by shares. In these notes, the terms “we,” “our,” “our company” and “us” may refer, as the context requires, to Liberty Global or collectively to Liberty Global and its subsidiaries. We are an international provider of broadband internet, video, fixed-line telephony and mobile communications services to residential customers and businesses in Europe and are an active investor across the technology, media, sports and infrastructure industries. We also provide innovative technology solutions and finance services.</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provide residential and business-to-business (</w:t>
      </w:r>
      <w:r>
        <w:rPr>
          <w:rFonts w:ascii="Times New Roman" w:cs="Times New Roman" w:eastAsia="Times New Roman" w:hAnsi="Times New Roman"/>
          <w:sz w:val="18"/>
          <w:szCs w:val="18"/>
          <w:b w:val="1"/>
          <w:bCs w:val="1"/>
          <w:color w:val="auto"/>
        </w:rPr>
        <w:t>B2B</w:t>
      </w:r>
      <w:r>
        <w:rPr>
          <w:rFonts w:ascii="Times New Roman" w:cs="Times New Roman" w:eastAsia="Times New Roman" w:hAnsi="Times New Roman"/>
          <w:sz w:val="18"/>
          <w:szCs w:val="18"/>
          <w:color w:val="auto"/>
        </w:rPr>
        <w:t>) communications services through (i) Ziggo Group B.V. (</w:t>
      </w:r>
      <w:r>
        <w:rPr>
          <w:rFonts w:ascii="Times New Roman" w:cs="Times New Roman" w:eastAsia="Times New Roman" w:hAnsi="Times New Roman"/>
          <w:sz w:val="18"/>
          <w:szCs w:val="18"/>
          <w:b w:val="1"/>
          <w:bCs w:val="1"/>
          <w:color w:val="auto"/>
        </w:rPr>
        <w:t>Ziggo Group</w:t>
      </w:r>
      <w:r>
        <w:rPr>
          <w:rFonts w:ascii="Times New Roman" w:cs="Times New Roman" w:eastAsia="Times New Roman" w:hAnsi="Times New Roman"/>
          <w:sz w:val="18"/>
          <w:szCs w:val="18"/>
          <w:color w:val="auto"/>
        </w:rPr>
        <w:t>), a 90%-owned subsidiary as further described in note 4, which holds certain wholly-owned subsidiaries in (a) the Netherlands that we collectively refer to as “</w:t>
      </w:r>
      <w:r>
        <w:rPr>
          <w:rFonts w:ascii="Times New Roman" w:cs="Times New Roman" w:eastAsia="Times New Roman" w:hAnsi="Times New Roman"/>
          <w:sz w:val="18"/>
          <w:szCs w:val="18"/>
          <w:b w:val="1"/>
          <w:bCs w:val="1"/>
          <w:color w:val="auto"/>
        </w:rPr>
        <w:t>VodafoneZiggo</w:t>
      </w:r>
      <w:r>
        <w:rPr>
          <w:rFonts w:ascii="Times New Roman" w:cs="Times New Roman" w:eastAsia="Times New Roman" w:hAnsi="Times New Roman"/>
          <w:sz w:val="18"/>
          <w:szCs w:val="18"/>
          <w:color w:val="auto"/>
        </w:rPr>
        <w:t>” and (b) Belgium and Luxembourg that we collectively refer to as “</w:t>
      </w:r>
      <w:r>
        <w:rPr>
          <w:rFonts w:ascii="Times New Roman" w:cs="Times New Roman" w:eastAsia="Times New Roman" w:hAnsi="Times New Roman"/>
          <w:sz w:val="18"/>
          <w:szCs w:val="18"/>
          <w:b w:val="1"/>
          <w:bCs w:val="1"/>
          <w:color w:val="auto"/>
        </w:rPr>
        <w:t>Telenet</w:t>
      </w:r>
      <w:r>
        <w:rPr>
          <w:rFonts w:ascii="Times New Roman" w:cs="Times New Roman" w:eastAsia="Times New Roman" w:hAnsi="Times New Roman"/>
          <w:sz w:val="18"/>
          <w:szCs w:val="18"/>
          <w:color w:val="auto"/>
        </w:rPr>
        <w:t>,” and (ii) a wholly-owned subsidiary in Ireland (</w:t>
      </w:r>
      <w:r>
        <w:rPr>
          <w:rFonts w:ascii="Times New Roman" w:cs="Times New Roman" w:eastAsia="Times New Roman" w:hAnsi="Times New Roman"/>
          <w:sz w:val="18"/>
          <w:szCs w:val="18"/>
          <w:b w:val="1"/>
          <w:bCs w:val="1"/>
          <w:color w:val="auto"/>
        </w:rPr>
        <w:t>VM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Ireland</w:t>
      </w:r>
      <w:r>
        <w:rPr>
          <w:rFonts w:ascii="Times New Roman" w:cs="Times New Roman" w:eastAsia="Times New Roman" w:hAnsi="Times New Roman"/>
          <w:sz w:val="18"/>
          <w:szCs w:val="18"/>
          <w:color w:val="auto"/>
        </w:rPr>
        <w:t>). In addition, we own a 50% noncontrolling interest in a 50:50 joint venture (the</w:t>
      </w:r>
      <w:r>
        <w:rPr>
          <w:rFonts w:ascii="Times New Roman" w:cs="Times New Roman" w:eastAsia="Times New Roman" w:hAnsi="Times New Roman"/>
          <w:sz w:val="18"/>
          <w:szCs w:val="18"/>
          <w:b w:val="1"/>
          <w:bCs w:val="1"/>
          <w:color w:val="auto"/>
        </w:rPr>
        <w:t xml:space="preserve"> VMO2 JV</w:t>
      </w:r>
      <w:r>
        <w:rPr>
          <w:rFonts w:ascii="Times New Roman" w:cs="Times New Roman" w:eastAsia="Times New Roman" w:hAnsi="Times New Roman"/>
          <w:sz w:val="18"/>
          <w:szCs w:val="18"/>
          <w:color w:val="auto"/>
        </w:rPr>
        <w:t>) with Telefónica SA (</w:t>
      </w:r>
      <w:r>
        <w:rPr>
          <w:rFonts w:ascii="Times New Roman" w:cs="Times New Roman" w:eastAsia="Times New Roman" w:hAnsi="Times New Roman"/>
          <w:sz w:val="18"/>
          <w:szCs w:val="18"/>
          <w:b w:val="1"/>
          <w:bCs w:val="1"/>
          <w:color w:val="auto"/>
        </w:rPr>
        <w:t>Telefónica</w:t>
      </w:r>
      <w:r>
        <w:rPr>
          <w:rFonts w:ascii="Times New Roman" w:cs="Times New Roman" w:eastAsia="Times New Roman" w:hAnsi="Times New Roman"/>
          <w:sz w:val="18"/>
          <w:szCs w:val="18"/>
          <w:color w:val="auto"/>
        </w:rPr>
        <w:t>), which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residential and B2B communications services in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xml:space="preserve">). Prior to the completion of the VodafoneZiggo Acquisition on July 31, 2026, as defined and described in note 4, our services in the Netherlands were provided through a 50:50 joint venture (the </w:t>
      </w:r>
      <w:r>
        <w:rPr>
          <w:rFonts w:ascii="Times New Roman" w:cs="Times New Roman" w:eastAsia="Times New Roman" w:hAnsi="Times New Roman"/>
          <w:sz w:val="18"/>
          <w:szCs w:val="18"/>
          <w:b w:val="1"/>
          <w:bCs w:val="1"/>
          <w:color w:val="auto"/>
        </w:rPr>
        <w:t>VodafoneZiggo JV</w:t>
      </w:r>
      <w:r>
        <w:rPr>
          <w:rFonts w:ascii="Times New Roman" w:cs="Times New Roman" w:eastAsia="Times New Roman" w:hAnsi="Times New Roman"/>
          <w:sz w:val="18"/>
          <w:szCs w:val="18"/>
          <w:color w:val="auto"/>
        </w:rPr>
        <w:t>) with Vodafone Group plc (</w:t>
      </w:r>
      <w:r>
        <w:rPr>
          <w:rFonts w:ascii="Times New Roman" w:cs="Times New Roman" w:eastAsia="Times New Roman" w:hAnsi="Times New Roman"/>
          <w:sz w:val="18"/>
          <w:szCs w:val="18"/>
          <w:b w:val="1"/>
          <w:bCs w:val="1"/>
          <w:color w:val="auto"/>
        </w:rPr>
        <w:t>Vodafone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We also have (i) a 66.8% controlling interest in Wyre Holding BV (</w:t>
      </w:r>
      <w:r>
        <w:rPr>
          <w:rFonts w:ascii="Times New Roman" w:cs="Times New Roman" w:eastAsia="Times New Roman" w:hAnsi="Times New Roman"/>
          <w:sz w:val="18"/>
          <w:szCs w:val="18"/>
          <w:b w:val="1"/>
          <w:bCs w:val="1"/>
          <w:color w:val="auto"/>
        </w:rPr>
        <w:t>Wyre</w:t>
      </w:r>
      <w:r>
        <w:rPr>
          <w:rFonts w:ascii="Times New Roman" w:cs="Times New Roman" w:eastAsia="Times New Roman" w:hAnsi="Times New Roman"/>
          <w:sz w:val="18"/>
          <w:szCs w:val="18"/>
          <w:color w:val="auto"/>
        </w:rPr>
        <w:t>), an independent infrastructure company in Belgium, and (ii) a 65.6% controlling interest in Formula E Holdings Ltd. (</w:t>
      </w:r>
      <w:r>
        <w:rPr>
          <w:rFonts w:ascii="Times New Roman" w:cs="Times New Roman" w:eastAsia="Times New Roman" w:hAnsi="Times New Roman"/>
          <w:sz w:val="18"/>
          <w:szCs w:val="18"/>
          <w:b w:val="1"/>
          <w:bCs w:val="1"/>
          <w:color w:val="auto"/>
        </w:rPr>
        <w:t>Formula E</w:t>
      </w:r>
      <w:r>
        <w:rPr>
          <w:rFonts w:ascii="Times New Roman" w:cs="Times New Roman" w:eastAsia="Times New Roman" w:hAnsi="Times New Roman"/>
          <w:sz w:val="18"/>
          <w:szCs w:val="18"/>
          <w:color w:val="auto"/>
        </w:rPr>
        <w:t>), a global electric motor racing series.</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30, 2026, we completed the sale of UPC Slovakia (as defined in note 4), through which we previously provided residential and business telecommunications services in Slovakia. Effective with the signing of the share purchase agreement on December 18, 2025, we began accounting for UPC Slovakia as held for sale. Accordingly, the assets and liabilities of UPC Slovakia are included in current assets held for sale and current liabilities held for sale, respectively, on our December 31, 2025 condensed consolidated balance sheet. Consistent with the applicable guidance, we have not reflected similar reclassifications in our condensed consolidated statements of operations or cash flows. For additional information, see note 4.</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and with the instructions to Form 10-Q and Article 10 of Regulation S-X for interim financial information. Accordingly, these financial statements do not include all of the information required by GAAP or Securities and Exchange Commission rules and regulations for complete financial statements. In the opinion of management, these financial statements reflect all adjustments (consisting of normal recurring adjustments) necessary for a fair presentation of the results of operations for the interim periods presented. The results of operations for any interim period are not necessarily indicative of results for the full year. These unaudited condensed consolidated financial statements should be read in conjunction with our 2025 consolidated financial statements and notes thereto included in our 2025 Annual Report on Form 10-K, as amended (our </w:t>
      </w:r>
      <w:r>
        <w:rPr>
          <w:rFonts w:ascii="Times New Roman" w:cs="Times New Roman" w:eastAsia="Times New Roman" w:hAnsi="Times New Roman"/>
          <w:sz w:val="18"/>
          <w:szCs w:val="18"/>
          <w:b w:val="1"/>
          <w:bCs w:val="1"/>
          <w:color w:val="auto"/>
        </w:rPr>
        <w:t>2025 10-K</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lease terms, useful lives of long-lived assets, share-based compensation and actuarial liabilities associated with certain benefit plans. Actual results could differ from those estimates.</w:t>
      </w:r>
    </w:p>
    <w:p>
      <w:pPr>
        <w:spacing w:after="0" w:line="21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Unless otherwise indicated, ownership percentages and convenience translations into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dollars are calculated as of September 30, 2026.</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 period presentation, including with respect to certain changes in the presentation of our reportable segments, as described in note 16.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Accounting Changes and Recent Accounting Pronouncements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Accounting Changes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2025-05</w:t>
      </w:r>
    </w:p>
    <w:p>
      <w:pPr>
        <w:spacing w:after="0" w:line="25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Financial Accounting Standards Board (the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No. 2025-05, </w:t>
      </w:r>
      <w:r>
        <w:rPr>
          <w:rFonts w:ascii="Times New Roman" w:cs="Times New Roman" w:eastAsia="Times New Roman" w:hAnsi="Times New Roman"/>
          <w:sz w:val="18"/>
          <w:szCs w:val="18"/>
          <w:i w:val="1"/>
          <w:iCs w:val="1"/>
          <w:color w:val="auto"/>
        </w:rPr>
        <w:t>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for Accounts Receivable and Contract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2025-05</w:t>
      </w:r>
      <w:r>
        <w:rPr>
          <w:rFonts w:ascii="Times New Roman" w:cs="Times New Roman" w:eastAsia="Times New Roman" w:hAnsi="Times New Roman"/>
          <w:sz w:val="18"/>
          <w:szCs w:val="18"/>
          <w:color w:val="auto"/>
        </w:rPr>
        <w:t>), which provides a practical expedient for all entities to assume current conditions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balance sheet date will remain through the reasonable and supportable forecast period for eligible assets. Entities will continue to be required to adjust the historical data used in the estimation of credit losses to reflect current conditions. If elected, the practical expedient should be applied consistently to all eligible accounts receivable and contract assets. Additionally, entities that have elected the practical expedient must disclose their decision to do so. We adopted ASU 2025-05 on January 1, 2026 and are applying the practical expedient, noting no significant impact to our credit loss provisions.</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2023-09</w:t>
      </w:r>
    </w:p>
    <w:p>
      <w:pPr>
        <w:spacing w:after="0" w:line="25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2023-09</w:t>
      </w:r>
      <w:r>
        <w:rPr>
          <w:rFonts w:ascii="Times New Roman" w:cs="Times New Roman" w:eastAsia="Times New Roman" w:hAnsi="Times New Roman"/>
          <w:sz w:val="18"/>
          <w:szCs w:val="18"/>
          <w:color w:val="auto"/>
        </w:rPr>
        <w:t>),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We adopted ASU 2023-09 on January 1, 2025 on a retrospective basis. For additional information concerning our income taxes, see note 11.</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2023-05</w:t>
      </w:r>
    </w:p>
    <w:p>
      <w:pPr>
        <w:spacing w:after="0" w:line="25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In August 2023, the FASB issued ASU No. 2023-05</w:t>
      </w:r>
      <w:r>
        <w:rPr>
          <w:rFonts w:ascii="Times New Roman" w:cs="Times New Roman" w:eastAsia="Times New Roman" w:hAnsi="Times New Roman"/>
          <w:sz w:val="18"/>
          <w:szCs w:val="18"/>
          <w:i w:val="1"/>
          <w:iCs w:val="1"/>
          <w:color w:val="auto"/>
        </w:rPr>
        <w:t>, Business Combinations — Joint Venture Formations: Recognition and Initial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2023-05</w:t>
      </w:r>
      <w:r>
        <w:rPr>
          <w:rFonts w:ascii="Times New Roman" w:cs="Times New Roman" w:eastAsia="Times New Roman" w:hAnsi="Times New Roman"/>
          <w:sz w:val="18"/>
          <w:szCs w:val="18"/>
          <w:color w:val="auto"/>
        </w:rPr>
        <w:t>), which outlines updates to the formation of entities that meet the definition of a joint venture as defined by the FASB. ASU 2023-05 requires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joint venture to measure its assets and liabilities at fair value upon formation. We adopted ASU 2023-05 on January 1, 2025.</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2025-06</w:t>
      </w:r>
    </w:p>
    <w:p>
      <w:pPr>
        <w:spacing w:after="0" w:line="2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2025-06</w:t>
      </w:r>
      <w:r>
        <w:rPr>
          <w:rFonts w:ascii="Times New Roman" w:cs="Times New Roman" w:eastAsia="Times New Roman" w:hAnsi="Times New Roman"/>
          <w:sz w:val="18"/>
          <w:szCs w:val="18"/>
          <w:color w:val="auto"/>
        </w:rPr>
        <w:t>), which revises the guidance for capitalizing costs related to internal-use software. The amendments replace the prior stage-based model with a principles-based approach, removing all references to project stages and instead focusing on the two remaining criteria for capitalization, being (i) management has authorized and committed to the funding for the software project and (ii) it is probable a project will be completed and used as intended. Until both of these criteria are met, all software development costs should be expensed as incurred. ASU 2025-06 is effective for annual and interim periods beginning after December 15, 2027, with early adoption permitted. Entities may apply the amendments prospectively, retrospectively or using a modified retrospective approach. We are currently evaluating the impact of ASU 2025-06 on our consolidated financial statements, but we do not expect the impact to be significant.</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2025-03</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May 2025, the FASB issued ASU No. 2025-03, </w:t>
      </w:r>
      <w:r>
        <w:rPr>
          <w:rFonts w:ascii="Times New Roman" w:cs="Times New Roman" w:eastAsia="Times New Roman" w:hAnsi="Times New Roman"/>
          <w:sz w:val="18"/>
          <w:szCs w:val="18"/>
          <w:i w:val="1"/>
          <w:iCs w:val="1"/>
          <w:color w:val="auto"/>
        </w:rPr>
        <w:t>Business Combinations and Consolidation: Determining the Accounting Acquirer in the Acquisition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a Variable Interest Entity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ASU 2025-03</w:t>
      </w:r>
      <w:r>
        <w:rPr>
          <w:rFonts w:ascii="Times New Roman" w:cs="Times New Roman" w:eastAsia="Times New Roman" w:hAnsi="Times New Roman"/>
          <w:sz w:val="18"/>
          <w:szCs w:val="18"/>
          <w:color w:val="auto"/>
        </w:rPr>
        <w:t>), which clarifies the requirements for identifying the accounting acquirer when a variable interest entity (</w:t>
      </w:r>
      <w:r>
        <w:rPr>
          <w:rFonts w:ascii="Times New Roman" w:cs="Times New Roman" w:eastAsia="Times New Roman" w:hAnsi="Times New Roman"/>
          <w:sz w:val="18"/>
          <w:szCs w:val="18"/>
          <w:b w:val="1"/>
          <w:bCs w:val="1"/>
          <w:color w:val="auto"/>
        </w:rPr>
        <w:t>VIE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qualifies as a business is acquired primarily through an exchange of equity interests. This amendment does not change the existing guidance for acquisitions of VIEs that are not considered businesses. ASU 2025-03 is effective for annual and interim periods beginning after December 15, 2026, with early adoption permitted. ASU 2025-03 should be applied prospectively to all business combinations with acquisition dates occurring on 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the date of initial application. We are currently evaluating the impact of ASU 2025-03 on our consolidated financial statements, but we do not expect the impact to be significant.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ASU 2024-03</w:t>
      </w:r>
    </w:p>
    <w:p>
      <w:pPr>
        <w:spacing w:after="0" w:line="250"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(DISE)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ASU 2024-03</w:t>
      </w:r>
      <w:r>
        <w:rPr>
          <w:rFonts w:ascii="Times New Roman" w:cs="Times New Roman" w:eastAsia="Times New Roman" w:hAnsi="Times New Roman"/>
          <w:sz w:val="18"/>
          <w:szCs w:val="18"/>
          <w:color w:val="auto"/>
        </w:rPr>
        <w:t>), which requires disclosure of certain categories of expenses such as the purchase of inventory, employee compensation, depreciation and intangible asset amortization that are components of existing expense captions presented on the face of the income statement. ASU 2024-03 is effective for annual periods beginning after December 15, 2026 and interim periods beginning after December 15, 2027, with early adoption permitted. ASU 2024-03 should be applied prospectively, however, retrospective application is permitted. We are currently evaluating the impact of ASU 2024-03 on our disclosures.</w:t>
      </w:r>
    </w:p>
    <w:p>
      <w:pPr>
        <w:spacing w:after="0" w:line="206"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 and Related Costs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The timing of our recognition of revenue may differ from the timing of invoicing our customers. We record a trade receivable when we have transferred goods or services to a customer but have not yet received payment. Our trade receivables are reported net of an allowance for doubtful accounts. Such allowance aggregated $49.1 million and $31.3 million at September 30, 2026 and December 31, 2025, respectively.</w:t>
      </w:r>
    </w:p>
    <w:p>
      <w:pPr>
        <w:spacing w:after="0" w:line="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$198.5 million and $11.4 million as of September 30, 2026 and December 31, 2025, respectively. The current and long-term portions of our contract asset balances are included within other current assets and other assets, net, respectively, on our condensed consolidated balance sheets.</w:t>
      </w:r>
    </w:p>
    <w:p>
      <w:pPr>
        <w:spacing w:after="0" w:line="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$539.5 million and $305.9 million as of September 30, 2026 and December 31, 2025, respectively. The increase in deferred revenue for the nine months ended September 30, 2026 is primarily due to the net effect of (a) the recognition of $251.4 million of revenue that was included in our deferred revenue balance at December 31, 2025, (b) the impact of additions during the period and (c) the impact of the VodafoneZiggo Acquisition, as defined and described in note 4. The long-term portions of our deferred revenue balances are included within other long-term liabilities on our condensed consolidated balance sheets.</w:t>
      </w: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Unsatisfied Performance Obligations</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significant portion of our revenue is derived from subscription service contracts with an initial duration of less than 12 months. As such, the amount of revenue related to unsatisfied performance obligations is not necessarily indicative of future revenue to be recognized from our existing customers.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 The average remaining contractual term for B2B non-subscription services is approximately three years. At September 30, 2026, the aggregate transaction price allocated to remaining performance obligations related to our B2B and other fixed-fee service agreements with terms greater than one year was approximately $2.6 billion and is expected to be recognized over the respective remaining contractual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 and Dispositions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25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On July 31, 2026, Liberty Global completed the acquisition of Vodafone’s 50% interest in the VodafoneZiggo JV (the </w:t>
      </w:r>
      <w:r>
        <w:rPr>
          <w:rFonts w:ascii="Times New Roman" w:cs="Times New Roman" w:eastAsia="Times New Roman" w:hAnsi="Times New Roman"/>
          <w:sz w:val="18"/>
          <w:szCs w:val="18"/>
          <w:b w:val="1"/>
          <w:bCs w:val="1"/>
          <w:color w:val="auto"/>
        </w:rPr>
        <w:t>VodafoneZiggo Acquisition</w:t>
      </w:r>
      <w:r>
        <w:rPr>
          <w:rFonts w:ascii="Times New Roman" w:cs="Times New Roman" w:eastAsia="Times New Roman" w:hAnsi="Times New Roman"/>
          <w:sz w:val="18"/>
          <w:szCs w:val="18"/>
          <w:color w:val="auto"/>
        </w:rPr>
        <w:t>). In addition, upon closing of the transaction, Liberty Global acquired Vodafone’s shareholder loans to a subsidiary of VodafoneZiggo totaling €907.9 million ($1,045.6 million at the transaction date). Liberty Global began consolidating 100% of VodafoneZiggo’s results as of July 31, 2026.</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accounted for the VodafoneZiggo Acquisition as a business combination using the acquisition method of accounting, whereby the total purchase price was allocated to the acquired identifiable net assets of VodafoneZiggo based on assessments of their respective fair values, and the excess of the purchase price over the fair values of these identifiable net assets was allocated to goodwill.</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of consideration transferred as part of the VodafoneZiggo Acquisition (in millions, all translations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are as of the transaction date):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 paid at closing (a)</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10% equity interest in Ziggo Group issued to Vodafone (b)</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off-market component of certain arrangements payable to Vodafone (c)</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consideration (d)</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1,626.5</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previously held equity investment in VodafoneZiggo (e)</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line="282" w:lineRule="auto"/>
        <w:tabs>
          <w:tab w:leader="none" w:pos="4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 billion ($1.1 billion) cash consideration under the share purchase agreement, net of adjustments for certain pre-closing transfers of value.</w:t>
      </w:r>
    </w:p>
    <w:p>
      <w:pPr>
        <w:spacing w:after="0" w:line="188"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the 10% noncontrolling equity interest in Ziggo Group issued to Vodafone in the form of 1,959,697,247 Class B ordinary shares. The fair value was determined using an “income approach,” based on a forecast of expected future cash flows.</w:t>
      </w:r>
    </w:p>
    <w:p>
      <w:pPr>
        <w:spacing w:after="0" w:line="188" w:lineRule="exact"/>
        <w:rPr>
          <w:rFonts w:ascii="Times New Roman" w:cs="Times New Roman" w:eastAsia="Times New Roman" w:hAnsi="Times New Roman"/>
          <w:sz w:val="18"/>
          <w:szCs w:val="18"/>
          <w:color w:val="auto"/>
        </w:rPr>
      </w:pPr>
    </w:p>
    <w:p>
      <w:pPr>
        <w:ind w:left="500" w:hanging="492"/>
        <w:spacing w:after="0" w:line="261" w:lineRule="auto"/>
        <w:tabs>
          <w:tab w:leader="none" w:pos="4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fair value of the additional consideration attributable to the off-market component of certain arrangements payable to Vodafone in connection with the VodafoneZiggo Acquisition. This amount was treated as additional consideration transferred.</w:t>
      </w:r>
    </w:p>
    <w:p>
      <w:pPr>
        <w:jc w:val="both"/>
        <w:ind w:left="500" w:hanging="492"/>
        <w:spacing w:after="0" w:line="253" w:lineRule="auto"/>
        <w:tabs>
          <w:tab w:leader="none" w:pos="4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consideration transferred to Vodafone in exchange for its interests in VodafoneZiggo, comprising (i) its 50% equity interest in VodafoneZiggo and (ii) its shareholder loan to a subsidiary of VodafoneZiggo, as described above. In connection with the VodafoneZiggo Acquisition, Liberty Global and Vodafone agreed that the economic benefit attributable to the 50% less one share of Liberty Global’s total indirect 66.8% interest in Wyre is retained within the Ziggo Group. The remaining 50% plus one share of Liberty Global’s total 66.8% interest in Wyre is solely for the benefit of Liberty Global (excluding the Ziggo Group), subject to various other terms and conditions.</w:t>
      </w:r>
    </w:p>
    <w:p>
      <w:pPr>
        <w:spacing w:after="0" w:line="21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our previously held 50% equity interest in VodafoneZiggo immediately prior to the VodafoneZiggo Acquisition, including the VodafoneZiggo JV Receivables, as defined and described in note 5. For additional information regarding the valuation of our</w:t>
      </w:r>
    </w:p>
    <w:p>
      <w:pPr>
        <w:ind w:left="500"/>
        <w:spacing w:after="0"/>
        <w:rPr>
          <w:sz w:val="20"/>
          <w:szCs w:val="20"/>
          <w:color w:val="auto"/>
        </w:rPr>
      </w:pPr>
      <w:r>
        <w:rPr>
          <w:rFonts w:ascii="Times New Roman" w:cs="Times New Roman" w:eastAsia="Times New Roman" w:hAnsi="Times New Roman"/>
          <w:sz w:val="18"/>
          <w:szCs w:val="18"/>
          <w:color w:val="auto"/>
        </w:rPr>
        <w:t>previously held equity interest, see note 7.</w:t>
      </w:r>
    </w:p>
    <w:p>
      <w:pPr>
        <w:spacing w:after="0" w:line="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VodafoneZiggo Acquisition, we also recognized a gain of $121.6 million during the third quarter of 2026, representing the difference between the fair value and carrying amount of our previously held equity investment in the VodafoneZiggo JV. No income taxes were required to be provided on this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preliminary opening balance sheet is subject to adjustment based on our final assessment of the fair values of the acquired identifiable assets and liabilities. Although most items in the valuation process remain open, the items with the highest likelihood of changing upon finalization of the valuation process include (i) goodwill, (ii) property and equipment, (iii) certain intangible assets and their respective estimated useful lives, (iv) income taxes, (v) the fair value of the 10% equity interest in Ziggo Group and (vi) the fair value of the off-market component of certain arrangements payable to Vodafone. A summary of the preliminary purchase consideration and the opening balance sheet of VodafoneZiggo at the July 31, 2026 acquisition date is presented in the following table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 held for sale (a)</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(b)</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 (c)</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held for sale (a)</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(10,002.1)</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(2,075.5)</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23"/>
        </w:trPr>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purchase consideration and fair value of previously held equity investment (d)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3,661.2</w:t>
            </w:r>
          </w:p>
        </w:tc>
      </w:tr>
      <w:tr>
        <w:trPr>
          <w:trHeight w:val="21"/>
        </w:trPr>
        <w:tc>
          <w:tcPr>
            <w:tcW w:w="9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256"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assets and liabilities being sold in connection with the VodafoneZiggo TowerCo Sale (as defined and described below).</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goodwill recognized in connection with the VodafoneZiggo Acquisition primarily represents the future economic benefits of expected cost, operating and financial synergies to be achieved through the integration of VodafoneZiggo and Telenet within the Ziggo Group. None of the goodwill is expected to be deductible for income tax purposes.</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4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customer relationships of $5,015.7 million, mobile spectrum licenses of $723.0 million and trade names of $351.3 million with estimated weighted average remaining useful lives of 17 years, 9 years and 20 years, respectively.</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5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direct acquisition costs of $23.5 million incurred during nine months ended September 30, 2026, which are included in impairment, restructuring and other operating items, net, in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 Forma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consolidated operating results give effect to the VodafoneZiggo Acquisition as if it had been completed as of January 1, 2025, the earliest period presented. These pro forma amounts are not necessarily indicative of the operating results that would have occurred if the VodafoneZiggo Acquisition had occurred on such date. The pro forma adjustments are based on certain assumptions that we believe are reasonable.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8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20" w:type="dxa"/>
            <w:vAlign w:val="bottom"/>
          </w:tcPr>
          <w:p>
            <w:pPr>
              <w:spacing w:after="0"/>
              <w:rPr>
                <w:sz w:val="18"/>
                <w:szCs w:val="18"/>
                <w:color w:val="auto"/>
              </w:rPr>
            </w:pPr>
          </w:p>
        </w:tc>
      </w:tr>
      <w:tr>
        <w:trPr>
          <w:trHeight w:val="166"/>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5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(in millions)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earnings (loss) attributable to Liberty Global shareholders (in millions) (a)</w:t>
            </w:r>
          </w:p>
        </w:tc>
        <w:tc>
          <w:tcPr>
            <w:tcW w:w="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(4,247.0)</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attributable to Liberty Global shareholders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attributable to Liberty Global shareholders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256" w:lineRule="exact"/>
        <w:rPr>
          <w:sz w:val="20"/>
          <w:szCs w:val="20"/>
          <w:color w:val="auto"/>
        </w:rPr>
      </w:pPr>
    </w:p>
    <w:p>
      <w:pPr>
        <w:jc w:val="both"/>
        <w:ind w:left="500" w:hanging="492"/>
        <w:spacing w:after="0" w:line="266" w:lineRule="auto"/>
        <w:tabs>
          <w:tab w:leader="none" w:pos="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earnings for the nine months ended September 30, 2026 include (i) the $121.6 million gain recognized on our previously held equity interest in VodafoneZiggo and (ii) $23.5 million of direct acquisition costs, both of which are nonrecurring and reflected in the period in which they were recognized.</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statement of operations for the nine months ended September 30, 2026 includes revenue of $771.7 million and net loss of $59.1 million attributable to VodafoneZiggo for the period from the July 31, 2026 acquisition date through September 30, 2026. These amounts exclude the share of results of affiliates, net, related to our previously held equity interest in the VodafoneZiggo JV, which is included in our results through the acquisition date.</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Disposition</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UPC Slovakia</w:t>
      </w:r>
    </w:p>
    <w:p>
      <w:pPr>
        <w:spacing w:after="0" w:line="250"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On April 30, 2026, we completed the sale of our operations in Slovakia (</w:t>
      </w:r>
      <w:r>
        <w:rPr>
          <w:rFonts w:ascii="Times New Roman" w:cs="Times New Roman" w:eastAsia="Times New Roman" w:hAnsi="Times New Roman"/>
          <w:sz w:val="18"/>
          <w:szCs w:val="18"/>
          <w:b w:val="1"/>
          <w:bCs w:val="1"/>
          <w:color w:val="auto"/>
        </w:rPr>
        <w:t>UPC Slovakia</w:t>
      </w:r>
      <w:r>
        <w:rPr>
          <w:rFonts w:ascii="Times New Roman" w:cs="Times New Roman" w:eastAsia="Times New Roman" w:hAnsi="Times New Roman"/>
          <w:sz w:val="18"/>
          <w:szCs w:val="18"/>
          <w:color w:val="auto"/>
        </w:rPr>
        <w:t>) to O2 Slovakia s.r.o., an affiliate of e&amp; PPF Telecom Group B.V. After considering working capital adjustments (including cash disposed), we received net cash proceeds of €94.4 million ($110.7 million at the transaction date). During the third quarter of 2026, the final closing statement was settled, resulting in a €0.4 million ($0.5 million) reduction in the transaction consideration. In our segment presentation, UPC Slovakia is included in our “all other category.”</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with the signing of the share purchase agreement on December 18, 2025, we began accounting for UPC Slovakia as held for sale. Accordingly, we ceased to depreciate or amortize the long-lived assets of UPC Slovakia. However, we have not presented UPC Slovakia as a discontinued operation as this transaction did not represent a strategic shift that will have a major effect on our financial results or operations. As of December 31, 2025, the held-for-sale assets and liabilities of UPC Slovakia totaled $122.5 million and $18.2 million, respectively.</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held-for-sale classification and subsequent remeasurement, we recognized an impairment charge of $0.8 million prior to the closing of this transaction to reduce the carrying value of the UPC Slovakia disposal group to its fair value less costs to sell. Upon completion of the sale on April 30, 2026, we reclassified $3.8 million of accumulated foreign currency translation losses previously recognized in accumulated other comprehensive income (loss) into earnings. The impairment charge and the reclassification of accumulated translation adjustments are both included in impairment, restructuring and other operating items, net, in our condensed consolidated statement of operations.</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transaction, we have agreed to provide certain transitional services for a period of up to 42 months from the closing of the transaction. These services principally comprise network and information technology-related functions. The annual charges will depend on the actual level of services required by the purchaser. During the three months ended September</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30, 2026, we recorded revenue of $2.1 million associated with these transitional services. Liberty Global will also allow the use of the “UPC” brand for a transitional period of up to three years as part of the transaction.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Disposition</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VodafoneZiggo TowerCo Sale</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September 8, 2026, VodafoneZiggo entered into an agreement to sell certain towers and rooftop installations to an entity to be jointly owned by funds managed by DigitalBridge, TD Greystone Infrastructure, and Legal &amp; General for total consideration of €669.0 million ($758.6 million) (the </w:t>
      </w:r>
      <w:r>
        <w:rPr>
          <w:rFonts w:ascii="Times New Roman" w:cs="Times New Roman" w:eastAsia="Times New Roman" w:hAnsi="Times New Roman"/>
          <w:sz w:val="18"/>
          <w:szCs w:val="18"/>
          <w:b w:val="1"/>
          <w:bCs w:val="1"/>
          <w:color w:val="auto"/>
        </w:rPr>
        <w:t>VodafoneZiggo TowerCo Sale</w:t>
      </w:r>
      <w:r>
        <w:rPr>
          <w:rFonts w:ascii="Times New Roman" w:cs="Times New Roman" w:eastAsia="Times New Roman" w:hAnsi="Times New Roman"/>
          <w:sz w:val="18"/>
          <w:szCs w:val="18"/>
          <w:color w:val="auto"/>
        </w:rPr>
        <w:t>). Subsequent to the completion of the VodafoneZiggo TowerCo Sale, VodafoneZiggo will lease space on the assets sold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initial term of 12 years. All required regulatory approvals were received in October 2026, and the transaction is expected to be completed in the fourth quarter of 2026. As part of the VodafoneZiggo Acquisition, we accounted for the assets and liabilities subject to the VodafoneZiggo TowerCo Sale as held for sale and, accordingly, do not depreciate or amortize the associated long-lived assets. As of September 30, 2026, the held-for-sale assets and liabilities associated with the VodafoneZiggo TowerCo Sale, which primarily include property and equipment, right-of-use (</w:t>
      </w:r>
      <w:r>
        <w:rPr>
          <w:rFonts w:ascii="Times New Roman" w:cs="Times New Roman" w:eastAsia="Times New Roman" w:hAnsi="Times New Roman"/>
          <w:sz w:val="18"/>
          <w:szCs w:val="18"/>
          <w:b w:val="1"/>
          <w:bCs w:val="1"/>
          <w:color w:val="auto"/>
        </w:rPr>
        <w:t>ROU</w:t>
      </w:r>
      <w:r>
        <w:rPr>
          <w:rFonts w:ascii="Times New Roman" w:cs="Times New Roman" w:eastAsia="Times New Roman" w:hAnsi="Times New Roman"/>
          <w:sz w:val="18"/>
          <w:szCs w:val="18"/>
          <w:color w:val="auto"/>
        </w:rPr>
        <w:t>) asset and lease liabilities, totaled $810.1 million and $125.5 million, respectively. These assets and liabilities are measured at fair value less expected costs to sell.</w:t>
      </w:r>
    </w:p>
    <w:p>
      <w:pPr>
        <w:spacing w:after="0" w:line="21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u w:val="single" w:color="auto"/>
          <w:color w:val="auto"/>
        </w:rPr>
        <w:t>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investments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Accounting Method</w:t>
            </w: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20" w:type="dxa"/>
            <w:vAlign w:val="bottom"/>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Ownership (a)</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(b):</w:t>
            </w:r>
          </w:p>
        </w:tc>
        <w:tc>
          <w:tcPr>
            <w:tcW w:w="2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VMO2 JV</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3,756.7</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AE Group Sàrl (</w:t>
            </w:r>
            <w:r>
              <w:rPr>
                <w:rFonts w:ascii="Times New Roman" w:cs="Times New Roman" w:eastAsia="Times New Roman" w:hAnsi="Times New Roman"/>
                <w:sz w:val="18"/>
                <w:szCs w:val="18"/>
                <w:b w:val="1"/>
                <w:bCs w:val="1"/>
                <w:color w:val="auto"/>
              </w:rPr>
              <w:t>AtlasEdge JV</w:t>
            </w:r>
            <w:r>
              <w:rPr>
                <w:rFonts w:ascii="Times New Roman" w:cs="Times New Roman" w:eastAsia="Times New Roman" w:hAnsi="Times New Roman"/>
                <w:sz w:val="18"/>
                <w:szCs w:val="18"/>
                <w:color w:val="auto"/>
              </w:rPr>
              <w:t>) (c)</w:t>
            </w:r>
          </w:p>
        </w:tc>
        <w:tc>
          <w:tcPr>
            <w:tcW w:w="2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Nexfibre Networks Limited (</w:t>
            </w:r>
            <w:r>
              <w:rPr>
                <w:rFonts w:ascii="Times New Roman" w:cs="Times New Roman" w:eastAsia="Times New Roman" w:hAnsi="Times New Roman"/>
                <w:sz w:val="18"/>
                <w:szCs w:val="18"/>
                <w:b w:val="1"/>
                <w:bCs w:val="1"/>
                <w:color w:val="auto"/>
              </w:rPr>
              <w:t>nexfibre JV</w:t>
            </w:r>
            <w:r>
              <w:rPr>
                <w:rFonts w:ascii="Times New Roman" w:cs="Times New Roman" w:eastAsia="Times New Roman" w:hAnsi="Times New Roman"/>
                <w:sz w:val="18"/>
                <w:szCs w:val="18"/>
                <w:color w:val="auto"/>
              </w:rPr>
              <w:t>) (d)</w:t>
            </w:r>
          </w:p>
        </w:tc>
        <w:tc>
          <w:tcPr>
            <w:tcW w:w="2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VodafoneZiggo JV (e)</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1,738.6</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 equity</w:t>
            </w:r>
          </w:p>
        </w:tc>
        <w:tc>
          <w:tcPr>
            <w:tcW w:w="2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3,989.9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6,054.6</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Separately-managed accounts (</w:t>
            </w:r>
            <w:r>
              <w:rPr>
                <w:rFonts w:ascii="Times New Roman" w:cs="Times New Roman" w:eastAsia="Times New Roman" w:hAnsi="Times New Roman"/>
                <w:sz w:val="18"/>
                <w:szCs w:val="18"/>
                <w:b w:val="1"/>
                <w:bCs w:val="1"/>
                <w:color w:val="auto"/>
              </w:rPr>
              <w:t>SMAs</w:t>
            </w:r>
            <w:r>
              <w:rPr>
                <w:rFonts w:ascii="Times New Roman" w:cs="Times New Roman" w:eastAsia="Times New Roman" w:hAnsi="Times New Roman"/>
                <w:sz w:val="18"/>
                <w:szCs w:val="18"/>
                <w:color w:val="auto"/>
              </w:rPr>
              <w:t>) (f)</w:t>
            </w:r>
          </w:p>
        </w:tc>
        <w:tc>
          <w:tcPr>
            <w:tcW w:w="2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Televisa Univision, Inc. (</w:t>
            </w:r>
            <w:r>
              <w:rPr>
                <w:rFonts w:ascii="Times New Roman" w:cs="Times New Roman" w:eastAsia="Times New Roman" w:hAnsi="Times New Roman"/>
                <w:sz w:val="18"/>
                <w:szCs w:val="18"/>
                <w:b w:val="1"/>
                <w:bCs w:val="1"/>
                <w:color w:val="auto"/>
              </w:rPr>
              <w:t>Televisa Univision</w:t>
            </w:r>
            <w:r>
              <w:rPr>
                <w:rFonts w:ascii="Times New Roman" w:cs="Times New Roman" w:eastAsia="Times New Roman" w:hAnsi="Times New Roman"/>
                <w:sz w:val="18"/>
                <w:szCs w:val="18"/>
                <w:color w:val="auto"/>
              </w:rPr>
              <w:t>)</w:t>
            </w:r>
          </w:p>
        </w:tc>
        <w:tc>
          <w:tcPr>
            <w:tcW w:w="2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ITV plc (</w:t>
            </w:r>
            <w:r>
              <w:rPr>
                <w:rFonts w:ascii="Times New Roman" w:cs="Times New Roman" w:eastAsia="Times New Roman" w:hAnsi="Times New Roman"/>
                <w:sz w:val="18"/>
                <w:szCs w:val="18"/>
                <w:b w:val="1"/>
                <w:bCs w:val="1"/>
                <w:color w:val="auto"/>
              </w:rPr>
              <w:t>ITV</w:t>
            </w:r>
            <w:r>
              <w:rPr>
                <w:rFonts w:ascii="Times New Roman" w:cs="Times New Roman" w:eastAsia="Times New Roman" w:hAnsi="Times New Roman"/>
                <w:sz w:val="18"/>
                <w:szCs w:val="18"/>
                <w:color w:val="auto"/>
              </w:rPr>
              <w:t>) (g)</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CANAL+ Polska S.A.</w:t>
            </w:r>
          </w:p>
        </w:tc>
        <w:tc>
          <w:tcPr>
            <w:tcW w:w="2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Lionsgate Studios Corp. (</w:t>
            </w:r>
            <w:r>
              <w:rPr>
                <w:rFonts w:ascii="Times New Roman" w:cs="Times New Roman" w:eastAsia="Times New Roman" w:hAnsi="Times New Roman"/>
                <w:sz w:val="18"/>
                <w:szCs w:val="18"/>
                <w:b w:val="1"/>
                <w:bCs w:val="1"/>
                <w:color w:val="auto"/>
              </w:rPr>
              <w:t>Lionsgate</w:t>
            </w:r>
            <w:r>
              <w:rPr>
                <w:rFonts w:ascii="Times New Roman" w:cs="Times New Roman" w:eastAsia="Times New Roman" w:hAnsi="Times New Roman"/>
                <w:sz w:val="18"/>
                <w:szCs w:val="18"/>
                <w:color w:val="auto"/>
              </w:rPr>
              <w:t>)</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4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Plume Design, Inc. (</w:t>
            </w:r>
            <w:r>
              <w:rPr>
                <w:rFonts w:ascii="Times New Roman" w:cs="Times New Roman" w:eastAsia="Times New Roman" w:hAnsi="Times New Roman"/>
                <w:sz w:val="18"/>
                <w:szCs w:val="18"/>
                <w:b w:val="1"/>
                <w:bCs w:val="1"/>
                <w:color w:val="auto"/>
              </w:rPr>
              <w:t>Plume</w:t>
            </w:r>
            <w:r>
              <w:rPr>
                <w:rFonts w:ascii="Times New Roman" w:cs="Times New Roman" w:eastAsia="Times New Roman" w:hAnsi="Times New Roman"/>
                <w:sz w:val="18"/>
                <w:szCs w:val="18"/>
                <w:color w:val="auto"/>
              </w:rPr>
              <w:t>) (h)</w:t>
            </w:r>
          </w:p>
        </w:tc>
        <w:tc>
          <w:tcPr>
            <w:tcW w:w="2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4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EdgeConneX, Inc. (</w:t>
            </w:r>
            <w:r>
              <w:rPr>
                <w:rFonts w:ascii="Times New Roman" w:cs="Times New Roman" w:eastAsia="Times New Roman" w:hAnsi="Times New Roman"/>
                <w:sz w:val="18"/>
                <w:szCs w:val="18"/>
                <w:b w:val="1"/>
                <w:bCs w:val="1"/>
                <w:color w:val="auto"/>
              </w:rPr>
              <w:t>EdgeConneX</w:t>
            </w:r>
            <w:r>
              <w:rPr>
                <w:rFonts w:ascii="Times New Roman" w:cs="Times New Roman" w:eastAsia="Times New Roman" w:hAnsi="Times New Roman"/>
                <w:sz w:val="18"/>
                <w:szCs w:val="18"/>
                <w:color w:val="auto"/>
              </w:rPr>
              <w:t>) (i)</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80" w:type="dxa"/>
            <w:vAlign w:val="bottom"/>
          </w:tcPr>
          <w:p>
            <w:pPr>
              <w:spacing w:after="0"/>
              <w:rPr>
                <w:sz w:val="19"/>
                <w:szCs w:val="19"/>
                <w:color w:val="auto"/>
              </w:rPr>
            </w:pP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 fair value</w:t>
            </w:r>
          </w:p>
        </w:tc>
        <w:tc>
          <w:tcPr>
            <w:tcW w:w="24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investments (j)</w:t>
            </w:r>
          </w:p>
        </w:tc>
        <w:tc>
          <w:tcPr>
            <w:tcW w:w="2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7,762.3</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tcBorders>
              <w:top w:val="single" w:sz="8" w:color="CCEEFF"/>
            </w:tcBorders>
            <w:vMerge w:val="continue"/>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7,686.1</w:t>
            </w:r>
          </w:p>
        </w:tc>
        <w:tc>
          <w:tcPr>
            <w:tcW w:w="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economic ownership based on total shares owned as a percentage of total shares outstanding as of the most recent balance sheet date or the most recent publicly-available information.</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equity method investments are originally recorded at cost and are adjusted to recognize our share of net earnings or losses of the affiliates as they occur rather than as dividend distributions are received, with our recognition of losses generally limited to the extent of our investment in, and loans and commitments to, the investee. Accordingly, the carrying values of our equity method investments may not equal their respective fair values. At December 31, 2025, the aggregate carrying amounts of our equity method investments exceeded our proportionate share of the respective investee’s net assets by $1,029.2 million related to amounts associated with the VodafoneZiggo JV Receivables, as defined below.</w:t>
      </w:r>
    </w:p>
    <w:p>
      <w:pPr>
        <w:spacing w:after="0" w:line="210"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Liberty Global owns a 50% noncontrolling voting interest in the AtlasEdge JV.</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Liberty Global owns a 25% noncontrolling voting interest in the nexfibre JV.</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49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result of the VodafoneZiggo Acquisition, we began consolidating VodafoneZiggo’s results from July 31, 2026. For additional information regarding the VodafoneZiggo Acquisition, see note 4. The December 31, 2025 amount includes certain notes receivable previously due from a subsidiary of the VodafoneZiggo JV to a subsidiary of Liberty Global, comprising an aggregate of €907.9 million ($1,065.5 million equivalent at December 31, 2025) (the </w:t>
      </w:r>
      <w:r>
        <w:rPr>
          <w:rFonts w:ascii="Times New Roman" w:cs="Times New Roman" w:eastAsia="Times New Roman" w:hAnsi="Times New Roman"/>
          <w:sz w:val="18"/>
          <w:szCs w:val="18"/>
          <w:b w:val="1"/>
          <w:bCs w:val="1"/>
          <w:color w:val="auto"/>
        </w:rPr>
        <w:t>VodafoneZiggo JV Receivables</w:t>
      </w:r>
      <w:r>
        <w:rPr>
          <w:rFonts w:ascii="Times New Roman" w:cs="Times New Roman" w:eastAsia="Times New Roman" w:hAnsi="Times New Roman"/>
          <w:sz w:val="18"/>
          <w:szCs w:val="18"/>
          <w:color w:val="auto"/>
        </w:rPr>
        <w:t>). At December 31, 2025, the VodafoneZiggo JV Receivables bore interest at a rate of 5.55% and had a final maturity date of December 31, 2030. As a result of the VodafoneZiggo Acquisition, the VodafoneZiggo JV Receivables eliminate in consolidation.</w:t>
      </w:r>
    </w:p>
    <w:p>
      <w:pPr>
        <w:spacing w:after="0" w:line="214"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investments held under SMAs, which were maintained by investment managers acting as agents on our behalf. With the exception of our SMA invested in a leveraged structured note, all investments held under SMAs were sold as of the first quarter of 2025. During the first quarter of 2026, we redeemed $36.6 million of the leveraged structured note. During the second quarter of 2026, we redeemed the remaining leveraged structured note balance and received cash proceeds of $46.3 million. The SMA balance at December 31, 2025 is included in other current assets on our condensed consolidated balance sheet.</w:t>
      </w:r>
    </w:p>
    <w:p>
      <w:pPr>
        <w:spacing w:after="0" w:line="210"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we disposed of approximately one-half of our interest in ITV for aggregate cash proceeds of approximately £76.1 million ($101.8 million).</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Plume includes warrants with a fair value of $17.4 million and $21.1 million at September 30, 2026 and December 31, 2025, respectively.</w:t>
      </w:r>
    </w:p>
    <w:p>
      <w:pPr>
        <w:spacing w:after="0" w:line="188"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we disposed of approximately 16% of our interest in EdgeConneX for aggregate cash proceeds of $73.6 million. On June 29, 2026, we completed the sale of our remaining interest in EdgeConneX for aggregate cash proceeds of $604.2 million.</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and sale of investments are presented on a gross basis in our condensed consolidated statements of cash flows, including amounts associated with SMAs.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results of affiliates,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nexfibre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AtlasEdge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share of the results of operations of the VMO2 JV. The 2026 amounts include our share of a pension settlement charge recognized by the VMO2 JV in connection with the buy-out of a subsidiary pension plan, which was previously recorded as a component of accumulated other comprehensive loss.</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activity through the date of the VodafoneZiggo Acquisition and include (i) our share of the results of operations of the VodafoneZiggo JV and (ii) 100% of the interest income earned on the VodafoneZiggo JV Receivables. For additional information regarding the VodafoneZiggo Acquisition, see note 4.</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VMO2 JV</w:t>
      </w:r>
    </w:p>
    <w:p>
      <w:pPr>
        <w:spacing w:after="0" w:line="25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Pursuant to an agreement (the </w:t>
      </w:r>
      <w:r>
        <w:rPr>
          <w:rFonts w:ascii="Times New Roman" w:cs="Times New Roman" w:eastAsia="Times New Roman" w:hAnsi="Times New Roman"/>
          <w:sz w:val="18"/>
          <w:szCs w:val="18"/>
          <w:b w:val="1"/>
          <w:bCs w:val="1"/>
          <w:color w:val="auto"/>
        </w:rPr>
        <w:t>U.K. JV Framework Agreement</w:t>
      </w:r>
      <w:r>
        <w:rPr>
          <w:rFonts w:ascii="Times New Roman" w:cs="Times New Roman" w:eastAsia="Times New Roman" w:hAnsi="Times New Roman"/>
          <w:sz w:val="18"/>
          <w:szCs w:val="18"/>
          <w:color w:val="auto"/>
        </w:rPr>
        <w:t xml:space="preserve">), Liberty Global provides certain services to the VMO2 JV on a transitional or ongoing basis (collectively, the </w:t>
      </w:r>
      <w:r>
        <w:rPr>
          <w:rFonts w:ascii="Times New Roman" w:cs="Times New Roman" w:eastAsia="Times New Roman" w:hAnsi="Times New Roman"/>
          <w:sz w:val="18"/>
          <w:szCs w:val="18"/>
          <w:b w:val="1"/>
          <w:bCs w:val="1"/>
          <w:color w:val="auto"/>
        </w:rPr>
        <w:t>U.K. JV Services</w:t>
      </w:r>
      <w:r>
        <w:rPr>
          <w:rFonts w:ascii="Times New Roman" w:cs="Times New Roman" w:eastAsia="Times New Roman" w:hAnsi="Times New Roman"/>
          <w:sz w:val="18"/>
          <w:szCs w:val="18"/>
          <w:color w:val="auto"/>
        </w:rPr>
        <w:t>). The agreements underlying the U.K. JV Services expire in 2030. The U.K. JV Services provided by Liberty Global consist primarily of (i) technology and other services and (ii) capital-related expenditures for assets that will be used by, or will otherwise benefit, the VMO2 JV. Liberty Global charges both fixed and variable fees to the VMO2 JV for the U.K. JV Services provided pursuant to the U.K. JV Framework Agreement. At September 30, 2026 and December 31, 2025, $71.9 million and $79.3 million, respectively, was due from the VMO2 JV related to the aforementioned transactions. The amounts due from the VMO2 JV, which are periodically cash settled, are included in other current assets on our condensed consolidated balance sheets.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revenue recorded from the VMO2 JV:</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40" w:type="dxa"/>
            <w:vAlign w:val="bottom"/>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charges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Fixed fee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r>
      <w:tr>
        <w:trPr>
          <w:trHeight w:val="248"/>
        </w:trPr>
        <w:tc>
          <w:tcPr>
            <w:tcW w:w="6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48"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include the sale of customer premises equipment (</w:t>
      </w:r>
      <w:r>
        <w:rPr>
          <w:rFonts w:ascii="Times New Roman" w:cs="Times New Roman" w:eastAsia="Times New Roman" w:hAnsi="Times New Roman"/>
          <w:sz w:val="18"/>
          <w:szCs w:val="18"/>
          <w:b w:val="1"/>
          <w:bCs w:val="1"/>
          <w:color w:val="auto"/>
        </w:rPr>
        <w:t>CPE</w:t>
      </w:r>
      <w:r>
        <w:rPr>
          <w:rFonts w:ascii="Times New Roman" w:cs="Times New Roman" w:eastAsia="Times New Roman" w:hAnsi="Times New Roman"/>
          <w:sz w:val="18"/>
          <w:szCs w:val="18"/>
          <w:color w:val="auto"/>
        </w:rPr>
        <w:t>) at a mark-up.</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summarized results of operations of the VMO2 JV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9,705.4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VodafoneZiggo JV</w:t>
      </w:r>
    </w:p>
    <w:p>
      <w:pPr>
        <w:spacing w:after="0" w:line="250"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 xml:space="preserve">Pursuant to an agreement (the </w:t>
      </w:r>
      <w:r>
        <w:rPr>
          <w:rFonts w:ascii="Times New Roman" w:cs="Times New Roman" w:eastAsia="Times New Roman" w:hAnsi="Times New Roman"/>
          <w:sz w:val="17"/>
          <w:szCs w:val="17"/>
          <w:b w:val="1"/>
          <w:bCs w:val="1"/>
          <w:color w:val="auto"/>
        </w:rPr>
        <w:t>NL JV Framework Agreement</w:t>
      </w:r>
      <w:r>
        <w:rPr>
          <w:rFonts w:ascii="Times New Roman" w:cs="Times New Roman" w:eastAsia="Times New Roman" w:hAnsi="Times New Roman"/>
          <w:sz w:val="17"/>
          <w:szCs w:val="17"/>
          <w:color w:val="auto"/>
        </w:rPr>
        <w:t xml:space="preserve">), Liberty Global historically provided certain services to the VodafoneZiggo JV (collectively, the </w:t>
      </w:r>
      <w:r>
        <w:rPr>
          <w:rFonts w:ascii="Times New Roman" w:cs="Times New Roman" w:eastAsia="Times New Roman" w:hAnsi="Times New Roman"/>
          <w:sz w:val="17"/>
          <w:szCs w:val="17"/>
          <w:b w:val="1"/>
          <w:bCs w:val="1"/>
          <w:color w:val="auto"/>
        </w:rPr>
        <w:t>NL JV Services</w:t>
      </w:r>
      <w:r>
        <w:rPr>
          <w:rFonts w:ascii="Times New Roman" w:cs="Times New Roman" w:eastAsia="Times New Roman" w:hAnsi="Times New Roman"/>
          <w:sz w:val="17"/>
          <w:szCs w:val="17"/>
          <w:color w:val="auto"/>
        </w:rPr>
        <w:t>). The NL JV Services consisted primarily of (i) technology and other services and (ii) capital-related expenditures for assets that were used by, or otherwise benefited, the VodafoneZiggo JV. Liberty Global charged both fixed and usage-based fees to the VodafoneZiggo JV for the NL JV Services provided pursuant to the NL JV Framework Agreement. As a result of the VodafoneZiggo Acquisition, the NL JV Framework Agreement was terminated and transactions between Liberty Global and VodafoneZiggo are eliminated in consolidation. Prior to the acquisition, we recorded revenue from the VodafoneZiggo JV of $18.9 million and $56.1 million during the three months ended September 30, 2026 and 2025, respectively, and $129.6 million and $150.4 million during the nine months ended September 30, 2026 and 2025, respectively, primarily related to (a) the NL JV Services and (b) the sale of CPE to the VodafoneZiggo JV at a mark-up. At December 31, 2025, $42.7 million was due from the VodafoneZiggo JV related to the aforementioned transactions. The amounts due from the VodafoneZiggo JV, which were periodically cash settled, are included in other current assets on our December 31, 2025 condensed consolidated balance sheet. For additional information regarding the VodafoneZiggo Acquisition, see note 4.</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Fair Value Investments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realized and unrealized gains (losses) due to changes in fair values of certain investments,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52"/>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EdgeConneX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Lionsgate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Televisa Univision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 (c)</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EdgeConneX during the second quarter of 2026.</w:t>
      </w:r>
    </w:p>
    <w:p>
      <w:pPr>
        <w:spacing w:after="0" w:line="248" w:lineRule="exact"/>
        <w:rPr>
          <w:rFonts w:ascii="Times New Roman" w:cs="Times New Roman" w:eastAsia="Times New Roman" w:hAnsi="Times New Roman"/>
          <w:sz w:val="18"/>
          <w:szCs w:val="18"/>
          <w:color w:val="auto"/>
        </w:rPr>
      </w:pPr>
    </w:p>
    <w:p>
      <w:pPr>
        <w:jc w:val="both"/>
        <w:ind w:left="500" w:hanging="492"/>
        <w:spacing w:after="0" w:line="268" w:lineRule="auto"/>
        <w:tabs>
          <w:tab w:leader="none" w:pos="49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second quarter of 2025, Lions Gate Entertainment Corp. (NYSE: LGF.A and LGF.B) completed the full separation (the </w:t>
      </w:r>
      <w:r>
        <w:rPr>
          <w:rFonts w:ascii="Times New Roman" w:cs="Times New Roman" w:eastAsia="Times New Roman" w:hAnsi="Times New Roman"/>
          <w:sz w:val="18"/>
          <w:szCs w:val="18"/>
          <w:b w:val="1"/>
          <w:bCs w:val="1"/>
          <w:color w:val="auto"/>
        </w:rPr>
        <w:t>Lionsgate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of its studio and network business into two independent, publicly traded companies, Lionsgate and Starz Entertainment Corp. (</w:t>
      </w:r>
      <w:r>
        <w:rPr>
          <w:rFonts w:ascii="Times New Roman" w:cs="Times New Roman" w:eastAsia="Times New Roman" w:hAnsi="Times New Roman"/>
          <w:sz w:val="18"/>
          <w:szCs w:val="18"/>
          <w:b w:val="1"/>
          <w:bCs w:val="1"/>
          <w:color w:val="auto"/>
        </w:rPr>
        <w:t>Starz</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previous Lions Gate Entertainment Corp. shares have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been exchanged for shares in the new companies Lionsgate (Nasdaq: LION) and Starz (Nasdaq: STRZ). Following the separation, our investment in Starz is reflected in “Other, net” fair value investments in the above table.</w:t>
      </w:r>
    </w:p>
    <w:p>
      <w:pPr>
        <w:spacing w:after="0" w:line="189"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Vodafone during the third quarter of 2025.</w:t>
      </w:r>
    </w:p>
    <w:p>
      <w:pPr>
        <w:spacing w:after="0" w:line="23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Certain of our fair value and equity method investments operate in highly competitive markets. If macroeconomic, competitive, regulatory, or other adverse factors result in a further deterioration in the operating results or cash flows of these businesses, we could determine that the carrying value of such investments is impaired. In addition, the management of our equity method investments could conclude that goodwill and, to a lesser extent, long-lived assets are impaired. Any resulting impairment charges could have a significant adverse impact on our consolidated results of operations.</w:t>
      </w:r>
    </w:p>
    <w:p>
      <w:pPr>
        <w:spacing w:after="0" w:line="217"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256"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publicly-traded securities that we own. In this regard, through our subsidiaries, we have entered into various derivative instruments to manage interest rate exposure and foreign currency exposure primarily with respect to the U.S. dollar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euro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the British pound sterling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Generally, we only apply hedge accounting to our derivative instruments in limited circumstances. Accordingly, changes in the fair values of most of our derivative instruments are recorded in realized and unrealized gains or losses on derivative instruments, net, in our condensed consolidated statements of operations.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of the fair values of our derivative instrument assets and liabilities: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6"/>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1"/>
        </w:trPr>
        <w:tc>
          <w:tcPr>
            <w:tcW w:w="4120" w:type="dxa"/>
            <w:vAlign w:val="bottom"/>
            <w:tcBorders>
              <w:top w:val="single" w:sz="8" w:color="CCEEFF"/>
              <w:bottom w:val="single" w:sz="8" w:color="CCEEFF"/>
            </w:tcBorders>
            <w:shd w:val="clear" w:color="auto" w:fill="CCEEFF"/>
          </w:tcPr>
          <w:p>
            <w:pPr>
              <w:jc w:val="center"/>
              <w:ind w:right="2950"/>
              <w:spacing w:after="0" w:line="196" w:lineRule="exact"/>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314.6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135.0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248.8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jc w:val="center"/>
              <w:ind w:right="2950"/>
              <w:spacing w:after="0"/>
              <w:rPr>
                <w:sz w:val="20"/>
                <w:szCs w:val="20"/>
                <w:color w:val="auto"/>
              </w:rPr>
            </w:pPr>
            <w:r>
              <w:rPr>
                <w:rFonts w:ascii="Times New Roman" w:cs="Times New Roman" w:eastAsia="Times New Roman" w:hAnsi="Times New Roman"/>
                <w:sz w:val="18"/>
                <w:szCs w:val="18"/>
                <w:color w:val="auto"/>
              </w:rPr>
              <w:t>Liabilities (a):</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4120" w:type="dxa"/>
            <w:vAlign w:val="bottom"/>
          </w:tcPr>
          <w:p>
            <w:pPr>
              <w:jc w:val="center"/>
              <w:ind w:right="2950"/>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derivative assets and current and long-term derivative liabilities are included in other assets, net, other accrued and current liabilities and other long-term liabilities, respectively, on our condensed consolidated balance sheets.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9). The changes in the credit risk valuation adjustments associated with our cross-currency and interest rate derivative contracts resulted in net gains (losses) of ($9.7 million) and ($6.1 million) during the three months ended September 30, 2026 and 2025, respectively, and ($6.7 million) and $3.3 million during the nine months ended September 30, 2026 and 2025, respectively. These amounts are included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in realized and unrealized gains (losses) on derivative instruments, net, in our condensed consolidated statements of operations. For further information regarding our fair value measurements, see note 7.</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realized and unrealized gains (losses) on derivative instruments, net,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6"/>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Equity-related derivative instruments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3"/>
        </w:trPr>
        <w:tc>
          <w:tcPr>
            <w:tcW w:w="6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r>
      <w:tr>
        <w:trPr>
          <w:trHeight w:val="21"/>
        </w:trPr>
        <w:tc>
          <w:tcPr>
            <w:tcW w:w="6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cash received or paid related to our derivative instruments is classified as an operating, investing or financing activity in our condensed consolidated statements of cash flows based on the objective of the derivative instrument and the classification of the applicable underlying cash flows. The following table sets forth the classification of the net cash inflows (outflows) of our derivative instruments:</w:t>
      </w:r>
    </w:p>
    <w:p>
      <w:pPr>
        <w:spacing w:after="0" w:line="95" w:lineRule="exact"/>
        <w:rPr>
          <w:sz w:val="20"/>
          <w:szCs w:val="20"/>
          <w:color w:val="auto"/>
        </w:rPr>
      </w:pP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6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166"/>
        </w:trPr>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3"/>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however, given the size of our derivative portfolio, the default of certain counterparties could have a significant impact on our condensed consolidated statements of operations. Collateral is generally not posted by either party under our derivative instruments. At September 30, 2026, our exposure to counterparty credit risk included derivative assets with an aggregate fair value of $637.3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Details of our Derivative Instruments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Cross-currency Swap Contracts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September 30, 2026,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September 30, 2026:</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center"/>
              <w:ind w:left="134"/>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900" w:type="dxa"/>
            <w:vAlign w:val="bottom"/>
          </w:tcPr>
          <w:p>
            <w:pPr>
              <w:spacing w:after="0"/>
              <w:rPr>
                <w:sz w:val="16"/>
                <w:szCs w:val="16"/>
                <w:color w:val="auto"/>
              </w:rPr>
            </w:pP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4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center"/>
              <w:ind w:right="572"/>
              <w:spacing w:after="0"/>
              <w:rPr>
                <w:sz w:val="20"/>
                <w:szCs w:val="20"/>
                <w:color w:val="auto"/>
              </w:rPr>
            </w:pPr>
            <w:r>
              <w:rPr>
                <w:rFonts w:ascii="Times New Roman" w:cs="Times New Roman" w:eastAsia="Times New Roman" w:hAnsi="Times New Roman"/>
                <w:sz w:val="16"/>
                <w:szCs w:val="16"/>
                <w:b w:val="1"/>
                <w:bCs w:val="1"/>
                <w:color w:val="auto"/>
              </w:rPr>
              <w:t>due from counterparty</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due to counterparty</w:t>
            </w:r>
          </w:p>
        </w:tc>
        <w:tc>
          <w:tcPr>
            <w:tcW w:w="4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06"/>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5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w:t>
            </w:r>
          </w:p>
        </w:tc>
      </w:tr>
      <w:tr>
        <w:trPr>
          <w:trHeight w:val="148"/>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9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45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1,495.0</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r>
    </w:tbl>
    <w:p>
      <w:pPr>
        <w:spacing w:after="0" w:line="395" w:lineRule="exact"/>
        <w:rPr>
          <w:sz w:val="20"/>
          <w:szCs w:val="20"/>
          <w:color w:val="auto"/>
        </w:rPr>
      </w:pPr>
    </w:p>
    <w:p>
      <w:pPr>
        <w:ind w:left="500" w:right="20" w:hanging="492"/>
        <w:spacing w:after="0" w:line="282" w:lineRule="auto"/>
        <w:tabs>
          <w:tab w:leader="none" w:pos="4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derivative instruments that are “forward-starting,” such that the initial exchange occurs at a date subsequent to September 30, 2026. These instruments are typically entered into in order to extend existing hedges without the need to amend existing contracts.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Contracts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U.S. dollar equivalents of the notional amounts and the related weighted average remaining contractual lives of our interest rate swap contracts at September 30, 2026:</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20" w:type="dxa"/>
            <w:vAlign w:val="bottom"/>
            <w:gridSpan w:val="5"/>
          </w:tcPr>
          <w:p>
            <w:pPr>
              <w:ind w:left="1060"/>
              <w:spacing w:after="0"/>
              <w:rPr>
                <w:sz w:val="20"/>
                <w:szCs w:val="20"/>
                <w:color w:val="auto"/>
              </w:rPr>
            </w:pPr>
            <w:r>
              <w:rPr>
                <w:rFonts w:ascii="Times New Roman" w:cs="Times New Roman" w:eastAsia="Times New Roman" w:hAnsi="Times New Roman"/>
                <w:sz w:val="16"/>
                <w:szCs w:val="16"/>
                <w:b w:val="1"/>
                <w:bCs w:val="1"/>
                <w:color w:val="auto"/>
              </w:rPr>
              <w:t>Pays fixed rate</w:t>
            </w:r>
          </w:p>
        </w:tc>
        <w:tc>
          <w:tcPr>
            <w:tcW w:w="360" w:type="dxa"/>
            <w:vAlign w:val="bottom"/>
          </w:tcPr>
          <w:p>
            <w:pPr>
              <w:spacing w:after="0"/>
              <w:rPr>
                <w:sz w:val="18"/>
                <w:szCs w:val="18"/>
                <w:color w:val="auto"/>
              </w:rPr>
            </w:pPr>
          </w:p>
        </w:tc>
        <w:tc>
          <w:tcPr>
            <w:tcW w:w="3520" w:type="dxa"/>
            <w:vAlign w:val="bottom"/>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rPr>
              <w:t>Receives fixed rate</w:t>
            </w:r>
          </w:p>
        </w:tc>
      </w:tr>
      <w:tr>
        <w:trPr>
          <w:trHeight w:val="158"/>
        </w:trPr>
        <w:tc>
          <w:tcPr>
            <w:tcW w:w="33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2"/>
          </w:tcPr>
          <w:p>
            <w:pPr>
              <w:jc w:val="center"/>
              <w:ind w:right="480"/>
              <w:spacing w:after="0" w:line="158" w:lineRule="exact"/>
              <w:rPr>
                <w:sz w:val="20"/>
                <w:szCs w:val="20"/>
                <w:color w:val="auto"/>
              </w:rPr>
            </w:pPr>
            <w:r>
              <w:rPr>
                <w:rFonts w:ascii="Times New Roman" w:cs="Times New Roman" w:eastAsia="Times New Roman" w:hAnsi="Times New Roman"/>
                <w:sz w:val="16"/>
                <w:szCs w:val="16"/>
                <w:b w:val="1"/>
                <w:bCs w:val="1"/>
                <w:color w:val="auto"/>
              </w:rPr>
              <w:t>Notional</w:t>
            </w:r>
          </w:p>
        </w:tc>
        <w:tc>
          <w:tcPr>
            <w:tcW w:w="18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3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remaining life</w:t>
            </w:r>
          </w:p>
        </w:tc>
        <w:tc>
          <w:tcPr>
            <w:tcW w:w="360" w:type="dxa"/>
            <w:vAlign w:val="bottom"/>
          </w:tcPr>
          <w:p>
            <w:pPr>
              <w:spacing w:after="0"/>
              <w:rPr>
                <w:sz w:val="18"/>
                <w:szCs w:val="18"/>
                <w:color w:val="auto"/>
              </w:rPr>
            </w:pPr>
          </w:p>
        </w:tc>
        <w:tc>
          <w:tcPr>
            <w:tcW w:w="16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3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206"/>
        </w:trPr>
        <w:tc>
          <w:tcPr>
            <w:tcW w:w="3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4,962.6</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1,780.1</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r>
      <w:tr>
        <w:trPr>
          <w:trHeight w:val="148"/>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4,093.6</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r>
      <w:tr>
        <w:trPr>
          <w:trHeight w:val="148"/>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48"/>
        </w:trPr>
        <w:tc>
          <w:tcPr>
            <w:tcW w:w="3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25" w:lineRule="exact"/>
        <w:rPr>
          <w:sz w:val="20"/>
          <w:szCs w:val="20"/>
          <w:color w:val="auto"/>
        </w:rPr>
      </w:pPr>
    </w:p>
    <w:p>
      <w:pPr>
        <w:ind w:left="500" w:hanging="492"/>
        <w:spacing w:after="0"/>
        <w:tabs>
          <w:tab w:leader="none" w:pos="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forward-starting derivative instruments.</w:t>
      </w:r>
    </w:p>
    <w:p>
      <w:pPr>
        <w:spacing w:after="0" w:line="24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contracts associated with Egg Power AssetCo Limited, a subsidiary of Liberty Global (</w:t>
      </w:r>
      <w:r>
        <w:rPr>
          <w:rFonts w:ascii="Times New Roman" w:cs="Times New Roman" w:eastAsia="Times New Roman" w:hAnsi="Times New Roman"/>
          <w:sz w:val="18"/>
          <w:szCs w:val="18"/>
          <w:b w:val="1"/>
          <w:bCs w:val="1"/>
          <w:color w:val="auto"/>
        </w:rPr>
        <w:t>Egg Power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Basis Swaps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September 30, 2026:</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2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Notional amount due from</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4"/>
        </w:trPr>
        <w:tc>
          <w:tcPr>
            <w:tcW w:w="7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counterparty</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life</w:t>
            </w:r>
          </w:p>
        </w:tc>
      </w:tr>
      <w:tr>
        <w:trPr>
          <w:trHeight w:val="208"/>
        </w:trPr>
        <w:tc>
          <w:tcPr>
            <w:tcW w:w="7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center"/>
              <w:ind w:right="23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r>
      <w:tr>
        <w:trPr>
          <w:trHeight w:val="166"/>
        </w:trPr>
        <w:tc>
          <w:tcPr>
            <w:tcW w:w="7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r>
      <w:tr>
        <w:trPr>
          <w:trHeight w:val="148"/>
        </w:trPr>
        <w:tc>
          <w:tcPr>
            <w:tcW w:w="7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w:t>
            </w:r>
          </w:p>
        </w:tc>
      </w:tr>
      <w:tr>
        <w:trPr>
          <w:trHeight w:val="148"/>
        </w:trPr>
        <w:tc>
          <w:tcPr>
            <w:tcW w:w="7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Caps, Floors and Collars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enter into interest rate cap, floor and collar agreements. Purchased interest rate caps and collars lock in a maximum interest rate if variable rates rise, but also allow our company to benefit, to a limited extent in the case of collars, from declines in market rates. Purchased interest rate floors protect us from interest rates falling below a certain level, generally to match a floating rate floor on a debt instrument. At September 30, 2026, we had no interest rate collar agreements, and the total U.S. dollar equivalents of the notional amounts of our purchased interest rate caps and floors were $1.0 billion and $6.8 billion, respectively.</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Impact of Derivative Instruments on Borrowing Costs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impact of the derivative instruments that mitigate our foreign currency and interest rate risk, as described above, on our borrowing costs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Increase (decrease) to</w:t>
            </w:r>
          </w:p>
        </w:tc>
      </w:tr>
      <w:tr>
        <w:trPr>
          <w:trHeight w:val="162"/>
        </w:trPr>
        <w:tc>
          <w:tcPr>
            <w:tcW w:w="9060" w:type="dxa"/>
            <w:vAlign w:val="bottom"/>
          </w:tcPr>
          <w:p>
            <w:pPr>
              <w:spacing w:after="0"/>
              <w:rPr>
                <w:sz w:val="14"/>
                <w:szCs w:val="14"/>
                <w:color w:val="auto"/>
              </w:rPr>
            </w:pPr>
          </w:p>
        </w:tc>
        <w:tc>
          <w:tcPr>
            <w:tcW w:w="21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borrowing costs at</w:t>
            </w:r>
          </w:p>
        </w:tc>
      </w:tr>
      <w:tr>
        <w:trPr>
          <w:trHeight w:val="214"/>
        </w:trPr>
        <w:tc>
          <w:tcPr>
            <w:tcW w:w="9060" w:type="dxa"/>
            <w:vAlign w:val="bottom"/>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 (a)</w:t>
            </w:r>
          </w:p>
        </w:tc>
      </w:tr>
      <w:tr>
        <w:trPr>
          <w:trHeight w:val="198"/>
        </w:trPr>
        <w:tc>
          <w:tcPr>
            <w:tcW w:w="90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0.34 %</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r>
      <w:tr>
        <w:trPr>
          <w:trHeight w:val="230"/>
        </w:trPr>
        <w:tc>
          <w:tcPr>
            <w:tcW w:w="9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decrease to borrowing costs</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 of derivative instruments in effect at September 30, 2026 and does not include forward-starting derivative instruments.</w:t>
      </w:r>
    </w:p>
    <w:p>
      <w:pPr>
        <w:spacing w:after="0" w:line="2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impact of derivative instruments on borrowing costs at Egg Power.</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Forwards and Options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of our subsidiaries enter into foreign currency forward and option contracts with respect to non-functional currency exposure. As of September 30, 2026, the total U.S. dollar equivalent of the notional amounts of our foreign currency forward and option contracts was $348.7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the fair value method to account for (i) certain of our investments and (ii) our derivative instruments. The reported fair values of these investments and derivative instruments as of September 30, 2026 are unlikely to represent the value that will be paid or received upon the ultimate settlement or disposition of these assets and liabilities.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a Monte Carlo based approach to incorporate a credit risk valuation adjustment in our fair value measurements to estimate the impact of both our own nonperformance risk and the nonperformance risk of our counterparties. Our credit risk valuation adjustments with respect to our cross-currency and interest rate swap contracts are quantified and further explained in note 6.</w:t>
      </w:r>
    </w:p>
    <w:p>
      <w:pPr>
        <w:spacing w:after="0" w:line="20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Fair value measurements are also used for nonrecurring valuations performed in connection with acquisition accounting and impairment assessments. These nonrecurring valuations include the valuation of reporting units, customer relationships and other intangible assets (including franchise and licensing rights), property and equipment and goodwill. The valuation of reporting units is based on an income-based approach (discounted cash flows) using assumptions in our long-range business plans or a market-based approach (current multiples of comparable public companies and guideline transactions) and, in some cases, a combination of an income-based approach and a market-based approach. With the exception of certain inputs for our weighted average cost of capital and discount rate calculations that are derived from pricing services, the inputs used in our discounted cash flow analyses, such as forecasts of future cash flows, including inputs with respect to revenue growth and Adjusted EBITDA margin (as defined in note 16), and terminal growth rates,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Goodwill is determined by allocating the fair value of a reporting unit to all of the assets and liabilities of that unit as if the reporting unit had been acquired in a business combination, with the residual amount allocated to goodwill. Most of our nonrecurring valuations use significant unobservable inputs and therefore fall under Level 3 of the fair value hierarchy. During the nine months ended September 30, 2026, we performed a nonrecurring fair value measurement associated with the VodafoneZiggo Acquisition. The weighted average discount rate used in the preliminary valuation of our previously held equity interest in VodafoneZiggo and customer relationships acquired in connection with the VodafoneZiggo Acquisition was 5.75%. The weighted average discount rate used in the valuation of the 10% equity interest issued in Ziggo Group to Vodafone in connection with the VodafoneZiggo Acquisition was 5.75% for VodafoneZiggo and 6.5% for Telenet. For additional information regarding the VodafoneZiggo Acquisition, see note 4. During the nine months ended September 30, 2025, we did not perform any significant nonrecurring fair value measurements.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fair value measurements, see note 9 to the consolidated financial statements included in our 2025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assets and liabilities that are measured at fair value on a recurring basis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2026 using:</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60" w:type="dxa"/>
            <w:vAlign w:val="bottom"/>
          </w:tcPr>
          <w:p>
            <w:pPr>
              <w:spacing w:after="0"/>
              <w:rPr>
                <w:sz w:val="13"/>
                <w:szCs w:val="13"/>
                <w:color w:val="auto"/>
              </w:rPr>
            </w:pPr>
          </w:p>
        </w:tc>
        <w:tc>
          <w:tcPr>
            <w:tcW w:w="1100" w:type="dxa"/>
            <w:vAlign w:val="bottom"/>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3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60" w:type="dxa"/>
            <w:vAlign w:val="bottom"/>
          </w:tcPr>
          <w:p>
            <w:pPr>
              <w:spacing w:after="0"/>
              <w:rPr>
                <w:sz w:val="14"/>
                <w:szCs w:val="14"/>
                <w:color w:val="auto"/>
              </w:rPr>
            </w:pPr>
          </w:p>
        </w:tc>
        <w:tc>
          <w:tcPr>
            <w:tcW w:w="110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5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8"/>
                <w:szCs w:val="18"/>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8"/>
        </w:trPr>
        <w:tc>
          <w:tcPr>
            <w:tcW w:w="1240" w:type="dxa"/>
            <w:vAlign w:val="bottom"/>
            <w:tcBorders>
              <w:top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23"/>
        </w:trPr>
        <w:tc>
          <w:tcPr>
            <w:tcW w:w="56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4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 using:</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 in</w:t>
            </w: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40" w:type="dxa"/>
            <w:vAlign w:val="bottom"/>
          </w:tcPr>
          <w:p>
            <w:pPr>
              <w:spacing w:after="0"/>
              <w:rPr>
                <w:sz w:val="13"/>
                <w:szCs w:val="13"/>
                <w:color w:val="auto"/>
              </w:rPr>
            </w:pPr>
          </w:p>
        </w:tc>
        <w:tc>
          <w:tcPr>
            <w:tcW w:w="1120" w:type="dxa"/>
            <w:vAlign w:val="bottom"/>
          </w:tcPr>
          <w:p>
            <w:pPr>
              <w:jc w:val="center"/>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0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 for</w:t>
            </w:r>
          </w:p>
        </w:tc>
        <w:tc>
          <w:tcPr>
            <w:tcW w:w="13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162"/>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identical assets</w:t>
            </w:r>
          </w:p>
        </w:tc>
        <w:tc>
          <w:tcPr>
            <w:tcW w:w="138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40" w:type="dxa"/>
            <w:vAlign w:val="bottom"/>
          </w:tcPr>
          <w:p>
            <w:pPr>
              <w:spacing w:after="0"/>
              <w:rPr>
                <w:sz w:val="14"/>
                <w:szCs w:val="14"/>
                <w:color w:val="auto"/>
              </w:rPr>
            </w:pPr>
          </w:p>
        </w:tc>
        <w:tc>
          <w:tcPr>
            <w:tcW w:w="1120" w:type="dxa"/>
            <w:vAlign w:val="bottom"/>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14"/>
        </w:trPr>
        <w:tc>
          <w:tcPr>
            <w:tcW w:w="5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8"/>
                <w:szCs w:val="18"/>
                <w:color w:val="auto"/>
              </w:rPr>
            </w:pPr>
          </w:p>
        </w:tc>
        <w:tc>
          <w:tcPr>
            <w:tcW w:w="112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08"/>
        </w:trPr>
        <w:tc>
          <w:tcPr>
            <w:tcW w:w="1260" w:type="dxa"/>
            <w:vAlign w:val="bottom"/>
            <w:tcBorders>
              <w:top w:val="single" w:sz="8" w:color="auto"/>
            </w:tcBorders>
          </w:tcPr>
          <w:p>
            <w:pPr>
              <w:spacing w:after="0"/>
              <w:rPr>
                <w:sz w:val="18"/>
                <w:szCs w:val="18"/>
                <w:color w:val="auto"/>
              </w:rPr>
            </w:pPr>
          </w:p>
        </w:tc>
        <w:tc>
          <w:tcPr>
            <w:tcW w:w="4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derivative instruments</w:t>
            </w: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SMAs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6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Cross-currency and interest rate derivative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our investments measured at fair value on a recurring basis using significant unobservable,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is as follows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Level 3 investments at January 1, 2026</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r>
      <w:tr>
        <w:trPr>
          <w:trHeight w:val="230"/>
        </w:trPr>
        <w:tc>
          <w:tcPr>
            <w:tcW w:w="9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included in net earnings (a):</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9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Realized and unrealized gains due to changes in fair values of certain investments, net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r>
      <w:tr>
        <w:trPr>
          <w:trHeight w:val="229"/>
        </w:trPr>
        <w:tc>
          <w:tcPr>
            <w:tcW w:w="9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30"/>
        </w:trPr>
        <w:tc>
          <w:tcPr>
            <w:tcW w:w="9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Dispositions</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r>
      <w:tr>
        <w:trPr>
          <w:trHeight w:val="230"/>
        </w:trPr>
        <w:tc>
          <w:tcPr>
            <w:tcW w:w="9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and other, net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Level 3 investments at September 30, 2026 (b)</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Level 3 investments that we continue to carry on our condensed consolidated balance sheet as of September 30, 2026.</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$408.1 million of our Level 3 investments were accounted for under the measurement alternative at cost less impairment, adjusted for observable price changes.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b w:val="1"/>
          <w:bCs w:val="1"/>
          <w:u w:val="single" w:color="auto"/>
          <w:color w:val="auto"/>
        </w:rPr>
        <w:t>Long-lived Assets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property and equipment and the related accumulated depreciation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8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4"/>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66"/>
        </w:trPr>
        <w:tc>
          <w:tcPr>
            <w:tcW w:w="8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systems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7,189.1</w:t>
            </w:r>
          </w:p>
        </w:tc>
      </w:tr>
      <w:tr>
        <w:trPr>
          <w:trHeight w:val="22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Support equipment, buildings and land</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2,941.2</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CPE</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w:t>
            </w:r>
          </w:p>
        </w:tc>
      </w:tr>
      <w:tr>
        <w:trPr>
          <w:trHeight w:val="223"/>
        </w:trPr>
        <w:tc>
          <w:tcPr>
            <w:tcW w:w="8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11,200.5</w:t>
            </w:r>
          </w:p>
        </w:tc>
      </w:tr>
      <w:tr>
        <w:trPr>
          <w:trHeight w:val="23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(5,930.2)</w:t>
            </w:r>
          </w:p>
        </w:tc>
      </w:tr>
      <w:tr>
        <w:trPr>
          <w:trHeight w:val="223"/>
        </w:trPr>
        <w:tc>
          <w:tcPr>
            <w:tcW w:w="8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5,270.3</w:t>
            </w:r>
          </w:p>
        </w:tc>
      </w:tr>
      <w:tr>
        <w:trPr>
          <w:trHeight w:val="21"/>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we recorded non-cash increases to our property and equipment related to vendor financing arrangements of $144.4 million and $72.7 million, respectively, which exclude related value-added taxes (</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of $15.7 million and $12.0 million, respectively, that were also financed under these arrangements.</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our goodwill during the nine months ended September 30, 2026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Acquisitions</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40" w:type="dxa"/>
            <w:vAlign w:val="bottom"/>
          </w:tcPr>
          <w:p>
            <w:pPr>
              <w:spacing w:after="0"/>
              <w:rPr>
                <w:sz w:val="14"/>
                <w:szCs w:val="14"/>
                <w:color w:val="auto"/>
              </w:rPr>
            </w:pPr>
          </w:p>
        </w:tc>
        <w:tc>
          <w:tcPr>
            <w:tcW w:w="120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January 1, 2026</w:t>
            </w:r>
          </w:p>
        </w:tc>
        <w:tc>
          <w:tcPr>
            <w:tcW w:w="120" w:type="dxa"/>
            <w:vAlign w:val="bottom"/>
          </w:tcPr>
          <w:p>
            <w:pPr>
              <w:spacing w:after="0"/>
              <w:rPr>
                <w:sz w:val="14"/>
                <w:szCs w:val="14"/>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Reallocation (a)</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and related</w:t>
            </w:r>
          </w:p>
        </w:tc>
        <w:tc>
          <w:tcPr>
            <w:tcW w:w="144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adjustments and</w:t>
            </w: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208"/>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48"/>
        </w:trPr>
        <w:tc>
          <w:tcPr>
            <w:tcW w:w="4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a €1.3 billion ($1.5 billion) reallocation of certain historical goodwill from Ziggo Group to Wyre.</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Subject to Amortization, Net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intangible assets subject to amortization are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58"/>
        </w:trPr>
        <w:tc>
          <w:tcPr>
            <w:tcW w:w="3500" w:type="dxa"/>
            <w:vAlign w:val="bottom"/>
          </w:tcPr>
          <w:p>
            <w:pPr>
              <w:spacing w:after="0"/>
              <w:rPr>
                <w:sz w:val="13"/>
                <w:szCs w:val="13"/>
                <w:color w:val="auto"/>
              </w:rPr>
            </w:pPr>
          </w:p>
        </w:tc>
        <w:tc>
          <w:tcPr>
            <w:tcW w:w="11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3"/>
                <w:szCs w:val="13"/>
                <w:color w:val="auto"/>
              </w:rPr>
            </w:pPr>
          </w:p>
        </w:tc>
        <w:tc>
          <w:tcPr>
            <w:tcW w:w="1060" w:type="dxa"/>
            <w:vAlign w:val="bottom"/>
          </w:tcPr>
          <w:p>
            <w:pPr>
              <w:jc w:val="center"/>
              <w:ind w:right="54"/>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c>
          <w:tcPr>
            <w:tcW w:w="1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3"/>
                <w:szCs w:val="13"/>
                <w:color w:val="auto"/>
              </w:rPr>
            </w:pPr>
          </w:p>
        </w:tc>
        <w:tc>
          <w:tcPr>
            <w:tcW w:w="1040" w:type="dxa"/>
            <w:vAlign w:val="bottom"/>
          </w:tcPr>
          <w:p>
            <w:pPr>
              <w:jc w:val="right"/>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4"/>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amortization</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8"/>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66"/>
        </w:trPr>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 (a)</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1,144.8</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3"/>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1,349.4</w:t>
            </w:r>
          </w:p>
        </w:tc>
      </w:tr>
      <w:tr>
        <w:trPr>
          <w:trHeight w:val="21"/>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amounts related to (i) certain mobile spectrum licenses and (ii) a licensing agreement with the Fédération Internationale l’Automobile that provides Formula E with the exclusive rights to operate an electric motor racing series.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Debt</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U.S. dollar equivalents of the components of our debt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3"/>
          </w:tcPr>
          <w:p>
            <w:pPr>
              <w:jc w:val="right"/>
              <w:ind w:right="632"/>
              <w:spacing w:after="0" w:line="158" w:lineRule="exact"/>
              <w:rPr>
                <w:sz w:val="20"/>
                <w:szCs w:val="20"/>
                <w:color w:val="auto"/>
              </w:rPr>
            </w:pPr>
            <w:r>
              <w:rPr>
                <w:rFonts w:ascii="Times New Roman" w:cs="Times New Roman" w:eastAsia="Times New Roman" w:hAnsi="Times New Roman"/>
                <w:sz w:val="16"/>
                <w:szCs w:val="16"/>
                <w:b w:val="1"/>
                <w:bCs w:val="1"/>
                <w:color w:val="auto"/>
              </w:rPr>
              <w:t>Unused borrowing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2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20" w:type="dxa"/>
            <w:vAlign w:val="bottom"/>
            <w:gridSpan w:val="3"/>
            <w:vMerge w:val="restart"/>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capacity (b)</w:t>
            </w:r>
          </w:p>
        </w:tc>
        <w:tc>
          <w:tcPr>
            <w:tcW w:w="100" w:type="dxa"/>
            <w:vAlign w:val="bottom"/>
            <w:vMerge w:val="restart"/>
          </w:tcPr>
          <w:p>
            <w:pPr>
              <w:spacing w:after="0"/>
              <w:rPr>
                <w:sz w:val="8"/>
                <w:szCs w:val="8"/>
                <w:color w:val="auto"/>
              </w:rPr>
            </w:pPr>
          </w:p>
        </w:tc>
        <w:tc>
          <w:tcPr>
            <w:tcW w:w="140" w:type="dxa"/>
            <w:vAlign w:val="bottom"/>
          </w:tcPr>
          <w:p>
            <w:pPr>
              <w:spacing w:after="0"/>
              <w:rPr>
                <w:sz w:val="8"/>
                <w:szCs w:val="8"/>
                <w:color w:val="auto"/>
              </w:rPr>
            </w:pPr>
          </w:p>
        </w:tc>
        <w:tc>
          <w:tcPr>
            <w:tcW w:w="2600" w:type="dxa"/>
            <w:vAlign w:val="bottom"/>
            <w:gridSpan w:val="4"/>
            <w:vMerge w:val="restart"/>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0" w:type="dxa"/>
            <w:vAlign w:val="bottom"/>
          </w:tcPr>
          <w:p>
            <w:pPr>
              <w:spacing w:after="0"/>
              <w:rPr>
                <w:sz w:val="1"/>
                <w:szCs w:val="1"/>
                <w:color w:val="auto"/>
              </w:rPr>
            </w:pPr>
          </w:p>
        </w:tc>
      </w:tr>
      <w:tr>
        <w:trPr>
          <w:trHeight w:val="120"/>
        </w:trPr>
        <w:tc>
          <w:tcPr>
            <w:tcW w:w="4260" w:type="dxa"/>
            <w:vAlign w:val="bottom"/>
          </w:tcPr>
          <w:p>
            <w:pPr>
              <w:spacing w:after="0"/>
              <w:rPr>
                <w:sz w:val="10"/>
                <w:szCs w:val="10"/>
                <w:color w:val="auto"/>
              </w:rPr>
            </w:pPr>
          </w:p>
        </w:tc>
        <w:tc>
          <w:tcPr>
            <w:tcW w:w="13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3"/>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26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vMerge w:val="restart"/>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200" w:type="dxa"/>
            <w:vAlign w:val="bottom"/>
          </w:tcPr>
          <w:p>
            <w:pPr>
              <w:spacing w:after="0" w:line="20" w:lineRule="exact"/>
              <w:rPr>
                <w:sz w:val="1"/>
                <w:szCs w:val="1"/>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U.S. $</w:t>
            </w:r>
          </w:p>
        </w:tc>
        <w:tc>
          <w:tcPr>
            <w:tcW w:w="140" w:type="dxa"/>
            <w:vAlign w:val="bottom"/>
          </w:tcPr>
          <w:p>
            <w:pPr>
              <w:spacing w:after="0" w:line="20" w:lineRule="exact"/>
              <w:rPr>
                <w:sz w:val="1"/>
                <w:szCs w:val="1"/>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line="20" w:lineRule="exact"/>
              <w:rPr>
                <w:sz w:val="1"/>
                <w:szCs w:val="1"/>
                <w:color w:val="auto"/>
              </w:rPr>
            </w:pPr>
          </w:p>
        </w:tc>
        <w:tc>
          <w:tcPr>
            <w:tcW w:w="1160" w:type="dxa"/>
            <w:vAlign w:val="bottom"/>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line="20" w:lineRule="exact"/>
              <w:rPr>
                <w:sz w:val="1"/>
                <w:szCs w:val="1"/>
                <w:color w:val="auto"/>
              </w:rPr>
            </w:pPr>
          </w:p>
        </w:tc>
      </w:tr>
      <w:tr>
        <w:trPr>
          <w:trHeight w:val="162"/>
        </w:trPr>
        <w:tc>
          <w:tcPr>
            <w:tcW w:w="426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 (a)</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Senior and Senior Secured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VodafoneZiggo Credit Facility (c)</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Wyre Facilities (d)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(d)</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(d)</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Telenet Credit Facility (e)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Telenet Senior Secured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 Ireland Credit Facility (f)</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Vendor financing (g)</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(h)</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0" w:type="dxa"/>
            <w:vAlign w:val="bottom"/>
          </w:tcPr>
          <w:p>
            <w:pPr>
              <w:spacing w:after="0"/>
              <w:rPr>
                <w:sz w:val="1"/>
                <w:szCs w:val="1"/>
                <w:color w:val="auto"/>
              </w:rPr>
            </w:pPr>
          </w:p>
        </w:tc>
      </w:tr>
      <w:tr>
        <w:trPr>
          <w:trHeight w:val="156"/>
        </w:trPr>
        <w:tc>
          <w:tcPr>
            <w:tcW w:w="426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Total debt before deferred financing costs, discounts</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8,584.8</w:t>
            </w:r>
          </w:p>
        </w:tc>
        <w:tc>
          <w:tcPr>
            <w:tcW w:w="0" w:type="dxa"/>
            <w:vAlign w:val="bottom"/>
          </w:tcPr>
          <w:p>
            <w:pPr>
              <w:spacing w:after="0"/>
              <w:rPr>
                <w:sz w:val="1"/>
                <w:szCs w:val="1"/>
                <w:color w:val="auto"/>
              </w:rPr>
            </w:pPr>
          </w:p>
        </w:tc>
      </w:tr>
      <w:tr>
        <w:trPr>
          <w:trHeight w:val="236"/>
        </w:trPr>
        <w:tc>
          <w:tcPr>
            <w:tcW w:w="4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premiums (i)</w:t>
            </w: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total debt before deferred financing costs, discounts and premiums to total debt and finance lease obligations: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66"/>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before deferred financing costs, discounts and premiums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8,584.8</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discounts and premiums, net (j)</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carrying amount of debt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8,561.8</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obligations (note 10)</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 and finance lease obligations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8,594.9</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debt and finance lease obligations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and finance lease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7,830.9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55" w:lineRule="auto"/>
        <w:tabs>
          <w:tab w:leader="none" w:pos="4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average interest rate in effect at September 30, 2026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 or discounts and commitment fees, but excluding the impact of deferred financing costs and certain other obligations that we assumed in connection with certain acquisitions, the weighted average interest rate on our aggregate variable- and fixed-rate indebtedness was 4.28% at September 30, 2026. The weighted average interest rate calculation includes principal amounts outstanding associated with all of our secured and unsecured borrowings. For information regarding our derivative instruments, see note 6.</w:t>
      </w:r>
    </w:p>
    <w:p>
      <w:pPr>
        <w:spacing w:after="0" w:line="21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represents the maximum availability under the applicable facility at September 30, 2026 without regard to covenant compliance calculations or other conditions precedent to borrowing. With the exception of our unused borrowing capacity at Wyre (as described below), the following table provides our borrowing availability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amounts available to loan or distribute in accordance with the terms of the respective subsidiary facilities (i) at September 30, 2026 and (ii) upon completion of the relevant September 30, 2026 compliance reporting requirements. These amounts do not consider any actual or potential changes to our borrowing levels or any amounts loaned or distributed subsequent to September 30, 2026, or the full impact of additional amounts that may be available to borrow, loan or distribute within each respective facility.</w:t>
      </w:r>
    </w:p>
    <w:p>
      <w:pPr>
        <w:spacing w:after="0" w:line="10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4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Availability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40" w:type="dxa"/>
            <w:vAlign w:val="bottom"/>
            <w:gridSpan w:val="3"/>
          </w:tcPr>
          <w:p>
            <w:pPr>
              <w:jc w:val="right"/>
              <w:ind w:right="272"/>
              <w:spacing w:after="0" w:line="158" w:lineRule="exact"/>
              <w:rPr>
                <w:sz w:val="20"/>
                <w:szCs w:val="20"/>
                <w:color w:val="auto"/>
              </w:rPr>
            </w:pPr>
            <w:r>
              <w:rPr>
                <w:rFonts w:ascii="Times New Roman" w:cs="Times New Roman" w:eastAsia="Times New Roman" w:hAnsi="Times New Roman"/>
                <w:sz w:val="16"/>
                <w:szCs w:val="16"/>
                <w:b w:val="1"/>
                <w:bCs w:val="1"/>
                <w:color w:val="auto"/>
              </w:rPr>
              <w:t>Upon completion of the relevant</w:t>
            </w: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4"/>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4"/>
                <w:szCs w:val="14"/>
                <w:color w:val="auto"/>
              </w:rPr>
            </w:pPr>
          </w:p>
        </w:tc>
        <w:tc>
          <w:tcPr>
            <w:tcW w:w="2640" w:type="dxa"/>
            <w:vAlign w:val="bottom"/>
            <w:gridSpan w:val="3"/>
          </w:tcPr>
          <w:p>
            <w:pPr>
              <w:jc w:val="right"/>
              <w:ind w:right="212"/>
              <w:spacing w:after="0" w:line="162" w:lineRule="exact"/>
              <w:rPr>
                <w:sz w:val="20"/>
                <w:szCs w:val="20"/>
                <w:color w:val="auto"/>
              </w:rPr>
            </w:pPr>
            <w:r>
              <w:rPr>
                <w:rFonts w:ascii="Times New Roman" w:cs="Times New Roman" w:eastAsia="Times New Roman" w:hAnsi="Times New Roman"/>
                <w:sz w:val="16"/>
                <w:szCs w:val="16"/>
                <w:b w:val="1"/>
                <w:bCs w:val="1"/>
                <w:color w:val="auto"/>
              </w:rPr>
              <w:t>September 30, 2026 compliance</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3"/>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reporting requirements</w:t>
            </w:r>
          </w:p>
        </w:tc>
        <w:tc>
          <w:tcPr>
            <w:tcW w:w="0" w:type="dxa"/>
            <w:vAlign w:val="bottom"/>
          </w:tcPr>
          <w:p>
            <w:pPr>
              <w:spacing w:after="0"/>
              <w:rPr>
                <w:sz w:val="1"/>
                <w:szCs w:val="1"/>
                <w:color w:val="auto"/>
              </w:rPr>
            </w:pPr>
          </w:p>
        </w:tc>
      </w:tr>
      <w:tr>
        <w:trPr>
          <w:trHeight w:val="157"/>
        </w:trPr>
        <w:tc>
          <w:tcPr>
            <w:tcW w:w="45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33"/>
              <w:spacing w:after="0" w:line="15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4"/>
              <w:spacing w:after="0" w:line="158" w:lineRule="exact"/>
              <w:rPr>
                <w:sz w:val="20"/>
                <w:szCs w:val="20"/>
                <w:color w:val="auto"/>
              </w:rPr>
            </w:pPr>
            <w:r>
              <w:rPr>
                <w:rFonts w:ascii="Times New Roman" w:cs="Times New Roman" w:eastAsia="Times New Roman" w:hAnsi="Times New Roman"/>
                <w:sz w:val="16"/>
                <w:szCs w:val="16"/>
                <w:b w:val="1"/>
                <w:bCs w:val="1"/>
                <w:color w:val="auto"/>
                <w:w w:val="98"/>
              </w:rPr>
              <w:t>U.S. $</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54"/>
              <w:spacing w:after="0" w:line="158" w:lineRule="exact"/>
              <w:rPr>
                <w:sz w:val="20"/>
                <w:szCs w:val="20"/>
                <w:color w:val="auto"/>
              </w:rPr>
            </w:pPr>
            <w:r>
              <w:rPr>
                <w:rFonts w:ascii="Times New Roman" w:cs="Times New Roman" w:eastAsia="Times New Roman" w:hAnsi="Times New Roman"/>
                <w:sz w:val="16"/>
                <w:szCs w:val="16"/>
                <w:b w:val="1"/>
                <w:bCs w:val="1"/>
                <w:color w:val="auto"/>
              </w:rPr>
              <w:t>Borrowing</w:t>
            </w: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52"/>
              <w:spacing w:after="0" w:line="158" w:lineRule="exact"/>
              <w:rPr>
                <w:sz w:val="20"/>
                <w:szCs w:val="20"/>
                <w:color w:val="auto"/>
              </w:rPr>
            </w:pPr>
            <w:r>
              <w:rPr>
                <w:rFonts w:ascii="Times New Roman" w:cs="Times New Roman" w:eastAsia="Times New Roman" w:hAnsi="Times New Roman"/>
                <w:sz w:val="16"/>
                <w:szCs w:val="16"/>
                <w:b w:val="1"/>
                <w:bCs w:val="1"/>
                <w:color w:val="auto"/>
              </w:rPr>
              <w:t>U.S. $</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equivalent</w:t>
            </w:r>
          </w:p>
        </w:tc>
        <w:tc>
          <w:tcPr>
            <w:tcW w:w="0" w:type="dxa"/>
            <w:vAlign w:val="bottom"/>
          </w:tcPr>
          <w:p>
            <w:pPr>
              <w:spacing w:after="0"/>
              <w:rPr>
                <w:sz w:val="1"/>
                <w:szCs w:val="1"/>
                <w:color w:val="auto"/>
              </w:rPr>
            </w:pPr>
          </w:p>
        </w:tc>
      </w:tr>
      <w:tr>
        <w:trPr>
          <w:trHeight w:val="208"/>
        </w:trPr>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95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to borrow:</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VodafoneZiggo Credit Facility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Telenet Credit Facility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605.0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605.0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VM Ireland Credit Facility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 to loan or distribute: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VodafoneZiggo Credit Facility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Telenet Credit Facility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605.0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605.0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VM Ireland Credit Facility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100.0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00" w:hanging="492"/>
        <w:spacing w:after="0" w:line="282" w:lineRule="auto"/>
        <w:tabs>
          <w:tab w:leader="none" w:pos="4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VodafoneZiggo Credit Facility relates to €800.0 million ($907.2 million) under the VodafoneZiggo Revolving Facility G2, which was undrawn at September 30, 2026.</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Wyre Facilities (as defined and described below) relates to (i) €911.0 million ($1,033.0 million) available under the Wyre Capex Term Facility (as defined and described below) and (ii) (a) €235.0 million ($266.5 million) under the Wyre DSR Facility (as defined and described below) and (b) €215.0 million ($243.8 million) under the Wyre Revolving Facility (as defined and described below), each of which was undrawn at September 30, 2026.</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56" w:lineRule="auto"/>
        <w:tabs>
          <w:tab w:leader="none" w:pos="4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2026, unused borrowing capacity under the Telenet Credit Facility amounted to €605.0 million ($686.0 million) comprising (i) €580.0 million ($657.7 million) under Telenet Revolving Facility I and (ii) €25.0 million ($28.3 million) under the Telenet Overdraft Facility, each of which was undrawn at September 30, 2026. In January 2026, €90.0 million ($102.1 million) of borrowings under Telenet Revolving Facility I were repaid, restoring total available capacity under Telenet Revolving Facility I to €580.0 million. In February 2026, €550.0 million ($623.7 million) of Telenet Revolving Facility I was amended to extend the maturity date from May 2029 to May 2032. The €20.0 million ($22.7 million) Telenet Revolving Facility expired during the third quarter of 2026 and was not renewed.</w:t>
      </w:r>
    </w:p>
    <w:p>
      <w:pPr>
        <w:spacing w:after="0" w:line="214" w:lineRule="exact"/>
        <w:rPr>
          <w:rFonts w:ascii="Times New Roman" w:cs="Times New Roman" w:eastAsia="Times New Roman" w:hAnsi="Times New Roman"/>
          <w:sz w:val="18"/>
          <w:szCs w:val="18"/>
          <w:color w:val="auto"/>
        </w:rPr>
      </w:pPr>
    </w:p>
    <w:p>
      <w:pPr>
        <w:ind w:left="500" w:hanging="492"/>
        <w:spacing w:after="0" w:line="282" w:lineRule="auto"/>
        <w:tabs>
          <w:tab w:leader="none" w:pos="4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Unused borrowing capacity under the VM Ireland Credit Facility relates to €100.0 million ($113.4 million) under the VM Ireland Revolving Facility, which was undrawn at September 30, 2026.</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54" w:lineRule="auto"/>
        <w:tabs>
          <w:tab w:leader="none" w:pos="4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owed to various creditors pursuant to interest-bearing vendor financing arrangements that are used to finance certain of our property and equipment additions and operating expenses. These arrangements extend our repayment terms beyond a vendor’s original due dates (e.g., extension beyond a vendor’s customary payment terms, which are generally 90 days or less) and as such are classified outside of accounts payable as debt on our condensed consolidated balance sheets. These obligations are generally due within one year and include VAT that was also financed under these arrangements. For purposes of our condensed consolidated statements of cash flows, operating-related expenses financed by an intermediary are treated as constructive operating cash outflows and constructive financing cash inflows when the intermediary settles the liability with the vendor as there is no actual cash outflow until we pay the financing intermediary. During the nine months ended September 30, 2026 and 2025, the constructive cash outflow included in cash flows from operating activities and the corresponding constructive cash inflow included in cash flows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from financing activities related to these operating expenses were $443.2 million and $251.6 million, respectively. Repayments of vendor financing obligations at the time we pay the financing intermediary are included in repayments and repurchases of debt and finance lease obligations in our condensed consolidated statements of cash flows.</w:t>
      </w:r>
    </w:p>
    <w:p>
      <w:pPr>
        <w:spacing w:after="0" w:line="203" w:lineRule="exact"/>
        <w:rPr>
          <w:sz w:val="20"/>
          <w:szCs w:val="20"/>
          <w:color w:val="auto"/>
        </w:rPr>
      </w:pPr>
    </w:p>
    <w:p>
      <w:pPr>
        <w:jc w:val="both"/>
        <w:ind w:left="500" w:hanging="492"/>
        <w:spacing w:after="0" w:line="255" w:lineRule="auto"/>
        <w:tabs>
          <w:tab w:leader="none" w:pos="4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September 30, 2026 and December 31, 2025, amounts include (i) $184.4 million and $228.4 million, respectively, of debt collateralized by certain trade receivables of Telenet and (ii) $400.4 million and $423.4 million, respectively, of liabilities related to Telenet’s acquisition of mobile spectrum licenses. Telenet will make annual payments for the license fees over the terms of the respective licenses. In addition, amounts include (a) for the September 30, 2026 amount, €300.0 million ($340.2 million) of debt drawn under the HoldCo Facility (as defined and described below), (b) $92.9 million and $19.8 million, respectively, of debt drawn on a capital expenditure term loan facility at Egg Power (the </w:t>
      </w:r>
      <w:r>
        <w:rPr>
          <w:rFonts w:ascii="Times New Roman" w:cs="Times New Roman" w:eastAsia="Times New Roman" w:hAnsi="Times New Roman"/>
          <w:sz w:val="18"/>
          <w:szCs w:val="18"/>
          <w:b w:val="1"/>
          <w:bCs w:val="1"/>
          <w:color w:val="auto"/>
        </w:rPr>
        <w:t>Egg Power Capex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and (c) $56.7 million and $58.7 million, respectively, of debt related to an advance against the assignment of certain future sponsorship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receivables of Formula E.</w:t>
      </w:r>
    </w:p>
    <w:p>
      <w:pPr>
        <w:spacing w:after="0" w:line="21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our debt had an estimated fair value of $20.4 billion and $8.6 billion, respectively. The estimated fair values of our debt instruments are generally determined using the average of applicable bid and ask prices (mostly Level 1 of the fair value hierarchy). For additional information regarding fair value hierarchies, see note 7.</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VodafoneZiggo Acquisition, adjustments were made to record acquired debt at its preliminary estimated fair value as of the acquisition date rather than historical amortized cost. As of September 30, 2026, approximately $1.1 billion of this fair value adjustment remained outstanding and is reflected as a reduction in the amount presented above. The fair value adjustment will be amortized as an increase to interest expense over the remaining terms of the related debt instruments. For additional information regarding the VodafoneZiggo Acquisition, see note 4.</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2026, most of our outstanding debt had been incurred by three of our four subsidiary “borrowing groups.” References to these borrowing groups, which comprise VodafoneZiggo, Wyre, Telenet and VM Ireland, include their respective restricted parent and subsidiary entities. Below we provide summary descriptions of certain financing transactions completed during 2026. For information regarding the general terms and conditions of our debt and capitalized terms not defined herein, see note 11 to the consolidated financial statements included in our 2025 10-K.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April 2026, Telenet purchased and extinguished $28.4 million of the $1.0 billion principal amount of Telenet 5.50% Senior Notes due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May 2026, Wyre Finance BV (</w:t>
      </w:r>
      <w:r>
        <w:rPr>
          <w:rFonts w:ascii="Times New Roman" w:cs="Times New Roman" w:eastAsia="Times New Roman" w:hAnsi="Times New Roman"/>
          <w:sz w:val="18"/>
          <w:szCs w:val="18"/>
          <w:b w:val="1"/>
          <w:bCs w:val="1"/>
          <w:color w:val="auto"/>
        </w:rPr>
        <w:t>Wyre Finance</w:t>
      </w:r>
      <w:r>
        <w:rPr>
          <w:rFonts w:ascii="Times New Roman" w:cs="Times New Roman" w:eastAsia="Times New Roman" w:hAnsi="Times New Roman"/>
          <w:sz w:val="18"/>
          <w:szCs w:val="18"/>
          <w:color w:val="auto"/>
        </w:rPr>
        <w:t xml:space="preserve">), a direct wholly-owned subsidiary of Wyre, entered into a bank facilities agreement comprised of (i) a €2.7 billion ($3.1 billion) term loan facility (the </w:t>
      </w:r>
      <w:r>
        <w:rPr>
          <w:rFonts w:ascii="Times New Roman" w:cs="Times New Roman" w:eastAsia="Times New Roman" w:hAnsi="Times New Roman"/>
          <w:sz w:val="18"/>
          <w:szCs w:val="18"/>
          <w:b w:val="1"/>
          <w:bCs w:val="1"/>
          <w:color w:val="auto"/>
        </w:rPr>
        <w:t>Wyre Term Facility</w:t>
      </w:r>
      <w:r>
        <w:rPr>
          <w:rFonts w:ascii="Times New Roman" w:cs="Times New Roman" w:eastAsia="Times New Roman" w:hAnsi="Times New Roman"/>
          <w:sz w:val="18"/>
          <w:szCs w:val="18"/>
          <w:color w:val="auto"/>
        </w:rPr>
        <w:t xml:space="preserve">), (ii) a €1.2 billion ($1.4 billion) capex term loan facility (the </w:t>
      </w:r>
      <w:r>
        <w:rPr>
          <w:rFonts w:ascii="Times New Roman" w:cs="Times New Roman" w:eastAsia="Times New Roman" w:hAnsi="Times New Roman"/>
          <w:sz w:val="18"/>
          <w:szCs w:val="18"/>
          <w:b w:val="1"/>
          <w:bCs w:val="1"/>
          <w:color w:val="auto"/>
        </w:rPr>
        <w:t>Wyre Capex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(iii) a €215.0 million ($243.8 million) revolving facility (the</w:t>
      </w:r>
      <w:r>
        <w:rPr>
          <w:rFonts w:ascii="Times New Roman" w:cs="Times New Roman" w:eastAsia="Times New Roman" w:hAnsi="Times New Roman"/>
          <w:sz w:val="18"/>
          <w:szCs w:val="18"/>
          <w:b w:val="1"/>
          <w:bCs w:val="1"/>
          <w:color w:val="auto"/>
        </w:rPr>
        <w:t xml:space="preserve"> Wyre Revolving Facility</w:t>
      </w:r>
      <w:r>
        <w:rPr>
          <w:rFonts w:ascii="Times New Roman" w:cs="Times New Roman" w:eastAsia="Times New Roman" w:hAnsi="Times New Roman"/>
          <w:sz w:val="18"/>
          <w:szCs w:val="18"/>
          <w:color w:val="auto"/>
        </w:rPr>
        <w:t>) and (iv) a €235.0 million ($266.5 million) debt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reserve facility (the </w:t>
      </w:r>
      <w:r>
        <w:rPr>
          <w:rFonts w:ascii="Times New Roman" w:cs="Times New Roman" w:eastAsia="Times New Roman" w:hAnsi="Times New Roman"/>
          <w:sz w:val="18"/>
          <w:szCs w:val="18"/>
          <w:b w:val="1"/>
          <w:bCs w:val="1"/>
          <w:color w:val="auto"/>
        </w:rPr>
        <w:t>Wyre DSR Facility</w:t>
      </w:r>
      <w:r>
        <w:rPr>
          <w:rFonts w:ascii="Times New Roman" w:cs="Times New Roman" w:eastAsia="Times New Roman" w:hAnsi="Times New Roman"/>
          <w:sz w:val="18"/>
          <w:szCs w:val="18"/>
          <w:color w:val="auto"/>
        </w:rPr>
        <w:t xml:space="preserve"> and, together with the Wyre Term Facility, Wyre Capex Term Facility and Wyre Revolving Facility, the “</w:t>
      </w:r>
      <w:r>
        <w:rPr>
          <w:rFonts w:ascii="Times New Roman" w:cs="Times New Roman" w:eastAsia="Times New Roman" w:hAnsi="Times New Roman"/>
          <w:sz w:val="18"/>
          <w:szCs w:val="18"/>
          <w:b w:val="1"/>
          <w:bCs w:val="1"/>
          <w:color w:val="auto"/>
        </w:rPr>
        <w:t>Wyre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18"/>
          <w:szCs w:val="18"/>
          <w:color w:val="auto"/>
        </w:rPr>
        <w:t>”). In July 2026, we received the approval of the fiber network cooperation agreement with Proximus by the Belgian Competition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which allowed us to separate the Telenet and Wyre capital structures and access the funds available pursuant to the Wyre Facilities. The Wyre Term Facility may be used for, among other things, the refinancing of existing indebtedness (including intercompany loans), the funding of dividends or other distributions, investments and general corporate purposes of Wyre and its subsidiaries. The Wyre Capex Term Facility may be used for the financing and refinancing of capital expenditures and certain permitted acquisitions of Wyre and its subsidiaries, while the Wyre Revolving Facility is intended to support working capital and other general corporate purposes of Wyre and its subsidiaries. The Wyre DSR Facility is available to fund certain debt service liquidity requirements of Wyre and its subsidiaries. Borrowings under the Wyre Facilities bear interest at EURIBOR plus a margin ranging from 2.35% to 3.25%, with the applicable margin increasing annually from the third anniversary of the first utilization of the Wyre Term Facility and mature seven years after the first utilization date. The Wyre Facilities supersede the previously disclosed €500.0 million ($567.0 million) standalone Wyre Capex Facility, which expired in February 2026 without being utilized.</w:t>
      </w:r>
    </w:p>
    <w:p>
      <w:pPr>
        <w:spacing w:after="0" w:line="21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July 2026, Wyre Finance drew €2.9 billion ($3.3 billion) under the Wyre Facilities (the </w:t>
      </w:r>
      <w:r>
        <w:rPr>
          <w:rFonts w:ascii="Times New Roman" w:cs="Times New Roman" w:eastAsia="Times New Roman" w:hAnsi="Times New Roman"/>
          <w:sz w:val="18"/>
          <w:szCs w:val="18"/>
          <w:b w:val="1"/>
          <w:bCs w:val="1"/>
          <w:color w:val="auto"/>
        </w:rPr>
        <w:t>Wyre Financing Transactions</w:t>
      </w:r>
      <w:r>
        <w:rPr>
          <w:rFonts w:ascii="Times New Roman" w:cs="Times New Roman" w:eastAsia="Times New Roman" w:hAnsi="Times New Roman"/>
          <w:sz w:val="18"/>
          <w:szCs w:val="18"/>
          <w:color w:val="auto"/>
        </w:rPr>
        <w:t>), consisting of €2.7 billion ($3.1 billion) under the Wyre Term Facility and €214.0 million ($242.7 million) under the Wyre Capex Term Facility. The net proceeds were used for, among other things, (i) the refinancing of existing indebtedness, including intercompany loans to shareholders and an intercompany loan to Telenet International Finance Sarl (</w:t>
      </w:r>
      <w:r>
        <w:rPr>
          <w:rFonts w:ascii="Times New Roman" w:cs="Times New Roman" w:eastAsia="Times New Roman" w:hAnsi="Times New Roman"/>
          <w:sz w:val="18"/>
          <w:szCs w:val="18"/>
          <w:b w:val="1"/>
          <w:bCs w:val="1"/>
          <w:color w:val="auto"/>
        </w:rPr>
        <w:t>TIF</w:t>
      </w:r>
      <w:r>
        <w:rPr>
          <w:rFonts w:ascii="Times New Roman" w:cs="Times New Roman" w:eastAsia="Times New Roman" w:hAnsi="Times New Roman"/>
          <w:sz w:val="18"/>
          <w:szCs w:val="18"/>
          <w:color w:val="auto"/>
        </w:rPr>
        <w:t>), a wholly-owned subsidiary of Telenet, (ii) the funding of dividends and (iii) other general corporate purposes. During the remainder of the third quarter of 2026, Wyre Finance drew an additional €75.0 million ($85.0 million) under the Wyre Capex Term Facility.</w:t>
      </w:r>
    </w:p>
    <w:p>
      <w:pPr>
        <w:spacing w:after="0" w:line="21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August 2026, €283.0 million ($320.9 million) of the Wyre Facilities was refinanced by Wyre Finance into a 5% fixed rate facility maturing in 2033 (the </w:t>
      </w:r>
      <w:r>
        <w:rPr>
          <w:rFonts w:ascii="Times New Roman" w:cs="Times New Roman" w:eastAsia="Times New Roman" w:hAnsi="Times New Roman"/>
          <w:sz w:val="18"/>
          <w:szCs w:val="18"/>
          <w:b w:val="1"/>
          <w:bCs w:val="1"/>
          <w:color w:val="auto"/>
        </w:rPr>
        <w:t>Wyre Fixed Rate Facility</w:t>
      </w:r>
      <w:r>
        <w:rPr>
          <w:rFonts w:ascii="Times New Roman" w:cs="Times New Roman" w:eastAsia="Times New Roman" w:hAnsi="Times New Roman"/>
          <w:sz w:val="18"/>
          <w:szCs w:val="18"/>
          <w:color w:val="auto"/>
        </w:rPr>
        <w:t>). The reduction in the Wyre Facilities was split between the Wyre Term Facility in the amount of €155.7 million ($176.9 million) and the Wyre Capex Term Facility in the amount of €127.3 million ($144.0 million).</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and August 2026, Telenet used a portion of the proceeds received by TIF from the Wyre Financing Transactions to repay certain outstanding indebtedness, including (i) prepay in full the $2,295.0 million outstanding principal under Telenet Term Loan AR and (ii) purchase and extinguishment of $158.5 million of the $971.6 million principal amount of Telenet 5.50% Senior Notes due 2028.</w:t>
      </w:r>
    </w:p>
    <w:p>
      <w:pPr>
        <w:spacing w:after="0" w:line="19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July 2026, Liberty Global Europe Holdings BV (</w:t>
      </w:r>
      <w:r>
        <w:rPr>
          <w:rFonts w:ascii="Times New Roman" w:cs="Times New Roman" w:eastAsia="Times New Roman" w:hAnsi="Times New Roman"/>
          <w:sz w:val="18"/>
          <w:szCs w:val="18"/>
          <w:b w:val="1"/>
          <w:bCs w:val="1"/>
          <w:color w:val="auto"/>
        </w:rPr>
        <w:t>LGEH</w:t>
      </w:r>
      <w:r>
        <w:rPr>
          <w:rFonts w:ascii="Times New Roman" w:cs="Times New Roman" w:eastAsia="Times New Roman" w:hAnsi="Times New Roman"/>
          <w:sz w:val="18"/>
          <w:szCs w:val="18"/>
          <w:color w:val="auto"/>
        </w:rPr>
        <w:t>), a wholly-owned subsidiary of Liberty Global, entered into a €300.0 million financing facility. On July 30, 2026, the facility agreement was amended and restated such that Telenet Holdco II BV (</w:t>
      </w:r>
      <w:r>
        <w:rPr>
          <w:rFonts w:ascii="Times New Roman" w:cs="Times New Roman" w:eastAsia="Times New Roman" w:hAnsi="Times New Roman"/>
          <w:sz w:val="18"/>
          <w:szCs w:val="18"/>
          <w:b w:val="1"/>
          <w:bCs w:val="1"/>
          <w:color w:val="auto"/>
        </w:rPr>
        <w:t>Telenet Holdco II</w:t>
      </w:r>
      <w:r>
        <w:rPr>
          <w:rFonts w:ascii="Times New Roman" w:cs="Times New Roman" w:eastAsia="Times New Roman" w:hAnsi="Times New Roman"/>
          <w:sz w:val="18"/>
          <w:szCs w:val="18"/>
          <w:color w:val="auto"/>
        </w:rPr>
        <w:t xml:space="preserve">), a wholly-owned subsidiary of Telenet, became the borrower under the facility (the </w:t>
      </w:r>
      <w:r>
        <w:rPr>
          <w:rFonts w:ascii="Times New Roman" w:cs="Times New Roman" w:eastAsia="Times New Roman" w:hAnsi="Times New Roman"/>
          <w:sz w:val="18"/>
          <w:szCs w:val="18"/>
          <w:b w:val="1"/>
          <w:bCs w:val="1"/>
          <w:color w:val="auto"/>
        </w:rPr>
        <w:t>HoldCo Facility</w:t>
      </w:r>
      <w:r>
        <w:rPr>
          <w:rFonts w:ascii="Times New Roman" w:cs="Times New Roman" w:eastAsia="Times New Roman" w:hAnsi="Times New Roman"/>
          <w:sz w:val="18"/>
          <w:szCs w:val="18"/>
          <w:color w:val="auto"/>
        </w:rPr>
        <w:t>). Concurrently, Telenet Holdco II entered into an intercompany loan agreement with LGEH under substantially similar terms. The obligations under the HoldCo Facility are secured by Liberty Global’s ownership interest in Wyre. The HoldCo Facility bears interest at a rate of EURIBOR plus a margin ranging from 2.75% to 4.75% and matures three years after the initial drawdown. In August 2026, Telenet Holdco II drew the full €300.0 million under the HoldCo Facility and immediately on-lent the proceeds to LGEH. The proceeds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Maturities of Debt</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Maturities of our debt as of September 30, 2026 are presented below for the named entity and its subsidiaries, unless otherwise noted, and represent U.S. dollar equivalents based on September 30, 2026 exchange rates.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Vodafone-</w:t>
            </w:r>
          </w:p>
        </w:tc>
        <w:tc>
          <w:tcPr>
            <w:tcW w:w="22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240" w:type="dxa"/>
            <w:vAlign w:val="bottom"/>
          </w:tcPr>
          <w:p>
            <w:pPr>
              <w:spacing w:after="0"/>
              <w:rPr>
                <w:sz w:val="16"/>
                <w:szCs w:val="16"/>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Wyre</w:t>
            </w:r>
          </w:p>
        </w:tc>
        <w:tc>
          <w:tcPr>
            <w:tcW w:w="120" w:type="dxa"/>
            <w:vAlign w:val="bottom"/>
          </w:tcPr>
          <w:p>
            <w:pPr>
              <w:spacing w:after="0"/>
              <w:rPr>
                <w:sz w:val="16"/>
                <w:szCs w:val="16"/>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VM Ireland</w:t>
            </w:r>
          </w:p>
        </w:tc>
        <w:tc>
          <w:tcPr>
            <w:tcW w:w="160" w:type="dxa"/>
            <w:vAlign w:val="bottom"/>
          </w:tcPr>
          <w:p>
            <w:pPr>
              <w:spacing w:after="0"/>
              <w:rPr>
                <w:sz w:val="16"/>
                <w:szCs w:val="16"/>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 (a)</w:t>
            </w:r>
          </w:p>
        </w:tc>
        <w:tc>
          <w:tcPr>
            <w:tcW w:w="240" w:type="dxa"/>
            <w:vAlign w:val="bottom"/>
          </w:tcPr>
          <w:p>
            <w:pPr>
              <w:spacing w:after="0"/>
              <w:rPr>
                <w:sz w:val="16"/>
                <w:szCs w:val="16"/>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Ziggo</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 (remainder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3,946.8</w:t>
            </w:r>
          </w:p>
        </w:tc>
        <w:tc>
          <w:tcPr>
            <w:tcW w:w="0" w:type="dxa"/>
            <w:vAlign w:val="bottom"/>
          </w:tcPr>
          <w:p>
            <w:pPr>
              <w:spacing w:after="0"/>
              <w:rPr>
                <w:sz w:val="1"/>
                <w:szCs w:val="1"/>
                <w:color w:val="auto"/>
              </w:rPr>
            </w:pPr>
          </w:p>
        </w:tc>
      </w:tr>
      <w:tr>
        <w:trPr>
          <w:trHeight w:val="229"/>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11,006.1</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debt maturities (b)</w:t>
            </w: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12,201.3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21,771.9</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discounts and premiums, net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20,523.2</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569.9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1,763.6</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06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line="282" w:lineRule="auto"/>
        <w:tabs>
          <w:tab w:leader="none" w:pos="4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$340.2 million of debt drawn under the HoldCo Facility, (ii) $92.9 million of debt drawn on the Egg Power Capex Facility and (iii) $56.7 million of debt related to an advance against the assignment of certain future sponsorship receivables of Formula E.</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vendor financing obligations of $1,489.8 million, as set forth below:</w:t>
      </w:r>
    </w:p>
    <w:p>
      <w:pPr>
        <w:spacing w:after="0" w:line="127"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Vodafone-</w:t>
            </w:r>
          </w:p>
        </w:tc>
        <w:tc>
          <w:tcPr>
            <w:tcW w:w="20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Telenet</w:t>
            </w:r>
          </w:p>
        </w:tc>
        <w:tc>
          <w:tcPr>
            <w:tcW w:w="360" w:type="dxa"/>
            <w:vAlign w:val="bottom"/>
          </w:tcPr>
          <w:p>
            <w:pPr>
              <w:spacing w:after="0"/>
              <w:rPr>
                <w:sz w:val="16"/>
                <w:szCs w:val="16"/>
                <w:color w:val="auto"/>
              </w:rPr>
            </w:pPr>
          </w:p>
        </w:tc>
        <w:tc>
          <w:tcPr>
            <w:tcW w:w="76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Ziggo (1)</w:t>
            </w:r>
          </w:p>
        </w:tc>
        <w:tc>
          <w:tcPr>
            <w:tcW w:w="20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 (remainder of year)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0" w:type="dxa"/>
            <w:vAlign w:val="bottom"/>
          </w:tcPr>
          <w:p>
            <w:pPr>
              <w:spacing w:after="0"/>
              <w:rPr>
                <w:sz w:val="1"/>
                <w:szCs w:val="1"/>
                <w:color w:val="auto"/>
              </w:rPr>
            </w:pPr>
          </w:p>
        </w:tc>
      </w:tr>
      <w:tr>
        <w:trPr>
          <w:trHeight w:val="223"/>
        </w:trPr>
        <w:tc>
          <w:tcPr>
            <w:tcW w:w="6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vendor financing maturities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66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980" w:hanging="486"/>
        <w:spacing w:after="0" w:line="289" w:lineRule="auto"/>
        <w:tabs>
          <w:tab w:leader="none" w:pos="97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VodafoneZiggo Vendor Financing II B.V., a third-party special purpose financing entity that is not consolidated by VodafoneZiggo, has issued an aggregate €700.0 million ($793.8 million) in notes maturing in January 2029 (the </w:t>
      </w:r>
      <w:r>
        <w:rPr>
          <w:rFonts w:ascii="Times New Roman" w:cs="Times New Roman" w:eastAsia="Times New Roman" w:hAnsi="Times New Roman"/>
          <w:sz w:val="17"/>
          <w:szCs w:val="17"/>
          <w:b w:val="1"/>
          <w:bCs w:val="1"/>
          <w:color w:val="auto"/>
        </w:rPr>
        <w:t>Vendor Financing II Notes</w:t>
      </w:r>
      <w:r>
        <w:rPr>
          <w:rFonts w:ascii="Times New Roman" w:cs="Times New Roman" w:eastAsia="Times New Roman" w:hAnsi="Times New Roman"/>
          <w:sz w:val="17"/>
          <w:szCs w:val="17"/>
          <w:color w:val="auto"/>
        </w:rPr>
        <w:t>). The net proceeds from the Vendor Financing II Notes are used to fund the purchase of vendor-financed receivables owed by VodafoneZiggo to certain third parties.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Vendor Financing Obligations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our vendor financing obligations for the indicated periods is set forth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166"/>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29"/>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Operating-related vendor financing additions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Capital-related vendor financing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0"/>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Vendor financing additions associated with the VodafoneZiggo Acquisition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360" w:hanging="352"/>
        <w:spacing w:after="0"/>
        <w:tabs>
          <w:tab w:leader="none" w:pos="3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We enter into operating and finance leases for network equipment, real estate, mobile site sharing and vehicles. We provide residual value guarantees on certain of our vehicle leases.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Lease Balances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ROU assets and lease liabilities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0" w:type="dxa"/>
            <w:vAlign w:val="bottom"/>
            <w:gridSpan w:val="4"/>
          </w:tcPr>
          <w:p>
            <w:pPr>
              <w:jc w:val="right"/>
              <w:ind w:right="103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52"/>
        </w:trPr>
        <w:tc>
          <w:tcPr>
            <w:tcW w:w="8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 (b)</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ROU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 (c)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Finance leases (d)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58" w:lineRule="auto"/>
        <w:tabs>
          <w:tab w:leader="none" w:pos="49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ROU assets are included in other assets, net, on our condensed consolidated balance sheets. At September 30, 2026, the weighted average remaining lease term for operating leases was 9.3 years and the weighted average discount rate was 4.0%. During the nine months ended September 30, 2026 and 2025, we recorded non-cash additions to our operating lease ROU assets of $81.7 million and $29.6 million, respectively. The increase in our operating lease ROU assets is primarily related to the VodafoneZiggo Acquisition. For additional information, see note 4.</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500" w:hanging="492"/>
        <w:spacing w:after="0" w:line="266" w:lineRule="auto"/>
        <w:tabs>
          <w:tab w:leader="none" w:pos="4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finance lease ROU assets are included in property and equipment, net, on our condensed consolidated balance sheets. At September 30, 2026, the weighted average remaining lease term for finance leases was 5.3 years and the weighted average discount rate was 3.8%. During the nine months ended September 30, 2026 and 2025, we recorded non-cash additions to our finance lease ROU assets of $1.0 million and nil, respectively.</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portions of our operating lease liabilities are included in other accrued and current liabilities on our condensed consolidated balance sheets. The increase in our operating lease liabilities is primarily related to the VodafoneZiggo Acquisition. For additional information, see note 4.</w:t>
      </w:r>
    </w:p>
    <w:p>
      <w:pPr>
        <w:spacing w:after="0" w:line="188"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portions of our finance lease liabilities are included in current portion of debt and finance lease obligations on our condensed consolidated balance sheets.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aggregate lease expense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020" w:type="dxa"/>
            <w:vAlign w:val="bottom"/>
            <w:gridSpan w:val="4"/>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8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240" w:type="dxa"/>
            <w:vAlign w:val="bottom"/>
          </w:tcPr>
          <w:p>
            <w:pPr>
              <w:spacing w:after="0"/>
              <w:rPr>
                <w:sz w:val="18"/>
                <w:szCs w:val="18"/>
                <w:color w:val="auto"/>
              </w:rPr>
            </w:pPr>
          </w:p>
        </w:tc>
        <w:tc>
          <w:tcPr>
            <w:tcW w:w="202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2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6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66"/>
        </w:trPr>
        <w:tc>
          <w:tcPr>
            <w:tcW w:w="6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76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 (a)</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 (a)</w:t>
            </w:r>
          </w:p>
        </w:tc>
        <w:tc>
          <w:tcPr>
            <w:tcW w:w="7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 (b)</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 expense</w:t>
            </w: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1"/>
        </w:trPr>
        <w:tc>
          <w:tcPr>
            <w:tcW w:w="6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lease expense and short-term lease expense are included in programming and other direct costs of services, other operating expenses, SG&amp;A expenses and impairment, restructuring and other operating items, net, in our condensed consolidated statements of operations.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expense represents payments made to a lessor during the lease term that vary due to changes in circumstances that occur after the lease commencement date. Variable lease payments are expensed as incurred and are included in other operating expenses in our condensed consolidated statements of operations.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cash outflows from operating and finance leases is set forth below:</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8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06"/>
        </w:trPr>
        <w:tc>
          <w:tcPr>
            <w:tcW w:w="8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outflows from finance leases (interest component)</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Financing cash outflows from finance leases (principal component)</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outflows from operating and finance leases</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Maturities of our operating and finance lease liabilities as of September 30, 2026 are presented below. Amounts represent U.S. dollar equivalents based on September 30, 2026 exchange rates.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40" w:type="dxa"/>
            <w:vAlign w:val="bottom"/>
          </w:tcPr>
          <w:p>
            <w:pPr>
              <w:spacing w:after="0"/>
              <w:rPr>
                <w:sz w:val="16"/>
                <w:szCs w:val="16"/>
                <w:color w:val="auto"/>
              </w:rPr>
            </w:pPr>
          </w:p>
        </w:tc>
        <w:tc>
          <w:tcPr>
            <w:tcW w:w="9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0" w:type="dxa"/>
            <w:vAlign w:val="bottom"/>
          </w:tcPr>
          <w:p>
            <w:pPr>
              <w:spacing w:after="0"/>
              <w:rPr>
                <w:sz w:val="1"/>
                <w:szCs w:val="1"/>
                <w:color w:val="auto"/>
              </w:rPr>
            </w:pPr>
          </w:p>
        </w:tc>
      </w:tr>
      <w:tr>
        <w:trPr>
          <w:trHeight w:val="214"/>
        </w:trPr>
        <w:tc>
          <w:tcPr>
            <w:tcW w:w="84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0" w:type="dxa"/>
            <w:vAlign w:val="bottom"/>
          </w:tcPr>
          <w:p>
            <w:pPr>
              <w:spacing w:after="0"/>
              <w:rPr>
                <w:sz w:val="1"/>
                <w:szCs w:val="1"/>
                <w:color w:val="auto"/>
              </w:rPr>
            </w:pPr>
          </w:p>
        </w:tc>
      </w:tr>
      <w:tr>
        <w:trPr>
          <w:trHeight w:val="208"/>
        </w:trPr>
        <w:tc>
          <w:tcPr>
            <w:tcW w:w="8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 (remainder of year)</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payments</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jc w:val="both"/>
        <w:ind w:left="500" w:hanging="492"/>
        <w:spacing w:after="0" w:line="261" w:lineRule="auto"/>
        <w:tabs>
          <w:tab w:leader="none" w:pos="4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payments exclude $220.2 million of estimated future payments for lease commitments not yet commenced at Ziggo Group. These payments relate to (i) the lease of the new corporate headquarters commencing in 2031 and (ii) the lease back of build-to-suit sites on certain passive infrastructure and tower assets sold to DigitalBridge Investments LLC in 2022, the majority of which are not anticipated to commence until after 2028. Telenet will act as an agent over the construction of future towers on the build-to-suit sites.</w:t>
      </w:r>
    </w:p>
    <w:p>
      <w:pPr>
        <w:spacing w:after="0" w:line="203" w:lineRule="exact"/>
        <w:rPr>
          <w:sz w:val="20"/>
          <w:szCs w:val="20"/>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2026 was 623.6% (income tax benefit of $652.3 million), which differs from the Bermuda statutory rate of 15.0% (expected income tax benefit of $15.7 million). This difference is primarily due to the positive impact of the release of valuation allowances in the Netherlands of $709.3 million (678.1%), as explained below.</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effective tax rate for the nine months ended September 30, 2026 was (483.1%) (income tax benefit of $454.1 million), which differs from the Bermuda statutory rate of 15.0% (expected income tax expense of $14.1 million). This difference is primarily due to the positive impact of the release of valuation allowances in the Netherlands of $709.3 million (754.6%), as explained below. The positive impact of this item was partially offset by the negative impact of the derecognition of a tax litigation-related receivable in the U.S. of $133.3 million (141.8%).</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2025 was 36.0% (income tax benefit of $46.9 million), which differs from the Bermuda statutory rate of 15.0% (expected income tax benefit of $19.6 million). This difference is primarily due to the positive impacts of (i) a net decrease in unrecognized tax benefits of $46.4 million (35.6%) and (ii) statutory rates in certain jurisdictions in which we operate that are different than the Bermuda statutory rate, including $14.5 million (11.1%) in the U.K. The positive impacts of these items were partially offset by the negative impacts of (a) a net increase in valuation allowances in the U.K. of $23.0 million (17.7%) and (b) non-deductible net income from certain investments in the U.K. and the Netherlands of $9.2 million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effective tax rate for the nine months ended September 30, 2025 was 2.7% (income tax benefit of $116.0 million), which differs from the Bermuda statutory rate of 15.0% (expected income tax benefit of $644.5 million). This difference is primarily due to the negative impacts of (i) non-deductible net foreign currency exchange losses in the U.K. of $899.9 million (20.9%) and (ii) non-deductible net losses from certain investments in the U.K. and the Netherlands of $122.0 million (2.8%). The negative impacts of these items were partially offset by the positive impacts of (a) statutory rates in certain jurisdictions in which we operate that are different than the Bermuda statutory rate, including $406.8 million (9.5%) in the U.K., and (b) the release of valuation allowances in Luxembourg of $86.0 million (2.0%).</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2026, we released the valuation allowance previously recorded against certain deferred tax assets in the Netherlands. This release was primarily driven by changes in our assessment of the realizability of tax loss carryforwards following the acquisition of VodafoneZiggo and the inclusion of VodafoneZiggo entities within the Ziggo Group fiscal unity for Dutch tax purposes. The amount of the release reflects management’s updated assessment of the portion of the deferred tax assets that is more likely than not to be realized.</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On July 4, 2025, the One Big Beautiful Bill Act (the </w:t>
      </w:r>
      <w:r>
        <w:rPr>
          <w:rFonts w:ascii="Times New Roman" w:cs="Times New Roman" w:eastAsia="Times New Roman" w:hAnsi="Times New Roman"/>
          <w:sz w:val="18"/>
          <w:szCs w:val="18"/>
          <w:b w:val="1"/>
          <w:bCs w:val="1"/>
          <w:color w:val="auto"/>
        </w:rPr>
        <w:t>OBBBA</w:t>
      </w:r>
      <w:r>
        <w:rPr>
          <w:rFonts w:ascii="Times New Roman" w:cs="Times New Roman" w:eastAsia="Times New Roman" w:hAnsi="Times New Roman"/>
          <w:sz w:val="18"/>
          <w:szCs w:val="18"/>
          <w:color w:val="auto"/>
        </w:rPr>
        <w:t>) was enacted in the U.S., introducing various changes to federal tax law. We have evaluated the provisions of the OBBBA and determined that they did not have a material impact on our consolidated financial statements through September 30, 2026, nor do we currently anticipate that the OBBBA will have a material impact on our consolidated financial statements in the future.</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our unrecognized tax benefits were $151.4 million, of which $92.1 million would have a favorable impact on our effective income tax rate if ultimately recognized, after considering amounts that we would expect to be offset by valuation allowances and other factors.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 authorities in either cash or agreement of income tax positions or (ii) the date when the tax authorities are statutorily prohibited from adjusting the company’s tax computations.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general, tax returns filed by our company or our subsidiaries for years prior to 2019 are no longer subject to examination</w:t>
      </w:r>
    </w:p>
    <w:p>
      <w:pPr>
        <w:spacing w:after="0" w:line="2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by tax authorities. Certain of our subsidiaries are currently involved in income tax examinations in various jurisdictions in which we operate, including Belgium, Luxembourg and the U.S. While we do not expect adjustments from the foregoing examinations to have a material impact on our consolidated financial position, results of operations or cash flows, no assurance can be given that this will be the case given the amounts involved and the complex nature of the related issues.</w:t>
      </w:r>
    </w:p>
    <w:p>
      <w:pPr>
        <w:spacing w:after="0" w:line="21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7, 2022, the U.S. Department of Justice (</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filed a suit against Liberty Global, Inc. (</w:t>
      </w:r>
      <w:r>
        <w:rPr>
          <w:rFonts w:ascii="Times New Roman" w:cs="Times New Roman" w:eastAsia="Times New Roman" w:hAnsi="Times New Roman"/>
          <w:sz w:val="18"/>
          <w:szCs w:val="18"/>
          <w:b w:val="1"/>
          <w:bCs w:val="1"/>
          <w:color w:val="auto"/>
        </w:rPr>
        <w:t>LGI</w:t>
      </w:r>
      <w:r>
        <w:rPr>
          <w:rFonts w:ascii="Times New Roman" w:cs="Times New Roman" w:eastAsia="Times New Roman" w:hAnsi="Times New Roman"/>
          <w:sz w:val="18"/>
          <w:szCs w:val="18"/>
          <w:color w:val="auto"/>
        </w:rPr>
        <w:t xml:space="preserve">), a wholly-owned U.S. subsidiary of Liberty Global, in the U.S. District Court of Colorado (the </w:t>
      </w:r>
      <w:r>
        <w:rPr>
          <w:rFonts w:ascii="Times New Roman" w:cs="Times New Roman" w:eastAsia="Times New Roman" w:hAnsi="Times New Roman"/>
          <w:sz w:val="18"/>
          <w:szCs w:val="18"/>
          <w:b w:val="1"/>
          <w:bCs w:val="1"/>
          <w:color w:val="auto"/>
        </w:rPr>
        <w:t>District Court</w:t>
      </w:r>
      <w:r>
        <w:rPr>
          <w:rFonts w:ascii="Times New Roman" w:cs="Times New Roman" w:eastAsia="Times New Roman" w:hAnsi="Times New Roman"/>
          <w:sz w:val="18"/>
          <w:szCs w:val="18"/>
          <w:color w:val="auto"/>
        </w:rPr>
        <w:t xml:space="preserve">) for unpaid federal income taxes and penalties for the 2018 tax year of approximately $284 million. This action by the DOJ is related to the November 2020 complaint filed by LGI in the District Court seeking a refund of approximately $110 million of taxes, penalties and interest associated with the application of certain temporary Treasury regulations issued in June 2019. In October 2023, the District Court entered judgment against LGI with respect to the refund claim and we appealed this decision to the U.S. Court of Appeals for the Tenth Circuit (the </w:t>
      </w:r>
      <w:r>
        <w:rPr>
          <w:rFonts w:ascii="Times New Roman" w:cs="Times New Roman" w:eastAsia="Times New Roman" w:hAnsi="Times New Roman"/>
          <w:sz w:val="18"/>
          <w:szCs w:val="18"/>
          <w:b w:val="1"/>
          <w:bCs w:val="1"/>
          <w:color w:val="auto"/>
        </w:rPr>
        <w:t>Court of Appeals</w:t>
      </w:r>
      <w:r>
        <w:rPr>
          <w:rFonts w:ascii="Times New Roman" w:cs="Times New Roman" w:eastAsia="Times New Roman" w:hAnsi="Times New Roman"/>
          <w:sz w:val="18"/>
          <w:szCs w:val="18"/>
          <w:color w:val="auto"/>
        </w:rPr>
        <w:t>) in December 2023. In April 2026, the Court of Appeals upheld the District Court’s decision with respect to the refund claim. As a result of the adverse appellate ruling, we concluded that the realization of the refund is no longer probable; therefore, in the first quarter of 2026, we derecognized the associated receivable. In August 2026, the Court of Appeals denied our petition for en banc review. We intend to file a petition for a writ of certiorari with the U.S. Supreme Court. As it pertains to the suit filed by the DOJ in 2022, we will continue our defense of certain matters not specifically addressed in the decision by the Court of Appeals.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80" w:hanging="472"/>
        <w:spacing w:after="0"/>
        <w:tabs>
          <w:tab w:leader="none" w:pos="4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July 2026, our board of directors approved a share repurchase program pursuant to which we are authorized to repurchase up to $100.0 million of our outstanding Class A and/or Class C common shares through December 29, 2026.</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(i) 6,328,325 of our Class A common shares at an average price per share of $10.51 and (ii) 3,281,316 of our Class C common shares at an average price per share of $10.23, for an aggregate purchase price of $100.0 million, including direct acquisition costs. As of September 30, 2026, the authorization under this share repurchase program had been fully utilized. In October 2026, our board of directors authorized the repurchase of up to an additional $100.0 million of our outstanding Class A and/or Class C common shares.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Subsidiary Dividends and Distributions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certain of our subsidiaries make cash distributions to their respective shareholders. Our share of these distributions is eliminated in consolidation and the noncontrolling interest owners’ share of these distributions is reflected as a charge against noncontrolling interests in our condensed consolidated statements of equity. In this regard, during the third quarter of 2026, Wyre paid aggregate dividends of €596.0 million ($678.5 million at the transaction date), of which €398.1 million ($453.2 million at the transaction date) was paid to Telenet and €197.9 million ($225.3 million at the transaction date) was paid to Fluvius System Operator CV.</w:t>
      </w:r>
    </w:p>
    <w:p>
      <w:pPr>
        <w:spacing w:after="0" w:line="206" w:lineRule="exact"/>
        <w:rPr>
          <w:sz w:val="20"/>
          <w:szCs w:val="20"/>
          <w:color w:val="auto"/>
        </w:rPr>
      </w:pPr>
    </w:p>
    <w:p>
      <w:pPr>
        <w:ind w:left="480" w:hanging="472"/>
        <w:spacing w:after="0"/>
        <w:tabs>
          <w:tab w:leader="none" w:pos="4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080" w:type="dxa"/>
            <w:vAlign w:val="bottom"/>
            <w:gridSpan w:val="4"/>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20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(a):</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Non-performance-based incentive awards</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incentive awards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(b)</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Liberty Global</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SG&amp;A expenses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share-based compensation expense related to certain Telenet Replacement Awards.</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compensation and defined contribution plan liabilities that have been or are expected to be settled in Liberty Global common shares. In the case of annual incentive compensation, shares have been or will be issued to senior management and key employees pursuant to a shareholding incentive program. The shareholding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incentive program allows these employees to elect to receive up to 100% of their annual incentive compensation in common shares of Liberty Global in lieu of cash.</w:t>
      </w:r>
    </w:p>
    <w:p>
      <w:pPr>
        <w:spacing w:after="0" w:line="18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color w:val="auto"/>
        </w:rPr>
        <w:t>The following table provides the aggregate number of options, share appreciation rights (</w:t>
      </w:r>
      <w:r>
        <w:rPr>
          <w:rFonts w:ascii="Times New Roman" w:cs="Times New Roman" w:eastAsia="Times New Roman" w:hAnsi="Times New Roman"/>
          <w:sz w:val="18"/>
          <w:szCs w:val="18"/>
          <w:b w:val="1"/>
          <w:bCs w:val="1"/>
          <w:color w:val="auto"/>
        </w:rPr>
        <w:t>SARs</w:t>
      </w:r>
      <w:r>
        <w:rPr>
          <w:rFonts w:ascii="Times New Roman" w:cs="Times New Roman" w:eastAsia="Times New Roman" w:hAnsi="Times New Roman"/>
          <w:sz w:val="18"/>
          <w:szCs w:val="18"/>
          <w:color w:val="auto"/>
        </w:rPr>
        <w:t>) and performance-based share appreciation rights (</w:t>
      </w:r>
      <w:r>
        <w:rPr>
          <w:rFonts w:ascii="Times New Roman" w:cs="Times New Roman" w:eastAsia="Times New Roman" w:hAnsi="Times New Roman"/>
          <w:sz w:val="18"/>
          <w:szCs w:val="18"/>
          <w:b w:val="1"/>
          <w:bCs w:val="1"/>
          <w:color w:val="auto"/>
        </w:rPr>
        <w:t>PSARs</w:t>
      </w:r>
      <w:r>
        <w:rPr>
          <w:rFonts w:ascii="Times New Roman" w:cs="Times New Roman" w:eastAsia="Times New Roman" w:hAnsi="Times New Roman"/>
          <w:sz w:val="18"/>
          <w:szCs w:val="18"/>
          <w:color w:val="auto"/>
        </w:rPr>
        <w:t>) with respect to awards issued by Liberty Global that were (i) outstanding and (ii) exercisable as of September 30, 2026:</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44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Gross number of</w:t>
            </w:r>
          </w:p>
        </w:tc>
        <w:tc>
          <w:tcPr>
            <w:tcW w:w="14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4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number of</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shares underlying</w:t>
            </w:r>
          </w:p>
        </w:tc>
        <w:tc>
          <w:tcPr>
            <w:tcW w:w="1420" w:type="dxa"/>
            <w:vAlign w:val="bottom"/>
            <w:gridSpan w:val="3"/>
            <w:vMerge w:val="continue"/>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underlying</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option, SAR and</w:t>
            </w: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exercise or base</w:t>
            </w:r>
          </w:p>
        </w:tc>
        <w:tc>
          <w:tcPr>
            <w:tcW w:w="14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option, SAR and</w:t>
            </w:r>
          </w:p>
        </w:tc>
        <w:tc>
          <w:tcPr>
            <w:tcW w:w="120" w:type="dxa"/>
            <w:vAlign w:val="bottom"/>
          </w:tcPr>
          <w:p>
            <w:pPr>
              <w:spacing w:after="0"/>
              <w:rPr>
                <w:sz w:val="14"/>
                <w:szCs w:val="14"/>
                <w:color w:val="auto"/>
              </w:rPr>
            </w:pPr>
          </w:p>
        </w:tc>
        <w:tc>
          <w:tcPr>
            <w:tcW w:w="1200" w:type="dxa"/>
            <w:vAlign w:val="bottom"/>
          </w:tcPr>
          <w:p>
            <w:pPr>
              <w:jc w:val="center"/>
              <w:ind w:right="33"/>
              <w:spacing w:after="0" w:line="162" w:lineRule="exact"/>
              <w:rPr>
                <w:sz w:val="20"/>
                <w:szCs w:val="20"/>
                <w:color w:val="auto"/>
              </w:rPr>
            </w:pPr>
            <w:r>
              <w:rPr>
                <w:rFonts w:ascii="Times New Roman" w:cs="Times New Roman" w:eastAsia="Times New Roman" w:hAnsi="Times New Roman"/>
                <w:sz w:val="16"/>
                <w:szCs w:val="16"/>
                <w:b w:val="1"/>
                <w:bCs w:val="1"/>
                <w:color w:val="auto"/>
              </w:rPr>
              <w:t>exercise or base</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PSAR awards (a)</w:t>
            </w: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PSAR awards (a)</w:t>
            </w:r>
          </w:p>
        </w:tc>
        <w:tc>
          <w:tcPr>
            <w:tcW w:w="120" w:type="dxa"/>
            <w:vAlign w:val="bottom"/>
          </w:tcPr>
          <w:p>
            <w:pPr>
              <w:spacing w:after="0"/>
              <w:rPr>
                <w:sz w:val="18"/>
                <w:szCs w:val="18"/>
                <w:color w:val="auto"/>
              </w:rPr>
            </w:pPr>
          </w:p>
        </w:tc>
        <w:tc>
          <w:tcPr>
            <w:tcW w:w="12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34,013,771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78,890,352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32,025,108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76,156,969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former Liberty Global employees (b):</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2,019,922</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4,006,748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Exercisable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2,019,922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4,006,748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1" w:lineRule="auto"/>
        <w:tabs>
          <w:tab w:leader="none" w:pos="49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gross number of shares associated with option, SAR and PSAR awards issued to our current and former employees and our directors. Our company settles SARs and PSARs on a net basis when exercised by the award holder, whereby the number of shares issued represents the excess value of the award based on the market price of the respective Liberty Global shares at the time of exercise relative to the award’s exercise price. In addition, the number of shares issued is further reduced by the amount of the employee’s required income tax withholding.</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certain share-based awards that continue to be held by former employees of Liberty Global subsequent to certain spin-off or disposal transactions, or as otherwise permitted under applicable Liberty Global equity plan documents. Although future exercises of these awards by former employees will not result in the recognition of share-based compensation expense, such exercises will increase the number of our outstanding common shares.</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The following table provides the aggregate number of restricted share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performance-based restricted share units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that were outstanding as of September 30, 2026. The number of shares to be issued on the vesting date of these awards will be reduced by the amount of the employee’s required income tax withholding.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tcPr>
          <w:p>
            <w:pPr>
              <w:spacing w:after="0"/>
              <w:rPr>
                <w:sz w:val="18"/>
                <w:szCs w:val="18"/>
                <w:color w:val="auto"/>
              </w:rPr>
            </w:pPr>
          </w:p>
        </w:tc>
        <w:tc>
          <w:tcPr>
            <w:tcW w:w="14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32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Class C</w:t>
            </w:r>
          </w:p>
        </w:tc>
        <w:tc>
          <w:tcPr>
            <w:tcW w:w="0" w:type="dxa"/>
            <w:vAlign w:val="bottom"/>
          </w:tcPr>
          <w:p>
            <w:pPr>
              <w:spacing w:after="0"/>
              <w:rPr>
                <w:sz w:val="1"/>
                <w:szCs w:val="1"/>
                <w:color w:val="auto"/>
              </w:rPr>
            </w:pPr>
          </w:p>
        </w:tc>
      </w:tr>
      <w:tr>
        <w:trPr>
          <w:trHeight w:val="145"/>
        </w:trPr>
        <w:tc>
          <w:tcPr>
            <w:tcW w:w="70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 by Liberty Global employees: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5,454,723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519,268</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5,761,823</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6,393,880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649,086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7,947,931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Held by former Liberty Global employees (a):</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6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60" w:type="dxa"/>
            <w:vAlign w:val="bottom"/>
            <w:vMerge w:val="continue"/>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certain share-based awards that continue to be held by former employees of Liberty Global subsequent to certain spin-off or disposal transactions, or as otherwise permitted under applicable Liberty Global equity plan documents. The future vesting of these RSUs and PSUs will increase the number of our outstanding common shares.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2026 PSUs</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March 2026, the compensation committee of our board of directors approved the grant of PSUs to executive officers and certain employees (the </w:t>
      </w:r>
      <w:r>
        <w:rPr>
          <w:rFonts w:ascii="Times New Roman" w:cs="Times New Roman" w:eastAsia="Times New Roman" w:hAnsi="Times New Roman"/>
          <w:sz w:val="18"/>
          <w:szCs w:val="18"/>
          <w:b w:val="1"/>
          <w:bCs w:val="1"/>
          <w:color w:val="auto"/>
        </w:rPr>
        <w:t>2026 PSUs</w:t>
      </w:r>
      <w:r>
        <w:rPr>
          <w:rFonts w:ascii="Times New Roman" w:cs="Times New Roman" w:eastAsia="Times New Roman" w:hAnsi="Times New Roman"/>
          <w:sz w:val="18"/>
          <w:szCs w:val="18"/>
          <w:color w:val="auto"/>
        </w:rPr>
        <w:t>). The performance metric for the 2026 PSUs is the appreciation of Liberty Global’s average share price during the 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March 26, 2026 and ending December 31, 2028. The payout is determined based on growth tied to certain pre-established price levels, as adjusted by the committee for (i) corporate transactions, including acquisitions, dispositions, spin-offs and mergers, and (ii) force majeure type events such as natural disasters, acts of war or terrorism or other unanticipated events impacting the business that are outside of our control. Share price appreciation of 0% to 80% will generally result in award recipients earning 0% to 200% of their target 2026 PSUs. In addition, 50% of the 2026 PSUs award payout may be “banked” if Liberty Global’s average share price achieves and maintains specific target levels ranging from 30% to 50% during the performance period, subject to a cap of 75% of the target 2026 PSUs. The earned 2026 PSUs will fully vest on or around February 15, 2029.</w:t>
      </w:r>
    </w:p>
    <w:p>
      <w:pPr>
        <w:spacing w:after="0" w:line="215" w:lineRule="exact"/>
        <w:rPr>
          <w:sz w:val="20"/>
          <w:szCs w:val="20"/>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Earnings (Loss) per Share</w:t>
      </w:r>
    </w:p>
    <w:p>
      <w:pPr>
        <w:spacing w:after="0" w:line="25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Basic earnings or loss per share (</w:t>
      </w:r>
      <w:r>
        <w:rPr>
          <w:rFonts w:ascii="Times New Roman" w:cs="Times New Roman" w:eastAsia="Times New Roman" w:hAnsi="Times New Roman"/>
          <w:sz w:val="18"/>
          <w:szCs w:val="18"/>
          <w:b w:val="1"/>
          <w:bCs w:val="1"/>
          <w:color w:val="auto"/>
        </w:rPr>
        <w:t>EPS</w:t>
      </w:r>
      <w:r>
        <w:rPr>
          <w:rFonts w:ascii="Times New Roman" w:cs="Times New Roman" w:eastAsia="Times New Roman" w:hAnsi="Times New Roman"/>
          <w:sz w:val="18"/>
          <w:szCs w:val="18"/>
          <w:color w:val="auto"/>
        </w:rPr>
        <w:t>) is computed by dividing net earnings or loss attributable to Liberty Global shareholders by the weighted average number of shares outstanding for the period. Diluted EPS, as calculated under the treasury stock method, presents the dilutive effect, if any, on a per share basis of potential shares from share-based incentive awards as if they had been exercised, vested or converted at the beginning of the periods presented. For additional information regarding our share-based incentive awards, see note 13.</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net earnings (loss) attributable to Liberty Global shareholders are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tcPr>
          <w:p>
            <w:pPr>
              <w:spacing w:after="0"/>
              <w:rPr>
                <w:sz w:val="18"/>
                <w:szCs w:val="18"/>
                <w:color w:val="auto"/>
              </w:rPr>
            </w:pPr>
          </w:p>
        </w:tc>
        <w:tc>
          <w:tcPr>
            <w:tcW w:w="2520" w:type="dxa"/>
            <w:vAlign w:val="bottom"/>
            <w:gridSpan w:val="4"/>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(4,180.5)</w:t>
            </w:r>
          </w:p>
        </w:tc>
        <w:tc>
          <w:tcPr>
            <w:tcW w:w="0" w:type="dxa"/>
            <w:vAlign w:val="bottom"/>
          </w:tcPr>
          <w:p>
            <w:pPr>
              <w:spacing w:after="0"/>
              <w:rPr>
                <w:sz w:val="1"/>
                <w:szCs w:val="1"/>
                <w:color w:val="auto"/>
              </w:rPr>
            </w:pPr>
          </w:p>
        </w:tc>
      </w:tr>
      <w:tr>
        <w:trPr>
          <w:trHeight w:val="22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8"/>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earnings (loss) attributable to Liberty Global shareholders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EPS computation)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338,047,245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339,726,508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337,956,166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344,354,828</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Incremental shares (a)</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12,578,982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 EPS computation)</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347,118,500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339,726,508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350,535,148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344,354,828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Excluded potentially dilutive employee share-based incentive awards (b)</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103,874,145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153,333,863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82,117,974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153,333,863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8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500" w:hanging="492"/>
        <w:spacing w:after="0" w:line="261" w:lineRule="auto"/>
        <w:tabs>
          <w:tab w:leader="none" w:pos="49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treasury stock method to calculate the incremental shares attributable to the assumed exercise or release of the outstanding share-based incentive awards upon vesting. Certain of our share incentive plans include performance and/or other features that result in the associated shares being contingently issuable. For purposes of applying the treasury stock method, the dilutive effect of these awards is calculated based on the number of the shares that would be issuable as if the end of the reporting period was the end of the contingency period.</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potentially dilutive shares that have been excluded from the computation of diluted earnings (loss) attributable to Liberty Global shareholders because their effect would have been anti-dilutive under the treasury stock method. Additional shares may be issuable in future periods based on the actual performance of certain PSUs, because such awards had not yet met the applicable performance criteria during the reporting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480" w:hanging="472"/>
        <w:spacing w:after="0"/>
        <w:tabs>
          <w:tab w:leader="none" w:pos="4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agreements that commit our company to make cash payments in future periods with respect to purchases of CPE and other equipment and services, programming contracts, network and connectivity commitments and other items. The following table sets forth the U.S. dollar equivalents of such commitments as of September 30, 2026. The commitments included in this table do not reflect any liabilities that are included on our September 30, 2026 condensed consolidated balance sheet.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 due during:</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16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Remainder of</w:t>
            </w:r>
          </w:p>
        </w:tc>
        <w:tc>
          <w:tcPr>
            <w:tcW w:w="220" w:type="dxa"/>
            <w:vAlign w:val="bottom"/>
          </w:tcPr>
          <w:p>
            <w:pPr>
              <w:spacing w:after="0"/>
              <w:rPr>
                <w:sz w:val="13"/>
                <w:szCs w:val="13"/>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3"/>
                <w:szCs w:val="13"/>
                <w:color w:val="auto"/>
              </w:rPr>
            </w:pPr>
          </w:p>
        </w:tc>
        <w:tc>
          <w:tcPr>
            <w:tcW w:w="86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commitments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Network and connectivity</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commitments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commitments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Purchase commitments include unconditional and legally binding obligations related to (i) certain service-related commitments, including software development, information technology, maintenance and call center services, and (ii) the purchase of CPE.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this will continue to be the case in future periods. In this regard, our total programming and copyright costs aggregated $364.1 million and $415.6 million during the nine months ended September 30, 2026 and 2025, respectively.</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Network and connectivity commitments include certain equipment and service-related commitments.</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commitments include (i) race management commitments associated with Formula E and (ii) commitments at Ziggo Group related to service agreements with Vodafone.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see note 6.</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Furthermore, in connection with a future sale of our interest in, or an initial public offering of, Formula E, we have agreed to pay a third party a portion of our economic gain. We estimate that this contingent obligation is not currently significant.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Other Credit Enhancements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Proceedings and Other Contingencies</w:t>
      </w:r>
    </w:p>
    <w:p>
      <w:pPr>
        <w:spacing w:after="0" w:line="25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Interkabel Acquisition. </w:t>
      </w:r>
      <w:r>
        <w:rPr>
          <w:rFonts w:ascii="Times New Roman" w:cs="Times New Roman" w:eastAsia="Times New Roman" w:hAnsi="Times New Roman"/>
          <w:sz w:val="18"/>
          <w:szCs w:val="18"/>
          <w:color w:val="auto"/>
        </w:rPr>
        <w:t>On November 26, 2007, Telenet and four associations of municipalities in Belgium, which we refer to as the pure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intercommunales or the “</w:t>
      </w:r>
      <w:r>
        <w:rPr>
          <w:rFonts w:ascii="Times New Roman" w:cs="Times New Roman" w:eastAsia="Times New Roman" w:hAnsi="Times New Roman"/>
          <w:sz w:val="18"/>
          <w:szCs w:val="18"/>
          <w:b w:val="1"/>
          <w:bCs w:val="1"/>
          <w:color w:val="auto"/>
        </w:rPr>
        <w:t>PICs</w:t>
      </w:r>
      <w:r>
        <w:rPr>
          <w:rFonts w:ascii="Times New Roman" w:cs="Times New Roman" w:eastAsia="Times New Roman" w:hAnsi="Times New Roman"/>
          <w:sz w:val="18"/>
          <w:szCs w:val="18"/>
          <w:color w:val="auto"/>
        </w:rPr>
        <w:t xml:space="preserve">,” announced a non-binding agreement-in-principle to transfer the analog and digital television activities of the PICs, including all existing subscribers, to Telenet. Subsequently, Telenet and the PICs entered into a binding agreement (the </w:t>
      </w:r>
      <w:r>
        <w:rPr>
          <w:rFonts w:ascii="Times New Roman" w:cs="Times New Roman" w:eastAsia="Times New Roman" w:hAnsi="Times New Roman"/>
          <w:sz w:val="18"/>
          <w:szCs w:val="18"/>
          <w:b w:val="1"/>
          <w:bCs w:val="1"/>
          <w:color w:val="auto"/>
        </w:rPr>
        <w:t>2008 PICs Agreement</w:t>
      </w:r>
      <w:r>
        <w:rPr>
          <w:rFonts w:ascii="Times New Roman" w:cs="Times New Roman" w:eastAsia="Times New Roman" w:hAnsi="Times New Roman"/>
          <w:sz w:val="18"/>
          <w:szCs w:val="18"/>
          <w:color w:val="auto"/>
        </w:rPr>
        <w:t>), which closed effective October 1, 2008. Beginning in December 2007, Proximus NV/SA (</w:t>
      </w:r>
      <w:r>
        <w:rPr>
          <w:rFonts w:ascii="Times New Roman" w:cs="Times New Roman" w:eastAsia="Times New Roman" w:hAnsi="Times New Roman"/>
          <w:sz w:val="18"/>
          <w:szCs w:val="18"/>
          <w:b w:val="1"/>
          <w:bCs w:val="1"/>
          <w:color w:val="auto"/>
        </w:rPr>
        <w:t>Proximus</w:t>
      </w:r>
      <w:r>
        <w:rPr>
          <w:rFonts w:ascii="Times New Roman" w:cs="Times New Roman" w:eastAsia="Times New Roman" w:hAnsi="Times New Roman"/>
          <w:sz w:val="18"/>
          <w:szCs w:val="18"/>
          <w:color w:val="auto"/>
        </w:rPr>
        <w:t>), the incumbent telecommunications 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Belgian Supreme Court, which confirmed the appeal judgment in September 2010. On April 6, 2009, the Court of First Instance of Antwerp ruled in favor of the PICs and Telenet in the civil procedure on the merits, dismissing Proximus’ request for the rescission of the agreement-in-principle and the 2008 PICs Agreement. On June 12, 2009, Proximus appealed this judgment to the Court of Appeal of Antwerp. In this appeal, Proximus also sought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 On December 18, 2017, the Court of Appeal of Antwerp rejected Proximus’ claim in its entirety. On June 28, 2019, Proximus brought this appeal judgment before the Belgian Supreme Court. On January 22, 2021, the Belgian Supreme Court partially annulled the judgment of the Court of Appeal of Antwerp. The case was referred to the Court of Appeal of Brussels and is currently pending with this Court which will need to make a new decision on the matter within the boundaries of the annulment by the Belgian Supreme Court.</w:t>
      </w: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assurance can be given as to the outcome of these or other proceedings. However, an unfavorable outcome of existing or future proceedings could potentially lead to the annulment of the 2008 PICs Agreement.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Telekom Deutschland Litigation. </w:t>
      </w:r>
      <w:r>
        <w:rPr>
          <w:rFonts w:ascii="Times New Roman" w:cs="Times New Roman" w:eastAsia="Times New Roman" w:hAnsi="Times New Roman"/>
          <w:sz w:val="18"/>
          <w:szCs w:val="18"/>
          <w:color w:val="auto"/>
        </w:rPr>
        <w:t>On December 28, 2012, Unitymedia filed a lawsuit against Telekom Deutschland GmbH (</w:t>
      </w:r>
      <w:r>
        <w:rPr>
          <w:rFonts w:ascii="Times New Roman" w:cs="Times New Roman" w:eastAsia="Times New Roman" w:hAnsi="Times New Roman"/>
          <w:sz w:val="18"/>
          <w:szCs w:val="18"/>
          <w:b w:val="1"/>
          <w:bCs w:val="1"/>
          <w:color w:val="auto"/>
        </w:rPr>
        <w:t>Telekom Deutschland</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Unitymedia asserted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by approximately five-sixths. In addition, Unitymedia sought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Unitymedia has since successfully appealed the case to the Federal Court of Justice, and proceedings continue before the German courts. The resolution of this matter may take several years and no assurance can be given that Unitymedia’s claims will be successful. In connection with our sale of our former operations in Germany, Romania, Hungary and the Czech Republic to Vodafone (the </w:t>
      </w:r>
      <w:r>
        <w:rPr>
          <w:rFonts w:ascii="Times New Roman" w:cs="Times New Roman" w:eastAsia="Times New Roman" w:hAnsi="Times New Roman"/>
          <w:sz w:val="18"/>
          <w:szCs w:val="18"/>
          <w:b w:val="1"/>
          <w:bCs w:val="1"/>
          <w:color w:val="auto"/>
        </w:rPr>
        <w:t>Vodafone Disposal Group</w:t>
      </w:r>
      <w:r>
        <w:rPr>
          <w:rFonts w:ascii="Times New Roman" w:cs="Times New Roman" w:eastAsia="Times New Roman" w:hAnsi="Times New Roman"/>
          <w:sz w:val="18"/>
          <w:szCs w:val="18"/>
          <w:color w:val="auto"/>
        </w:rPr>
        <w:t>) in 2019, we will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 Any amount we may recover related to this matter will not be reflected in our consolidated financial statements until such time as the final disposition of this matter has been reached.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Contingency Matters. </w:t>
      </w:r>
      <w:r>
        <w:rPr>
          <w:rFonts w:ascii="Times New Roman" w:cs="Times New Roman" w:eastAsia="Times New Roman" w:hAnsi="Times New Roman"/>
          <w:sz w:val="18"/>
          <w:szCs w:val="18"/>
          <w:color w:val="auto"/>
        </w:rPr>
        <w:t>In connection with the dispositions of certain of our operations, we provided tax indemnities to the counterparties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tax liabilities that could arise from the period we owned the respective operations, the amounts of which could be significant, subject to certain thresholds. No amounts have been accrued by our company related to unasserted claims for indemnification, as the likelihood of any loss is not considered to be probable. Further, Liberty Global may be entitled to certain amounts that our disposed operations may recover from taxing authorities. Any such amounts will not be reflected in our consolidated financial statements until such time as the final disposition of such matters has been reached.</w:t>
      </w:r>
    </w:p>
    <w:p>
      <w:pPr>
        <w:spacing w:after="0" w:line="21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Regulatory Matters. </w:t>
      </w:r>
      <w:r>
        <w:rPr>
          <w:rFonts w:ascii="Times New Roman" w:cs="Times New Roman" w:eastAsia="Times New Roman" w:hAnsi="Times New Roman"/>
          <w:sz w:val="18"/>
          <w:szCs w:val="18"/>
          <w:color w:val="auto"/>
        </w:rPr>
        <w:t>Broadband internet, video distribution, fixed-line telephony, mobile and content businesses are regulated in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 in which we or our affiliates operate. The scope of regulation varies from country to country, although in some significant respects regulation in European markets is harmonized under the regulatory structure of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and largely similar rules apply in the U.K.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Regulation may also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212"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 Reporting</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chief executive officer, whom we have determined to be our Chief Operating Decision Maker (</w:t>
      </w:r>
      <w:r>
        <w:rPr>
          <w:rFonts w:ascii="Times New Roman" w:cs="Times New Roman" w:eastAsia="Times New Roman" w:hAnsi="Times New Roman"/>
          <w:sz w:val="18"/>
          <w:szCs w:val="18"/>
          <w:b w:val="1"/>
          <w:bCs w:val="1"/>
          <w:color w:val="auto"/>
        </w:rPr>
        <w:t>CODM</w:t>
      </w:r>
      <w:r>
        <w:rPr>
          <w:rFonts w:ascii="Times New Roman" w:cs="Times New Roman" w:eastAsia="Times New Roman" w:hAnsi="Times New Roman"/>
          <w:sz w:val="18"/>
          <w:szCs w:val="18"/>
          <w:color w:val="auto"/>
        </w:rPr>
        <w:t>), assesses the performance of our business and allocates resources on a segment basis. We generally identify our reportable segments as (i) those consolidated subsidiaries that represent 10% or more of our total reportable segment revenue or proportionate Adjusted EBITDA (as defined below) or (ii) those equity method affiliates where revenue or our share of Adjusted EBITDA represents 10% or more of our total reportable segment revenue or proportionate Adjusted EBITDA, respectively. In certain cases, we may elect to include an operating segment in our segment disclosure that does not meet the above-described criteria for a reportable segment. Adjusted EBITDA is the primary measure used by our CODM to evaluate segment operating performance and make decisions about allocating resources to our operating segments. The CODM uses Adjusted EBITDA to evaluate income generated from our segment assets in deciding whether to reinvest profits into other areas of our business, such as for acquisitions or investments. Adjusted EBITDA is also used to monitor budget versus actual results, which is used in assessing the performance of segments in comparison with one another and in establishing management’s compensation. The significant accounting policies of our segments are the same as those described in note 3 to the consolidated financial statements included in our 2025 10-K. In addition, our CODM reviews non-financial measures such as customer growth, as appropriate, but does not review any measure of total assets.</w:t>
      </w: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we use the term, “</w:t>
      </w: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is defined as net earnings (loss) before net income tax benefit (expense), other non-operating income or expenses, net share of results of affiliates, net gains (losses) on debt extinguishment, net realized and unrealized gains (losses) due to changes in fair values of certain investments, net foreign currency transaction gains (losses), net gains (losses) on derivative instruments, net interest expense, depreciation and amortization, share-based compensation, provisions and provision releases related to significant litigation and impairment, restructuring and other operating items. Other operating items include (i) gains and losses on the disposition of long-lived assets, (ii) third-party costs directly associated with successful and unsuccessful acquisitions and dispositions, including legal, advisory and due diligence fees, as applicable, and (iii) other acquisition-related items, such as gains and losses on the settlement of contingent consideration. Our internal decision makers believe Adjusted EBITDA is a meaningful measure because it represents a transparent view of our recurring operating performance that is unaffected by our capital structure and allows management to (a) readily view operating trends, (b) perform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analytical comparisons and benchmarking between segments and (c) identify strategies to improve operating performance in the different countries in which we operate. A reconciliation of total reportable segment Adjusted EBITDA to earnings (loss) before income taxes is presented below.</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our reportable segments are as follows: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Consolidated:</w:t>
      </w:r>
    </w:p>
    <w:p>
      <w:pPr>
        <w:spacing w:after="0" w:line="12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Ziggo Group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 Ireland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Nonconsolidated:</w:t>
      </w:r>
    </w:p>
    <w:p>
      <w:pPr>
        <w:spacing w:after="0" w:line="12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VMO2 JV</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31, 2026, we completed the VodafoneZiggo Acquisition and revised our segment presentation to reflect Telenet, VodafoneZiggo and certain related corporate entities (including technology services provided through Ziggo Tech Services BV) as one reportable segment, Ziggo Group, consistent with the level at which our CODM now evaluates financial performance and allocates resources. This change did not impact the separate presentation of Wyre as a reportable segment, as described below. Prior to this change, Telenet was presented as a consolidated reportable segment and VodafoneZiggo was presented as a nonconsolidated joint venture reportable segment.</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upon closing of the VodafoneZiggo Acquisition, the existing shareholders’ agreement governing the VodafoneZiggo JV was terminated and replaced with a new shareholders’ agreement, and certain agreements, including new and continuing service agreements, between VodafoneZiggo, Vodafone and Liberty Global have been or will be amended and restated, or otherwise replaced. The terms of certain of these new and continuing service agreements have not been finalized; however, once finalized, such amounts will be charged to Ziggo Group and could be greater than the intercompany charges currently in place. For additional information regarding the VodafoneZiggo Acquisition, see note 4.</w:t>
      </w:r>
    </w:p>
    <w:p>
      <w:pPr>
        <w:spacing w:after="0" w:line="21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we revised our segment presentation to separately present Wyre as a reportable segment. Prior to this change, Wyre was included within the Ziggo Group reportable segment (previously our Telenet reportable segment). This change reflects the manner in which our CODM now evaluates the financial performance of our operations in Belgium. Segment information for prior periods has been revised to reflect this change.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Ziggo Group, VM Ireland and the VMO2 JV derive their revenue primarily from residential and B2B communications services, including broadband internet, video, fixed-line telephony and mobile services. Wyre derives revenue primarily by providing access to its network on a wholesale basis.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“all other category” includes the following activities that do not meet the reportable segment quantitative thresholds:</w:t>
      </w:r>
    </w:p>
    <w:p>
      <w:pPr>
        <w:spacing w:after="0" w:line="252" w:lineRule="exact"/>
        <w:rPr>
          <w:sz w:val="20"/>
          <w:szCs w:val="20"/>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investments in technology, media, sports and infrastructure companies, including our investment in Formula E, that we view as scalable businesses, which derive their revenue from providing various goods, services and content to customers;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and services activities that generate revenue through (i) sales of CPE to our reportable segments and certain third parties and (ii) providing certain centralized network operations and technology solutions;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finance services platform (Liberty Blume) that generates revenue by providing services to various third parties and affiliates;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other corporate activities, including human resources, marketing, legal, finance and other administrative functions.</w:t>
      </w:r>
    </w:p>
    <w:p>
      <w:pPr>
        <w:spacing w:after="0" w:line="24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Our centrally-managed technology and innovation function (our </w:t>
      </w:r>
      <w:r>
        <w:rPr>
          <w:rFonts w:ascii="Times New Roman" w:cs="Times New Roman" w:eastAsia="Times New Roman" w:hAnsi="Times New Roman"/>
          <w:sz w:val="18"/>
          <w:szCs w:val="18"/>
          <w:b w:val="1"/>
          <w:bCs w:val="1"/>
          <w:color w:val="auto"/>
        </w:rPr>
        <w:t>T&amp;I Function</w:t>
      </w:r>
      <w:r>
        <w:rPr>
          <w:rFonts w:ascii="Times New Roman" w:cs="Times New Roman" w:eastAsia="Times New Roman" w:hAnsi="Times New Roman"/>
          <w:sz w:val="18"/>
          <w:szCs w:val="18"/>
          <w:color w:val="auto"/>
        </w:rPr>
        <w:t xml:space="preserve">) provides, and allocates charges for, certain products and services to our reportable segments (the </w:t>
      </w:r>
      <w:r>
        <w:rPr>
          <w:rFonts w:ascii="Times New Roman" w:cs="Times New Roman" w:eastAsia="Times New Roman" w:hAnsi="Times New Roman"/>
          <w:sz w:val="18"/>
          <w:szCs w:val="18"/>
          <w:b w:val="1"/>
          <w:bCs w:val="1"/>
          <w:color w:val="auto"/>
        </w:rPr>
        <w:t>Tech Framework</w:t>
      </w:r>
      <w:r>
        <w:rPr>
          <w:rFonts w:ascii="Times New Roman" w:cs="Times New Roman" w:eastAsia="Times New Roman" w:hAnsi="Times New Roman"/>
          <w:sz w:val="18"/>
          <w:szCs w:val="18"/>
          <w:color w:val="auto"/>
        </w:rPr>
        <w:t>). These products and services include CPE hardware and related essential software, maintenance, hosting and other services. Our reportable segments capitalize the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combined cost of the CPE hardware and a portion of the essential software as property and equipment additions and the corresponding amounts charged by our T&amp;I Function are reflected as revenue when earned.</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 of our Reportable Segments</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amounts presented in the tables below represent 100% of each of our consolidated and nonconsolidated reportable segment’s revenue, expenses and Adjusted EBITDA, despite only holding 50% noncontrolling interests in the VMO2 JV, and prior to the VodafoneZiggo Acquisition, the VodafoneZiggo JV. We account for our 50% interests in the VMO2 JV, and prior to the VodafoneZiggo Acquisition, the VodafoneZiggo JV under the equity method; accordingly, our share of their operating results is included in share of results of affiliates, net in our condensed consolidated statements of operations. Noncontrolling interests, primarily associated with Ziggo Group, Wyre and Formula E, are reflected in net earnings or loss attributable to noncontrolling interests in our condensed 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7"/>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2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 and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13"/>
                <w:szCs w:val="13"/>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3"/>
                <w:szCs w:val="13"/>
                <w:color w:val="auto"/>
              </w:rPr>
            </w:pPr>
          </w:p>
        </w:tc>
        <w:tc>
          <w:tcPr>
            <w:tcW w:w="13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Third-party and</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13"/>
                <w:szCs w:val="13"/>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affiliate</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affiliate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center"/>
              <w:ind w:left="53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5,701.2</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9,705.4</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 revenue</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16,365.1</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Plus: all other category (b)</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0" w:type="dxa"/>
            <w:vAlign w:val="bottom"/>
          </w:tcPr>
          <w:p>
            <w:pPr>
              <w:spacing w:after="0" w:line="20" w:lineRule="exact"/>
              <w:rPr>
                <w:sz w:val="1"/>
                <w:szCs w:val="1"/>
                <w:color w:val="auto"/>
              </w:rPr>
            </w:pPr>
          </w:p>
        </w:tc>
      </w:tr>
      <w:tr>
        <w:trPr>
          <w:trHeight w:val="177"/>
        </w:trPr>
        <w:tc>
          <w:tcPr>
            <w:tcW w:w="3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nonconsolidated JV revenue (a)</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(12,370.5)</w:t>
            </w:r>
          </w:p>
        </w:tc>
        <w:tc>
          <w:tcPr>
            <w:tcW w:w="0" w:type="dxa"/>
            <w:vAlign w:val="bottom"/>
          </w:tcPr>
          <w:p>
            <w:pPr>
              <w:spacing w:after="0"/>
              <w:rPr>
                <w:sz w:val="1"/>
                <w:szCs w:val="1"/>
                <w:color w:val="auto"/>
              </w:rPr>
            </w:pPr>
          </w:p>
        </w:tc>
      </w:tr>
      <w:tr>
        <w:trPr>
          <w:trHeight w:val="175"/>
        </w:trPr>
        <w:tc>
          <w:tcPr>
            <w:tcW w:w="3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elimination of intercompany consolidated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revenue (c)</w:t>
            </w: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6"/>
                <w:szCs w:val="16"/>
                <w:b w:val="1"/>
                <w:bCs w:val="1"/>
                <w:color w:val="auto"/>
                <w:w w:val="98"/>
              </w:rPr>
              <w:t>Revenue</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7"/>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0" w:type="dxa"/>
            <w:vAlign w:val="bottom"/>
          </w:tcPr>
          <w:p>
            <w:pPr>
              <w:spacing w:after="0"/>
              <w:rPr>
                <w:sz w:val="1"/>
                <w:szCs w:val="1"/>
                <w:color w:val="auto"/>
              </w:rPr>
            </w:pPr>
          </w:p>
        </w:tc>
      </w:tr>
      <w:tr>
        <w:trPr>
          <w:trHeight w:val="157"/>
        </w:trPr>
        <w:tc>
          <w:tcPr>
            <w:tcW w:w="3500" w:type="dxa"/>
            <w:vAlign w:val="bottom"/>
          </w:tcPr>
          <w:p>
            <w:pPr>
              <w:spacing w:after="0"/>
              <w:rPr>
                <w:sz w:val="13"/>
                <w:szCs w:val="13"/>
                <w:color w:val="auto"/>
              </w:rPr>
            </w:pPr>
          </w:p>
        </w:tc>
        <w:tc>
          <w:tcPr>
            <w:tcW w:w="128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Third-party and</w:t>
            </w: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13"/>
                <w:szCs w:val="13"/>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3"/>
                <w:szCs w:val="13"/>
                <w:color w:val="auto"/>
              </w:rPr>
            </w:pPr>
          </w:p>
        </w:tc>
        <w:tc>
          <w:tcPr>
            <w:tcW w:w="13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Third-party and</w:t>
            </w:r>
          </w:p>
        </w:tc>
        <w:tc>
          <w:tcPr>
            <w:tcW w:w="14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Intersegment</w:t>
            </w:r>
          </w:p>
        </w:tc>
        <w:tc>
          <w:tcPr>
            <w:tcW w:w="260" w:type="dxa"/>
            <w:vAlign w:val="bottom"/>
          </w:tcPr>
          <w:p>
            <w:pPr>
              <w:spacing w:after="0"/>
              <w:rPr>
                <w:sz w:val="13"/>
                <w:szCs w:val="13"/>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affiliate</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affiliate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center"/>
              <w:ind w:left="53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5,646.2</w:t>
            </w:r>
          </w:p>
        </w:tc>
        <w:tc>
          <w:tcPr>
            <w:tcW w:w="0" w:type="dxa"/>
            <w:vAlign w:val="bottom"/>
          </w:tcPr>
          <w:p>
            <w:pPr>
              <w:spacing w:after="0"/>
              <w:rPr>
                <w:sz w:val="1"/>
                <w:szCs w:val="1"/>
                <w:color w:val="auto"/>
              </w:rPr>
            </w:pPr>
          </w:p>
        </w:tc>
      </w:tr>
      <w:tr>
        <w:trPr>
          <w:trHeight w:val="229"/>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0" w:type="dxa"/>
            <w:vAlign w:val="bottom"/>
          </w:tcPr>
          <w:p>
            <w:pPr>
              <w:spacing w:after="0"/>
              <w:rPr>
                <w:sz w:val="1"/>
                <w:szCs w:val="1"/>
                <w:color w:val="auto"/>
              </w:rPr>
            </w:pP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reportable segment revenue</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Plus: all other category (b)</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0" w:type="dxa"/>
            <w:vAlign w:val="bottom"/>
          </w:tcPr>
          <w:p>
            <w:pPr>
              <w:spacing w:after="0" w:line="20" w:lineRule="exact"/>
              <w:rPr>
                <w:sz w:val="1"/>
                <w:szCs w:val="1"/>
                <w:color w:val="auto"/>
              </w:rPr>
            </w:pPr>
          </w:p>
        </w:tc>
      </w:tr>
      <w:tr>
        <w:trPr>
          <w:trHeight w:val="176"/>
        </w:trPr>
        <w:tc>
          <w:tcPr>
            <w:tcW w:w="3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nonconsolidated JV revenue (a)</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(13,267.9)</w:t>
            </w:r>
          </w:p>
        </w:tc>
        <w:tc>
          <w:tcPr>
            <w:tcW w:w="0" w:type="dxa"/>
            <w:vAlign w:val="bottom"/>
          </w:tcPr>
          <w:p>
            <w:pPr>
              <w:spacing w:after="0"/>
              <w:rPr>
                <w:sz w:val="1"/>
                <w:szCs w:val="1"/>
                <w:color w:val="auto"/>
              </w:rPr>
            </w:pPr>
          </w:p>
        </w:tc>
      </w:tr>
      <w:tr>
        <w:trPr>
          <w:trHeight w:val="184"/>
        </w:trPr>
        <w:tc>
          <w:tcPr>
            <w:tcW w:w="3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elimination of intercompany consolidated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revenue (c)</w:t>
            </w:r>
          </w:p>
        </w:tc>
        <w:tc>
          <w:tcPr>
            <w:tcW w:w="2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ind w:right="21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6" w:name="page47"/>
    <w:bookmarkEnd w:id="46"/>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revenue from:</w:t>
      </w:r>
    </w:p>
    <w:p>
      <w:pPr>
        <w:spacing w:after="0" w:line="127"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60" w:type="dxa"/>
            <w:vAlign w:val="bottom"/>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3"/>
              </w:rPr>
              <w:t>2025</w:t>
            </w:r>
          </w:p>
        </w:tc>
      </w:tr>
      <w:tr>
        <w:trPr>
          <w:trHeight w:val="208"/>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52"/>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6"/>
        </w:trPr>
        <w:tc>
          <w:tcPr>
            <w:tcW w:w="5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Services agreements with our nonconsolidated JV reportable segments (as</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further described in note 5)</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430.1</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parties and affiliates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w:t>
            </w: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reportable segments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23"/>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r>
      <w:tr>
        <w:trPr>
          <w:trHeight w:val="21"/>
        </w:trPr>
        <w:tc>
          <w:tcPr>
            <w:tcW w:w="5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00" w:right="60" w:hanging="492"/>
        <w:spacing w:after="0" w:line="282" w:lineRule="auto"/>
        <w:tabs>
          <w:tab w:leader="none" w:pos="4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reflects the elimination of (i) transactions between our Ziggo Group and Wyre reportable segments and (ii) the revenue recognized related to the Tech Framework.</w:t>
      </w:r>
    </w:p>
    <w:p>
      <w:pPr>
        <w:spacing w:after="0" w:line="18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expense categories and amounts presented below for our reportable segments align with the segment-level information that is regularly provided to the CODM. These amounts include intersegment expenses and are exclusive of share-based compensation expense.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2380" w:type="dxa"/>
            <w:vAlign w:val="bottom"/>
            <w:gridSpan w:val="3"/>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5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Programming and other direct costs of services: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Ziggo Group (a)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581.8</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1,696.5</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1,720.6</w:t>
            </w: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Wyre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VM Ireland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43.3</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111.7</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9"/>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VMO2 JV (nonconsolidated)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956.7</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2,799.3</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3,064.8</w:t>
            </w:r>
          </w:p>
        </w:tc>
      </w:tr>
      <w:tr>
        <w:trPr>
          <w:trHeight w:val="270"/>
        </w:trPr>
        <w:tc>
          <w:tcPr>
            <w:tcW w:w="5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Ziggo Group (a)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649.9</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1,996.9</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1,904.6</w:t>
            </w: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Wyre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53.3</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150.7</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9"/>
        </w:trPr>
        <w:tc>
          <w:tcPr>
            <w:tcW w:w="5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VM Ireland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w:t>
            </w:r>
          </w:p>
        </w:tc>
        <w:tc>
          <w:tcPr>
            <w:tcW w:w="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149.0</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30"/>
        </w:trPr>
        <w:tc>
          <w:tcPr>
            <w:tcW w:w="5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VMO2 JV (nonconsolidated)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1,098.2</w:t>
            </w:r>
          </w:p>
        </w:tc>
        <w:tc>
          <w:tcPr>
            <w:tcW w:w="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3,426.2</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jc w:val="both"/>
        <w:ind w:left="500" w:right="60" w:hanging="492"/>
        <w:spacing w:after="0" w:line="266" w:lineRule="auto"/>
        <w:tabs>
          <w:tab w:leader="none" w:pos="49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 The 2026 amounts reflect the reduction in operating expenses of $19.0 million related to the write-off of incremental costs to obtain contracts in connection with the acquisition accounting for the VodafoneZiggo Acquisition. For additional information regarding the VodafoneZiggo Acquisition, see note 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60" w:right="27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58"/>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ind w:left="36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3"/>
                <w:szCs w:val="13"/>
                <w:color w:val="auto"/>
              </w:rPr>
            </w:pPr>
          </w:p>
        </w:tc>
        <w:tc>
          <w:tcPr>
            <w:tcW w:w="2340" w:type="dxa"/>
            <w:vAlign w:val="bottom"/>
            <w:gridSpan w:val="4"/>
          </w:tcPr>
          <w:p>
            <w:pPr>
              <w:jc w:val="right"/>
              <w:ind w:right="632"/>
              <w:spacing w:after="0" w:line="158"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6"/>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3,496.0</w:t>
            </w:r>
          </w:p>
        </w:tc>
      </w:tr>
      <w:tr>
        <w:trPr>
          <w:trHeight w:val="248"/>
        </w:trPr>
        <w:tc>
          <w:tcPr>
            <w:tcW w:w="5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6,096.8</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ind w:left="500" w:hanging="492"/>
        <w:spacing w:after="0"/>
        <w:tabs>
          <w:tab w:leader="none" w:pos="5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total reportable segment Adjusted EBITDA to earnings (loss) before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08"/>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74"/>
        </w:trPr>
        <w:tc>
          <w:tcPr>
            <w:tcW w:w="5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reportable segment Adjusted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6,096.8</w:t>
            </w: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Plus: all other category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nonconsolidated JV Adjusted EBITDA (a)</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(4,978.0)</w:t>
            </w: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intercompany consolidated eliminations (b)</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derivative instruments,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(3,160.9)</w:t>
            </w:r>
          </w:p>
        </w:tc>
      </w:tr>
      <w:tr>
        <w:trPr>
          <w:trHeight w:val="184"/>
        </w:trPr>
        <w:tc>
          <w:tcPr>
            <w:tcW w:w="5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Realized and unrealized gains (losses) due to changes in fair values of certain</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associated with the VodafoneZiggo Acquisition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Earnings (loss) before income taxes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(4,296.5)</w:t>
            </w:r>
          </w:p>
        </w:tc>
      </w:tr>
      <w:tr>
        <w:trPr>
          <w:trHeight w:val="20"/>
        </w:trPr>
        <w:tc>
          <w:tcPr>
            <w:tcW w:w="5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52"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 to the Adjusted EBITDA impact related to (i) the Tech Framework and (ii) transactions between our Ziggo Group and Wyre reportable segments in association with the Transition Services and Support (</w:t>
      </w:r>
      <w:r>
        <w:rPr>
          <w:rFonts w:ascii="Times New Roman" w:cs="Times New Roman" w:eastAsia="Times New Roman" w:hAnsi="Times New Roman"/>
          <w:sz w:val="18"/>
          <w:szCs w:val="18"/>
          <w:b w:val="1"/>
          <w:bCs w:val="1"/>
          <w:color w:val="auto"/>
        </w:rPr>
        <w:t>TSS</w:t>
      </w:r>
      <w:r>
        <w:rPr>
          <w:rFonts w:ascii="Times New Roman" w:cs="Times New Roman" w:eastAsia="Times New Roman" w:hAnsi="Times New Roman"/>
          <w:sz w:val="18"/>
          <w:szCs w:val="18"/>
          <w:color w:val="auto"/>
        </w:rPr>
        <w:t>)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Additions of our Reportable Segments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property and equipment additions of our reportable segments (including capital additions financed under capital-related vendor financing or finance lease arrangements) are presented below and reconciled to the capital expenditure amounts included in our condensed consolidated statements of cash flows. For additional information concerning capital additions financed under vendor financing and finance lease arrangements, see notes 8 and 10, respectively.</w:t>
      </w:r>
    </w:p>
    <w:p>
      <w:pPr>
        <w:spacing w:after="0" w:line="9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166"/>
        </w:trPr>
        <w:tc>
          <w:tcPr>
            <w:tcW w:w="8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w:t>
            </w:r>
          </w:p>
        </w:tc>
      </w:tr>
      <w:tr>
        <w:trPr>
          <w:trHeight w:val="223"/>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 property and equipment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3,514.4</w:t>
            </w:r>
          </w:p>
        </w:tc>
      </w:tr>
      <w:tr>
        <w:trPr>
          <w:trHeight w:val="229"/>
        </w:trPr>
        <w:tc>
          <w:tcPr>
            <w:tcW w:w="8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Plus: all other category (b)</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nonconsolidated JV property and equipment additions (a)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elimination of intercompany consolidated property and equipment additions (c)</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consolidated property and equipment additions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 expenditures,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property and equipment additions representing centrally-owned assets that benefit other operating segments and (ii) the net impact of certain centrally-procured network equipment that is ultimately transferred to other operating segments.</w:t>
      </w:r>
    </w:p>
    <w:p>
      <w:pPr>
        <w:spacing w:after="0" w:line="18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eliminations primarily related to (i) the charges under the Tech Framework to each respective consolidated reportable segment related to the portion of the charges attributed to centrally-held internally developed technology that is embedded within our various CPE, as well as any applicable markup and (ii) a portion of the charges in relation to the TSS agreement between our Ziggo Group and Wyre reportable segments.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Category</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228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Pr>
          <w:p>
            <w:pPr>
              <w:spacing w:after="0"/>
              <w:rPr>
                <w:sz w:val="18"/>
                <w:szCs w:val="18"/>
                <w:color w:val="auto"/>
              </w:rPr>
            </w:pPr>
          </w:p>
        </w:tc>
      </w:tr>
      <w:tr>
        <w:trPr>
          <w:trHeight w:val="209"/>
        </w:trPr>
        <w:tc>
          <w:tcPr>
            <w:tcW w:w="58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3"/>
          </w:tcPr>
          <w:p>
            <w:pPr>
              <w:jc w:val="center"/>
              <w:ind w:left="63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12"/>
        </w:trPr>
        <w:tc>
          <w:tcPr>
            <w:tcW w:w="5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5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Broadband internet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4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30"/>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229"/>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Fixed-line telephony</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3"/>
        </w:trPr>
        <w:tc>
          <w:tcPr>
            <w:tcW w:w="5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r>
      <w:tr>
        <w:trPr>
          <w:trHeight w:val="229"/>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5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r>
      <w:tr>
        <w:trPr>
          <w:trHeight w:val="20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mobile revenue (c):</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r>
      <w:tr>
        <w:trPr>
          <w:trHeight w:val="229"/>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23"/>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r>
      <w:tr>
        <w:trPr>
          <w:trHeight w:val="223"/>
        </w:trPr>
        <w:tc>
          <w:tcPr>
            <w:tcW w:w="58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1,794.6</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 revenue (d):</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r>
      <w:tr>
        <w:trPr>
          <w:trHeight w:val="229"/>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23"/>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r>
      <w:tr>
        <w:trPr>
          <w:trHeight w:val="223"/>
        </w:trPr>
        <w:tc>
          <w:tcPr>
            <w:tcW w:w="5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3,647.4</w:t>
            </w: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202" w:lineRule="exact"/>
        <w:rPr>
          <w:rFonts w:ascii="Times New Roman" w:cs="Times New Roman" w:eastAsia="Times New Roman" w:hAnsi="Times New Roman"/>
          <w:sz w:val="18"/>
          <w:szCs w:val="18"/>
          <w:color w:val="auto"/>
        </w:rPr>
      </w:pPr>
    </w:p>
    <w:p>
      <w:pPr>
        <w:ind w:left="500" w:hanging="492"/>
        <w:spacing w:after="0" w:line="282" w:lineRule="auto"/>
        <w:tabs>
          <w:tab w:leader="none" w:pos="49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59" w:lineRule="auto"/>
        <w:tabs>
          <w:tab w:leader="none" w:pos="4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subscription revenue represents revenue from (i) services provided to small or home office (</w:t>
      </w:r>
      <w:r>
        <w:rPr>
          <w:rFonts w:ascii="Times New Roman" w:cs="Times New Roman" w:eastAsia="Times New Roman" w:hAnsi="Times New Roman"/>
          <w:sz w:val="18"/>
          <w:szCs w:val="18"/>
          <w:b w:val="1"/>
          <w:bCs w:val="1"/>
          <w:color w:val="auto"/>
        </w:rPr>
        <w:t>SOHO</w:t>
      </w:r>
      <w:r>
        <w:rPr>
          <w:rFonts w:ascii="Times New Roman" w:cs="Times New Roman" w:eastAsia="Times New Roman" w:hAnsi="Times New Roman"/>
          <w:sz w:val="18"/>
          <w:szCs w:val="18"/>
          <w:color w:val="auto"/>
        </w:rPr>
        <w:t>)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LIBERTY GLOBAL LTD.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enterprises, and fixed-line and mobile services offered on a wholesale basis to other operators, and (b) revenue from long-term leases of portions of our network.</w:t>
      </w:r>
    </w:p>
    <w:p>
      <w:pPr>
        <w:spacing w:after="0" w:line="189" w:lineRule="exact"/>
        <w:rPr>
          <w:sz w:val="20"/>
          <w:szCs w:val="20"/>
          <w:color w:val="auto"/>
        </w:rPr>
      </w:pPr>
    </w:p>
    <w:p>
      <w:pPr>
        <w:jc w:val="both"/>
        <w:ind w:left="500" w:hanging="492"/>
        <w:spacing w:after="0" w:line="266" w:lineRule="auto"/>
        <w:tabs>
          <w:tab w:leader="none" w:pos="4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 revenue earned from the U.K. JV Services, the Sunrise Services and the NL JV Services, (ii) revenue at Formula E, (iii) revenue earned from the sales of CPE to the VMO2 JV, VodafoneZiggo and Sunrise and (iv) broadcasting revenue at Ziggo Group and VM Ireland.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which should be read in conjunction with our consolidated financial statements and the discussion and analysis included in our 2025 10-K, is intended to assist in providing an understanding of changes in our results of operations and financial condition and is organized as follows:</w:t>
      </w:r>
    </w:p>
    <w:p>
      <w:pPr>
        <w:spacing w:after="0" w:line="201" w:lineRule="exact"/>
        <w:rPr>
          <w:sz w:val="20"/>
          <w:szCs w:val="20"/>
          <w:color w:val="auto"/>
        </w:rPr>
      </w:pPr>
    </w:p>
    <w:p>
      <w:pPr>
        <w:ind w:left="660" w:hanging="328"/>
        <w:spacing w:after="0" w:line="284"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This section provides a description of certain factors that could cause actual results or events to differ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anticipated results or events.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Overview. </w:t>
      </w:r>
      <w:r>
        <w:rPr>
          <w:rFonts w:ascii="Times New Roman" w:cs="Times New Roman" w:eastAsia="Times New Roman" w:hAnsi="Times New Roman"/>
          <w:sz w:val="18"/>
          <w:szCs w:val="18"/>
          <w:color w:val="auto"/>
        </w:rPr>
        <w:t>This section provides a general description of our business and recent events.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Results of Operations. </w:t>
      </w:r>
      <w:r>
        <w:rPr>
          <w:rFonts w:ascii="Times New Roman" w:cs="Times New Roman" w:eastAsia="Times New Roman" w:hAnsi="Times New Roman"/>
          <w:sz w:val="18"/>
          <w:szCs w:val="18"/>
          <w:color w:val="auto"/>
        </w:rPr>
        <w:t>This section provides an analysis of our results of operations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and 2025.</w:t>
      </w:r>
    </w:p>
    <w:p>
      <w:pPr>
        <w:spacing w:after="0" w:line="50"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Material Changes in Financial Condition. </w:t>
      </w:r>
      <w:r>
        <w:rPr>
          <w:rFonts w:ascii="Times New Roman" w:cs="Times New Roman" w:eastAsia="Times New Roman" w:hAnsi="Times New Roman"/>
          <w:sz w:val="18"/>
          <w:szCs w:val="18"/>
          <w:color w:val="auto"/>
        </w:rPr>
        <w:t>This section provides an analysis of our corporate and subsidiary liquidity as of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our condensed consolidated statements of cash flows for the three and nine months ended September 30, 2026 and 2025.</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Unless otherwise indicated, convenience translations into U.S. dollars are calculated, and operational data is presented, as of September 30, 2026. </w:t>
      </w: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Certain statements in this Quarterly Report on Form 10-Q constitute forward-looking statements within the meaning of the Private Securities Litigation Reform Act of 1995. To the extent that statements in this Quarterly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Part I, Item 2.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and Part II, Item 2. </w:t>
      </w:r>
      <w:r>
        <w:rPr>
          <w:rFonts w:ascii="Times New Roman" w:cs="Times New Roman" w:eastAsia="Times New Roman" w:hAnsi="Times New Roman"/>
          <w:sz w:val="18"/>
          <w:szCs w:val="18"/>
          <w:i w:val="1"/>
          <w:iCs w:val="1"/>
          <w:color w:val="auto"/>
        </w:rPr>
        <w:t>Unregistered Sales of Equity Securities and Use of Proceeds</w:t>
      </w:r>
      <w:r>
        <w:rPr>
          <w:rFonts w:ascii="Times New Roman" w:cs="Times New Roman" w:eastAsia="Times New Roman" w:hAnsi="Times New Roman"/>
          <w:sz w:val="18"/>
          <w:szCs w:val="18"/>
          <w:color w:val="auto"/>
        </w:rPr>
        <w:t xml:space="preserve"> may contain forward-looking statements, including statements regarding our business, product, foreign currency, hedging and finance strategies, our property and equipment additions, subscriber growth and retention rates, competitive, regulatory and economic factors, the timing and impacts of proposed transactions, the maturity of our markets, the potential impact of large-scale health crises on our company, the anticipated impacts of new legislation (or changes to existing rules and regulations), anticipated changes in our revenue, costs or growth rates, our liquidity, credit risks, foreign currency risks, interest rate risks, target leverage levels, debt covenants, our future projected contractual commitments and cash flows, our share repurchase programs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of our 2025 10-K, as well as the following list of some, but not all, of the factors that could cause actual results or events (including with respect to our affiliates) to differ materially from anticipated results or events:</w:t>
      </w:r>
    </w:p>
    <w:p>
      <w:pPr>
        <w:spacing w:after="0" w:line="223" w:lineRule="exact"/>
        <w:rPr>
          <w:sz w:val="20"/>
          <w:szCs w:val="20"/>
          <w:color w:val="auto"/>
        </w:rPr>
      </w:pPr>
    </w:p>
    <w:p>
      <w:pPr>
        <w:jc w:val="both"/>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business conditions and industry trends in the countries in which we or our affiliates operate, including the impact of the increasingly uncertain and volatile economic conditions, inflationary pressures and evolving geopolitical dynamics, including those related to trade and tariffs;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the industries and in the countries in which we or our affiliates operate, including competitor responses to our products and services;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adapt to and invest in technological developments, evolving network requirements and new, emerging or competing technologies, including artificial intelligence-enabled services, satellite-based connectivity solutions and other technologies that could make our products or services less desirable, less competitive or obsolete;</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future financial performance, or market conditions generally, on the availability, terms and deployment of capital;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2" w:name="page53"/>
    <w:bookmarkEnd w:id="52"/>
    <w:p>
      <w:pPr>
        <w:ind w:left="328" w:hanging="328"/>
        <w:spacing w:after="0" w:line="282"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monetary policies and government regulations that may impact the availability or cost of capital and the derivative instruments that hedge certain of our financial risks;</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video, mobile and broadband usage, preferences and habits, including increased demand for high-speed data transmission services and artificial intelligence-enabled services;</w:t>
      </w:r>
    </w:p>
    <w:p>
      <w:pPr>
        <w:spacing w:after="0" w:line="53"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risks associated with the development, deployment and use of artificial intelligence and generative artificial intelligence technologies, including risks related to data privacy, intellectual property, regulatory compliance, operational performance and potential reputational harm;</w:t>
      </w:r>
    </w:p>
    <w:p>
      <w:pPr>
        <w:spacing w:after="0" w:line="6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existing service offerings, including our broadband internet, video, fixed-line telephony, mobile and business service offerings, and of new technology, programming alternatives and other products and services that we may offer in the future;</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programming for our video services and the costs associated with such programming, including, but not limited to, production costs, retransmission and copyright fees;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use intellectual property used to conduct our operations;</w:t>
      </w:r>
    </w:p>
    <w:p>
      <w:pPr>
        <w:spacing w:after="0" w:line="11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of device manufacturers and our operating companies’ ability to secure adequate and timely supply of handsets that experience high demand;</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inherent in the development, and integration, of new business lines and business strategies;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revenue from business services offered to our affiliates and other third parties;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regulation of spectrum used in our business;</w:t>
      </w:r>
    </w:p>
    <w:p>
      <w:pPr>
        <w:spacing w:after="0" w:line="11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suppliers and vendors (including our third-party wireless network provider, Three (Hutchison), under our mobile virtual network operator arrangement at VM Ireland) to timely deliver quality products, equipment, software, services and access;</w:t>
      </w:r>
    </w:p>
    <w:p>
      <w:pPr>
        <w:spacing w:after="0" w:line="40"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data protection and privacy risks, including cyber attacks, unauthorized access, data loss, operational disruptions and failures by us, our affiliates or our third-party providers to comply with applicable data protection laws, regulations and rules;</w:t>
      </w:r>
    </w:p>
    <w:p>
      <w:pPr>
        <w:spacing w:after="0" w:line="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03" w:lineRule="exact"/>
        <w:rPr>
          <w:rFonts w:ascii="Times New Roman" w:cs="Times New Roman" w:eastAsia="Times New Roman" w:hAnsi="Times New Roman"/>
          <w:sz w:val="18"/>
          <w:szCs w:val="18"/>
          <w:color w:val="auto"/>
        </w:rPr>
      </w:pPr>
    </w:p>
    <w:p>
      <w:pPr>
        <w:ind w:left="328" w:right="20" w:hanging="328"/>
        <w:spacing w:after="0" w:line="266"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financial markets, including sovereign debt issues, currency instability and related fiscal or monetary policies, which may adversely affect the cost (including interest rates), timing or availability of financing and refinancing transactions;</w:t>
      </w:r>
    </w:p>
    <w:p>
      <w:pPr>
        <w:spacing w:after="0" w:line="6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failure or inability to comply with, government regulations and legislation in the countries in which we or our affiliates operate and any adverse outcomes from regulatory proceedings;</w:t>
      </w:r>
    </w:p>
    <w:p>
      <w:pPr>
        <w:spacing w:after="0" w:line="53"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laws or treaties relating to taxation, or the interpretation thereof, in Bermuda, the U.K., the E.U., the U.S. or in other countries in which we or our affiliates operate;</w:t>
      </w:r>
    </w:p>
    <w:p>
      <w:pPr>
        <w:spacing w:after="0" w:line="53" w:lineRule="exact"/>
        <w:rPr>
          <w:rFonts w:ascii="Times New Roman" w:cs="Times New Roman" w:eastAsia="Times New Roman" w:hAnsi="Times New Roman"/>
          <w:sz w:val="18"/>
          <w:szCs w:val="18"/>
          <w:i w:val="1"/>
          <w:iCs w:val="1"/>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perceived health risks associated with electromagnetic radiation from base stations and associated equipment;</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the potential impacts on our business resulting from the U.K.’s departure from the E.U.;</w:t>
      </w:r>
    </w:p>
    <w:p>
      <w:pPr>
        <w:spacing w:after="0" w:line="117"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and shareholder approval and satisfy other conditions necessary to close acquisitions, dispositions, combinations or joint ventures and the impact of conditions imposed by competition and other regulatory authorities in connection with any of our acquisitions, dispositions, combinations or joint ventures;</w:t>
      </w:r>
    </w:p>
    <w:p>
      <w:pPr>
        <w:spacing w:after="0" w:line="54"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acquire new businesses or form joint ventures and, if acquired or joined, to integrate, realize anticipated synergies from and implement our business plans with respect to such businesses, and to successfully identify and manage post-closing operational, financial reporting, internal control and other integration issues;</w:t>
      </w:r>
    </w:p>
    <w:p>
      <w:pPr>
        <w:spacing w:after="0" w:line="68"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customer loss and business disruption, including maintaining relationships with employees, customers, suppliers or vendors, may be greater than expected in connection with our acquisitions, dispositions or joint ventures;</w:t>
      </w:r>
    </w:p>
    <w:p>
      <w:pPr>
        <w:spacing w:after="0" w:line="5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nature of key strategic relationships with partners and joint venturers;</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profit from investments, such as our joint ventures, that we do not solely control;</w:t>
      </w:r>
    </w:p>
    <w:p>
      <w:pPr>
        <w:spacing w:after="0" w:line="11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exposure to additional tax liabilities;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31" w:right="339" w:bottom="1440" w:gutter="0" w:footer="0" w:header="0"/>
        </w:sectPr>
      </w:pPr>
    </w:p>
    <w:bookmarkStart w:id="53" w:name="page54"/>
    <w:bookmarkEnd w:id="53"/>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businesses of strikes or collective action by certain of our employees that are represented by trade unions or work councils;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and factors related to our debt arrangements;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increase rates to our subscribers or to pass through increased costs to our subscribers, including with respect to our significant property and equipment additions, as a result of, among other things, inflationary and cost of living pressures;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for the acquisition, maintenance and/or development of telecommunications networks, products and services;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disposable income and spending levels, including the availability and amount of individual consumer debt, as a result of, among other things, inflationary or cost of living pressures;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freely access the cash of our operating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default by counterparties to our cash investments, derivative and other financial instruments and undrawn debt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and the lack of qualified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satisfactory customer service, including support for new and evolving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that requires opening our broadband distribution networks to competitors, such as certain regulatory obligations imposed in Belgium;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further develop our direct and indirect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threatened litigation; and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that are outside of our control, such as political unrest in international markets, terrorist attacks, armed conflicts, malicious human acts, natural disasters, epidemics, pandemics and other similar events, including the ongoing invasion of Ukraine by Russia and the continuing conflicts in the Middle East.</w:t>
      </w: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broadband distribution and mobile service industries are changing rapidly and, therefore, the forward-looking statements of expectations, plans and intents in this Quarterly Report are subject to a significant degree of risk. These forward-looking statements and the above-described risks, uncertainties and other factors speak only as of the date of this Quarterly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an international provider of broadband internet, video, fixed-line telephony and mobile communications services to residential customers and businesses in Europe and are an active investor across the technology, media, sports and infrastructure sectors. We also provide innovative technology, operational and financial services to our affiliates and third parties. We provide residential and B2B communications services through (i) Ziggo Group, which holds certain wholly-owned subsidiaries in (a) the Netherlands through VodafoneZiggo and (b) Belgium and Luxembourg through Telenet, and (ii) VM Ireland in Ireland. In addition, we own a 50% noncontrolling interest in the VMO2 JV, which provides residential and B2B communications services in the U.K.</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have controlling interests in Wyre, an independent infrastructure company in Belgium, and Formula E, a global electric motor racing series.</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2026, our reportable segments, including the nonconsolidated VMO2 JV, owned and operated networks that passed 29,879,500 homes and served 10,835,700 fixed-line customers and 48,121,400 mobile subscribers.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Competition and Other External Factors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experiencing competition in all of the markets in which we or our affiliates operate. This competition, together with macroeconomic and regulatory factors, has adversely impacted our revenue, number of customers and/or average monthly subscription revenue per fixed-line customer or mobile subscriber, as applicable (</w:t>
      </w:r>
      <w:r>
        <w:rPr>
          <w:rFonts w:ascii="Times New Roman" w:cs="Times New Roman" w:eastAsia="Times New Roman" w:hAnsi="Times New Roman"/>
          <w:sz w:val="18"/>
          <w:szCs w:val="18"/>
          <w:b w:val="1"/>
          <w:bCs w:val="1"/>
          <w:color w:val="auto"/>
        </w:rPr>
        <w:t>ARPU</w:t>
      </w:r>
      <w:r>
        <w:rPr>
          <w:rFonts w:ascii="Times New Roman" w:cs="Times New Roman" w:eastAsia="Times New Roman" w:hAnsi="Times New Roman"/>
          <w:sz w:val="18"/>
          <w:szCs w:val="18"/>
          <w:color w:val="auto"/>
        </w:rPr>
        <w:t xml:space="preserve">). For additional information regarding the revenue impact of changes in the fixed-line customers and ARPU of our consolidated reportable segments,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completed a number of transactions that impact the comparability of our results of operations, the most notable of which is the VodafoneZiggo Acquisition on July 31, 2026. For further information, see note 4 to our condensed consolidated financial statements.</w:t>
      </w:r>
    </w:p>
    <w:p>
      <w:pPr>
        <w:spacing w:after="0" w:line="18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the following discussion, we quantify the estimated impact of material acquisitions (the </w:t>
      </w:r>
      <w:r>
        <w:rPr>
          <w:rFonts w:ascii="Times New Roman" w:cs="Times New Roman" w:eastAsia="Times New Roman" w:hAnsi="Times New Roman"/>
          <w:sz w:val="18"/>
          <w:szCs w:val="18"/>
          <w:b w:val="1"/>
          <w:bCs w:val="1"/>
          <w:color w:val="auto"/>
        </w:rPr>
        <w:t>Acquisition Impact</w:t>
      </w:r>
      <w:r>
        <w:rPr>
          <w:rFonts w:ascii="Times New Roman" w:cs="Times New Roman" w:eastAsia="Times New Roman" w:hAnsi="Times New Roman"/>
          <w:sz w:val="18"/>
          <w:szCs w:val="18"/>
          <w:color w:val="auto"/>
        </w:rPr>
        <w:t>) and dispositions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3 to 12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With respect to material dispositions, the organic changes that are discussed below reflect adjustments to exclude the historical prior-year results of any disposed entities to the extent that such entities are not included in the corresponding results for the current-year period.</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Changes in foreign currency exchange rates have a significant impact on our reported operating results, as all of our operating segments have functional currencies other than the U.S. dollar. Our primary exposure to foreign exchange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xml:space="preserve">) risk during the three months ended September 30, 2026 was to the euro, as substantially all of our reported revenue during the period was derived from subsidiaries whose functional currencies are the euro.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Times New Roman" w:cs="Times New Roman" w:eastAsia="Times New Roman" w:hAnsi="Times New Roman"/>
          <w:sz w:val="18"/>
          <w:szCs w:val="18"/>
          <w:i w:val="1"/>
          <w:iCs w:val="1"/>
          <w:color w:val="auto"/>
        </w:rPr>
        <w:t>Discussion and Analysis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Reportable Segments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Discussion and Analysis of our Consolidated Operating Results </w:t>
      </w:r>
      <w:r>
        <w:rPr>
          <w:rFonts w:ascii="Times New Roman" w:cs="Times New Roman" w:eastAsia="Times New Roman" w:hAnsi="Times New Roman"/>
          <w:sz w:val="18"/>
          <w:szCs w:val="18"/>
          <w:color w:val="auto"/>
        </w:rPr>
        <w:t>below. For information regarding our foreign currency risks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applicable foreign currency exchange rates in effect for the periods covered by this Quarterly Report, see Part I, Item 3.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 Foreign Currency Risk </w:t>
      </w:r>
      <w:r>
        <w:rPr>
          <w:rFonts w:ascii="Times New Roman" w:cs="Times New Roman" w:eastAsia="Times New Roman" w:hAnsi="Times New Roman"/>
          <w:sz w:val="18"/>
          <w:szCs w:val="18"/>
          <w:color w:val="auto"/>
        </w:rPr>
        <w:t>below.</w:t>
      </w:r>
    </w:p>
    <w:p>
      <w:pPr>
        <w:spacing w:after="0" w:line="2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amounts presented and discussed below represent 100% of each of our consolidated and nonconsolidated reportable segment’s results of operations, despite only holding a 50% noncontrolling interest in the VMO2 JV. We account for our 50% interest in the VMO2 JV under the equity method; accordingly, our share of their operating results is included in share of results of affiliates, net in our condensed consolidated statements of operations. Noncontrolling interests, primarily associated with Ziggo Group, Wyre and Formula E, are reflected in net earnings or loss attributable to noncontrolling interests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Reportable Segments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Ziggo Group, VM Ireland and the VMO2 JV derive their revenue primarily from residential and B2B communications services. Wyre derives revenue primarily by providing access to its network on a wholesale basis. For detailed information regarding the composition of our reportable segments, our “all other category” and how we define and categorize our revenue components, see note 16 to our condensed consolidated financial statements. For information regarding the results of operations of the VMO2 JV, refer to </w:t>
      </w:r>
      <w:r>
        <w:rPr>
          <w:rFonts w:ascii="Times New Roman" w:cs="Times New Roman" w:eastAsia="Times New Roman" w:hAnsi="Times New Roman"/>
          <w:sz w:val="18"/>
          <w:szCs w:val="18"/>
          <w:i w:val="1"/>
          <w:iCs w:val="1"/>
          <w:color w:val="auto"/>
        </w:rPr>
        <w:t>Discussion and Analysis of our Consolidated Operating Results — Share of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affiliates, net </w:t>
      </w:r>
      <w:r>
        <w:rPr>
          <w:rFonts w:ascii="Times New Roman" w:cs="Times New Roman" w:eastAsia="Times New Roman" w:hAnsi="Times New Roman"/>
          <w:sz w:val="18"/>
          <w:szCs w:val="18"/>
          <w:color w:val="auto"/>
        </w:rPr>
        <w:t>below.</w:t>
      </w:r>
    </w:p>
    <w:p>
      <w:pPr>
        <w:spacing w:after="0" w:line="21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tables presented below in this section provide the details of the revenue and Adjusted EBITDA of our reportable segments for the three and nine months ended September 30, 2026, as compared to the corresponding periods in 2025. These tables present (i) the amounts reported for the current and comparative periods, (ii) the reported U.S. dollar change and percentage change from period to period and (iii) with respect to our consolidated reportable segments, the organic U.S. dollar change and percentage change from period to period. For our organic comparisons, which exclude the impact of FX, we assume that exchange rates remained constant at the prior-period rate during all periods presented. We also provide a table showing the Adjusted EBITDA margins of our reportable segments for the three and nine months ended September 30, 2026 and 2025 at the end of this section.</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Consolidated Adjusted EBITDA is a non-GAAP measure, which we believe is a meaningful measure because it represents a transparent view of our recurring operating performance that is unaffected by our capital structure and allows management to readily view operating trends from a consolidated view. Investors should view consolidated Adjusted EBITDA as a supplement to, and not a substitute for, GAAP measures of performance included in our condensed consolidated statements of operations.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net earnings (loss) to total consolidated Adjusted EBITDA: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26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08"/>
        </w:trPr>
        <w:tc>
          <w:tcPr>
            <w:tcW w:w="5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(4,180.5)</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associated with the VodafoneZiggo Acquisition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of results of affiliates,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0" w:type="dxa"/>
            <w:vAlign w:val="bottom"/>
          </w:tcPr>
          <w:p>
            <w:pPr>
              <w:spacing w:after="0"/>
              <w:rPr>
                <w:sz w:val="1"/>
                <w:szCs w:val="1"/>
                <w:color w:val="auto"/>
              </w:rPr>
            </w:pPr>
          </w:p>
        </w:tc>
      </w:tr>
      <w:tr>
        <w:trPr>
          <w:trHeight w:val="175"/>
        </w:trPr>
        <w:tc>
          <w:tcPr>
            <w:tcW w:w="58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Realized and unrealized losses (gains) due to changes in fair values of certain</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losses (gains),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3,160.9</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and unrealized losses (gains) on derivative instruments,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23"/>
        </w:trPr>
        <w:tc>
          <w:tcPr>
            <w:tcW w:w="5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 operating items,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3"/>
        </w:trPr>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 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0" w:type="dxa"/>
            <w:vAlign w:val="bottom"/>
          </w:tcPr>
          <w:p>
            <w:pPr>
              <w:spacing w:after="0"/>
              <w:rPr>
                <w:sz w:val="1"/>
                <w:szCs w:val="1"/>
                <w:color w:val="auto"/>
              </w:rPr>
            </w:pPr>
          </w:p>
        </w:tc>
      </w:tr>
      <w:tr>
        <w:trPr>
          <w:trHeight w:val="21"/>
        </w:trPr>
        <w:tc>
          <w:tcPr>
            <w:tcW w:w="58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8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6" w:name="page57"/>
    <w:bookmarkEnd w:id="5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of our Reportable Segments</w:t>
      </w:r>
    </w:p>
    <w:p>
      <w:pPr>
        <w:spacing w:after="0" w:line="2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While not specifically discussed in the below explanations of the changes in the revenue of our reportable segments, we are experiencing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in all of our markets. This competition has an adverse impact on our ability to increase or maintain our total number of customers and/or our ARPU.</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Variances in the subscription revenue that we receive from our customers are a function of (i) changes in the number of our fixed-line customers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fixed and mobile products within a segment during the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elimination of intercompany consolidated revenue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N.M.</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nonconsolidated JV revenue (a)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947.2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N.M.</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3"/>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4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9,935.8</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elimination of intercompany consolidated revenue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N.M.</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nonconsolidated JV revenue (a)</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897.4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N.M.</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7" w:name="page58"/>
    <w:bookmarkEnd w:id="57"/>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Ziggo Group</w:t>
      </w:r>
      <w:r>
        <w:rPr>
          <w:rFonts w:ascii="Times New Roman" w:cs="Times New Roman" w:eastAsia="Times New Roman" w:hAnsi="Times New Roman"/>
          <w:sz w:val="18"/>
          <w:szCs w:val="18"/>
          <w:color w:val="auto"/>
        </w:rPr>
        <w:t>. The details of the increases in Ziggo Group’s revenue during the three and nine months ended September 30, 2026</w:t>
      </w:r>
      <w:r>
        <w:rPr>
          <w:rFonts w:ascii="Times New Roman" w:cs="Times New Roman" w:eastAsia="Times New Roman" w:hAnsi="Times New Roman"/>
          <w:sz w:val="18"/>
          <w:szCs w:val="18"/>
          <w:color w:val="2C2C2C"/>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corresponding periods in </w:t>
      </w:r>
      <w:r>
        <w:rPr>
          <w:rFonts w:ascii="Times New Roman" w:cs="Times New Roman" w:eastAsia="Times New Roman" w:hAnsi="Times New Roman"/>
          <w:sz w:val="18"/>
          <w:szCs w:val="18"/>
          <w:color w:val="2C2C2C"/>
        </w:rPr>
        <w:t>2025</w:t>
      </w:r>
      <w:r>
        <w:rPr>
          <w:rFonts w:ascii="Times New Roman" w:cs="Times New Roman" w:eastAsia="Times New Roman" w:hAnsi="Times New Roman"/>
          <w:sz w:val="18"/>
          <w:szCs w:val="18"/>
          <w:color w:val="auto"/>
        </w:rPr>
        <w:t>, are set forth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Three-month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Nine-month period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97"/>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subscription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2"/>
        </w:trPr>
        <w:tc>
          <w:tcPr>
            <w:tcW w:w="3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66"/>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6"/>
        </w:trPr>
        <w:tc>
          <w:tcPr>
            <w:tcW w:w="3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residential fixed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due to change in:</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176"/>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residential fixed non-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revenue</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56"/>
        </w:trPr>
        <w:tc>
          <w:tcPr>
            <w:tcW w:w="3900" w:type="dxa"/>
            <w:vAlign w:val="bottom"/>
            <w:tcBorders>
              <w:top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Total increase (decrease) in residential fixed</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43"/>
        </w:trPr>
        <w:tc>
          <w:tcPr>
            <w:tcW w:w="3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revenue (a)</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mobile revenue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B2B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other revenue (b)</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39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acquisitions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dispositions</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48"/>
        </w:trPr>
        <w:tc>
          <w:tcPr>
            <w:tcW w:w="3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52" w:lineRule="exact"/>
        <w:rPr>
          <w:sz w:val="20"/>
          <w:szCs w:val="20"/>
          <w:color w:val="auto"/>
        </w:rPr>
      </w:pPr>
    </w:p>
    <w:p>
      <w:pPr>
        <w:ind w:left="500" w:right="20" w:hanging="492"/>
        <w:spacing w:after="0" w:line="282" w:lineRule="auto"/>
        <w:tabs>
          <w:tab w:leader="none" w:pos="4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residential fixed subscription revenue for the nine-month period includes a decrease associated with the impact of the write-off of previously recognized revenue of $12.8 million during the second quarter of 2026.</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2" w:lineRule="auto"/>
        <w:tabs>
          <w:tab w:leader="none" w:pos="4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other revenue include increases related to the renegotiation of the Transition Services and Support (</w:t>
      </w:r>
      <w:r>
        <w:rPr>
          <w:rFonts w:ascii="Times New Roman" w:cs="Times New Roman" w:eastAsia="Times New Roman" w:hAnsi="Times New Roman"/>
          <w:sz w:val="18"/>
          <w:szCs w:val="18"/>
          <w:b w:val="1"/>
          <w:bCs w:val="1"/>
          <w:color w:val="auto"/>
        </w:rPr>
        <w:t>TSS</w:t>
      </w:r>
      <w:r>
        <w:rPr>
          <w:rFonts w:ascii="Times New Roman" w:cs="Times New Roman" w:eastAsia="Times New Roman" w:hAnsi="Times New Roman"/>
          <w:sz w:val="18"/>
          <w:szCs w:val="18"/>
          <w:color w:val="auto"/>
        </w:rPr>
        <w:t>) agreement with Wyre. This revenue relates to services provided to Wyre following its formation and is recognized within Ziggo Group’s segment results. As these amounts represent transactions between consolidated reportable segments, the related revenue is eliminated upon consolidation and therefore does not impact Liberty Global’s consolidated revenue.</w:t>
      </w:r>
    </w:p>
    <w:p>
      <w:pPr>
        <w:spacing w:after="0" w:line="205" w:lineRule="exact"/>
        <w:rPr>
          <w:sz w:val="20"/>
          <w:szCs w:val="20"/>
          <w:color w:val="auto"/>
        </w:rPr>
      </w:pPr>
    </w:p>
    <w:p>
      <w:pPr>
        <w:ind w:firstLine="32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Wyre. </w:t>
      </w:r>
      <w:r>
        <w:rPr>
          <w:rFonts w:ascii="Times New Roman" w:cs="Times New Roman" w:eastAsia="Times New Roman" w:hAnsi="Times New Roman"/>
          <w:sz w:val="17"/>
          <w:szCs w:val="17"/>
          <w:color w:val="auto"/>
        </w:rPr>
        <w:t>Wyre’s revenue increased (decreased) ($7.2 million) and $13.7 million during the three and nine months ended September 30, 2026,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 compared to the corresponding periods in </w:t>
      </w:r>
      <w:r>
        <w:rPr>
          <w:rFonts w:ascii="Times New Roman" w:cs="Times New Roman" w:eastAsia="Times New Roman" w:hAnsi="Times New Roman"/>
          <w:sz w:val="17"/>
          <w:szCs w:val="17"/>
          <w:color w:val="2C2C2C"/>
        </w:rPr>
        <w:t>2025.</w:t>
      </w:r>
      <w:r>
        <w:rPr>
          <w:rFonts w:ascii="Times New Roman" w:cs="Times New Roman" w:eastAsia="Times New Roman" w:hAnsi="Times New Roman"/>
          <w:sz w:val="17"/>
          <w:szCs w:val="17"/>
          <w:color w:val="auto"/>
        </w:rPr>
        <w:t xml:space="preserve"> Excluding the effects of FX, Wyre’s revenue decreased $4.2 million and $8.1 million, respectively.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8" w:name="page59"/>
    <w:bookmarkEnd w:id="58"/>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VM Ireland. </w:t>
      </w:r>
      <w:r>
        <w:rPr>
          <w:rFonts w:ascii="Times New Roman" w:cs="Times New Roman" w:eastAsia="Times New Roman" w:hAnsi="Times New Roman"/>
          <w:sz w:val="18"/>
          <w:szCs w:val="18"/>
          <w:color w:val="auto"/>
        </w:rPr>
        <w:t>The details of the changes in VM Ireland’s revenue during the three and nine months ended September 30, 2026,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corresponding periods in </w:t>
      </w:r>
      <w:r>
        <w:rPr>
          <w:rFonts w:ascii="Times New Roman" w:cs="Times New Roman" w:eastAsia="Times New Roman" w:hAnsi="Times New Roman"/>
          <w:sz w:val="18"/>
          <w:szCs w:val="18"/>
          <w:color w:val="2C2C2C"/>
        </w:rPr>
        <w:t>2025</w:t>
      </w:r>
      <w:r>
        <w:rPr>
          <w:rFonts w:ascii="Times New Roman" w:cs="Times New Roman" w:eastAsia="Times New Roman" w:hAnsi="Times New Roman"/>
          <w:sz w:val="18"/>
          <w:szCs w:val="18"/>
          <w:color w:val="auto"/>
        </w:rPr>
        <w:t>, are set forth below: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6"/>
                <w:szCs w:val="16"/>
                <w:b w:val="1"/>
                <w:bCs w:val="1"/>
                <w:color w:val="auto"/>
              </w:rPr>
              <w:t>Three-month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Nine-month period</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97"/>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Non-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9"/>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Subscription</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subscription</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2"/>
        </w:trPr>
        <w:tc>
          <w:tcPr>
            <w:tcW w:w="39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revenue</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9"/>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74"/>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76"/>
        </w:trPr>
        <w:tc>
          <w:tcPr>
            <w:tcW w:w="3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(decrease) in residential fixed subscription</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due to change in:</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2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ARPU</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7"/>
              </w:rPr>
              <w:t>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175"/>
        </w:trPr>
        <w:tc>
          <w:tcPr>
            <w:tcW w:w="3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Increase in residential fixed non-subscription</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center"/>
              <w:ind w:left="332"/>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156"/>
        </w:trPr>
        <w:tc>
          <w:tcPr>
            <w:tcW w:w="3900" w:type="dxa"/>
            <w:vAlign w:val="bottom"/>
            <w:tcBorders>
              <w:top w:val="single" w:sz="8" w:color="CCEEFF"/>
            </w:tcBorders>
            <w:shd w:val="clear" w:color="auto" w:fill="CCEEFF"/>
          </w:tcPr>
          <w:p>
            <w:pPr>
              <w:ind w:left="300"/>
              <w:spacing w:after="0" w:line="156" w:lineRule="exact"/>
              <w:rPr>
                <w:sz w:val="20"/>
                <w:szCs w:val="20"/>
                <w:color w:val="auto"/>
              </w:rPr>
            </w:pPr>
            <w:r>
              <w:rPr>
                <w:rFonts w:ascii="Times New Roman" w:cs="Times New Roman" w:eastAsia="Times New Roman" w:hAnsi="Times New Roman"/>
                <w:sz w:val="18"/>
                <w:szCs w:val="18"/>
                <w:color w:val="auto"/>
              </w:rPr>
              <w:t>Total increase (decrease) in residential fixed</w:t>
            </w: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43"/>
        </w:trPr>
        <w:tc>
          <w:tcPr>
            <w:tcW w:w="39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8"/>
              </w:rPr>
              <w:t>(2.5)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residential mobile revenue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B2B revenue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other revenue</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390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organic increase (decrease)</w:t>
            </w: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8"/>
              </w:rPr>
              <w:t>(1.9)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39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8"/>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Other Direct Costs of Services, Other Operating Expenses and SG&amp;A Expenses of our Reportable Segments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the changes in our (i) programming and other direct costs of services, (ii) other operating expenses and (iii) SG&amp;A expenses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see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of our Reportable Segments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the primary measure used by our CODM to evaluate segment operating performance. As presented below, consolidated Adjusted EBITDA is a non-GAAP measure, which investors should view as a supplement to, and not a substitute for, GAAP measures of performance included in our condensed consolidated statements of operations. The following table sets forth the Adjusted EBITDA of our reportable segments.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840" w:type="dxa"/>
            <w:vAlign w:val="bottom"/>
            <w:gridSpan w:val="4"/>
            <w:vMerge w:val="restart"/>
          </w:tcPr>
          <w:p>
            <w:pPr>
              <w:jc w:val="center"/>
              <w:ind w:left="375"/>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3"/>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Organic decrease</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elimination of intercompany consolidated</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nonconsolidated JV Adjusted EBITDA (a)</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395.2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N.M.</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w:t>
            </w: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40" w:type="dxa"/>
            <w:vAlign w:val="bottom"/>
            <w:gridSpan w:val="4"/>
            <w:vMerge w:val="restart"/>
          </w:tcPr>
          <w:p>
            <w:pPr>
              <w:jc w:val="center"/>
              <w:ind w:left="375"/>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4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elimination of intercompany consolidated</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nonconsolidated JV Adjusted EBITDA (a)</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376.5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ind w:left="500" w:hanging="492"/>
        <w:spacing w:after="0"/>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Margin</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Adjusted EBITDA margins (Adjusted EBITDA divided by revenue) of each of our reportable segments: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360" w:type="dxa"/>
            <w:vAlign w:val="bottom"/>
            <w:gridSpan w:val="4"/>
          </w:tcPr>
          <w:p>
            <w:pPr>
              <w:jc w:val="center"/>
              <w:ind w:left="45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320" w:type="dxa"/>
            <w:vAlign w:val="bottom"/>
          </w:tcPr>
          <w:p>
            <w:pPr>
              <w:spacing w:after="0"/>
              <w:rPr>
                <w:sz w:val="18"/>
                <w:szCs w:val="18"/>
                <w:color w:val="auto"/>
              </w:rPr>
            </w:pPr>
          </w:p>
        </w:tc>
        <w:tc>
          <w:tcPr>
            <w:tcW w:w="1980" w:type="dxa"/>
            <w:vAlign w:val="bottom"/>
            <w:tcBorders>
              <w:bottom w:val="single" w:sz="8" w:color="auto"/>
            </w:tcBorders>
            <w:gridSpan w:val="3"/>
          </w:tcPr>
          <w:p>
            <w:pPr>
              <w:jc w:val="center"/>
              <w:ind w:left="8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gridSpan w:val="3"/>
          </w:tcPr>
          <w:p>
            <w:pPr>
              <w:jc w:val="center"/>
              <w:ind w:left="83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13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5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37.1 %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79.6 %</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36.4 %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35.2 %</w:t>
            </w:r>
          </w:p>
        </w:tc>
      </w:tr>
    </w:tbl>
    <w:p>
      <w:pPr>
        <w:spacing w:after="0" w:line="314"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addition to organic changes in the revenue, operating and SG&amp;A expenses of our reportable segments, the Adjusted EBITDA margins presented above include the impact of acquisitions, as applicable. For discussion of the factors contributing to the changes in the Adjusted EBITDA margins of our consolidated reportable segments, see the analysis of our revenue included in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and the analysis of our expenses included in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below. For discussion of the factors contributing to the change in the Adjusted EBITDA margin of the VMO2 JV, see </w:t>
      </w:r>
      <w:r>
        <w:rPr>
          <w:rFonts w:ascii="Times New Roman" w:cs="Times New Roman" w:eastAsia="Times New Roman" w:hAnsi="Times New Roman"/>
          <w:sz w:val="18"/>
          <w:szCs w:val="18"/>
          <w:i w:val="1"/>
          <w:iCs w:val="1"/>
          <w:color w:val="auto"/>
        </w:rPr>
        <w:t>Discussion and Analysis of our Consolidated Operating Results — Share of results of affiliates, net</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Discussion and Analysis of our Consolidated Operating Results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4" w:lineRule="exact"/>
        <w:rPr>
          <w:sz w:val="20"/>
          <w:szCs w:val="20"/>
          <w:color w:val="auto"/>
        </w:rPr>
      </w:pPr>
    </w:p>
    <w:p>
      <w:pPr>
        <w:ind w:left="180" w:right="1780" w:firstLine="162"/>
        <w:spacing w:after="0" w:line="284" w:lineRule="auto"/>
        <w:rPr>
          <w:sz w:val="20"/>
          <w:szCs w:val="20"/>
          <w:color w:val="auto"/>
        </w:rPr>
      </w:pPr>
      <w:r>
        <w:rPr>
          <w:rFonts w:ascii="Times New Roman" w:cs="Times New Roman" w:eastAsia="Times New Roman" w:hAnsi="Times New Roman"/>
          <w:sz w:val="18"/>
          <w:szCs w:val="18"/>
          <w:color w:val="auto"/>
        </w:rPr>
        <w:t xml:space="preserve">For more detailed explanations of the changes in our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by major category is set forth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208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Broadband internet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mobile revenue (c):</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 revenue (d):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4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0" w:type="dxa"/>
            <w:vAlign w:val="bottom"/>
          </w:tcPr>
          <w:p>
            <w:pPr>
              <w:spacing w:after="0"/>
              <w:rPr>
                <w:sz w:val="16"/>
                <w:szCs w:val="16"/>
                <w:color w:val="auto"/>
              </w:rPr>
            </w:pPr>
          </w:p>
        </w:tc>
        <w:tc>
          <w:tcPr>
            <w:tcW w:w="21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60" w:type="dxa"/>
            <w:vAlign w:val="bottom"/>
          </w:tcPr>
          <w:p>
            <w:pPr>
              <w:spacing w:after="0"/>
              <w:rPr>
                <w:sz w:val="16"/>
                <w:szCs w:val="16"/>
                <w:color w:val="auto"/>
              </w:rPr>
            </w:pPr>
          </w:p>
        </w:tc>
        <w:tc>
          <w:tcPr>
            <w:tcW w:w="2140" w:type="dxa"/>
            <w:vAlign w:val="bottom"/>
            <w:gridSpan w:val="3"/>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fixed revenue (a):</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Broadband internet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9"/>
                <w:szCs w:val="19"/>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Video</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Fixed-line telephony</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subscription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residential fixed revenue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Residential mobile revenue (c):</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Subscription revenue (b)</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residential mobile revenue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residential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B2B revenue (d):</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1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B2B revenue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 (e)</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3,647.4</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19"/>
                <w:szCs w:val="19"/>
                <w:color w:val="auto"/>
              </w:rPr>
            </w:pPr>
          </w:p>
        </w:tc>
        <w:tc>
          <w:tcPr>
            <w:tcW w:w="11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fixed subscription revenue includes amounts received from subscribers for ongoing services and the recognition of deferred installation revenue over the associated contract period. Residential fixed non-subscription revenue includes, among other items, channel carriage fees, late fees and revenue from the sale of equipment.</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fixed and mobile products or the composition of bundles can contribute to changes in our product revenue categories from period to period.</w:t>
      </w:r>
    </w:p>
    <w:p>
      <w:pPr>
        <w:spacing w:after="0" w:line="20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$7.8 million and $8.0 million during the three months ended September 30, 2026 and 2025, respectively, and $21.7 million and $24.8 million during the nine months ended September 30, 2026 and 2025, respectively.</w:t>
      </w:r>
    </w:p>
    <w:p>
      <w:pPr>
        <w:spacing w:after="0" w:line="206"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B2B subscription revenue represents revenue from (i) services provided to SOHO subscribers and (ii) mobile services provided to medium and large enterprises. SOHO subscribers pay a premium price to receive expanded service levels along with broadband internet, video, fixed-line telephony or mobile services that are the same or similar to the mass marketed products offered to our residential subscribers. B2B non-subscription revenue includes (a) revenue from business broadband internet, video, fixed-line telephony and data services offered to medium and large enterprises, and fixed-line and mobile services offered on a wholesale basis to other operators, and (b) revenue from long-term leases of portions of our network.</w:t>
      </w:r>
    </w:p>
    <w:p>
      <w:pPr>
        <w:spacing w:after="0" w:line="210"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among other items, (i) revenue earned from the U.K. JV Services, the Sunrise Services and the NL JV Services, (ii) revenue at Formula E, (iii) revenue earned from the sales of CPE to the VMO2 JV, VodafoneZiggo and Sunrise and (iv) broadcasting revenue at Ziggo Group and VM Ireland.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2" w:name="page63"/>
    <w:bookmarkEnd w:id="62"/>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Our consolidated revenue increased $713.5 million or 59.1% and $719.8 million or 19.7% during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respectively, as compared to the corresponding periods in 2025. These increases include an increase of $785.2 million attributable to the VodafoneZiggo Acquisition and decreases of $51.9 million and $162.3 million, respectively, attributable to the impact of dispositions. On an organic basis, our consolidated revenue increased (decreased) $6.7 million or 0.6% and ($34.2 million) or (1.0%), respectively.</w:t>
      </w:r>
    </w:p>
    <w:p>
      <w:pPr>
        <w:spacing w:after="0" w:line="20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Residential revenue. </w:t>
      </w:r>
      <w:r>
        <w:rPr>
          <w:rFonts w:ascii="Times New Roman" w:cs="Times New Roman" w:eastAsia="Times New Roman" w:hAnsi="Times New Roman"/>
          <w:sz w:val="18"/>
          <w:szCs w:val="18"/>
          <w:color w:val="auto"/>
        </w:rPr>
        <w:t>The details of the increases in our consolidated residential revenue during the three and nine months ended September 30,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corresponding periods in 2025,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Three-month</w:t>
            </w:r>
          </w:p>
        </w:tc>
        <w:tc>
          <w:tcPr>
            <w:tcW w:w="160" w:type="dxa"/>
            <w:vAlign w:val="bottom"/>
          </w:tcPr>
          <w:p>
            <w:pPr>
              <w:spacing w:after="0"/>
              <w:rPr>
                <w:sz w:val="16"/>
                <w:szCs w:val="16"/>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Nine-month</w:t>
            </w:r>
          </w:p>
        </w:tc>
      </w:tr>
      <w:tr>
        <w:trPr>
          <w:trHeight w:val="212"/>
        </w:trPr>
        <w:tc>
          <w:tcPr>
            <w:tcW w:w="8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33"/>
        </w:trPr>
        <w:tc>
          <w:tcPr>
            <w:tcW w:w="8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r>
      <w:tr>
        <w:trPr>
          <w:trHeight w:val="206"/>
        </w:trPr>
        <w:tc>
          <w:tcPr>
            <w:tcW w:w="8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right"/>
              <w:ind w:right="872"/>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166"/>
        </w:trPr>
        <w:tc>
          <w:tcPr>
            <w:tcW w:w="8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residential fixed subscription revenue due to change in: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number of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ARPU</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fixed non-subscription revenue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decrease in residential fixed revenue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residential mobile subscription revenue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residential mobile non-subscription revenue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organic decrease in residential revenue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acquisitions and dispositions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48"/>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increase in residential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an organic basis, our consolidated residential mobile subscription revenue increased $3.3 million or 1.2% and $5.5 million or 1.1% during the three and nine months ended September 30, 2026, respectively, as compared to the corresponding periods in 2025, primarily due to increases at Ziggo Group.</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 </w:t>
      </w:r>
      <w:r>
        <w:rPr>
          <w:rFonts w:ascii="Times New Roman" w:cs="Times New Roman" w:eastAsia="Times New Roman" w:hAnsi="Times New Roman"/>
          <w:sz w:val="18"/>
          <w:szCs w:val="18"/>
          <w:color w:val="auto"/>
        </w:rPr>
        <w:t>On an organic basis, our consolidated other revenue increased (decreased) $16.3 million or 5.0% and ($2.2 million) or (0.2%)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and nine months ended September 30, 2026, respectively, as compared to the corresponding periods in 2025, primarily due to the net effect of (i) higher sales of CPE to the VMO2 JV and (ii) decreases in revenue earned from the NL JV Services and, for the nine-month period, the Sunrise Services.</w:t>
      </w:r>
    </w:p>
    <w:p>
      <w:pPr>
        <w:spacing w:after="0" w:line="187"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regarding the changes in our residential, B2B and other revenue,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above.</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Programming and other direct costs of services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Programming and other direct costs of services include programming and copyright costs, interconnect and access costs, costs of mobile handsets and other devices and other direct costs related to our operations, including costs associated with our transitional and other service agreements and certain costs related to the development of externally marketed software. Programming and copyright costs represent a significant portion of our operating costs and are subject to rise in future periods due to various factors, including (i) higher costs associated with the expansion of our digital video content, including rights associated with ancillary product offerings and rights that provide for the broadcast of live sporting events, and (ii) rate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color w:val="auto"/>
        </w:rPr>
        <w:t>The details of our programming and other direct costs of services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4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4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elimination of intercompany consolidated</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and other direct costs of services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nonconsolidated JV programming and other direct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of services (a)</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214.5</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4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4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tcBorders>
              <w:top w:val="single" w:sz="8" w:color="auto"/>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elimination of intercompany consolidated</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programming and other direct costs of services</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nonconsolidated JV programming and other direct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costs of services (a)</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consolidated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ind w:left="500" w:hanging="492"/>
        <w:spacing w:after="0"/>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programming and other direct costs of services increased $214.5 million or 54.6% and $147.8 million or 11.7% during the three and nine months ended September 30, 2026, respectively, as compared to the corresponding periods in 2025. These increases include an increase of $187.8 million attributable to the VodafoneZiggo Acquisition and decreases of $34.2 million and $119.1 million, respectively, attributable to the impact of dispositions. On an organic basis, our programming and other direct costs of services increased $70.2 million or 19.6% and $32.8 million or 2.9%, respectively. These increases include the following factors:</w:t>
      </w:r>
    </w:p>
    <w:p>
      <w:pPr>
        <w:spacing w:after="0" w:line="210"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$28.3 million and $51.9 million, respectively, related to the sales of CPE to the VMO2 JV;</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(decrease) in programming and copyright costs of $17.1 million or 14.8% and ($17.7 million) or (4.3%), respectively, primarily attributable to costs for certain content, due to (i) an increase for the three-month comparison and a decrease for the nine-month comparison at Ziggo Group and (ii) increases at VM Ireland. The increases at VM</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Ireland include $10.2 million of costs related to a change in estimate of certain content inventory at VM Ireland during the third quarter of 2026;</w:t>
      </w:r>
    </w:p>
    <w:p>
      <w:pPr>
        <w:spacing w:after="0" w:line="252"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$2.7 million and $13.9 million, respectively, related to the sales of CPE to VodafoneZiggo;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comparison, an increase in other direct costs of $24.1 million related to costs incurred in connection with Formula E race events.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separately discussed further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other operating expenses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2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8"/>
              </w:rPr>
              <w:t>(1.5)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7"/>
              </w:rPr>
              <w:t>7.5</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8"/>
              </w:rPr>
              <w:t>(3.8)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116.4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elimination of intercompany consolidated other</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nonconsolidated JV other operating expenses (a)</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N.M.</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8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Total consolidated (excluding share-based</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8"/>
              </w:rPr>
              <w:t>(8.4)</w:t>
            </w: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00" w:type="dxa"/>
            <w:vAlign w:val="bottom"/>
          </w:tcPr>
          <w:p>
            <w:pPr>
              <w:spacing w:after="0"/>
              <w:rPr>
                <w:sz w:val="16"/>
                <w:szCs w:val="16"/>
                <w:color w:val="auto"/>
              </w:rPr>
            </w:pPr>
          </w:p>
        </w:tc>
        <w:tc>
          <w:tcPr>
            <w:tcW w:w="1960" w:type="dxa"/>
            <w:vAlign w:val="bottom"/>
            <w:gridSpan w:val="3"/>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Pr>
          <w:p>
            <w:pPr>
              <w:spacing w:after="0"/>
              <w:rPr>
                <w:sz w:val="18"/>
                <w:szCs w:val="18"/>
                <w:color w:val="auto"/>
              </w:rPr>
            </w:pPr>
          </w:p>
        </w:tc>
        <w:tc>
          <w:tcPr>
            <w:tcW w:w="19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elimination of intercompany consolidated other</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nonconsolidated JV other operating expenses (a)</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220" w:type="dxa"/>
            <w:vAlign w:val="bottom"/>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Total consolidated (excluding share-based</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expense)</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2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ind w:left="500" w:hanging="492"/>
        <w:spacing w:after="0"/>
        <w:tabs>
          <w:tab w:leader="none" w:pos="5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pacing w:after="0" w:line="2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other operating expenses (exclusive of share-based compensation expense) increased $69.3 million or 32.6% and $83.6 million or 13.6% during the three and nine months ended September 30, 2026, respectively, as compared to the corresponding periods in 2025. These increases include an increase of $88.8 million attributable to the VodafoneZiggo Acquisition and decreases of $4.8 million and $10.1 million, respectively, attributable to the impact of dispositions. On an organic basis, our other operating expenses decreased $8.4 million or 4.0% and $19.9 million or 3.3%, respectively. These decreases include the following factors:</w:t>
      </w:r>
    </w:p>
    <w:p>
      <w:pPr>
        <w:spacing w:after="0" w:line="210" w:lineRule="exact"/>
        <w:rPr>
          <w:sz w:val="20"/>
          <w:szCs w:val="20"/>
          <w:color w:val="auto"/>
        </w:rPr>
      </w:pPr>
    </w:p>
    <w:p>
      <w:pPr>
        <w:ind w:left="6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personnel costs of $13.6 million or 25.1% and $30.3 million or 16.9%, respectively, including decreases at Ziggo Group, primarily due to (i) lower staffing levels, (ii) lower average costs per employee and (iii) lower contingent labor costs;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outsourced labor costs of $4.8 million or 16.8% and $6.1 million or 7.2%, respectively, primarily associated with customer facing activities at Wyre;</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external sales and marketing costs of $2.8 million or 47.1% and $5.9 million or 91.4%, respectively, primarily related to higher costs associated with advertising campaigns;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customer service costs of $3.1 million or 17.6% and $4.7 million or 9.0%, respectively, primarily related to lower call center costs at Ziggo Group;</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business service costs of $7.2 million or 47.9% and $2.6 million or 4.2%, respectively, primarily attributable to (i) higher consulting costs and (ii) higher people services costs at Ziggo Group;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core network and information technology-related costs of $6.9 million or 10.0% and $2.2 million or 1.4%, respectively, primarily due to lower information technology-related costs.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66" w:name="page67"/>
    <w:bookmarkEnd w:id="66"/>
    <w:p>
      <w:pPr>
        <w:ind w:left="18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separately discussed further below.</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our SG&amp;A expenses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7"/>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2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elimination of intercompany consolidated SG&amp;A</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Less: nonconsolidated JV SG&amp;A expenses (a)</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330.8</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300" w:type="dxa"/>
            <w:vAlign w:val="bottom"/>
            <w:gridSpan w:val="2"/>
            <w:shd w:val="clear" w:color="auto" w:fill="CCEEFF"/>
          </w:tcPr>
          <w:p>
            <w:pPr>
              <w:ind w:left="260"/>
              <w:spacing w:after="0" w:line="156" w:lineRule="exact"/>
              <w:rPr>
                <w:sz w:val="20"/>
                <w:szCs w:val="20"/>
                <w:color w:val="auto"/>
              </w:rPr>
            </w:pPr>
            <w:r>
              <w:rPr>
                <w:rFonts w:ascii="Times New Roman" w:cs="Times New Roman" w:eastAsia="Times New Roman" w:hAnsi="Times New Roman"/>
                <w:sz w:val="18"/>
                <w:szCs w:val="18"/>
                <w:color w:val="auto"/>
              </w:rPr>
              <w:t>Total consolidated (excluding share-based</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6"/>
        </w:trPr>
        <w:tc>
          <w:tcPr>
            <w:tcW w:w="43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163.6</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2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00" w:type="dxa"/>
            <w:vAlign w:val="bottom"/>
            <w:tcBorders>
              <w:bottom w:val="single" w:sz="8" w:color="CCEEFF"/>
            </w:tcBorders>
            <w:gridSpan w:val="2"/>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Increase (decrease)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vMerge w:val="restart"/>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Organic increase</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7"/>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20" w:type="dxa"/>
            <w:vAlign w:val="bottom"/>
            <w:gridSpan w:val="4"/>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Ziggo Group (a)</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Wyre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 Ireland</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VMO2 JV (nonconsolidated)</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3,225.5</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Plus: all other category</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3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elimination of intercompany consolidated SG&amp;A</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Less: nonconsolidated JV SG&amp;A expenses (a)</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244.7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280" w:type="dxa"/>
            <w:vAlign w:val="bottom"/>
            <w:tcBorders>
              <w:top w:val="single" w:sz="8" w:color="CCEEFF"/>
            </w:tcBorders>
            <w:shd w:val="clear" w:color="auto" w:fill="CCEEFF"/>
          </w:tcPr>
          <w:p>
            <w:pPr>
              <w:ind w:left="260"/>
              <w:spacing w:after="0" w:line="164" w:lineRule="exact"/>
              <w:rPr>
                <w:sz w:val="20"/>
                <w:szCs w:val="20"/>
                <w:color w:val="auto"/>
              </w:rPr>
            </w:pPr>
            <w:r>
              <w:rPr>
                <w:rFonts w:ascii="Times New Roman" w:cs="Times New Roman" w:eastAsia="Times New Roman" w:hAnsi="Times New Roman"/>
                <w:sz w:val="18"/>
                <w:szCs w:val="18"/>
                <w:color w:val="auto"/>
              </w:rPr>
              <w:t>Total consolidated (excluding share-based</w:t>
            </w: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7"/>
        </w:trPr>
        <w:tc>
          <w:tcPr>
            <w:tcW w:w="43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190.8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199.0</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52"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 of the results of the VodafoneZiggo JV prior to the VodafoneZiggo Acquisition.</w:t>
      </w:r>
    </w:p>
    <w:p>
      <w:pPr>
        <w:sectPr>
          <w:pgSz w:w="11900" w:h="16838" w:orient="portrait"/>
          <w:cols w:equalWidth="0" w:num="1">
            <w:col w:w="11240"/>
          </w:cols>
          <w:pgMar w:left="320" w:top="9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type w:val="continuous"/>
        </w:sectPr>
      </w:pPr>
    </w:p>
    <w:bookmarkStart w:id="67" w:name="page68"/>
    <w:bookmarkEnd w:id="67"/>
    <w:p>
      <w:pPr>
        <w:ind w:left="180"/>
        <w:spacing w:after="0"/>
        <w:rPr>
          <w:sz w:val="20"/>
          <w:szCs w:val="20"/>
          <w:color w:val="auto"/>
        </w:rPr>
      </w:pPr>
      <w:r>
        <w:rPr>
          <w:rFonts w:ascii="Times New Roman" w:cs="Times New Roman" w:eastAsia="Times New Roman" w:hAnsi="Times New Roman"/>
          <w:sz w:val="18"/>
          <w:szCs w:val="18"/>
          <w:i w:val="1"/>
          <w:iCs w:val="1"/>
          <w:color w:val="auto"/>
        </w:rPr>
        <w:t>Supplemental SG&amp;A expense information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12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8"/>
              </w:rPr>
              <w:t>(8.7)</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74"/>
              <w:spacing w:after="0"/>
              <w:rPr>
                <w:sz w:val="20"/>
                <w:szCs w:val="20"/>
                <w:color w:val="auto"/>
              </w:rPr>
            </w:pPr>
            <w:r>
              <w:rPr>
                <w:rFonts w:ascii="Times New Roman" w:cs="Times New Roman" w:eastAsia="Times New Roman" w:hAnsi="Times New Roman"/>
                <w:sz w:val="18"/>
                <w:szCs w:val="18"/>
                <w:color w:val="auto"/>
                <w:w w:val="97"/>
              </w:rPr>
              <w:t>6.8</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color w:val="auto"/>
                <w:w w:val="97"/>
              </w:rPr>
              <w:t>9.3</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8"/>
              </w:rPr>
              <w:t>(1.9)</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320" w:type="dxa"/>
            <w:vAlign w:val="bottom"/>
          </w:tcPr>
          <w:p>
            <w:pPr>
              <w:spacing w:after="0"/>
              <w:rPr>
                <w:sz w:val="24"/>
                <w:szCs w:val="24"/>
                <w:color w:val="auto"/>
              </w:rPr>
            </w:pPr>
          </w:p>
        </w:tc>
        <w:tc>
          <w:tcPr>
            <w:tcW w:w="12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3"/>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Organic increase (decrease)</w:t>
            </w:r>
          </w:p>
        </w:tc>
        <w:tc>
          <w:tcPr>
            <w:tcW w:w="0" w:type="dxa"/>
            <w:vAlign w:val="bottom"/>
          </w:tcPr>
          <w:p>
            <w:pPr>
              <w:spacing w:after="0"/>
              <w:rPr>
                <w:sz w:val="1"/>
                <w:szCs w:val="1"/>
                <w:color w:val="auto"/>
              </w:rPr>
            </w:pPr>
          </w:p>
        </w:tc>
      </w:tr>
      <w:tr>
        <w:trPr>
          <w:trHeight w:val="214"/>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2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8"/>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in millions, except percentages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7"/>
              </w:rPr>
              <w:t>9.4</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1.8</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External sales and marketing</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34"/>
              <w:spacing w:after="0"/>
              <w:rPr>
                <w:sz w:val="20"/>
                <w:szCs w:val="20"/>
                <w:color w:val="auto"/>
              </w:rPr>
            </w:pPr>
            <w:r>
              <w:rPr>
                <w:rFonts w:ascii="Times New Roman" w:cs="Times New Roman" w:eastAsia="Times New Roman" w:hAnsi="Times New Roman"/>
                <w:sz w:val="18"/>
                <w:szCs w:val="18"/>
                <w:color w:val="auto"/>
                <w:w w:val="98"/>
              </w:rPr>
              <w:t>(1.4)</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center"/>
              <w:ind w:left="572"/>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w w:val="97"/>
              </w:rPr>
              <w:t>8.0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ind w:left="592"/>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include all personnel-related costs within our SG&amp;A expenses, including personnel-related costs associated with our sales and marketing function.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SG&amp;A expenses (exclusive of share-based compensation expense) increased $163.6 million or 61.8% and $190.8 million or 24.6% during the three and nine months ended September 30, 2026, respectively, as compared to the corresponding periods in 2025. These increases include an increase of $175.8 million attributable to the VodafoneZiggo Acquisition and decreases of $5.9 million and $16.5 million, respectively, attributable to the impact of dispositions. On an organic basis, our SG&amp;A expenses increased (decreased) ($1.9 million) or (0.7%) and $8.0 million or 1.1%, respectively. These changes include the following factors:</w:t>
      </w:r>
    </w:p>
    <w:p>
      <w:pPr>
        <w:spacing w:after="0" w:line="210" w:lineRule="exact"/>
        <w:rPr>
          <w:sz w:val="20"/>
          <w:szCs w:val="20"/>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business service costs of $10.1 million or 24.5% and $16.6 million or 15.4%, respectively, primarily attributable to (i) higher consulting costs and (ii) higher people services costs at Ziggo Group;</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core network and information technology-related costs of $10.0 million or 45.7% and $15.1 million or 25.8%, respectively, primarily due to higher information technology-related costs, including increases at Ziggo Group;</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personnel costs of $15.3 million or 10.6% and $8.5 million or 2.1%, respectively, including decreases at Ziggo Group, primarily due to (i) lower staffing levels and (ii) lower contingent labor costs;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three-month comparison, an increase in external sales and marketing costs of $6.8 million or 9.3%, primarily attributable to (i) higher third-party sales commissions and (ii) higher costs associated with advertising campaigns at Ziggo Group.</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8" w:name="page69"/>
    <w:bookmarkEnd w:id="68"/>
    <w:p>
      <w:pPr>
        <w:ind w:left="180"/>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080" w:type="dxa"/>
            <w:vAlign w:val="bottom"/>
            <w:gridSpan w:val="4"/>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6160" w:type="dxa"/>
            <w:vAlign w:val="bottom"/>
          </w:tcPr>
          <w:p>
            <w:pPr>
              <w:spacing w:after="0"/>
              <w:rPr>
                <w:sz w:val="18"/>
                <w:szCs w:val="18"/>
                <w:color w:val="auto"/>
              </w:rPr>
            </w:pPr>
          </w:p>
        </w:tc>
        <w:tc>
          <w:tcPr>
            <w:tcW w:w="208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616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8"/>
        </w:trPr>
        <w:tc>
          <w:tcPr>
            <w:tcW w:w="6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Liberty Global (a):</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Non-performance-based incentive awards</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incentive awards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(b)</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Liberty Global</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Included in: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SG&amp;A expenses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tabs>
          <w:tab w:leader="none" w:pos="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share-based compensation expense related to certain Telenet Replacement Awards.</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annual incentive compensation and defined contribution plan liabilities that have been or are expected to be settled in Liberty Global common shares. In the case of annual incentive compensation, shares have been or will be issued to senior management and key employees pursuant to a shareholding incentive program. The shareholding incentive program allows these employees to elect to receive up to 100% of their annual incentive compensation in common shares of Liberty Global in lieu of cash.</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share-based compensation expense, see note 13 to our condensed consolidated financial statements.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depreciation and amortization expense was $528.8 million and $1,056.1 million for the three and nine months ended September 30, 2026, respectively, and $275.9 million and $758.9 million for the three and nine months ended September 30, 2025, respectively. Excluding the effects of FX, depreciation and amortization expense increased $259.0 million or 93.9% and $259.3 million or 34.2% during the three and nine months ended September 30, 2026, respectively, as compared to the corresponding periods in 2025. These changes are primarily due to the net effect of (i) an increase associated with the VodafoneZiggo Acquisition, (ii) an increase associated with property and equipment additions related to the installation of CPE, the expansion and upgrade of our networks and other capital initiatives, primarily at Ziggo Group, and (iii) a decrease associated with certain assets becoming fully depreciated, primarily at Ziggo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69" w:name="page70"/>
    <w:bookmarkEnd w:id="69"/>
    <w:p>
      <w:pPr>
        <w:ind w:left="180"/>
        <w:spacing w:after="0"/>
        <w:rPr>
          <w:sz w:val="20"/>
          <w:szCs w:val="20"/>
          <w:color w:val="auto"/>
        </w:rPr>
      </w:pPr>
      <w:r>
        <w:rPr>
          <w:rFonts w:ascii="Times New Roman" w:cs="Times New Roman" w:eastAsia="Times New Roman" w:hAnsi="Times New Roman"/>
          <w:sz w:val="18"/>
          <w:szCs w:val="18"/>
          <w:i w:val="1"/>
          <w:iCs w:val="1"/>
          <w:color w:val="auto"/>
        </w:rPr>
        <w:t>Impairment, restructuring and other operating items, net</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impairment, restructuring and other operating items, net, of $34.2 million and $90.5 million during the three and nine months ended September 30, 2026, respectively, and $22.0 million and $25.8 million during the three and nine months ended September 30, 2025, respectively.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for the 2026 periods primarily include (i) restructuring costs of $15.5 million and $44.8 million, respectively, primarily at Ziggo Group,</w:t>
      </w:r>
    </w:p>
    <w:p>
      <w:pPr>
        <w:spacing w:after="0" w:line="16" w:lineRule="exact"/>
        <w:rPr>
          <w:sz w:val="20"/>
          <w:szCs w:val="20"/>
          <w:color w:val="auto"/>
        </w:rPr>
      </w:pPr>
    </w:p>
    <w:p>
      <w:pPr>
        <w:ind w:firstLine="8"/>
        <w:spacing w:after="0" w:line="258" w:lineRule="auto"/>
        <w:tabs>
          <w:tab w:leader="none" w:pos="2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acquisition and disposition costs of $18.4 million and $31.2 million, respectively, and (iii) an impairment charge on certain long-lived assets of $11.1 million during the first quarter of 2026.</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amounts for the 2025 periods primarily include restructuring costs of $20.6 million and $24.0 million, respectively. During the third quarter of 2025, we commenced a restructuring program that included employee terminations within certain of our centralized functions and recorded $17.3 million of restructuring costs in the third quarter of 2025 related to this program.</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among other factors,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recognized interest expense of $274.2 million and $503.8 million during the three and nine months ended September 30, 2026, respectively, and $123.3 million and $380.3 million during the three and nine months ended September 30, 2025, respectively. Excluding the effects of FX, interest expense increased $119.7 million or 97.2% and $78.0 million or 20.5% during the three and nine months ended September 30, 2026, respectively, as compared to the corresponding periods in 2025. These increases are primarily attributable to higher average outstanding debt balances, due largely to debt acquired in connection with the VodafoneZiggo Acquisition. In addition, interest expense for the third quarter of 2026 includes an increase of $39.1 million related to the VodafoneZiggo Acquisition for the amortization of the debt fair value adjustments over the remaining term of the underlying debt. For additional information regarding our outstanding indebtedness, see note 9 to our condensed consolidated financial statements. For additional information regarding the VodafoneZiggo Acquisition, see note 4 to our condensed consolidated financial statements.</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6 to our condensed consolidated financial statements and under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below, we use derivative instruments to manage our interest rate risks.</w:t>
      </w:r>
    </w:p>
    <w:p>
      <w:pPr>
        <w:spacing w:after="0" w:line="20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on derivative instruments, net</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8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2180" w:type="dxa"/>
            <w:vAlign w:val="bottom"/>
            <w:gridSpan w:val="5"/>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and interest rate derivative contracts (a)</w:t>
            </w:r>
          </w:p>
        </w:tc>
        <w:tc>
          <w:tcPr>
            <w:tcW w:w="1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Equity-related derivative instruments (b)</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2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7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56" w:lineRule="auto"/>
        <w:tabs>
          <w:tab w:leader="none" w:pos="4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gains for the 2026 periods are primarily attributable to net gains associated with changes in (i) the relative value of certain currencies and (ii) certain market interest rates. In addition, the gains for the 2026 periods include net losses of $9.7 million and $6.7 million, respectively, resulting from changes in our credit risk valuation adjustments. The results for the 2025 periods are primarily attributable to the net effect of (a) a net gain for the three-month period and a net loss for the nine-month period associated with changes in the relative value of certain currencies and (b) net gains associated with changes in certain market interest rates. In addition, the results for the 2025 periods include a net gain (loss) of ($6.1 million) and $3.3 million, respectively, resulting from changes in our credit risk valuation adjustments.</w:t>
      </w:r>
    </w:p>
    <w:p>
      <w:pPr>
        <w:spacing w:after="0" w:line="21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recurring fair value measurements of our equity-related derivative instruments are based on Black-Scholes pricing models.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derivative instruments, see notes 6 and 7 to our condensed consolidated financial statements and Part I, Item</w:t>
      </w:r>
    </w:p>
    <w:p>
      <w:pPr>
        <w:spacing w:after="0" w:line="27" w:lineRule="exact"/>
        <w:rPr>
          <w:sz w:val="20"/>
          <w:szCs w:val="20"/>
          <w:color w:val="auto"/>
        </w:rPr>
      </w:pPr>
    </w:p>
    <w:p>
      <w:pPr>
        <w:ind w:left="180" w:hanging="172"/>
        <w:spacing w:after="0"/>
        <w:tabs>
          <w:tab w:leader="none" w:pos="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Quantitative and Qualitative Disclosures about Market Risk </w:t>
      </w:r>
      <w:r>
        <w:rPr>
          <w:rFonts w:ascii="Times New Roman" w:cs="Times New Roman" w:eastAsia="Times New Roman" w:hAnsi="Times New Roman"/>
          <w:sz w:val="18"/>
          <w:szCs w:val="18"/>
          <w:color w:val="auto"/>
        </w:rPr>
        <w:t>below.</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currency transaction gains (losses), net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20" w:type="dxa"/>
            <w:vAlign w:val="bottom"/>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6"/>
        </w:trPr>
        <w:tc>
          <w:tcPr>
            <w:tcW w:w="6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5"/>
        </w:trPr>
        <w:tc>
          <w:tcPr>
            <w:tcW w:w="6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Intercompany balances denominated in a currency other than the entity’s functional</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(3,580.1)</w:t>
            </w: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dollar-denominated debt issued by euro functional currency entities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r>
      <w:tr>
        <w:trPr>
          <w:trHeight w:val="175"/>
        </w:trPr>
        <w:tc>
          <w:tcPr>
            <w:tcW w:w="6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and restricted cash denominated in a currency other than the entity’s functional</w:t>
            </w: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(0.2)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(1.8)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61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primarily relate to loans between certain of our non-operating subsidiaries in Europe. A substantial portion of these loans were settled during the three months ended June 30, 2026.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1" w:name="page72"/>
    <w:bookmarkEnd w:id="71"/>
    <w:p>
      <w:pPr>
        <w:ind w:left="180"/>
        <w:spacing w:after="0"/>
        <w:rPr>
          <w:sz w:val="20"/>
          <w:szCs w:val="20"/>
          <w:color w:val="auto"/>
        </w:rPr>
      </w:pPr>
      <w:r>
        <w:rPr>
          <w:rFonts w:ascii="Times New Roman" w:cs="Times New Roman" w:eastAsia="Times New Roman" w:hAnsi="Times New Roman"/>
          <w:sz w:val="18"/>
          <w:szCs w:val="18"/>
          <w:i w:val="1"/>
          <w:iCs w:val="1"/>
          <w:color w:val="auto"/>
        </w:rPr>
        <w:t>Realized and unrealized gains (losses) due to changes in fair values of certain investments, net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realized and unrealized gains or losses due to changes in fair values of certain investments include unrealized gains or losses associated with changes in fair values that are non-cash in nature until such time as these gains or losses are realized through cash transactions. For additional information regarding our investments and fair value measurements, see notes 5 and 7, respectively, to our condensed consolidated financial statements. The details of our realized and unrealized gains (losses) due to changes in fair values of certain investments, net,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EdgeConneX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Lionsgate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Televisa Univision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Vodafone (c)</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6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1"/>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52" w:lineRule="exact"/>
        <w:rPr>
          <w:sz w:val="20"/>
          <w:szCs w:val="20"/>
          <w:color w:val="auto"/>
        </w:rPr>
      </w:pPr>
    </w:p>
    <w:p>
      <w:pPr>
        <w:ind w:left="500" w:hanging="492"/>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EdgeConneX during the second quarter of 2026.</w:t>
      </w:r>
    </w:p>
    <w:p>
      <w:pPr>
        <w:spacing w:after="0" w:line="252"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change in fair value of our investment in Lionsgate, both before and after the Lionsgate Separation. Following the Lionsgate Separation, changes in fair value related to our investment in Starz are included in “Other, net” in the above table.</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sale of our investment in Vodafone during the third quarter of 2025.</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Share of results of affiliates, net</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details of our share of results of affiliates,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214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Pr>
          <w:p>
            <w:pPr>
              <w:spacing w:after="0"/>
              <w:rPr>
                <w:sz w:val="18"/>
                <w:szCs w:val="18"/>
                <w:color w:val="auto"/>
              </w:rPr>
            </w:pPr>
          </w:p>
        </w:tc>
        <w:tc>
          <w:tcPr>
            <w:tcW w:w="2140" w:type="dxa"/>
            <w:vAlign w:val="bottom"/>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6"/>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VMO2 JV (a)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nexfibre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VodafoneZiggo JV (b)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AtlasEdge JV</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jc w:val="both"/>
        <w:ind w:left="500" w:hanging="492"/>
        <w:spacing w:after="0" w:line="266" w:lineRule="auto"/>
        <w:tabs>
          <w:tab w:leader="none" w:pos="49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our share of the results of operations of the VMO2 JV. The 2026 amounts include our share of a pension settlement charge recognized by the VMO2 JV in connection with the buy-out of a subsidiary pension plan, which was previously recorded as a component of accumulated other comprehensive loss. The summarized results of operations of the VMO2 JV are set forth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72" w:name="page73"/>
    <w:bookmarkEnd w:id="72"/>
    <w:tbl>
      <w:tblPr>
        <w:tblLayout w:type="fixed"/>
        <w:tblInd w:w="50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Three months ended</w:t>
            </w:r>
          </w:p>
        </w:tc>
        <w:tc>
          <w:tcPr>
            <w:tcW w:w="360" w:type="dxa"/>
            <w:vAlign w:val="bottom"/>
          </w:tcPr>
          <w:p>
            <w:pPr>
              <w:spacing w:after="0"/>
              <w:rPr>
                <w:sz w:val="16"/>
                <w:szCs w:val="16"/>
                <w:color w:val="auto"/>
              </w:rPr>
            </w:pPr>
          </w:p>
        </w:tc>
        <w:tc>
          <w:tcPr>
            <w:tcW w:w="2080" w:type="dxa"/>
            <w:vAlign w:val="bottom"/>
            <w:gridSpan w:val="4"/>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2080" w:type="dxa"/>
            <w:vAlign w:val="bottom"/>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5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8"/>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6"/>
        </w:trPr>
        <w:tc>
          <w:tcPr>
            <w:tcW w:w="5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3,479.9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3,496.0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Non-operating expense (1)</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(751.0)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(1,458.8)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(1,229.6)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900" w:hanging="406"/>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of $423.6 million, $413.2 million, $1,261.1 million and $1,201.8 million in the respective periods shown.</w:t>
      </w:r>
    </w:p>
    <w:p>
      <w:pPr>
        <w:spacing w:after="0" w:line="25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changes in the VMO2 JV’s revenue during the three and nine months ended September 30, 2026, as compared to the corresponding periods in 2025, are primarily due to the net effect of (i) decreases in other revenue related to low-margin construction revenue from the nexfibre JV, (ii) decreases in consumer fixed revenue and (iii) decreases in B2B fixed revenue as O2 Business rationalizes the product portfolio. The changes in the VMO2 JV’s Adjusted EBITDA during the three and nine months ended September 30, 2026, as compared to the corresponding periods in 2025, are primarily due to the net effect of (a) the aforementioned changes in revenue, (b) legal matters, comprising a net benefit during the third quarter of 2026 that was partially offset by a provision recorded during the first quarter of 2026, (c) lower sales commission expense due to a change in the estimated amortization period for sales commissions implemented during the second quarter of 2026, and (d) cost reduction initiatives. In addition, the reported revenue and Adjusted EBITDA amounts are impacted by FX.</w:t>
      </w:r>
    </w:p>
    <w:p>
      <w:pPr>
        <w:spacing w:after="0" w:line="219" w:lineRule="exact"/>
        <w:rPr>
          <w:sz w:val="20"/>
          <w:szCs w:val="20"/>
          <w:color w:val="auto"/>
        </w:rPr>
      </w:pPr>
    </w:p>
    <w:p>
      <w:pPr>
        <w:jc w:val="both"/>
        <w:ind w:left="500" w:hanging="492"/>
        <w:spacing w:after="0" w:line="261" w:lineRule="auto"/>
        <w:tabs>
          <w:tab w:leader="none" w:pos="49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activity through the date of the VodafoneZiggo Acquisition and include (i) our share of the results of operations of the VodafoneZiggo JV and (ii) interest income of $4.9 million, $15.1 million, $34.5 million and $42.8 million in the respective periods shown, representing 100% of the interest earned on the VodafoneZiggo JV Receivables. For additional information regarding the VodafoneZiggo Acquisition, see note 4 to our condensed consolidated financial statements.</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Gain associated with the VodafoneZiggo Acquisition</w:t>
      </w:r>
    </w:p>
    <w:p>
      <w:pPr>
        <w:spacing w:after="0" w:line="2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VodafoneZiggo Acquisition, we recognized a gain of $121.6 million during the nine months ended September 30, 2026. For additional information, see note 4 to our condensed consolidated financial statements.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recognized other income, net, of $16.0 million and $16.3 million during the three months ended September 30, 2026 and 2025, respectively, and $57.8 million and $59.9 million during the nine months ended September 30, 2026 and 2025, respectively. These amounts include interest and dividend income of $24.5 million and $20.5 million during the three-month periods, respectively, and $54.8 million and $78.1 million during the nine-month periods, respectively.</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recognized income tax benefits of $652.3 million and $454.1 million during the three and nine months ended September 30, 2026, respectively, and $46.9 million and $116.0 million during the three and nine months ended September 30, 2025, respectively.</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 benefit during the three months ended September 30, 2026 differs from the expected income tax benefit of $15.7 million (based on the Bermuda statutory income tax rate of 15.0%). This difference is primarily due to the positive impact of the release of valuation allowances.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income tax benefit during the nine months ended September 30, 2026 differs from the expected income tax expense of $14.1 million (based on the Bermuda statutory income tax rate of 15.0%). This difference is primarily due to the positive impact of the release of valuation allowances, partially offset by the negative impact of the derecognition of a tax litigation-related receivable.</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73" w:name="page74"/>
    <w:bookmarkEnd w:id="7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income tax benefit during the three months ended September 30, 2025 differs from the expected income tax benefit of $19.6 million (based on the Bermuda statutory income tax rate of 15.0%), primarily due to the net positive impact of (i) a net decrease in unrecognized tax benefits and (ii) statutory rates in certain jurisdictions in which we operate that are different than the Bermuda statutory income tax rate. The net positive impact of these items was partially offset by the net negative impact of (a) permanent differences between the financial and tax accounting treatment of items associated with certain investments and (b) a net increase in valuation allowances.</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income tax benefit during the nine months ended September 30, 2025 differs from the expected income tax benefit of $644.5 million (based on the Bermuda statutory income tax rate of 15.0%), primarily due to the net negative impact of (i) non-deductible or non-taxable foreign currency exchange results and (ii) permanent differences between the financial and tax accounting treatment of items associated with certain investments. The net negative impact of these items was partially offset by the net positive impact of (a) statutory rates in certain jurisdictions in which we operate that are different than the Bermuda statutory income tax rate and (b) a net decrease in valuation allowances.</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concerning our income taxes, see note 11 to our condensed consolidated financial statements.</w:t>
      </w:r>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earnings (loss)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and 2025, we reported net earnings (loss) of $547.7 million and ($83.4 million), respectively, consisting of (i) operating losses of $18.1 million and $8.0 million, respectively, (ii) net non-operating expense of $86.5 million and $122.3 million, respectively, and (iii) income tax benefit of $652.3 million and $46.9 million, respectively.</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we reported net earnings (loss) of $548.1 million and ($4,180.5 million), respectively, consisting of (i) operating income of $8.7 million and $82.3 million, respectively, (ii) net non-operating income (expense) of $85.3 million and ($4,378.8 million), respectively, and (iii) income tax benefit of $454.1 million and $116.0 million, respectively.</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operating income to a level that more than offsets the aggregate amount of our (a) interest expense, (b) other non-operating expenses and (c) income tax expense.</w:t>
      </w:r>
    </w:p>
    <w:p>
      <w:pPr>
        <w:spacing w:after="0" w:line="2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Due largely to the fact that we seek to maintain our debt at levels that provide for attractive equity returns, as discussed under </w:t>
      </w:r>
      <w:r>
        <w:rPr>
          <w:rFonts w:ascii="Times New Roman" w:cs="Times New Roman" w:eastAsia="Times New Roman" w:hAnsi="Times New Roman"/>
          <w:sz w:val="18"/>
          <w:szCs w:val="18"/>
          <w:i w:val="1"/>
          <w:iCs w:val="1"/>
          <w:color w:val="auto"/>
        </w:rPr>
        <w:t>Material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Condition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Capitalization </w:t>
      </w:r>
      <w:r>
        <w:rPr>
          <w:rFonts w:ascii="Times New Roman" w:cs="Times New Roman" w:eastAsia="Times New Roman" w:hAnsi="Times New Roman"/>
          <w:sz w:val="18"/>
          <w:szCs w:val="18"/>
          <w:color w:val="auto"/>
        </w:rPr>
        <w:t>below, we expect we will continue to report significant levels of interest expense for the foreseeable future.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concerning our expectations with respect to trends that may affect certain aspects of our operating results in future periods, see the discussion under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above. For information concerning the reasons for changes in specific line items in our condensed consolidated statements of operations, see </w:t>
      </w:r>
      <w:r>
        <w:rPr>
          <w:rFonts w:ascii="Times New Roman" w:cs="Times New Roman" w:eastAsia="Times New Roman" w:hAnsi="Times New Roman"/>
          <w:sz w:val="18"/>
          <w:szCs w:val="18"/>
          <w:i w:val="1"/>
          <w:iCs w:val="1"/>
          <w:color w:val="auto"/>
        </w:rPr>
        <w:t>Discussion and Analysis of our Reportable Segments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Discussion and Analysis of our Consolidated Operating Results</w:t>
      </w:r>
      <w:r>
        <w:rPr>
          <w:rFonts w:ascii="Times New Roman" w:cs="Times New Roman" w:eastAsia="Times New Roman" w:hAnsi="Times New Roman"/>
          <w:sz w:val="18"/>
          <w:szCs w:val="18"/>
          <w:color w:val="auto"/>
        </w:rPr>
        <w:t xml:space="preserve"> above.</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earnings attributable to noncontrolling interests</w:t>
      </w:r>
    </w:p>
    <w:p>
      <w:pPr>
        <w:spacing w:after="0" w:line="254" w:lineRule="exact"/>
        <w:rPr>
          <w:sz w:val="20"/>
          <w:szCs w:val="20"/>
          <w:color w:val="auto"/>
        </w:rPr>
      </w:pPr>
    </w:p>
    <w:p>
      <w:pPr>
        <w:jc w:val="both"/>
        <w:ind w:firstLine="162"/>
        <w:spacing w:after="0" w:line="266" w:lineRule="auto"/>
        <w:rPr>
          <w:sz w:val="20"/>
          <w:szCs w:val="20"/>
          <w:color w:val="auto"/>
        </w:rPr>
      </w:pPr>
      <w:r>
        <w:rPr>
          <w:rFonts w:ascii="Times New Roman" w:cs="Times New Roman" w:eastAsia="Times New Roman" w:hAnsi="Times New Roman"/>
          <w:sz w:val="18"/>
          <w:szCs w:val="18"/>
          <w:color w:val="auto"/>
        </w:rPr>
        <w:t>Net earnings attributable to noncontrolling interests was $89.8 million and $7.3 million during the three months ended September 30, 2026 and 2025, respectively, and $117.5 million and $40.4 million during the nine months ended September 30, 2026 and 2025, respectively, attributable to noncontrolling interests primarily associated with Ziggo Group, Wyre and Formula 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Material Changes in Financial Condition</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four subsidiary “borrowing groups.” These borrowing groups include the respective restricted parent and subsidiary entities within VodafoneZiggo, Telenet, Wyre and VM Ireland.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details of the U.S. dollar equivalent balances of our consolidated cash and cash equivalents at September 30, 2026 are set forth in the following table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held by:</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Liberty Global and unrestricted subsidiaries:</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Liberty Global (a)</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Unrestricted subsidiaries (b)</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1,663.0</w:t>
            </w:r>
          </w:p>
        </w:tc>
      </w:tr>
      <w:tr>
        <w:trPr>
          <w:trHeight w:val="223"/>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Liberty Global and unrestricted subsidiaries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1,665.3</w:t>
            </w:r>
          </w:p>
        </w:tc>
      </w:tr>
      <w:tr>
        <w:trPr>
          <w:trHeight w:val="21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 groups (c):</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Telenet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r>
      <w:tr>
        <w:trPr>
          <w:trHeight w:val="230"/>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VodafoneZiggo</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Wyre</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30"/>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VM Ireland</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9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borrowing groups</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223"/>
        </w:trPr>
        <w:tc>
          <w:tcPr>
            <w:tcW w:w="9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cash and cash equivalents (d)</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2,046.7</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54" w:lineRule="exact"/>
        <w:rPr>
          <w:sz w:val="20"/>
          <w:szCs w:val="20"/>
          <w:color w:val="auto"/>
        </w:rPr>
      </w:pPr>
    </w:p>
    <w:p>
      <w:pPr>
        <w:ind w:left="500" w:hanging="492"/>
        <w:spacing w:after="0"/>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held by Liberty Global on a standalone basis.</w:t>
      </w:r>
    </w:p>
    <w:p>
      <w:pPr>
        <w:spacing w:after="0" w:line="252"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 held by subsidiaries that are outside of our borrowing groups.</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amounts held by the parent entity and restricted subsidiaries of our borrowing groups.</w:t>
      </w:r>
    </w:p>
    <w:p>
      <w:pPr>
        <w:spacing w:after="0" w:line="27" w:lineRule="exact"/>
        <w:rPr>
          <w:rFonts w:ascii="Times New Roman" w:cs="Times New Roman" w:eastAsia="Times New Roman" w:hAnsi="Times New Roman"/>
          <w:sz w:val="18"/>
          <w:szCs w:val="18"/>
          <w:color w:val="auto"/>
        </w:rPr>
      </w:pPr>
    </w:p>
    <w:p>
      <w:pPr>
        <w:ind w:left="500" w:right="20" w:hanging="492"/>
        <w:spacing w:after="0" w:line="260" w:lineRule="auto"/>
        <w:tabs>
          <w:tab w:leader="none" w:pos="4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cash and cash equivalents balance includes $1,016.5 million or 49.7%, $866.0 million or 42.3% and $158.7 million or 7.8% denominated in U.S. dollars, euros and British pound sterling, respectively.</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 of Liberty Global and its unrestricted subsidiaries</w:t>
      </w:r>
    </w:p>
    <w:p>
      <w:pPr>
        <w:spacing w:after="0" w:line="2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$1,663.0 million of aggregate cash and cash equivalents held by unrestricted subsidiaries, subject to certain tax and legal considerations, represented available liquidity at the corporate level at September 30, 2026. Our remaining cash and cash equivalents of $381.4 million at September 30, 2026 were held by our borrowing groups, as set forth in the table above. As noted above, various factors may limit our ability to access the cash of our borrowing groups. For information regarding certain limitations imposed by our subsidiaries’ debt instruments at September 30, 2026, see note 11 to the consolidated financial statements included in our 2025 10-K.</w:t>
      </w:r>
    </w:p>
    <w:p>
      <w:pPr>
        <w:spacing w:after="0" w:line="2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short-term sources of corporate liquidity include (i) readily available assets, such as cash and cash equivalents held by Liberty Global and, subject to certain tax and legal considerations, Liberty Global’s unrestricted subsidiaries and (ii) funds derived from other items, such as (a) interest and dividend income on cash, cash equivalents and investments held by Liberty Global and, subject to certain tax and legal considerations, its unrestricted subsidiaries, including dividend distributions received from the VMO2 JV and (b) cash received with respect to transitional and other services provided to various third parties and affiliates.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5" w:name="page76"/>
    <w:bookmarkEnd w:id="7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Liberty Global and its unrestricted subsidiaries may also receive (i) proceeds in the form of dividend distributions or loan repayments from Liberty Global’s borrowing groups or affiliates (including amounts from the VMO2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w:t>
      </w:r>
    </w:p>
    <w:p>
      <w:pPr>
        <w:spacing w:after="0" w:line="21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September 30, 2026, our consolidated cash and cash equivalents included $2,044.4 million held by entities that are domiciled outside of Bermuda. Based on our assessment of our ability to access the liquidity of our subsidiaries on a tax efficient basis and our expectations with respect to our corporate liquidity requirements,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amount of cash we receive from our subsidiaries and affiliates to satisfy U.S. dollar-denominated liquidity requirements is impacted by fluctuations in exchange rates, particularly with regard to the translation of euros and British pound sterling into U.S. dollars. In this regard, the strengthening (weakening) of the U.S. dollar against these currencies will result in decreases (increases) in the U.S. dollars received from the applicable subsidiaries and affiliates to fund the repurchase of our equity securities and other U.S. dollar-denominated liquidity requirements.</w:t>
      </w:r>
    </w:p>
    <w:p>
      <w:pPr>
        <w:spacing w:after="0" w:line="20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short- and long-term liquidity requirements include corporate general and administrative expenses and, from time to time, cash requirements in connection with (i) the repayment of third-party and intercompany debt, (ii) the satisfaction of contingent liabilities, (iii) acquisitions, (iv) the repurchase of equity and debt securities, (v) other investment opportunities, (vi) any funding requirements of our subsidiaries and affiliates or (vii) income tax payments.</w:t>
      </w: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aggregate amount of our share repurchases, including direct acquisition costs, was $100.0 million. Under our current share repurchase program, we are authorized to repurchase up to $100.0 million of our outstanding Class A and/or Class C common shares through December 29, 2026. As of September 30, 2026, the authorization under this share repurchase program had been fully utilized. In October 2026, our board of directors authorized the repurchase of up to an additional $100.0 million of our outstanding Class A and/or Class C common shares. For additional information, see note 12 to our condensed consolidated financial statements.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Liquidity of borrowing groups</w:t>
      </w:r>
    </w:p>
    <w:p>
      <w:pPr>
        <w:spacing w:after="0" w:line="2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September 30, 2026, see note 9 to our condensed consolidated financial statements. The aforementioned sources of liquidity may be supplemented in certain cases by contributions and/or loans from Liberty Global and its unrestricted subsidiaries.</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liquidity of our borrowing groups generally is used to fund (i) property and equipment additions, (ii) debt service requirements and (iii) income tax payments, as well as to settle certain obligations that are not included on our September 30, 2026 condensed consolidated balance sheet. In this regard, we have significant commitments related to (a) purchase obligations associated with CPE and certain service-related commitments, (b) programming, studio output and sports rights contracts and (c) certain operating costs associated with our networks. These obligations are expected to represent a significant liquidity requirement of our borrowing groups, a significant portion of which is due over the next 12 to 24 months. For additional information regarding our commitments, see note 15 to our condensed consolidated financial statements.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our borrowing groups may also require liquidity in connection with (i) acquisitions and other investment opportunities, (ii) loans to Liberty Global or its unrestricted subsidiaries, (iii) capital distributions to Liberty Global and other equity owners or (iv) the satisfaction of contingent liabilities. No assurance can be given that any external funding would be available to our borrowing groups on favorable terms, or at all.</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additional information regarding our consolidated cash flows, see the discussion under </w:t>
      </w:r>
      <w:r>
        <w:rPr>
          <w:rFonts w:ascii="Times New Roman" w:cs="Times New Roman" w:eastAsia="Times New Roman" w:hAnsi="Times New Roman"/>
          <w:sz w:val="18"/>
          <w:szCs w:val="18"/>
          <w:i w:val="1"/>
          <w:iCs w:val="1"/>
          <w:color w:val="auto"/>
        </w:rPr>
        <w:t>Condensed Consolidated Statements of Cash Flows</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76" w:name="page77"/>
    <w:bookmarkEnd w:id="7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2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seek to maintain debt at levels that provide for attractive equity returns without assuming undue risk. In this regard, we generally seek to cause our borrowing groups to maintain their debt at levels that result in a consolidated debt balance (measured using applicable debt figures at swapped foreign currency exchange rates, consistent with the covenant calculation requirements of the applicable debt agreements) that is between four and six times our consolidated Adjusted EBITDA, although the timing of our acquisitions and financing transactions and the interplay of average and spot foreign currency rates may impact this ratio. Consolidated Adjusted EBITDA is a non-GAAP measure, which investors should view as a supplement to, and not a substitute for, GAAP measures of performance included in our condensed consolidated statements of operations.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consolidated businesses and equity method investments face high leverage, significant competition, weak macro-economic conditions, regulatory uncertainties, and high risk-free rate and credit spread risks. The ability of the borrowing groups of our consolidated businesses and equity method investments to access debt financing on favorable terms, or at all, could be adversely impacted by these conditions and therefore could adversely affect their financial performance, leverage and credit profile.</w:t>
      </w:r>
    </w:p>
    <w:p>
      <w:pPr>
        <w:spacing w:after="0" w:line="20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service or refinance our debt and to maintain compliance with the leverage covenants in the credit agreements and indentures of our borrowing groups is dependent primarily on our ability to maintain or increase the Adjusted EBITDA of our borrowing groups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EBITDA of one of our borrowing groups were to decline, our ability to obtain additional debt could be limited. Under our credit facilities and senior secured notes there is no cross-default risk between subsidiary borrowing groups in the event that one or more of our borrowing groups were to experience significant declines in their Adjusted EBITDA to the extent they were no longer able to service their debt obligations. Any mandatory prepayment events or events of default that may occur would only impact the relevant borrowing group in which these events occur and do not allow for any recourse to other borrowing groups or Liberty Global Ltd. Our credit facilities and senior secured notes require that certain members of the relevant borrowing group guarantee the payment of all sums payable thereunder and such group members are required to grant first-ranking security over their shares or, in certain borrowing groups, over substantially all of their assets to secure the payment of all sums payable thereunder. At September 30, 2026,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21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2026, the outstanding principal amount of our consolidated debt, together with our finance lease obligations, aggregated $21.8 billion, including $1.8 billion that is classified as current on our condensed consolidated balance sheet and $14.1 billion that is not due until 2030 or thereafter. All of our consolidated debt and finance lease obligations have been borrowed or incurred by our subsidiaries at September 30, 2026.</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Notwithstanding our negative working capital position at September 30, 2026, we believe we have sufficient resources to repay or refinance the current portion of our debt and finance lease obligations and to fund our foreseeable liquidity requirements and our operations during the next 12 months. However, as our maturing debt grows in later years, we anticipate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In addition, the financial failure of any of our counterparties could (i) reduce amounts available under committed credit facilities and (ii) adversely impact our ability to access cash deposited with any failed financial institution.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21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our debt and finance lease obligations, see notes 9 and 10, respectively,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7" w:name="page78"/>
    <w:bookmarkEnd w:id="77"/>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cash flows are subject to significant variations due to FX.</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Summary. </w:t>
      </w:r>
      <w:r>
        <w:rPr>
          <w:rFonts w:ascii="Times New Roman" w:cs="Times New Roman" w:eastAsia="Times New Roman" w:hAnsi="Times New Roman"/>
          <w:sz w:val="18"/>
          <w:szCs w:val="18"/>
          <w:color w:val="auto"/>
        </w:rPr>
        <w:t>The condensed consolidated statements of cash flows for the nine months ended September 30, 2026 and 2025 are summarized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2"/>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4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8"/>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66"/>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373"/>
              <w:spacing w:after="0"/>
              <w:rPr>
                <w:sz w:val="20"/>
                <w:szCs w:val="20"/>
                <w:color w:val="auto"/>
              </w:rPr>
            </w:pPr>
            <w:r>
              <w:rPr>
                <w:rFonts w:ascii="Times New Roman" w:cs="Times New Roman" w:eastAsia="Times New Roman" w:hAnsi="Times New Roman"/>
                <w:sz w:val="18"/>
                <w:szCs w:val="18"/>
                <w:color w:val="auto"/>
                <w:w w:val="98"/>
              </w:rPr>
              <w:t>580.2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364.0</w:t>
            </w: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center"/>
              <w:ind w:left="292"/>
              <w:spacing w:after="0"/>
              <w:rPr>
                <w:sz w:val="20"/>
                <w:szCs w:val="20"/>
                <w:color w:val="auto"/>
              </w:rPr>
            </w:pPr>
            <w:r>
              <w:rPr>
                <w:rFonts w:ascii="Times New Roman" w:cs="Times New Roman" w:eastAsia="Times New Roman" w:hAnsi="Times New Roman"/>
                <w:sz w:val="18"/>
                <w:szCs w:val="18"/>
                <w:color w:val="auto"/>
                <w:w w:val="98"/>
              </w:rPr>
              <w:t>(821.1)</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740.8</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3"/>
              <w:spacing w:after="0"/>
              <w:rPr>
                <w:sz w:val="20"/>
                <w:szCs w:val="20"/>
                <w:color w:val="auto"/>
              </w:rPr>
            </w:pPr>
            <w:r>
              <w:rPr>
                <w:rFonts w:ascii="Times New Roman" w:cs="Times New Roman" w:eastAsia="Times New Roman" w:hAnsi="Times New Roman"/>
                <w:sz w:val="18"/>
                <w:szCs w:val="18"/>
                <w:color w:val="auto"/>
                <w:w w:val="98"/>
              </w:rPr>
              <w:t>158.8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92"/>
              <w:spacing w:after="0"/>
              <w:rPr>
                <w:sz w:val="20"/>
                <w:szCs w:val="20"/>
                <w:color w:val="auto"/>
              </w:rPr>
            </w:pPr>
            <w:r>
              <w:rPr>
                <w:rFonts w:ascii="Times New Roman" w:cs="Times New Roman" w:eastAsia="Times New Roman" w:hAnsi="Times New Roman"/>
                <w:sz w:val="18"/>
                <w:szCs w:val="18"/>
                <w:color w:val="auto"/>
                <w:w w:val="98"/>
              </w:rPr>
              <w:t>(170.9)</w:t>
            </w:r>
          </w:p>
        </w:tc>
      </w:tr>
      <w:tr>
        <w:trPr>
          <w:trHeight w:val="248"/>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center"/>
              <w:ind w:left="332"/>
              <w:spacing w:after="0"/>
              <w:rPr>
                <w:sz w:val="20"/>
                <w:szCs w:val="20"/>
                <w:color w:val="auto"/>
              </w:rPr>
            </w:pPr>
            <w:r>
              <w:rPr>
                <w:rFonts w:ascii="Times New Roman" w:cs="Times New Roman" w:eastAsia="Times New Roman" w:hAnsi="Times New Roman"/>
                <w:sz w:val="18"/>
                <w:szCs w:val="18"/>
                <w:color w:val="auto"/>
                <w:w w:val="98"/>
              </w:rPr>
              <w:t>112.8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increase in net cash provided by operating activities is primarily attributable to the net effect of (i) an increase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our Adjusted EBITDA and related working capital items, (ii) an increase in cash provided due to lower payments for taxes and (iii) a decrease in cash provided due to lower net cash receipts related to derivative instruments. Consolidated Adjusted EBITDA is a non-GAAP measure, which investors should view as a supplement to, and not a substitute for, GAAP measures of performance included in our consolidated statements of operations.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increase in net cash used by investing activities is primarily attributable to the net effect of (i) an increase in cash used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$1,125.8 million associated with higher net cash paid related to the VodafoneZiggo Acquisition, (ii) a decrease in cash used of $677.8 million from the sale of our investment in EdgeConneX, (iii) an increase in cash used of $260.9 million due to higher capital expenditures, (iv) an increase in cash used of $205.8 million primarily due to the net effect of (a) lower net cash received from the sale of our investments held under SMAs, (b) $101.8 million of net proceeds from the partial sale of our investment in ITV and (c) €82.8 million ($95.5 million at the applicable rate) of net proceeds from the partial sale of our investment in Vodafone in 2025, and (v) a decrease in cash used of $110.7 million related to the sale of UPC Slovakia. Capital expenditures increased from $905.5 million during the nine months ended September 30, 2025 to $1,166.4 million during the nine months ended September 30, 2026, primarily due to an increase in our net local currency capital expenditures and related working capital movements.</w:t>
      </w:r>
    </w:p>
    <w:p>
      <w:pPr>
        <w:spacing w:after="0" w:line="21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capital expenditures we report in our condensed consolidated statements of cash flows do not include amounts that are financed under capital-related vendor financing or finance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condensed consolidated statements of cash flows, which exclude amounts financed under capital-related vendor financing or finance lease arrangements, and (ii) our total consolidated property and equipment additions, which include our capital expenditures on an accrual basis and amounts financed under capital-related vendor financing or finance lease arrangements. For further details regarding our property and equipment additions, see note 16 to our condensed consolidated financial statements. A reconciliation of our consolidated property and equipment additions to our consolidated capital expenditures, as reported in our condensed consolidated statements of cash flows, is set forth below:</w:t>
      </w:r>
    </w:p>
    <w:p>
      <w:pPr>
        <w:spacing w:after="0" w:line="11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2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8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40" w:type="dxa"/>
            <w:vAlign w:val="bottom"/>
          </w:tcPr>
          <w:p>
            <w:pPr>
              <w:spacing w:after="0"/>
              <w:rPr>
                <w:sz w:val="18"/>
                <w:szCs w:val="18"/>
                <w:color w:val="auto"/>
              </w:rPr>
            </w:pPr>
          </w:p>
        </w:tc>
      </w:tr>
      <w:tr>
        <w:trPr>
          <w:trHeight w:val="166"/>
        </w:trPr>
        <w:tc>
          <w:tcPr>
            <w:tcW w:w="8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 under capital-related vendor financing arrangements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current liabilities related to capital expenditures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48"/>
        </w:trPr>
        <w:tc>
          <w:tcPr>
            <w:tcW w:w="8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8" w:name="page79"/>
    <w:bookmarkEnd w:id="78"/>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increase in our property and equipment additions during the nine months ended September 30, 2026, as compared to the corresponding period in 2025, is primarily due to (i) an increase in local currency expenditures of our subsidiaries primarily due to (a) an increase in expenditures for new build and upgrade projects, (b) an increase in baseline expenditures, including network improvements and expenditures for property and facilities and information technology systems, and (c) an increase in expenditures for the purchase and installation of CPE, and (ii) an increase due to the VodafoneZiggo Acquisition.</w:t>
      </w:r>
    </w:p>
    <w:p>
      <w:pPr>
        <w:spacing w:after="0" w:line="2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change in net cash provided (used) by financing activities is primarily attributable to the net effect of (i) an increase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$1,154.0 million due to higher net borrowings of debt, including €78.2 million ($90.2 million at the applicable rate) associated with the partial settlement of the Vodafone Collar Loan in 2025, (ii) a decrease in cash of $225.3 million due to higher dividend distributions by subsidiaries to noncontrolling interest owners and (iii) a decrease in cash of $99.2 million due to higher net cash payments related to derivatives, including €71.7 million ($82.7 million at the applicable rate) associated with the partial unwind and restructure of the Vodafone Collar in 2025.</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define adjusted free cash flow as net cash provided by operating activities, plus operating-related vendor financed expenses (which represents an increase in the period to our actual cash available as a result of extending vendor payment terms beyond normal payment terms, which are typically 90 days or less, through non-cash financing activities), less (i) cash payments in the period for capital expenditures, (ii) principal payments on operating- and capital-related amounts financed by vendors and intermediaries (which represents a decrease in the period to our actual cash available as a result of paying amounts to vendors and intermediaries where we previously had extended vendor payments beyond the normal payment terms) and (iii) principal payments on finance leases (which represents a decrease in the period to our actual cash available), each as reported in our condensed consolidated statements of cash flows. Net cash provided by operating activities includes cash paid for third-party costs directly associated with successful and unsuccessful acquisitions and dispositions of $15.7 million and $2.2 million during the nine months ended September 30, 2026 and 2025, respectively.</w:t>
      </w:r>
    </w:p>
    <w:p>
      <w:pPr>
        <w:spacing w:after="0" w:line="2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our presentation of adjusted free cash flow, which is a non-GAAP measure, provides useful information to our investors because this measure can be used to gauge our ability to (i) service debt and (ii) fund new investment opportunities after consideration of all actual cash payments related to our working capital activities and expenses that are capital in nature whether paid inside normal vendor payment terms or paid later outside normal vendor payment terms (in which case we typically pay in less than 365 days). Adjusted free cash flow should not be understood to represent our ability to fund discretionary amounts, as we have various mandatory and contractual obligations, including debt repayments, that are not deducted to arrive at these amounts. Investors should view adjusted free cash flow as a supplement to, and not a substitute for, GAAP measures of liquidity included in our condensed consolidated statements of cash flows. Further, our adjusted free cash flow may differ from how other companies define and apply their definition of adjusted free cash flow.</w:t>
      </w: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details of our adjusted free cash flow:</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4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7"/>
        </w:trPr>
        <w:tc>
          <w:tcPr>
            <w:tcW w:w="8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0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Operating-related vendor financing additions (a)</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capital expenditures,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operating-related vendor financing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capital-related vendor financing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8"/>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54" w:lineRule="exact"/>
        <w:rPr>
          <w:sz w:val="20"/>
          <w:szCs w:val="20"/>
          <w:color w:val="auto"/>
        </w:rPr>
      </w:pPr>
    </w:p>
    <w:p>
      <w:pPr>
        <w:jc w:val="both"/>
        <w:ind w:left="500" w:hanging="492"/>
        <w:spacing w:after="0" w:line="258" w:lineRule="auto"/>
        <w:tabs>
          <w:tab w:leader="none" w:pos="49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our condensed consolidated statements of cash flows, operating-related vendor financing additions represent operating-related expenses financed by an intermediary that are treated as constructive operating cash outflows and constructive financing cash inflows when the intermediary settles the liability with the vendor. When we pay the financing intermediary, we record financing cash outflows in our consolidated statements of cash flows. For purposes of our adjusted free cash flow definition, we (i) add in the constructive financing cash inflow when the intermediary settles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9" w:name="page80"/>
    <w:bookmarkEnd w:id="79"/>
    <w:p>
      <w:pPr>
        <w:jc w:val="both"/>
        <w:spacing w:after="0" w:line="266" w:lineRule="auto"/>
        <w:rPr>
          <w:sz w:val="20"/>
          <w:szCs w:val="20"/>
          <w:color w:val="auto"/>
        </w:rPr>
      </w:pPr>
      <w:r>
        <w:rPr>
          <w:rFonts w:ascii="Times New Roman" w:cs="Times New Roman" w:eastAsia="Times New Roman" w:hAnsi="Times New Roman"/>
          <w:sz w:val="18"/>
          <w:szCs w:val="18"/>
          <w:color w:val="auto"/>
        </w:rPr>
        <w:t>the liability with the vendor as our actual net cash available at that time is not affected and (ii) subsequently deduct the related financing cash outflow when we actually pay the financing intermediary, reflecting the actual reduction to our cash available to service debt or fund new investment opportunities.</w:t>
      </w:r>
    </w:p>
    <w:p>
      <w:pPr>
        <w:spacing w:after="0" w:line="200" w:lineRule="exact"/>
        <w:rPr>
          <w:sz w:val="20"/>
          <w:szCs w:val="20"/>
          <w:color w:val="auto"/>
        </w:rPr>
      </w:pPr>
    </w:p>
    <w:p>
      <w:pPr>
        <w:spacing w:after="0" w:line="35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93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capitalized terms used below have been defined in the notes to our condensed consolidated financial statements. In the following text, the terms “we,” “our,” “our company” and “us” may refer, as the context requires, to Liberty Global or collectively to Liberty Global and its subsidiaries.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20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in this section should be read in conjunction with the more complete discussion that appears under Part II, Item 7A. </w:t>
      </w:r>
      <w:r>
        <w:rPr>
          <w:rFonts w:ascii="Times New Roman" w:cs="Times New Roman" w:eastAsia="Times New Roman" w:hAnsi="Times New Roman"/>
          <w:sz w:val="18"/>
          <w:szCs w:val="18"/>
          <w:i w:val="1"/>
          <w:iCs w:val="1"/>
          <w:color w:val="auto"/>
        </w:rPr>
        <w:t>Quantitative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Qualitative Disclosures About Market Risk </w:t>
      </w:r>
      <w:r>
        <w:rPr>
          <w:rFonts w:ascii="Times New Roman" w:cs="Times New Roman" w:eastAsia="Times New Roman" w:hAnsi="Times New Roman"/>
          <w:sz w:val="18"/>
          <w:szCs w:val="18"/>
          <w:color w:val="auto"/>
        </w:rPr>
        <w:t>in our 2025 10-K. The following discussion updates selected numerical information to September 30, 2026.</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convenience translations into U.S. dollars are calculated as of September 30, 2026.</w:t>
      </w: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September 30, 2026, $1,016.5 million or 49.7%, $866.0 million or 42.3% and $158.7 million or 7.8% of our consolidated cash balance was denominated in U.S. dollars, euros and British pound sterling, respectively.</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For information regarding our use of derivative instruments to manage our foreign currency exchange rate risk, see note 6 to our condensed consolidated financial statements.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relationships between the primary currencies of the countries in which we operate and the U.S. dollar, which is our reporting currency, are shown below, per one U.S. dollar: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84"/>
        </w:trPr>
        <w:tc>
          <w:tcPr>
            <w:tcW w:w="5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Spot rates: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0.8819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0.8521</w:t>
            </w:r>
          </w:p>
        </w:tc>
      </w:tr>
      <w:tr>
        <w:trPr>
          <w:trHeight w:val="230"/>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British pound sterling</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0.7539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0.7434</w:t>
            </w:r>
          </w:p>
        </w:tc>
      </w:tr>
      <w:tr>
        <w:trPr>
          <w:trHeight w:val="513"/>
        </w:trPr>
        <w:tc>
          <w:tcPr>
            <w:tcW w:w="5840" w:type="dxa"/>
            <w:vAlign w:val="bottom"/>
          </w:tcPr>
          <w:p>
            <w:pPr>
              <w:spacing w:after="0"/>
              <w:rPr>
                <w:sz w:val="24"/>
                <w:szCs w:val="24"/>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840" w:type="dxa"/>
            <w:vAlign w:val="bottom"/>
          </w:tcPr>
          <w:p>
            <w:pPr>
              <w:spacing w:after="0"/>
              <w:rPr>
                <w:sz w:val="18"/>
                <w:szCs w:val="18"/>
                <w:color w:val="auto"/>
              </w:rPr>
            </w:pPr>
          </w:p>
        </w:tc>
        <w:tc>
          <w:tcPr>
            <w:tcW w:w="1840" w:type="dxa"/>
            <w:vAlign w:val="bottom"/>
            <w:tcBorders>
              <w:bottom w:val="single" w:sz="8" w:color="auto"/>
            </w:tcBorders>
            <w:gridSpan w:val="3"/>
          </w:tcPr>
          <w:p>
            <w:pPr>
              <w:jc w:val="center"/>
              <w:ind w:left="7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Borders>
              <w:bottom w:val="single" w:sz="8" w:color="auto"/>
            </w:tcBorders>
            <w:gridSpan w:val="5"/>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0"/>
        </w:trPr>
        <w:tc>
          <w:tcPr>
            <w:tcW w:w="5840" w:type="dxa"/>
            <w:vAlign w:val="bottom"/>
          </w:tcPr>
          <w:p>
            <w:pPr>
              <w:spacing w:after="0"/>
              <w:rPr>
                <w:sz w:val="18"/>
                <w:szCs w:val="18"/>
                <w:color w:val="auto"/>
              </w:rPr>
            </w:pPr>
          </w:p>
        </w:tc>
        <w:tc>
          <w:tcPr>
            <w:tcW w:w="12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44"/>
        </w:trPr>
        <w:tc>
          <w:tcPr>
            <w:tcW w:w="58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rates: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5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Euro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0.8558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0.8611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0.8958</w:t>
            </w:r>
          </w:p>
        </w:tc>
      </w:tr>
      <w:tr>
        <w:trPr>
          <w:trHeight w:val="229"/>
        </w:trPr>
        <w:tc>
          <w:tcPr>
            <w:tcW w:w="5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British pound sterling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0.7416</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1" w:name="page82"/>
    <w:bookmarkEnd w:id="81"/>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Inflation and Foreign Investment Risk</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Term SOFR-indexed debt of our borrowing groups and the variable-rate debt of certain of our other subsidiaries.</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benchmark interest rates to set floating rates on our debt and derivative instruments. For USD, these reference the Secured Overnight Financing Rate administered by the Federal Reserve Bank of New York or Term SOFR administered by CME Group Benchmark Administration Limited. For EUR, these reference EURIBOR administered by the European Money Markets Institute. For GBP, these reference the Sterling Overnight Index Average administered by the Bank of England.</w:t>
      </w:r>
    </w:p>
    <w:p>
      <w:pPr>
        <w:spacing w:after="0" w:line="2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Weighted Average Variable Interest Rate. </w:t>
      </w:r>
      <w:r>
        <w:rPr>
          <w:rFonts w:ascii="Times New Roman" w:cs="Times New Roman" w:eastAsia="Times New Roman" w:hAnsi="Times New Roman"/>
          <w:sz w:val="18"/>
          <w:szCs w:val="18"/>
          <w:color w:val="auto"/>
        </w:rPr>
        <w:t>At September 30, 2026, the outstanding principal amount of our variable-rate indebtedness aggregated $12.0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the weighted average interest rate (including margin) on such variable-rate indebtedness was approximately 5.2%,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$60.0 million. As discussed above and in note 6 to our condensed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21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we enter into derivative instruments to protect against increases in the interest rates on our variable-rate debt. Accordingly, we have entered into various derivative transactions to manage exposure to increases in interest rates. We use interest rate derivative contracts to exchange, at specified intervals, the difference between fixed and variable interest rates calculated by reference to an agreed upon notional principal amount. From time to time, we also use interest rate cap, floor and collar agreements that lock in a maximum interest rate if variable rates rise, but also allow our company to benefit, to a limited extent in the case of collars, from declines in market rates. Under our current guidelines, we use various interest rate derivative instruments to mitigate interest rate risk. The final maturity dates of our various portfolios of interest rate derivative instruments might, in some instances, fall short of, or extend further than, the respective maturities of the underlying variable-rate debt. In this regard, we use judgment to determine the appropriate composition and maturity dates of our portfolios of interest rate derivative instruments, taking into account the relative costs and benefits of different maturity profiles in light of current and expected future market conditions, liquidity issues and other factors. For additional information concerning the impacts of these interest rate derivative instruments, see note 6 to our condensed consolidated financial statements.</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Sensitivity Information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or the impact of market moves on our credit and debit valuation adjustments. For additional information, see notes 6 and 7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i w:val="1"/>
          <w:iCs w:val="1"/>
          <w:color w:val="auto"/>
        </w:rPr>
        <w:t>VodafoneZiggo Cross-currency and Interest Rate Derivative Contracts</w:t>
      </w:r>
    </w:p>
    <w:p>
      <w:pPr>
        <w:spacing w:after="0" w:line="2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 all other factors constant, at September 30, 2026:</w:t>
      </w:r>
    </w:p>
    <w:p>
      <w:pPr>
        <w:spacing w:after="0" w:line="252" w:lineRule="exact"/>
        <w:rPr>
          <w:sz w:val="20"/>
          <w:szCs w:val="20"/>
          <w:color w:val="auto"/>
        </w:rPr>
      </w:pPr>
    </w:p>
    <w:p>
      <w:pPr>
        <w:ind w:left="820" w:right="20" w:hanging="488"/>
        <w:spacing w:after="0" w:line="282" w:lineRule="auto"/>
        <w:tabs>
          <w:tab w:leader="none" w:pos="81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(decrease) of 10% in the value of the euro relative to the U.S. dollar would have decreased (increased) the aggregate fair value of the VodafoneZiggo cross-currency and interest rate derivative contracts by approximately €413 million ($469 million); and</w:t>
      </w:r>
    </w:p>
    <w:p>
      <w:pPr>
        <w:spacing w:after="0" w:line="188"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1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instantaneous increase in the relevant base rate of 50 basis points (0.50%) would have increased the aggregate fair value of the VodafoneZiggo cross-currency and interest rate derivative contracts by approximately €55 million ($63 million) and, conversely, a decrease of 50 basis points would have decreased the aggregate fair value by approximately €57 million ($65 million).</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Wyre Cross-currency and Interest Rate Derivative Contracts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Holding all other factors constant, at September 30, 2026, an instantaneous increase in the relevant base rate of 50 basis points (0.50%) would have increased the aggregate fair value of the Wyre cross-currency and interest rate derivative contracts by approximately €85 million ($97 million) and, conversely, a decrease of 50 basis points would have decreased the aggregate fair value by approximately €89 million ($101 million).</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Telenet Cross-currency and Interest Rate Derivative Contracts</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Holding all other factors constant, at September 30, 2026, an instantaneous increase (decrease) of 10% in the value of the euro relative to the U.S. dollar would have decreased (increased) the aggregate fair value of the Telenet cross-currency and interest rate derivative contracts by approximately €64 million ($73 million).</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Projected Cash Flows Associated with Derivative Instruments</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the projected cash flows associated with our derivative instruments. The U.S. dollar equivalents presented below are based on interest rate projections and exchange rates as of September 30, 2026. These amounts are presented for illustrative purposes only and will likely differ from the actual cash payments or receipts required in future periods. For additional information regarding our derivative instruments, see note 6 to our condensed consolidated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160"/>
              <w:spacing w:after="0"/>
              <w:rPr>
                <w:sz w:val="20"/>
                <w:szCs w:val="20"/>
                <w:color w:val="auto"/>
              </w:rPr>
            </w:pPr>
            <w:r>
              <w:rPr>
                <w:rFonts w:ascii="Times New Roman" w:cs="Times New Roman" w:eastAsia="Times New Roman" w:hAnsi="Times New Roman"/>
                <w:sz w:val="16"/>
                <w:szCs w:val="16"/>
                <w:b w:val="1"/>
                <w:bCs w:val="1"/>
                <w:color w:val="auto"/>
              </w:rPr>
              <w:t>Payments (receipts) due during:</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Remainder</w:t>
            </w:r>
          </w:p>
        </w:tc>
        <w:tc>
          <w:tcPr>
            <w:tcW w:w="200" w:type="dxa"/>
            <w:vAlign w:val="bottom"/>
          </w:tcPr>
          <w:p>
            <w:pPr>
              <w:spacing w:after="0"/>
              <w:rPr>
                <w:sz w:val="14"/>
                <w:szCs w:val="14"/>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40" w:type="dxa"/>
            <w:vAlign w:val="bottom"/>
          </w:tcPr>
          <w:p>
            <w:pPr>
              <w:spacing w:after="0"/>
              <w:rPr>
                <w:sz w:val="14"/>
                <w:szCs w:val="14"/>
                <w:color w:val="auto"/>
              </w:rPr>
            </w:pPr>
          </w:p>
        </w:tc>
        <w:tc>
          <w:tcPr>
            <w:tcW w:w="86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2026</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Projected derivative cash payments</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(receipts), net: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Interest-related (a)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c>
          <w:tcPr>
            <w:tcW w:w="0" w:type="dxa"/>
            <w:vAlign w:val="bottom"/>
          </w:tcPr>
          <w:p>
            <w:pPr>
              <w:spacing w:after="0"/>
              <w:rPr>
                <w:sz w:val="1"/>
                <w:szCs w:val="1"/>
                <w:color w:val="auto"/>
              </w:rPr>
            </w:pPr>
          </w:p>
        </w:tc>
      </w:tr>
      <w:tr>
        <w:trPr>
          <w:trHeight w:val="229"/>
        </w:trPr>
        <w:tc>
          <w:tcPr>
            <w:tcW w:w="2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Principal-related (b)</w:t>
            </w:r>
          </w:p>
        </w:tc>
        <w:tc>
          <w:tcPr>
            <w:tcW w:w="12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left="500" w:hanging="492"/>
        <w:spacing w:after="0" w:line="282" w:lineRule="auto"/>
        <w:tabs>
          <w:tab w:leader="none" w:pos="49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the cash flows of our interest rate cap, floor and swap contracts and (ii) the interest-related cash flows of our cross-currency and interest rate swap contracts.</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principal-related cash flows of our cross-currency swap contracts.</w:t>
      </w:r>
    </w:p>
    <w:p>
      <w:pPr>
        <w:spacing w:after="0" w:line="25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related to our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Rule 13a-15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xml:space="preserve">), we carried out an evaluation, under the supervision and with the participation of management, including our chief executive officer and chief financial officer (the </w:t>
      </w:r>
      <w:r>
        <w:rPr>
          <w:rFonts w:ascii="Times New Roman" w:cs="Times New Roman" w:eastAsia="Times New Roman" w:hAnsi="Times New Roman"/>
          <w:sz w:val="18"/>
          <w:szCs w:val="18"/>
          <w:b w:val="1"/>
          <w:bCs w:val="1"/>
          <w:color w:val="auto"/>
        </w:rPr>
        <w:t>Executives</w:t>
      </w:r>
      <w:r>
        <w:rPr>
          <w:rFonts w:ascii="Times New Roman" w:cs="Times New Roman" w:eastAsia="Times New Roman" w:hAnsi="Times New Roman"/>
          <w:sz w:val="18"/>
          <w:szCs w:val="18"/>
          <w:color w:val="auto"/>
        </w:rPr>
        <w:t>), of the effectiveness of our disclosure controls and procedures as of September 30, 2026.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as of September 30, 2026 effectively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identified in connection with the evaluation described above that occurred during the fiscal quarter covered by this Quarterly Report on Form 10-Q that have materially affected, or are reasonably likely to materially affect, our internal controls over financial reporting.</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31, 2026, we completed the acquisition of the remaining 50% interest in VodafoneZiggo, which is now a consolidated subsidiary. We are in the process of integrating VodafoneZiggo's processes and internal controls into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our subsidiaries and affiliates have become involved in litigation relating to claims arising out of their operations in the normal course of business. For additional information, see note 15 to our condensed consolidated financial statements in Part I of this Quarterly Report on Form 10-Q.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2" w:lineRule="exact"/>
        <w:rPr>
          <w:sz w:val="20"/>
          <w:szCs w:val="20"/>
          <w:color w:val="auto"/>
        </w:rPr>
      </w:pPr>
    </w:p>
    <w:p>
      <w:pPr>
        <w:ind w:left="340"/>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(c)</w:t>
      </w:r>
      <w:r>
        <w:rPr>
          <w:sz w:val="20"/>
          <w:szCs w:val="20"/>
          <w:color w:val="auto"/>
        </w:rPr>
        <w:tab/>
      </w:r>
      <w:r>
        <w:rPr>
          <w:rFonts w:ascii="Times New Roman" w:cs="Times New Roman" w:eastAsia="Times New Roman" w:hAnsi="Times New Roman"/>
          <w:sz w:val="17"/>
          <w:szCs w:val="17"/>
          <w:b w:val="1"/>
          <w:bCs w:val="1"/>
          <w:i w:val="1"/>
          <w:iCs w:val="1"/>
          <w:color w:val="auto"/>
        </w:rPr>
        <w:t>Issuer Purchases of Equity Securities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Total number</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shares that</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may yet be purchased</w:t>
            </w:r>
          </w:p>
        </w:tc>
        <w:tc>
          <w:tcPr>
            <w:tcW w:w="0" w:type="dxa"/>
            <w:vAlign w:val="bottom"/>
          </w:tcPr>
          <w:p>
            <w:pPr>
              <w:spacing w:after="0"/>
              <w:rPr>
                <w:sz w:val="1"/>
                <w:szCs w:val="1"/>
                <w:color w:val="auto"/>
              </w:rPr>
            </w:pPr>
          </w:p>
        </w:tc>
      </w:tr>
      <w:tr>
        <w:trPr>
          <w:trHeight w:val="162"/>
        </w:trPr>
        <w:tc>
          <w:tcPr>
            <w:tcW w:w="4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54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 shares</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7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4820" w:type="dxa"/>
            <w:vAlign w:val="bottom"/>
            <w:gridSpan w:val="2"/>
            <w:vMerge w:val="continue"/>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paid per share (a)</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 programs (b)</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0" w:type="dxa"/>
            <w:vAlign w:val="bottom"/>
          </w:tcPr>
          <w:p>
            <w:pPr>
              <w:spacing w:after="0"/>
              <w:rPr>
                <w:sz w:val="1"/>
                <w:szCs w:val="1"/>
                <w:color w:val="auto"/>
              </w:rPr>
            </w:pPr>
          </w:p>
        </w:tc>
      </w:tr>
      <w:tr>
        <w:trPr>
          <w:trHeight w:val="130"/>
        </w:trPr>
        <w:tc>
          <w:tcPr>
            <w:tcW w:w="4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through July 31, 2026:</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through August 31, 2026:</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29"/>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through September 30, 2026:</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2,803,325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2,803,325</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1,406,316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 July 1, 2026 through September 30, 2026:</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6,328,325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6,328,325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r>
        <w:trPr>
          <w:trHeight w:val="234"/>
        </w:trPr>
        <w:tc>
          <w:tcPr>
            <w:tcW w:w="4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C</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3,281,316</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w:t>
      </w:r>
    </w:p>
    <w:p>
      <w:pPr>
        <w:spacing w:after="0" w:line="252" w:lineRule="exact"/>
        <w:rPr>
          <w:sz w:val="20"/>
          <w:szCs w:val="20"/>
          <w:color w:val="auto"/>
        </w:rPr>
      </w:pPr>
    </w:p>
    <w:p>
      <w:pPr>
        <w:ind w:left="500" w:hanging="492"/>
        <w:spacing w:after="0"/>
        <w:tabs>
          <w:tab w:leader="none" w:pos="5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 includes direct acquisition costs.</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current share repurchase program, we are authorized to repurchase up to $100.0 million of our outstanding Class A and/or Class C common shares through December 29, 2026. As of September 30, 2026, the authorization under this share repurchase program had been fully utilized. In October 2026, our board of directors authorized the repurchase of up to an additional $100.0 million of our outstanding Class A and/or Class C common shares. For additional information, see note 12 to our condensed consolidated financial statements in Part I of this Quarterly Report on Form 10-Q.</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110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Listed below are the exhibits filed as part of this Quarterly Report (according to the number assigned to them in Item 601 of Regulation S-K):</w:t>
            </w:r>
          </w:p>
        </w:tc>
      </w:tr>
      <w:tr>
        <w:trPr>
          <w:trHeight w:val="40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10</w:t>
            </w:r>
          </w:p>
        </w:tc>
        <w:tc>
          <w:tcPr>
            <w:tcW w:w="11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Material Contracts:</w:t>
            </w:r>
          </w:p>
        </w:tc>
      </w:tr>
      <w:tr>
        <w:trPr>
          <w:trHeight w:val="194"/>
        </w:trPr>
        <w:tc>
          <w:tcPr>
            <w:tcW w:w="200" w:type="dxa"/>
            <w:vAlign w:val="bottom"/>
          </w:tcPr>
          <w:p>
            <w:pPr>
              <w:spacing w:after="0"/>
              <w:rPr>
                <w:sz w:val="16"/>
                <w:szCs w:val="16"/>
                <w:color w:val="auto"/>
              </w:rPr>
            </w:pPr>
          </w:p>
        </w:tc>
        <w:tc>
          <w:tcPr>
            <w:tcW w:w="1340" w:type="dxa"/>
            <w:vAlign w:val="bottom"/>
          </w:tcPr>
          <w:p>
            <w:pPr>
              <w:jc w:val="center"/>
              <w:ind w:right="490"/>
              <w:spacing w:after="0" w:line="194" w:lineRule="exact"/>
              <w:rPr>
                <w:sz w:val="20"/>
                <w:szCs w:val="20"/>
                <w:color w:val="auto"/>
              </w:rPr>
            </w:pPr>
            <w:r>
              <w:rPr>
                <w:rFonts w:ascii="Times New Roman" w:cs="Times New Roman" w:eastAsia="Times New Roman" w:hAnsi="Times New Roman"/>
                <w:sz w:val="18"/>
                <w:szCs w:val="18"/>
                <w:color w:val="auto"/>
                <w:w w:val="98"/>
              </w:rPr>
              <w:t>10.1***+</w:t>
            </w:r>
          </w:p>
        </w:tc>
        <w:tc>
          <w:tcPr>
            <w:tcW w:w="9700" w:type="dxa"/>
            <w:vAlign w:val="bottom"/>
            <w:gridSpan w:val="7"/>
          </w:tcPr>
          <w:p>
            <w:pPr>
              <w:spacing w:after="0" w:line="194"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Shareholders’ Agreement, dated July 31, 2026, by and among Liberty Global Holding B.V., Liberty Global Broadband I Limited and</w:t>
              </w:r>
            </w:hyperlink>
          </w:p>
        </w:tc>
      </w:tr>
      <w:tr>
        <w:trPr>
          <w:trHeight w:val="155"/>
        </w:trPr>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8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Vodafone Europe B.V. (incorporated by reference to Exhibit 10.1 to the Registrant's Current Report on Form 8-K filed August 6, 2026</w:t>
              </w:r>
            </w:hyperlink>
          </w:p>
        </w:tc>
        <w:tc>
          <w:tcPr>
            <w:tcW w:w="20" w:type="dxa"/>
            <w:vAlign w:val="bottom"/>
          </w:tcPr>
          <w:p>
            <w:pPr>
              <w:spacing w:after="0"/>
              <w:rPr>
                <w:sz w:val="13"/>
                <w:szCs w:val="13"/>
                <w:color w:val="auto"/>
              </w:rPr>
            </w:pPr>
          </w:p>
        </w:tc>
      </w:tr>
      <w:tr>
        <w:trPr>
          <w:trHeight w:val="156"/>
        </w:trPr>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(File No. 001-35961)).</w:t>
              </w:r>
            </w:hyperlink>
          </w:p>
        </w:tc>
        <w:tc>
          <w:tcPr>
            <w:tcW w:w="802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110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 Rule 13a-14(a)/15d-14(a) Certification:</w:t>
            </w:r>
          </w:p>
        </w:tc>
      </w:tr>
      <w:tr>
        <w:trPr>
          <w:trHeight w:val="243"/>
        </w:trPr>
        <w:tc>
          <w:tcPr>
            <w:tcW w:w="200" w:type="dxa"/>
            <w:vAlign w:val="bottom"/>
          </w:tcPr>
          <w:p>
            <w:pPr>
              <w:spacing w:after="0"/>
              <w:rPr>
                <w:sz w:val="21"/>
                <w:szCs w:val="21"/>
                <w:color w:val="auto"/>
              </w:rPr>
            </w:pPr>
          </w:p>
        </w:tc>
        <w:tc>
          <w:tcPr>
            <w:tcW w:w="13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31.1</w:t>
            </w:r>
          </w:p>
        </w:tc>
        <w:tc>
          <w:tcPr>
            <w:tcW w:w="3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President and Chief Executive Officer*</w:t>
            </w:r>
          </w:p>
        </w:tc>
        <w:tc>
          <w:tcPr>
            <w:tcW w:w="5720" w:type="dxa"/>
            <w:vAlign w:val="bottom"/>
            <w:gridSpan w:val="4"/>
          </w:tcPr>
          <w:p>
            <w:pPr>
              <w:spacing w:after="0"/>
              <w:rPr>
                <w:sz w:val="21"/>
                <w:szCs w:val="21"/>
                <w:color w:val="auto"/>
              </w:rPr>
            </w:pPr>
          </w:p>
        </w:tc>
      </w:tr>
      <w:tr>
        <w:trPr>
          <w:trHeight w:val="263"/>
        </w:trPr>
        <w:tc>
          <w:tcPr>
            <w:tcW w:w="200" w:type="dxa"/>
            <w:vAlign w:val="bottom"/>
          </w:tcPr>
          <w:p>
            <w:pPr>
              <w:spacing w:after="0"/>
              <w:rPr>
                <w:sz w:val="22"/>
                <w:szCs w:val="22"/>
                <w:color w:val="auto"/>
              </w:rPr>
            </w:pPr>
          </w:p>
        </w:tc>
        <w:tc>
          <w:tcPr>
            <w:tcW w:w="13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31.2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Executive Vice President and Chief Financial Officer*</w:t>
            </w:r>
          </w:p>
        </w:tc>
      </w:tr>
      <w:tr>
        <w:trPr>
          <w:trHeight w:val="20"/>
        </w:trPr>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r>
      <w:tr>
        <w:trPr>
          <w:trHeight w:val="263"/>
        </w:trPr>
        <w:tc>
          <w:tcPr>
            <w:tcW w:w="2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32</w:t>
            </w:r>
          </w:p>
        </w:tc>
        <w:tc>
          <w:tcPr>
            <w:tcW w:w="2340" w:type="dxa"/>
            <w:vAlign w:val="bottom"/>
            <w:tcBorders>
              <w:bottom w:val="single" w:sz="8" w:color="0000FF"/>
            </w:tcBorders>
            <w:gridSpan w:val="2"/>
          </w:tcPr>
          <w:p>
            <w:pPr>
              <w:ind w:left="40"/>
              <w:spacing w:after="0"/>
              <w:rPr>
                <w:sz w:val="20"/>
                <w:szCs w:val="20"/>
                <w:color w:val="auto"/>
              </w:rPr>
            </w:pPr>
            <w:r>
              <w:rPr>
                <w:rFonts w:ascii="Times New Roman" w:cs="Times New Roman" w:eastAsia="Times New Roman" w:hAnsi="Times New Roman"/>
                <w:sz w:val="18"/>
                <w:szCs w:val="18"/>
                <w:color w:val="0000FF"/>
                <w:w w:val="98"/>
              </w:rPr>
              <w:t>— Section 1350 Certification**</w:t>
            </w:r>
          </w:p>
        </w:tc>
        <w:tc>
          <w:tcPr>
            <w:tcW w:w="8700" w:type="dxa"/>
            <w:vAlign w:val="bottom"/>
            <w:gridSpan w:val="6"/>
          </w:tcPr>
          <w:p>
            <w:pPr>
              <w:spacing w:after="0"/>
              <w:rPr>
                <w:sz w:val="22"/>
                <w:szCs w:val="22"/>
                <w:color w:val="auto"/>
              </w:rPr>
            </w:pPr>
          </w:p>
        </w:tc>
      </w:tr>
      <w:tr>
        <w:trPr>
          <w:trHeight w:val="30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8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560" w:hanging="1534"/>
        <w:spacing w:after="0"/>
        <w:tabs>
          <w:tab w:leader="none" w:pos="1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w:t>
      </w:r>
    </w:p>
    <w:p>
      <w:pPr>
        <w:spacing w:after="0" w:line="212" w:lineRule="exact"/>
        <w:rPr>
          <w:sz w:val="20"/>
          <w:szCs w:val="20"/>
          <w:color w:val="auto"/>
        </w:rPr>
      </w:pPr>
    </w:p>
    <w:p>
      <w:pPr>
        <w:ind w:left="680" w:hanging="654"/>
        <w:spacing w:after="0"/>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80" w:hanging="654"/>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 w:lineRule="exact"/>
        <w:rPr>
          <w:rFonts w:ascii="Times New Roman" w:cs="Times New Roman" w:eastAsia="Times New Roman" w:hAnsi="Times New Roman"/>
          <w:sz w:val="18"/>
          <w:szCs w:val="18"/>
          <w:color w:val="auto"/>
        </w:rPr>
      </w:pPr>
    </w:p>
    <w:p>
      <w:pPr>
        <w:ind w:left="680" w:hanging="654"/>
        <w:spacing w:after="0" w:line="245"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exhibits and annexes (or similar attachments) have been omitted pursuant to Item 601(a)(5) of Regulation S-K. The Registrant undertakes to furnish supplemental copies of any of the omitted attachments upon request by the SEC</w:t>
      </w:r>
    </w:p>
    <w:p>
      <w:pPr>
        <w:spacing w:after="0" w:line="99" w:lineRule="exact"/>
        <w:rPr>
          <w:sz w:val="20"/>
          <w:szCs w:val="20"/>
          <w:color w:val="auto"/>
        </w:rPr>
      </w:pPr>
    </w:p>
    <w:p>
      <w:pPr>
        <w:ind w:left="680" w:hanging="654"/>
        <w:spacing w:after="0" w:line="250"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are omitted pursuant to Item 601(b)(10)(iv) of Regulation S-K because they are not material and are the type that the registrant treats as private or confidential. The Registrant hereby agrees to furnish a copy of any omitted portion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LIBERTY GLOBAL LTD.</w:t>
      </w:r>
    </w:p>
    <w:p>
      <w:pPr>
        <w:spacing w:after="0" w:line="293" w:lineRule="exact"/>
        <w:rPr>
          <w:sz w:val="20"/>
          <w:szCs w:val="20"/>
          <w:color w:val="auto"/>
        </w:rPr>
      </w:pPr>
    </w:p>
    <w:p>
      <w:pPr>
        <w:ind w:left="20"/>
        <w:spacing w:after="0"/>
        <w:tabs>
          <w:tab w:leader="none" w:pos="900" w:val="left"/>
          <w:tab w:leader="none" w:pos="7060" w:val="left"/>
          <w:tab w:leader="none" w:pos="74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w:t>
      </w:r>
      <w:r>
        <w:rPr>
          <w:rFonts w:ascii="Times New Roman" w:cs="Times New Roman" w:eastAsia="Times New Roman" w:hAnsi="Times New Roman"/>
          <w:sz w:val="13"/>
          <w:szCs w:val="13"/>
          <w:color w:val="auto"/>
        </w:rPr>
        <w:t>ICHAEL</w:t>
      </w:r>
      <w:r>
        <w:rPr>
          <w:rFonts w:ascii="Times New Roman" w:cs="Times New Roman" w:eastAsia="Times New Roman" w:hAnsi="Times New Roman"/>
          <w:sz w:val="17"/>
          <w:szCs w:val="17"/>
          <w:color w:val="auto"/>
        </w:rPr>
        <w:t xml:space="preserve"> T. F</w:t>
      </w:r>
      <w:r>
        <w:rPr>
          <w:rFonts w:ascii="Times New Roman" w:cs="Times New Roman" w:eastAsia="Times New Roman" w:hAnsi="Times New Roman"/>
          <w:sz w:val="13"/>
          <w:szCs w:val="13"/>
          <w:color w:val="auto"/>
        </w:rPr>
        <w: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40290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Michael T. Fries</w:t>
      </w: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300" w:lineRule="exact"/>
        <w:rPr>
          <w:sz w:val="20"/>
          <w:szCs w:val="20"/>
          <w:color w:val="auto"/>
        </w:rPr>
      </w:pPr>
    </w:p>
    <w:p>
      <w:pPr>
        <w:ind w:left="20"/>
        <w:spacing w:after="0"/>
        <w:tabs>
          <w:tab w:leader="none" w:pos="900" w:val="left"/>
          <w:tab w:leader="none" w:pos="6820" w:val="left"/>
          <w:tab w:leader="none" w:pos="71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November 3, 2026</w:t>
      </w:r>
      <w:r>
        <w:rPr>
          <w:sz w:val="20"/>
          <w:szCs w:val="20"/>
          <w:color w:val="auto"/>
        </w:rPr>
        <w:tab/>
      </w:r>
      <w:r>
        <w:rPr>
          <w:rFonts w:ascii="Times New Roman" w:cs="Times New Roman" w:eastAsia="Times New Roman" w:hAnsi="Times New Roman"/>
          <w:sz w:val="18"/>
          <w:szCs w:val="18"/>
          <w:color w:val="auto"/>
        </w:rPr>
        <w:t>/s/</w:t>
        <w:tab/>
        <w:t>C</w:t>
      </w:r>
      <w:r>
        <w:rPr>
          <w:rFonts w:ascii="Times New Roman" w:cs="Times New Roman" w:eastAsia="Times New Roman" w:hAnsi="Times New Roman"/>
          <w:sz w:val="14"/>
          <w:szCs w:val="14"/>
          <w:color w:val="auto"/>
        </w:rPr>
        <w:t>HARLES</w:t>
      </w:r>
      <w:r>
        <w:rPr>
          <w:rFonts w:ascii="Times New Roman" w:cs="Times New Roman" w:eastAsia="Times New Roman" w:hAnsi="Times New Roman"/>
          <w:sz w:val="18"/>
          <w:szCs w:val="18"/>
          <w:color w:val="auto"/>
        </w:rPr>
        <w:t xml:space="preserve"> H.R. B</w:t>
      </w:r>
      <w:r>
        <w:rPr>
          <w:rFonts w:ascii="Times New Roman" w:cs="Times New Roman" w:eastAsia="Times New Roman" w:hAnsi="Times New Roman"/>
          <w:sz w:val="14"/>
          <w:szCs w:val="14"/>
          <w:color w:val="auto"/>
        </w:rPr>
        <w:t>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40290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32"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color w:val="auto"/>
        </w:rPr>
        <w:t>Charles H.R. Bracken</w:t>
      </w:r>
    </w:p>
    <w:p>
      <w:pPr>
        <w:jc w:val="center"/>
        <w:ind w:left="4880"/>
        <w:spacing w:after="0" w:line="203" w:lineRule="auto"/>
        <w:rPr>
          <w:sz w:val="20"/>
          <w:szCs w:val="20"/>
          <w:color w:val="auto"/>
        </w:rPr>
      </w:pPr>
      <w:r>
        <w:rPr>
          <w:rFonts w:ascii="Times New Roman" w:cs="Times New Roman" w:eastAsia="Times New Roman" w:hAnsi="Times New Roman"/>
          <w:sz w:val="18"/>
          <w:szCs w:val="18"/>
          <w:i w:val="1"/>
          <w:iCs w:val="1"/>
          <w:color w:val="auto"/>
        </w:rPr>
        <w:t>Executive Vice President and Chief</w:t>
      </w: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92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 Fries, certify that:</w:t>
      </w:r>
    </w:p>
    <w:p>
      <w:pPr>
        <w:spacing w:after="0" w:line="90"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Ltd.;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6"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8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185"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7432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H.R. Bracken, certify that:</w:t>
      </w:r>
    </w:p>
    <w:p>
      <w:pPr>
        <w:spacing w:after="0" w:line="90"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Liberty Global Ltd.;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5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26"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8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18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27432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43"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Liberty Global Ltd. (the "Company"), does hereby certify, to such officer's knowledge, that: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Quarterly Report on Form 10-Q for the period ended September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 as of September 30, 2026 and December 31, 2025, and for the three and nine months ended September 30, 2026 and 2025.</w:t>
      </w:r>
    </w:p>
    <w:p>
      <w:pPr>
        <w:spacing w:after="0" w:line="200" w:lineRule="exact"/>
        <w:rPr>
          <w:sz w:val="20"/>
          <w:szCs w:val="20"/>
          <w:color w:val="auto"/>
        </w:rPr>
      </w:pPr>
    </w:p>
    <w:p>
      <w:pPr>
        <w:spacing w:after="0" w:line="263" w:lineRule="exact"/>
        <w:rPr>
          <w:sz w:val="20"/>
          <w:szCs w:val="20"/>
          <w:color w:val="auto"/>
        </w:rPr>
      </w:pPr>
    </w:p>
    <w:p>
      <w:pPr>
        <w:ind w:left="1900"/>
        <w:spacing w:after="0"/>
        <w:tabs>
          <w:tab w:leader="none" w:pos="6200" w:val="left"/>
        </w:tabs>
        <w:rPr>
          <w:sz w:val="20"/>
          <w:szCs w:val="20"/>
          <w:color w:val="auto"/>
        </w:rPr>
      </w:pPr>
      <w:r>
        <w:rPr>
          <w:rFonts w:ascii="Times New Roman" w:cs="Times New Roman" w:eastAsia="Times New Roman" w:hAnsi="Times New Roman"/>
          <w:sz w:val="18"/>
          <w:szCs w:val="18"/>
          <w:color w:val="auto"/>
        </w:rPr>
        <w:t>Dated: November 3, 2026</w:t>
      </w:r>
      <w:r>
        <w:rPr>
          <w:sz w:val="20"/>
          <w:szCs w:val="20"/>
          <w:color w:val="auto"/>
        </w:rPr>
        <w:tab/>
      </w:r>
      <w:r>
        <w:rPr>
          <w:rFonts w:ascii="Times New Roman" w:cs="Times New Roman" w:eastAsia="Times New Roman" w:hAnsi="Times New Roman"/>
          <w:sz w:val="17"/>
          <w:szCs w:val="17"/>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094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43"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color w:val="auto"/>
        </w:rPr>
        <w:t>Michael T. Fries</w:t>
      </w:r>
    </w:p>
    <w:p>
      <w:pPr>
        <w:spacing w:after="0" w:line="63"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900"/>
        <w:spacing w:after="0"/>
        <w:tabs>
          <w:tab w:leader="none" w:pos="6000" w:val="left"/>
        </w:tabs>
        <w:rPr>
          <w:sz w:val="20"/>
          <w:szCs w:val="20"/>
          <w:color w:val="auto"/>
        </w:rPr>
      </w:pPr>
      <w:r>
        <w:rPr>
          <w:rFonts w:ascii="Times New Roman" w:cs="Times New Roman" w:eastAsia="Times New Roman" w:hAnsi="Times New Roman"/>
          <w:sz w:val="18"/>
          <w:szCs w:val="18"/>
          <w:color w:val="auto"/>
        </w:rPr>
        <w:t>Dated: November 3, 2026</w:t>
      </w:r>
      <w:r>
        <w:rPr>
          <w:sz w:val="20"/>
          <w:szCs w:val="20"/>
          <w:color w:val="auto"/>
        </w:rPr>
        <w:tab/>
      </w:r>
      <w:r>
        <w:rPr>
          <w:rFonts w:ascii="Times New Roman" w:cs="Times New Roman" w:eastAsia="Times New Roman" w:hAnsi="Times New Roman"/>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0943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43"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color w:val="auto"/>
        </w:rPr>
        <w:t>Charles H.R. Bracken</w:t>
      </w:r>
    </w:p>
    <w:p>
      <w:pPr>
        <w:spacing w:after="0" w:line="63" w:lineRule="exact"/>
        <w:rPr>
          <w:sz w:val="20"/>
          <w:szCs w:val="20"/>
          <w:color w:val="auto"/>
        </w:rPr>
      </w:pPr>
    </w:p>
    <w:p>
      <w:pPr>
        <w:jc w:val="center"/>
        <w:ind w:left="26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2"/>
    </w:lvl>
  </w:abstractNum>
  <w:abstractNum w:abstractNumId="4">
    <w:nsid w:val="684A481A"/>
    <w:multiLevelType w:val="hybridMultilevel"/>
    <w:lvl w:ilvl="0">
      <w:lvlJc w:val="left"/>
      <w:lvlText w:val="(%1)"/>
      <w:numFmt w:val="decimal"/>
      <w:start w:val="3"/>
    </w:lvl>
  </w:abstractNum>
  <w:abstractNum w:abstractNumId="5">
    <w:nsid w:val="579478FE"/>
    <w:multiLevelType w:val="hybridMultilevel"/>
    <w:lvl w:ilvl="0">
      <w:lvlJc w:val="left"/>
      <w:lvlText w:val="(%1)"/>
      <w:numFmt w:val="decimal"/>
      <w:start w:val="4"/>
    </w:lvl>
  </w:abstractNum>
  <w:abstractNum w:abstractNumId="6">
    <w:nsid w:val="749ABB43"/>
    <w:multiLevelType w:val="hybridMultilevel"/>
    <w:lvl w:ilvl="0">
      <w:lvlJc w:val="left"/>
      <w:lvlText w:val="(%1)"/>
      <w:numFmt w:val="lowerLetter"/>
      <w:start w:val="1"/>
    </w:lvl>
  </w:abstractNum>
  <w:abstractNum w:abstractNumId="7">
    <w:nsid w:val="3DC240FB"/>
    <w:multiLevelType w:val="hybridMultilevel"/>
    <w:lvl w:ilvl="0">
      <w:lvlJc w:val="left"/>
      <w:lvlText w:val="(%1)"/>
      <w:numFmt w:val="lowerLetter"/>
      <w:start w:val="1"/>
    </w:lvl>
  </w:abstractNum>
  <w:abstractNum w:abstractNumId="8">
    <w:nsid w:val="1BA026FA"/>
    <w:multiLevelType w:val="hybridMultilevel"/>
    <w:lvl w:ilvl="0">
      <w:lvlJc w:val="left"/>
      <w:lvlText w:val="(%1)"/>
      <w:numFmt w:val="lowerLetter"/>
      <w:start w:val="1"/>
    </w:lvl>
  </w:abstractNum>
  <w:abstractNum w:abstractNumId="9">
    <w:nsid w:val="79A1DEAA"/>
    <w:multiLevelType w:val="hybridMultilevel"/>
    <w:lvl w:ilvl="0">
      <w:lvlJc w:val="left"/>
      <w:lvlText w:val="(%1)"/>
      <w:numFmt w:val="lowerLetter"/>
      <w:start w:val="1"/>
    </w:lvl>
  </w:abstractNum>
  <w:abstractNum w:abstractNumId="10">
    <w:nsid w:val="75C6C33A"/>
    <w:multiLevelType w:val="hybridMultilevel"/>
    <w:lvl w:ilvl="0">
      <w:lvlJc w:val="left"/>
      <w:lvlText w:val="(%1)"/>
      <w:numFmt w:val="lowerLetter"/>
      <w:start w:val="1"/>
    </w:lvl>
  </w:abstractNum>
  <w:abstractNum w:abstractNumId="11">
    <w:nsid w:val="12E685FB"/>
    <w:multiLevelType w:val="hybridMultilevel"/>
    <w:lvl w:ilvl="0">
      <w:lvlJc w:val="left"/>
      <w:lvlText w:val="(%1)"/>
      <w:numFmt w:val="lowerLetter"/>
      <w:start w:val="1"/>
    </w:lvl>
  </w:abstractNum>
  <w:abstractNum w:abstractNumId="12">
    <w:nsid w:val="70C6A529"/>
    <w:multiLevelType w:val="hybridMultilevel"/>
    <w:lvl w:ilvl="0">
      <w:lvlJc w:val="left"/>
      <w:lvlText w:val="(%1)"/>
      <w:numFmt w:val="lowerLetter"/>
      <w:start w:val="1"/>
    </w:lvl>
  </w:abstractNum>
  <w:abstractNum w:abstractNumId="13">
    <w:nsid w:val="520EEDD1"/>
    <w:multiLevelType w:val="hybridMultilevel"/>
    <w:lvl w:ilvl="0">
      <w:lvlJc w:val="left"/>
      <w:lvlText w:val="(%1)"/>
      <w:numFmt w:val="lowerLetter"/>
      <w:start w:val="3"/>
    </w:lvl>
  </w:abstractNum>
  <w:abstractNum w:abstractNumId="14">
    <w:nsid w:val="374A3FE6"/>
    <w:multiLevelType w:val="hybridMultilevel"/>
    <w:lvl w:ilvl="0">
      <w:lvlJc w:val="left"/>
      <w:lvlText w:val="(%1)"/>
      <w:numFmt w:val="decimal"/>
      <w:start w:val="6"/>
    </w:lvl>
  </w:abstractNum>
  <w:abstractNum w:abstractNumId="15">
    <w:nsid w:val="4F4EF005"/>
    <w:multiLevelType w:val="hybridMultilevel"/>
    <w:lvl w:ilvl="0">
      <w:lvlJc w:val="left"/>
      <w:lvlText w:val="(%1)"/>
      <w:numFmt w:val="lowerLetter"/>
      <w:start w:val="1"/>
    </w:lvl>
  </w:abstractNum>
  <w:abstractNum w:abstractNumId="16">
    <w:nsid w:val="23F9C13C"/>
    <w:multiLevelType w:val="hybridMultilevel"/>
    <w:lvl w:ilvl="0">
      <w:lvlJc w:val="left"/>
      <w:lvlText w:val="(%1)"/>
      <w:numFmt w:val="lowerLetter"/>
      <w:start w:val="1"/>
    </w:lvl>
  </w:abstractNum>
  <w:abstractNum w:abstractNumId="17">
    <w:nsid w:val="649BB77C"/>
    <w:multiLevelType w:val="hybridMultilevel"/>
    <w:lvl w:ilvl="0">
      <w:lvlJc w:val="left"/>
      <w:lvlText w:val="(%1)"/>
      <w:numFmt w:val="lowerLetter"/>
      <w:start w:val="1"/>
    </w:lvl>
  </w:abstractNum>
  <w:abstractNum w:abstractNumId="18">
    <w:nsid w:val="275AC794"/>
    <w:multiLevelType w:val="hybridMultilevel"/>
    <w:lvl w:ilvl="0">
      <w:lvlJc w:val="left"/>
      <w:lvlText w:val="(%1)"/>
      <w:numFmt w:val="lowerLetter"/>
      <w:start w:val="1"/>
    </w:lvl>
  </w:abstractNum>
  <w:abstractNum w:abstractNumId="19">
    <w:nsid w:val="39386575"/>
    <w:multiLevelType w:val="hybridMultilevel"/>
    <w:lvl w:ilvl="0">
      <w:lvlJc w:val="left"/>
      <w:lvlText w:val="(%1)"/>
      <w:numFmt w:val="decimal"/>
      <w:start w:val="7"/>
    </w:lvl>
  </w:abstractNum>
  <w:abstractNum w:abstractNumId="20">
    <w:nsid w:val="1CF10FD8"/>
    <w:multiLevelType w:val="hybridMultilevel"/>
    <w:lvl w:ilvl="0">
      <w:lvlJc w:val="left"/>
      <w:lvlText w:val="(%1)"/>
      <w:numFmt w:val="lowerLetter"/>
      <w:start w:val="1"/>
    </w:lvl>
  </w:abstractNum>
  <w:abstractNum w:abstractNumId="21">
    <w:nsid w:val="180115BE"/>
    <w:multiLevelType w:val="hybridMultilevel"/>
    <w:lvl w:ilvl="0">
      <w:lvlJc w:val="left"/>
      <w:lvlText w:val="(%1)"/>
      <w:numFmt w:val="lowerLetter"/>
      <w:start w:val="1"/>
    </w:lvl>
  </w:abstractNum>
  <w:abstractNum w:abstractNumId="22">
    <w:nsid w:val="235BA861"/>
    <w:multiLevelType w:val="hybridMultilevel"/>
    <w:lvl w:ilvl="0">
      <w:lvlJc w:val="left"/>
      <w:lvlText w:val="(%1)"/>
      <w:numFmt w:val="lowerLetter"/>
      <w:start w:val="1"/>
    </w:lvl>
  </w:abstractNum>
  <w:abstractNum w:abstractNumId="23">
    <w:nsid w:val="47398C89"/>
    <w:multiLevelType w:val="hybridMultilevel"/>
    <w:lvl w:ilvl="0">
      <w:lvlJc w:val="left"/>
      <w:lvlText w:val="(%1)"/>
      <w:numFmt w:val="decimal"/>
      <w:start w:val="9"/>
    </w:lvl>
  </w:abstractNum>
  <w:abstractNum w:abstractNumId="24">
    <w:nsid w:val="354FE9F9"/>
    <w:multiLevelType w:val="hybridMultilevel"/>
    <w:lvl w:ilvl="0">
      <w:lvlJc w:val="left"/>
      <w:lvlText w:val="(%1)"/>
      <w:numFmt w:val="lowerLetter"/>
      <w:start w:val="1"/>
    </w:lvl>
  </w:abstractNum>
  <w:abstractNum w:abstractNumId="25">
    <w:nsid w:val="15B5AF5C"/>
    <w:multiLevelType w:val="hybridMultilevel"/>
    <w:lvl w:ilvl="0">
      <w:lvlJc w:val="left"/>
      <w:lvlText w:val="(%1)"/>
      <w:numFmt w:val="lowerLetter"/>
      <w:start w:val="3"/>
    </w:lvl>
  </w:abstractNum>
  <w:abstractNum w:abstractNumId="26">
    <w:nsid w:val="741226BB"/>
    <w:multiLevelType w:val="hybridMultilevel"/>
    <w:lvl w:ilvl="0">
      <w:lvlJc w:val="left"/>
      <w:lvlText w:val="(%1)"/>
      <w:numFmt w:val="lowerLetter"/>
      <w:start w:val="8"/>
    </w:lvl>
  </w:abstractNum>
  <w:abstractNum w:abstractNumId="27">
    <w:nsid w:val="D34B6A8"/>
    <w:multiLevelType w:val="hybridMultilevel"/>
    <w:lvl w:ilvl="0">
      <w:lvlJc w:val="left"/>
      <w:lvlText w:val="(%1)"/>
      <w:numFmt w:val="lowerLetter"/>
      <w:start w:val="1"/>
    </w:lvl>
  </w:abstractNum>
  <w:abstractNum w:abstractNumId="28">
    <w:nsid w:val="10233C99"/>
    <w:multiLevelType w:val="hybridMultilevel"/>
    <w:lvl w:ilvl="0">
      <w:lvlJc w:val="left"/>
      <w:lvlText w:val="(%1)"/>
      <w:numFmt w:val="decimal"/>
      <w:start w:val="1"/>
    </w:lvl>
  </w:abstractNum>
  <w:abstractNum w:abstractNumId="29">
    <w:nsid w:val="3F6AB60F"/>
    <w:multiLevelType w:val="hybridMultilevel"/>
    <w:lvl w:ilvl="0">
      <w:lvlJc w:val="left"/>
      <w:lvlText w:val="(%1)"/>
      <w:numFmt w:val="decimal"/>
      <w:start w:val="10"/>
    </w:lvl>
  </w:abstractNum>
  <w:abstractNum w:abstractNumId="30">
    <w:nsid w:val="61574095"/>
    <w:multiLevelType w:val="hybridMultilevel"/>
    <w:lvl w:ilvl="0">
      <w:lvlJc w:val="left"/>
      <w:lvlText w:val="(%1)"/>
      <w:numFmt w:val="lowerLetter"/>
      <w:start w:val="1"/>
    </w:lvl>
  </w:abstractNum>
  <w:abstractNum w:abstractNumId="31">
    <w:nsid w:val="7E0C57B1"/>
    <w:multiLevelType w:val="hybridMultilevel"/>
    <w:lvl w:ilvl="0">
      <w:lvlJc w:val="left"/>
      <w:lvlText w:val="(%1)"/>
      <w:numFmt w:val="lowerLetter"/>
      <w:start w:val="2"/>
    </w:lvl>
  </w:abstractNum>
  <w:abstractNum w:abstractNumId="32">
    <w:nsid w:val="77AE35EB"/>
    <w:multiLevelType w:val="hybridMultilevel"/>
    <w:lvl w:ilvl="0">
      <w:lvlJc w:val="left"/>
      <w:lvlText w:val="(%1)"/>
      <w:numFmt w:val="lowerLetter"/>
      <w:start w:val="1"/>
    </w:lvl>
  </w:abstractNum>
  <w:abstractNum w:abstractNumId="33">
    <w:nsid w:val="579BE4F1"/>
    <w:multiLevelType w:val="hybridMultilevel"/>
    <w:lvl w:ilvl="0">
      <w:lvlJc w:val="left"/>
      <w:lvlText w:val="(%1)"/>
      <w:numFmt w:val="lowerLetter"/>
      <w:start w:val="1"/>
    </w:lvl>
  </w:abstractNum>
  <w:abstractNum w:abstractNumId="34">
    <w:nsid w:val="310C50B3"/>
    <w:multiLevelType w:val="hybridMultilevel"/>
    <w:lvl w:ilvl="0">
      <w:lvlJc w:val="left"/>
      <w:lvlText w:val="(%1)"/>
      <w:numFmt w:val="decimal"/>
      <w:start w:val="11"/>
    </w:lvl>
  </w:abstractNum>
  <w:abstractNum w:abstractNumId="35">
    <w:nsid w:val="5FF87E05"/>
    <w:multiLevelType w:val="hybridMultilevel"/>
    <w:lvl w:ilvl="0">
      <w:lvlJc w:val="left"/>
      <w:lvlText w:val="(%1)"/>
      <w:numFmt w:val="decimal"/>
      <w:start w:val="12"/>
    </w:lvl>
  </w:abstractNum>
  <w:abstractNum w:abstractNumId="36">
    <w:nsid w:val="2F305DEF"/>
    <w:multiLevelType w:val="hybridMultilevel"/>
    <w:lvl w:ilvl="0">
      <w:lvlJc w:val="left"/>
      <w:lvlText w:val="(%1)"/>
      <w:numFmt w:val="decimal"/>
      <w:start w:val="13"/>
    </w:lvl>
  </w:abstractNum>
  <w:abstractNum w:abstractNumId="37">
    <w:nsid w:val="25A70BF7"/>
    <w:multiLevelType w:val="hybridMultilevel"/>
    <w:lvl w:ilvl="0">
      <w:lvlJc w:val="left"/>
      <w:lvlText w:val="(%1)"/>
      <w:numFmt w:val="lowerLetter"/>
      <w:start w:val="1"/>
    </w:lvl>
  </w:abstractNum>
  <w:abstractNum w:abstractNumId="38">
    <w:nsid w:val="1DBABF00"/>
    <w:multiLevelType w:val="hybridMultilevel"/>
    <w:lvl w:ilvl="0">
      <w:lvlJc w:val="left"/>
      <w:lvlText w:val="(%1)"/>
      <w:numFmt w:val="lowerLetter"/>
      <w:start w:val="1"/>
    </w:lvl>
  </w:abstractNum>
  <w:abstractNum w:abstractNumId="39">
    <w:nsid w:val="4AD084E9"/>
    <w:multiLevelType w:val="hybridMultilevel"/>
    <w:lvl w:ilvl="0">
      <w:lvlJc w:val="left"/>
      <w:lvlText w:val="(%1)"/>
      <w:numFmt w:val="lowerLetter"/>
      <w:start w:val="1"/>
    </w:lvl>
  </w:abstractNum>
  <w:abstractNum w:abstractNumId="40">
    <w:nsid w:val="1F48EAA1"/>
    <w:multiLevelType w:val="hybridMultilevel"/>
    <w:lvl w:ilvl="0">
      <w:lvlJc w:val="left"/>
      <w:lvlText w:val="(%1)"/>
      <w:numFmt w:val="decimal"/>
      <w:start w:val="14"/>
    </w:lvl>
  </w:abstractNum>
  <w:abstractNum w:abstractNumId="41">
    <w:nsid w:val="1381823A"/>
    <w:multiLevelType w:val="hybridMultilevel"/>
    <w:lvl w:ilvl="0">
      <w:lvlJc w:val="left"/>
      <w:lvlText w:val="(%1)"/>
      <w:numFmt w:val="lowerLetter"/>
      <w:start w:val="1"/>
    </w:lvl>
  </w:abstractNum>
  <w:abstractNum w:abstractNumId="42">
    <w:nsid w:val="5DB70AE5"/>
    <w:multiLevelType w:val="hybridMultilevel"/>
    <w:lvl w:ilvl="0">
      <w:lvlJc w:val="left"/>
      <w:lvlText w:val="(%1)"/>
      <w:numFmt w:val="decimal"/>
      <w:start w:val="15"/>
    </w:lvl>
  </w:abstractNum>
  <w:abstractNum w:abstractNumId="43">
    <w:nsid w:val="100F8FCA"/>
    <w:multiLevelType w:val="hybridMultilevel"/>
    <w:lvl w:ilvl="0">
      <w:lvlJc w:val="left"/>
      <w:lvlText w:val="(%1)"/>
      <w:numFmt w:val="decimal"/>
      <w:start w:val="16"/>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Letter"/>
      <w:start w:val="3"/>
    </w:lvl>
  </w:abstractNum>
  <w:abstractNum w:abstractNumId="49">
    <w:nsid w:val="6B94764"/>
    <w:multiLevelType w:val="hybridMultilevel"/>
    <w:lvl w:ilvl="0">
      <w:lvlJc w:val="left"/>
      <w:lvlText w:val="(%1)"/>
      <w:numFmt w:val="lowerLetter"/>
      <w:start w:val="1"/>
    </w:lvl>
  </w:abstractNum>
  <w:abstractNum w:abstractNumId="50">
    <w:nsid w:val="42C296BD"/>
    <w:multiLevelType w:val="hybridMultilevel"/>
    <w:lvl w:ilvl="0">
      <w:lvlJc w:val="left"/>
      <w:lvlText w:val="(%1)"/>
      <w:numFmt w:val="lowerLetter"/>
      <w:start w:val="1"/>
    </w:lvl>
  </w:abstractNum>
  <w:abstractNum w:abstractNumId="51">
    <w:nsid w:val="168E121F"/>
    <w:multiLevelType w:val="hybridMultilevel"/>
    <w:lvl w:ilvl="0">
      <w:lvlJc w:val="left"/>
      <w:lvlText w:val="(%1)"/>
      <w:numFmt w:val="lowerLetter"/>
      <w:start w:val="1"/>
    </w:lvl>
  </w:abstractNum>
  <w:abstractNum w:abstractNumId="52">
    <w:nsid w:val="1EBA5D23"/>
    <w:multiLevelType w:val="hybridMultilevel"/>
    <w:lvl w:ilvl="0">
      <w:lvlJc w:val="left"/>
      <w:lvlText w:val="(%1)"/>
      <w:numFmt w:val="lowerLetter"/>
      <w:start w:val="1"/>
    </w:lvl>
  </w:abstractNum>
  <w:abstractNum w:abstractNumId="53">
    <w:nsid w:val="661E3F1E"/>
    <w:multiLevelType w:val="hybridMultilevel"/>
    <w:lvl w:ilvl="0">
      <w:lvlJc w:val="left"/>
      <w:lvlText w:val="(%1)"/>
      <w:numFmt w:val="lowerLetter"/>
      <w:start w:val="1"/>
    </w:lvl>
  </w:abstractNum>
  <w:abstractNum w:abstractNumId="54">
    <w:nsid w:val="5DC79EA8"/>
    <w:multiLevelType w:val="hybridMultilevel"/>
    <w:lvl w:ilvl="0">
      <w:lvlJc w:val="left"/>
      <w:lvlText w:val="(%1)"/>
      <w:numFmt w:val="lowerLetter"/>
      <w:start w:val="5"/>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Letter"/>
      <w:start w:val="1"/>
    </w:lvl>
  </w:abstractNum>
  <w:abstractNum w:abstractNumId="61">
    <w:nsid w:val="42963E5A"/>
    <w:multiLevelType w:val="hybridMultilevel"/>
    <w:lvl w:ilvl="0">
      <w:lvlJc w:val="left"/>
      <w:lvlText w:val="(%1)"/>
      <w:numFmt w:val="lowerLetter"/>
      <w:start w:val="1"/>
    </w:lvl>
  </w:abstractNum>
  <w:abstractNum w:abstractNumId="62">
    <w:nsid w:val="A0382C5"/>
    <w:multiLevelType w:val="hybridMultilevel"/>
    <w:lvl w:ilvl="0">
      <w:lvlJc w:val="left"/>
      <w:lvlText w:val="(%1)"/>
      <w:numFmt w:val="lowerLetter"/>
      <w:start w:val="1"/>
    </w:lvl>
  </w:abstractNum>
  <w:abstractNum w:abstractNumId="63">
    <w:nsid w:val="8F2B15E"/>
    <w:multiLevelType w:val="hybridMultilevel"/>
    <w:lvl w:ilvl="0">
      <w:lvlJc w:val="left"/>
      <w:lvlText w:val="(%1)"/>
      <w:numFmt w:val="lowerLetter"/>
      <w:start w:val="1"/>
    </w:lvl>
  </w:abstractNum>
  <w:abstractNum w:abstractNumId="64">
    <w:nsid w:val="1A32234B"/>
    <w:multiLevelType w:val="hybridMultilevel"/>
    <w:lvl w:ilvl="0">
      <w:lvlJc w:val="left"/>
      <w:lvlText w:val="(%1)"/>
      <w:numFmt w:val="lowerLetter"/>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lowerLetter"/>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1)"/>
      <w:numFmt w:val="lowerLetter"/>
      <w:start w:val="1"/>
    </w:lvl>
  </w:abstractNum>
  <w:abstractNum w:abstractNumId="70">
    <w:nsid w:val="14330624"/>
    <w:multiLevelType w:val="hybridMultilevel"/>
    <w:lvl w:ilvl="0">
      <w:lvlJc w:val="left"/>
      <w:lvlText w:val="(%1)"/>
      <w:numFmt w:val="lowerLetter"/>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1)"/>
      <w:numFmt w:val="lowerLetter"/>
      <w:start w:val="1"/>
    </w:lvl>
  </w:abstractNum>
  <w:abstractNum w:abstractNumId="73">
    <w:nsid w:val="71EA1109"/>
    <w:multiLevelType w:val="hybridMultilevel"/>
    <w:lvl w:ilvl="0">
      <w:lvlJc w:val="left"/>
      <w:lvlText w:val="(%1)"/>
      <w:numFmt w:val="lowerRoman"/>
      <w:start w:val="2"/>
    </w:lvl>
  </w:abstractNum>
  <w:abstractNum w:abstractNumId="74">
    <w:nsid w:val="100F59DC"/>
    <w:multiLevelType w:val="hybridMultilevel"/>
    <w:lvl w:ilvl="0">
      <w:lvlJc w:val="left"/>
      <w:lvlText w:val="(%1)"/>
      <w:numFmt w:val="lowerLetter"/>
      <w:start w:val="1"/>
    </w:lvl>
  </w:abstractNum>
  <w:abstractNum w:abstractNumId="75">
    <w:nsid w:val="7FB7E0AA"/>
    <w:multiLevelType w:val="hybridMultilevel"/>
    <w:lvl w:ilvl="0">
      <w:lvlJc w:val="left"/>
      <w:lvlText w:val="%1."/>
      <w:numFmt w:val="decimal"/>
      <w:start w:val="3"/>
    </w:lvl>
  </w:abstractNum>
  <w:abstractNum w:abstractNumId="76">
    <w:nsid w:val="6EB5BD4"/>
    <w:multiLevelType w:val="hybridMultilevel"/>
    <w:lvl w:ilvl="0">
      <w:lvlJc w:val="left"/>
      <w:lvlText w:val="(%1)"/>
      <w:numFmt w:val="lowerLetter"/>
      <w:start w:val="1"/>
    </w:lvl>
  </w:abstractNum>
  <w:abstractNum w:abstractNumId="77">
    <w:nsid w:val="6F6DD9AC"/>
    <w:multiLevelType w:val="hybridMultilevel"/>
    <w:lvl w:ilvl="0">
      <w:lvlJc w:val="left"/>
      <w:lvlText w:val="(%1)"/>
      <w:numFmt w:val="lowerLetter"/>
      <w:start w:val="1"/>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lowerLetter"/>
      <w:start w:val="2"/>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1"/>
    </w:lvl>
  </w:abstractNum>
  <w:abstractNum w:abstractNumId="83">
    <w:nsid w:val="14E17E33"/>
    <w:multiLevelType w:val="hybridMultilevel"/>
    <w:lvl w:ilvl="0">
      <w:lvlJc w:val="left"/>
      <w:lvlText w:val="(%1)"/>
      <w:numFmt w:val="lowerRoman"/>
      <w:start w:val="1"/>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decimal"/>
      <w:start w:val="104"/>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03" Type="http://schemas.openxmlformats.org/officeDocument/2006/relationships/hyperlink" Target="https://www.sec.gov/Archives/edgar/data/1570585/000157058526000125/ex101-shareholders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2026-11-03T07:29:07Z</dcterms:created>
  <dcterms:modified xsi:type="dcterms:W3CDTF">2026-11-03T07:29:07Z</dcterms:modified>
</cp:coreProperties>
</file>