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274320</wp:posOffset>
            </wp:positionH>
            <wp:positionV relativeFrom="page">
              <wp:posOffset>694690</wp:posOffset>
            </wp:positionV>
            <wp:extent cx="7000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0240" cy="8255"/>
                    </a:xfrm>
                    <a:prstGeom prst="rect">
                      <a:avLst/>
                    </a:prstGeom>
                    <a:noFill/>
                  </pic:spPr>
                </pic:pic>
              </a:graphicData>
            </a:graphic>
          </wp:anchor>
        </w:drawing>
        <w:drawing>
          <wp:anchor simplePos="0" relativeHeight="251657728" behindDoc="1" locked="0" layoutInCell="0" allowOverlap="1">
            <wp:simplePos x="0" y="0"/>
            <wp:positionH relativeFrom="page">
              <wp:posOffset>274320</wp:posOffset>
            </wp:positionH>
            <wp:positionV relativeFrom="page">
              <wp:posOffset>652780</wp:posOffset>
            </wp:positionV>
            <wp:extent cx="70002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0240" cy="17145"/>
                    </a:xfrm>
                    <a:prstGeom prst="rect">
                      <a:avLst/>
                    </a:prstGeom>
                    <a:noFill/>
                  </pic:spPr>
                </pic:pic>
              </a:graphicData>
            </a:graphic>
          </wp:anchor>
        </w:drawing>
        <w:t>UNITED STATES 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130" w:lineRule="exact"/>
        <w:rPr>
          <w:sz w:val="24"/>
          <w:szCs w:val="24"/>
          <w:color w:val="auto"/>
        </w:rPr>
      </w:pPr>
    </w:p>
    <w:p>
      <w:pPr>
        <w:ind w:left="880" w:hanging="856"/>
        <w:spacing w:after="0"/>
        <w:tabs>
          <w:tab w:leader="none" w:pos="880" w:val="left"/>
        </w:tabs>
        <w:numPr>
          <w:ilvl w:val="0"/>
          <w:numId w:val="1"/>
        </w:numPr>
        <w:rPr>
          <w:rFonts w:ascii="MS PGothic" w:cs="MS PGothic" w:eastAsia="MS PGothic" w:hAnsi="MS PGothic"/>
          <w:sz w:val="25"/>
          <w:szCs w:val="25"/>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0"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97" w:lineRule="exact"/>
        <w:rPr>
          <w:sz w:val="24"/>
          <w:szCs w:val="24"/>
          <w:color w:val="auto"/>
        </w:rPr>
      </w:pPr>
    </w:p>
    <w:p>
      <w:pPr>
        <w:ind w:left="880" w:hanging="856"/>
        <w:spacing w:after="0"/>
        <w:tabs>
          <w:tab w:leader="none" w:pos="880" w:val="left"/>
        </w:tabs>
        <w:numPr>
          <w:ilvl w:val="0"/>
          <w:numId w:val="2"/>
        </w:numPr>
        <w:rPr>
          <w:rFonts w:ascii="MS PGothic" w:cs="MS PGothic" w:eastAsia="MS PGothic" w:hAnsi="MS PGothic"/>
          <w:sz w:val="25"/>
          <w:szCs w:val="25"/>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40" w:lineRule="exact"/>
        <w:rPr>
          <w:sz w:val="24"/>
          <w:szCs w:val="24"/>
          <w:color w:val="auto"/>
        </w:rPr>
      </w:pPr>
    </w:p>
    <w:p>
      <w:pPr>
        <w:ind w:left="880"/>
        <w:spacing w:after="0"/>
        <w:tabs>
          <w:tab w:leader="none" w:pos="37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3234690</wp:posOffset>
            </wp:positionH>
            <wp:positionV relativeFrom="paragraph">
              <wp:posOffset>18415</wp:posOffset>
            </wp:positionV>
            <wp:extent cx="681355" cy="681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355" cy="681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Liberty Global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1225" w:right="339" w:bottom="1440" w:gutter="0" w:footer="0" w:header="0"/>
        </w:sectPr>
      </w:pPr>
    </w:p>
    <w:p>
      <w:pPr>
        <w:spacing w:after="0" w:line="140" w:lineRule="exact"/>
        <w:rPr>
          <w:sz w:val="24"/>
          <w:szCs w:val="24"/>
          <w:color w:val="auto"/>
        </w:rPr>
      </w:pPr>
    </w:p>
    <w:p>
      <w:pPr>
        <w:ind w:left="3260"/>
        <w:spacing w:after="0"/>
        <w:rPr>
          <w:sz w:val="20"/>
          <w:szCs w:val="20"/>
          <w:color w:val="auto"/>
        </w:rPr>
      </w:pPr>
      <w:r>
        <w:rPr>
          <w:rFonts w:ascii="Arial" w:cs="Arial" w:eastAsia="Arial" w:hAnsi="Arial"/>
          <w:sz w:val="12"/>
          <w:szCs w:val="12"/>
          <w:b w:val="1"/>
          <w:bCs w:val="1"/>
          <w:color w:val="auto"/>
        </w:rPr>
        <w:t>England and Wales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62" w:lineRule="exact"/>
        <w:rPr>
          <w:sz w:val="24"/>
          <w:szCs w:val="24"/>
          <w:color w:val="auto"/>
        </w:rPr>
      </w:pPr>
    </w:p>
    <w:p>
      <w:pPr>
        <w:sectPr>
          <w:pgSz w:w="11900" w:h="16838" w:orient="portrait"/>
          <w:cols w:equalWidth="0" w:num="2">
            <w:col w:w="6340" w:space="720"/>
            <w:col w:w="4180"/>
          </w:cols>
          <w:pgMar w:left="320" w:top="1225" w:right="339" w:bottom="1440" w:gutter="0" w:footer="0" w:header="0"/>
          <w:type w:val="continuous"/>
        </w:sectPr>
      </w:pPr>
    </w:p>
    <w:p>
      <w:pPr>
        <w:spacing w:after="0" w:line="3" w:lineRule="exact"/>
        <w:rPr>
          <w:sz w:val="24"/>
          <w:szCs w:val="24"/>
          <w:color w:val="auto"/>
        </w:rPr>
      </w:pPr>
    </w:p>
    <w:p>
      <w:pPr>
        <w:ind w:left="3020"/>
        <w:spacing w:after="0"/>
        <w:rPr>
          <w:sz w:val="20"/>
          <w:szCs w:val="20"/>
          <w:color w:val="auto"/>
        </w:rPr>
      </w:pPr>
      <w:r>
        <w:rPr>
          <w:rFonts w:ascii="Arial" w:cs="Arial" w:eastAsia="Arial" w:hAnsi="Arial"/>
          <w:sz w:val="13"/>
          <w:szCs w:val="13"/>
          <w:i w:val="1"/>
          <w:iCs w:val="1"/>
          <w:color w:val="auto"/>
        </w:rPr>
        <w:t>(State or other jurisdiction of</w:t>
      </w:r>
    </w:p>
    <w:p>
      <w:pPr>
        <w:spacing w:after="0" w:line="8" w:lineRule="exact"/>
        <w:rPr>
          <w:sz w:val="24"/>
          <w:szCs w:val="24"/>
          <w:color w:val="auto"/>
        </w:rPr>
      </w:pPr>
    </w:p>
    <w:p>
      <w:pPr>
        <w:ind w:left="298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340"/>
        <w:spacing w:after="0"/>
        <w:rPr>
          <w:sz w:val="20"/>
          <w:szCs w:val="20"/>
          <w:color w:val="auto"/>
        </w:rPr>
      </w:pPr>
      <w:r>
        <w:rPr>
          <w:rFonts w:ascii="Arial" w:cs="Arial" w:eastAsia="Arial" w:hAnsi="Arial"/>
          <w:sz w:val="14"/>
          <w:szCs w:val="14"/>
          <w:i w:val="1"/>
          <w:iCs w:val="1"/>
          <w:color w:val="auto"/>
        </w:rPr>
        <w:t>(I.R.S. Employer</w:t>
      </w:r>
    </w:p>
    <w:p>
      <w:pPr>
        <w:jc w:val="center"/>
        <w:ind w:right="3340"/>
        <w:spacing w:after="0"/>
        <w:rPr>
          <w:sz w:val="20"/>
          <w:szCs w:val="20"/>
          <w:color w:val="auto"/>
        </w:rPr>
      </w:pPr>
      <w:r>
        <w:rPr>
          <w:rFonts w:ascii="Arial" w:cs="Arial" w:eastAsia="Arial" w:hAnsi="Arial"/>
          <w:sz w:val="13"/>
          <w:szCs w:val="13"/>
          <w:i w:val="1"/>
          <w:iCs w:val="1"/>
          <w:color w:val="auto"/>
        </w:rPr>
        <w:t>Identification No.)</w:t>
      </w:r>
    </w:p>
    <w:p>
      <w:pPr>
        <w:spacing w:after="0" w:line="73" w:lineRule="exact"/>
        <w:rPr>
          <w:sz w:val="24"/>
          <w:szCs w:val="24"/>
          <w:color w:val="auto"/>
        </w:rPr>
      </w:pPr>
    </w:p>
    <w:p>
      <w:pPr>
        <w:sectPr>
          <w:pgSz w:w="11900" w:h="16838" w:orient="portrait"/>
          <w:cols w:equalWidth="0" w:num="2">
            <w:col w:w="6140" w:space="720"/>
            <w:col w:w="4380"/>
          </w:cols>
          <w:pgMar w:left="320" w:top="1225" w:right="339" w:bottom="1440" w:gutter="0" w:footer="0" w:header="0"/>
          <w:type w:val="continuous"/>
        </w:sectPr>
      </w:pPr>
    </w:p>
    <w:p>
      <w:pPr>
        <w:ind w:left="3440"/>
        <w:spacing w:after="0"/>
        <w:rPr>
          <w:sz w:val="20"/>
          <w:szCs w:val="20"/>
          <w:color w:val="auto"/>
        </w:rPr>
      </w:pPr>
      <w:r>
        <w:rPr>
          <w:rFonts w:ascii="Arial" w:cs="Arial" w:eastAsia="Arial" w:hAnsi="Arial"/>
          <w:sz w:val="12"/>
          <w:szCs w:val="12"/>
          <w:b w:val="1"/>
          <w:bCs w:val="1"/>
          <w:color w:val="auto"/>
        </w:rPr>
        <w:t>Griffin House</w:t>
      </w:r>
    </w:p>
    <w:p>
      <w:pPr>
        <w:spacing w:after="0" w:line="260"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London</w:t>
      </w:r>
    </w:p>
    <w:p>
      <w:pPr>
        <w:sectPr>
          <w:pgSz w:w="11900" w:h="16838" w:orient="portrait"/>
          <w:cols w:equalWidth="0" w:num="1">
            <w:col w:w="11240"/>
          </w:cols>
          <w:pgMar w:left="320" w:top="1225" w:right="339" w:bottom="1440" w:gutter="0" w:footer="0" w:header="0"/>
          <w:type w:val="continuous"/>
        </w:sectPr>
      </w:pPr>
    </w:p>
    <w:p>
      <w:pPr>
        <w:spacing w:after="0" w:line="38"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United Kingdom</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W6 8BS</w:t>
      </w:r>
    </w:p>
    <w:p>
      <w:pPr>
        <w:spacing w:after="0" w:line="53" w:lineRule="exact"/>
        <w:rPr>
          <w:sz w:val="24"/>
          <w:szCs w:val="24"/>
          <w:color w:val="auto"/>
        </w:rPr>
      </w:pPr>
    </w:p>
    <w:p>
      <w:pPr>
        <w:sectPr>
          <w:pgSz w:w="11900" w:h="16838" w:orient="portrait"/>
          <w:cols w:equalWidth="0" w:num="2">
            <w:col w:w="6420" w:space="720"/>
            <w:col w:w="4100"/>
          </w:cols>
          <w:pgMar w:left="320" w:top="1225" w:right="339" w:bottom="1440" w:gutter="0" w:footer="0" w:header="0"/>
          <w:type w:val="continuous"/>
        </w:sectPr>
      </w:pPr>
    </w:p>
    <w:p>
      <w:pPr>
        <w:ind w:left="274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200" w:lineRule="exact"/>
        <w:rPr>
          <w:sz w:val="24"/>
          <w:szCs w:val="24"/>
          <w:color w:val="auto"/>
        </w:rPr>
      </w:pPr>
    </w:p>
    <w:p>
      <w:pPr>
        <w:sectPr>
          <w:pgSz w:w="11900" w:h="16838" w:orient="portrait"/>
          <w:cols w:equalWidth="0" w:num="2">
            <w:col w:w="6360" w:space="720"/>
            <w:col w:w="4160"/>
          </w:cols>
          <w:pgMar w:left="320" w:top="1225" w:right="3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+44.208.483.6449 or 303.220.6600</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225" w:right="339" w:bottom="1440" w:gutter="0" w:footer="0" w:header="0"/>
          <w:type w:val="continuous"/>
        </w:sectPr>
      </w:pPr>
    </w:p>
    <w:p>
      <w:pPr>
        <w:spacing w:after="0" w:line="166"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8" w:lineRule="exact"/>
        <w:rPr>
          <w:sz w:val="24"/>
          <w:szCs w:val="24"/>
          <w:color w:val="auto"/>
        </w:rPr>
      </w:pPr>
    </w:p>
    <w:p>
      <w:pPr>
        <w:sectPr>
          <w:pgSz w:w="11900" w:h="16838" w:orient="portrait"/>
          <w:cols w:equalWidth="0" w:num="3">
            <w:col w:w="3900" w:space="720"/>
            <w:col w:w="1540" w:space="720"/>
            <w:col w:w="4360"/>
          </w:cols>
          <w:pgMar w:left="320" w:top="1225" w:right="339" w:bottom="1440" w:gutter="0" w:footer="0" w:header="0"/>
          <w:type w:val="continuous"/>
        </w:sectPr>
      </w:pPr>
    </w:p>
    <w:p>
      <w:pPr>
        <w:jc w:val="center"/>
        <w:ind w:left="76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50"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50"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spacing w:after="0" w:line="67" w:lineRule="exact"/>
        <w:rPr>
          <w:sz w:val="24"/>
          <w:szCs w:val="24"/>
          <w:color w:val="auto"/>
        </w:rPr>
      </w:pPr>
    </w:p>
    <w:p>
      <w:pPr>
        <w:ind w:right="160"/>
        <w:spacing w:after="0" w:line="29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2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ind w:right="600"/>
        <w:spacing w:after="0" w:line="20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20"/>
        <w:spacing w:after="0" w:line="33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3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80" w:lineRule="exact"/>
        <w:rPr>
          <w:sz w:val="24"/>
          <w:szCs w:val="24"/>
          <w:color w:val="auto"/>
        </w:rPr>
      </w:pPr>
    </w:p>
    <w:p>
      <w:pPr>
        <w:ind w:left="3560"/>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9"/>
          <w:szCs w:val="19"/>
          <w:color w:val="auto"/>
        </w:rPr>
        <w:t>☐</w:t>
      </w:r>
    </w:p>
    <w:p>
      <w:pPr>
        <w:spacing w:after="0" w:line="144" w:lineRule="exact"/>
        <w:rPr>
          <w:sz w:val="24"/>
          <w:szCs w:val="24"/>
          <w:color w:val="auto"/>
        </w:rPr>
      </w:pPr>
    </w:p>
    <w:p>
      <w:pPr>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line="267" w:lineRule="auto"/>
        <w:rPr>
          <w:sz w:val="20"/>
          <w:szCs w:val="20"/>
          <w:color w:val="auto"/>
        </w:rPr>
      </w:pPr>
      <w:r>
        <w:rPr>
          <w:rFonts w:ascii="Arial" w:cs="Arial" w:eastAsia="Arial" w:hAnsi="Arial"/>
          <w:sz w:val="16"/>
          <w:szCs w:val="16"/>
          <w:color w:val="auto"/>
        </w:rPr>
        <w:t>The number of outstanding ordinary shares of Liberty Global plc as of October 21, 2022 was: 171,902,167 class A ordinary shares, 12,994,000 class B ordinary shares and 274,856,685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768350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91440</wp:posOffset>
            </wp:positionV>
            <wp:extent cx="700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1714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66040</wp:posOffset>
            </wp:positionV>
            <wp:extent cx="700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type w:val="continuous"/>
        </w:sectPr>
      </w:pPr>
    </w:p>
    <w:bookmarkStart w:id="1" w:name="page2"/>
    <w:bookmarkEnd w:id="1"/>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6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080" w:type="dxa"/>
            <w:vAlign w:val="bottom"/>
          </w:tcPr>
          <w:p>
            <w:pPr>
              <w:ind w:left="20"/>
              <w:spacing w:after="0"/>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80" w:type="dxa"/>
            <w:vAlign w:val="bottom"/>
          </w:tcPr>
          <w:p>
            <w:pPr>
              <w:spacing w:after="0"/>
              <w:rPr>
                <w:sz w:val="16"/>
                <w:szCs w:val="16"/>
                <w:color w:val="auto"/>
              </w:rPr>
            </w:pPr>
          </w:p>
        </w:tc>
        <w:tc>
          <w:tcPr>
            <w:tcW w:w="9400" w:type="dxa"/>
            <w:vAlign w:val="bottom"/>
            <w:gridSpan w:val="14"/>
          </w:tcPr>
          <w:p>
            <w:pPr>
              <w:spacing w:after="0" w:line="187" w:lineRule="exact"/>
              <w:rPr>
                <w:sz w:val="20"/>
                <w:szCs w:val="20"/>
                <w:color w:val="auto"/>
              </w:rPr>
            </w:pPr>
            <w:r>
              <w:rPr>
                <w:rFonts w:ascii="Arial" w:cs="Arial" w:eastAsia="Arial" w:hAnsi="Arial"/>
                <w:sz w:val="18"/>
                <w:szCs w:val="18"/>
                <w:color w:val="0000FF"/>
              </w:rPr>
              <w:t>Condensed Consolidated Balance Sheets as of September 30, 2022 and December 31, 2021 (unaudited)</w:t>
            </w:r>
          </w:p>
        </w:tc>
        <w:tc>
          <w:tcPr>
            <w:tcW w:w="420" w:type="dxa"/>
            <w:vAlign w:val="bottom"/>
            <w:gridSpan w:val="2"/>
          </w:tcPr>
          <w:p>
            <w:pPr>
              <w:jc w:val="center"/>
              <w:ind w:left="255"/>
              <w:spacing w:after="0" w:line="187" w:lineRule="exact"/>
              <w:rPr>
                <w:sz w:val="20"/>
                <w:szCs w:val="20"/>
                <w:color w:val="auto"/>
              </w:rPr>
            </w:pPr>
            <w:r>
              <w:rPr>
                <w:rFonts w:ascii="Arial" w:cs="Arial" w:eastAsia="Arial" w:hAnsi="Arial"/>
                <w:sz w:val="18"/>
                <w:szCs w:val="18"/>
                <w:color w:val="0000FF"/>
                <w:w w:val="79"/>
              </w:rPr>
              <w:t>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4"/>
          </w:tcPr>
          <w:p>
            <w:pPr>
              <w:spacing w:after="0" w:line="205" w:lineRule="exact"/>
              <w:rPr>
                <w:sz w:val="20"/>
                <w:szCs w:val="20"/>
                <w:color w:val="auto"/>
              </w:rPr>
            </w:pPr>
            <w:r>
              <w:rPr>
                <w:rFonts w:ascii="Arial" w:cs="Arial" w:eastAsia="Arial" w:hAnsi="Arial"/>
                <w:sz w:val="18"/>
                <w:szCs w:val="18"/>
                <w:color w:val="0000FF"/>
                <w:w w:val="88"/>
              </w:rPr>
              <w:t>Condensed Consolidated Statements of Operations for the Three and Nine Months Ended September 30, 2022 and 2021 (unaudited)</w:t>
            </w:r>
          </w:p>
        </w:tc>
        <w:tc>
          <w:tcPr>
            <w:tcW w:w="420" w:type="dxa"/>
            <w:vAlign w:val="bottom"/>
            <w:gridSpan w:val="2"/>
          </w:tcPr>
          <w:p>
            <w:pPr>
              <w:jc w:val="center"/>
              <w:ind w:left="255"/>
              <w:spacing w:after="0" w:line="205" w:lineRule="exact"/>
              <w:rPr>
                <w:sz w:val="20"/>
                <w:szCs w:val="20"/>
                <w:color w:val="auto"/>
              </w:rPr>
            </w:pPr>
            <w:r>
              <w:rPr>
                <w:rFonts w:ascii="Arial" w:cs="Arial" w:eastAsia="Arial" w:hAnsi="Arial"/>
                <w:sz w:val="18"/>
                <w:szCs w:val="18"/>
                <w:color w:val="0000FF"/>
                <w:w w:val="79"/>
              </w:rPr>
              <w:t>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320" w:type="dxa"/>
            <w:vAlign w:val="bottom"/>
            <w:gridSpan w:val="13"/>
          </w:tcPr>
          <w:p>
            <w:pPr>
              <w:spacing w:after="0" w:line="205" w:lineRule="exact"/>
              <w:rPr>
                <w:sz w:val="20"/>
                <w:szCs w:val="20"/>
                <w:color w:val="auto"/>
              </w:rPr>
            </w:pPr>
            <w:r>
              <w:rPr>
                <w:rFonts w:ascii="Arial" w:cs="Arial" w:eastAsia="Arial" w:hAnsi="Arial"/>
                <w:sz w:val="18"/>
                <w:szCs w:val="18"/>
                <w:color w:val="0000FF"/>
                <w:w w:val="87"/>
              </w:rPr>
              <w:t>Condensed Consolidated Statements of Comprehensive Earnings (Loss) for the Three and Nine Months Ended September 30, 2022</w:t>
            </w:r>
          </w:p>
        </w:tc>
        <w:tc>
          <w:tcPr>
            <w:tcW w:w="80" w:type="dxa"/>
            <w:vAlign w:val="bottom"/>
          </w:tcPr>
          <w:p>
            <w:pPr>
              <w:spacing w:after="0"/>
              <w:rPr>
                <w:sz w:val="17"/>
                <w:szCs w:val="17"/>
                <w:color w:val="auto"/>
              </w:rPr>
            </w:pPr>
          </w:p>
        </w:tc>
        <w:tc>
          <w:tcPr>
            <w:tcW w:w="420" w:type="dxa"/>
            <w:vAlign w:val="bottom"/>
            <w:gridSpan w:val="2"/>
            <w:vMerge w:val="restart"/>
          </w:tcPr>
          <w:p>
            <w:pPr>
              <w:jc w:val="center"/>
              <w:ind w:left="255"/>
              <w:spacing w:after="0"/>
              <w:rPr>
                <w:sz w:val="20"/>
                <w:szCs w:val="20"/>
                <w:color w:val="auto"/>
              </w:rPr>
            </w:pPr>
            <w:r>
              <w:rPr>
                <w:rFonts w:ascii="Arial" w:cs="Arial" w:eastAsia="Arial" w:hAnsi="Arial"/>
                <w:sz w:val="18"/>
                <w:szCs w:val="18"/>
                <w:color w:val="0000FF"/>
                <w:w w:val="79"/>
              </w:rPr>
              <w:t>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180" w:type="dxa"/>
            <w:vAlign w:val="bottom"/>
            <w:tcBorders>
              <w:top w:val="single" w:sz="8" w:color="0000FF"/>
            </w:tcBorders>
            <w:gridSpan w:val="12"/>
          </w:tcPr>
          <w:p>
            <w:pPr>
              <w:spacing w:after="0" w:line="139" w:lineRule="exact"/>
              <w:rPr>
                <w:sz w:val="20"/>
                <w:szCs w:val="20"/>
                <w:color w:val="auto"/>
              </w:rPr>
            </w:pPr>
            <w:r>
              <w:rPr>
                <w:rFonts w:ascii="Arial" w:cs="Arial" w:eastAsia="Arial" w:hAnsi="Arial"/>
                <w:sz w:val="15"/>
                <w:szCs w:val="15"/>
                <w:color w:val="0000FF"/>
              </w:rPr>
              <w:t>and 2021 (unaudited)</w:t>
            </w:r>
          </w:p>
        </w:tc>
        <w:tc>
          <w:tcPr>
            <w:tcW w:w="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20" w:type="dxa"/>
            <w:vAlign w:val="bottom"/>
            <w:gridSpan w:val="2"/>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080" w:type="dxa"/>
            <w:vAlign w:val="bottom"/>
          </w:tcPr>
          <w:p>
            <w:pPr>
              <w:spacing w:after="0"/>
              <w:rPr>
                <w:sz w:val="18"/>
                <w:szCs w:val="18"/>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0000FF"/>
                <w:w w:val="91"/>
              </w:rPr>
              <w:t>Condensed Consolidated Statements of Equity for the Three and Nine Months Ended September 30, 2022 and 2021 (unaudited)</w:t>
            </w:r>
          </w:p>
        </w:tc>
        <w:tc>
          <w:tcPr>
            <w:tcW w:w="420" w:type="dxa"/>
            <w:vAlign w:val="bottom"/>
            <w:gridSpan w:val="2"/>
          </w:tcPr>
          <w:p>
            <w:pPr>
              <w:jc w:val="center"/>
              <w:ind w:left="255"/>
              <w:spacing w:after="0"/>
              <w:rPr>
                <w:sz w:val="20"/>
                <w:szCs w:val="20"/>
                <w:color w:val="auto"/>
              </w:rPr>
            </w:pPr>
            <w:r>
              <w:rPr>
                <w:rFonts w:ascii="Arial" w:cs="Arial" w:eastAsia="Arial" w:hAnsi="Arial"/>
                <w:sz w:val="18"/>
                <w:szCs w:val="18"/>
                <w:color w:val="0000FF"/>
                <w:w w:val="79"/>
              </w:rPr>
              <w:t>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020" w:type="dxa"/>
            <w:vAlign w:val="bottom"/>
            <w:gridSpan w:val="12"/>
          </w:tcPr>
          <w:p>
            <w:pPr>
              <w:spacing w:after="0" w:line="205" w:lineRule="exact"/>
              <w:rPr>
                <w:sz w:val="20"/>
                <w:szCs w:val="20"/>
                <w:color w:val="auto"/>
              </w:rPr>
            </w:pPr>
            <w:r>
              <w:rPr>
                <w:rFonts w:ascii="Arial" w:cs="Arial" w:eastAsia="Arial" w:hAnsi="Arial"/>
                <w:sz w:val="18"/>
                <w:szCs w:val="18"/>
                <w:color w:val="0000FF"/>
                <w:w w:val="91"/>
              </w:rPr>
              <w:t>Condensed Consolidated Statements of Cash Flows for the Nine Months Ended September 30, 2022 and 2021 (unaudited)</w:t>
            </w:r>
          </w:p>
        </w:tc>
        <w:tc>
          <w:tcPr>
            <w:tcW w:w="380" w:type="dxa"/>
            <w:vAlign w:val="bottom"/>
            <w:gridSpan w:val="2"/>
          </w:tcPr>
          <w:p>
            <w:pPr>
              <w:spacing w:after="0"/>
              <w:rPr>
                <w:sz w:val="17"/>
                <w:szCs w:val="17"/>
                <w:color w:val="auto"/>
              </w:rPr>
            </w:pPr>
          </w:p>
        </w:tc>
        <w:tc>
          <w:tcPr>
            <w:tcW w:w="420" w:type="dxa"/>
            <w:vAlign w:val="bottom"/>
            <w:gridSpan w:val="2"/>
          </w:tcPr>
          <w:p>
            <w:pPr>
              <w:jc w:val="center"/>
              <w:ind w:left="255"/>
              <w:spacing w:after="0" w:line="205" w:lineRule="exact"/>
              <w:rPr>
                <w:sz w:val="20"/>
                <w:szCs w:val="20"/>
                <w:color w:val="auto"/>
              </w:rPr>
            </w:pPr>
            <w:r>
              <w:rPr>
                <w:rFonts w:ascii="Arial" w:cs="Arial" w:eastAsia="Arial" w:hAnsi="Arial"/>
                <w:sz w:val="18"/>
                <w:szCs w:val="18"/>
                <w:color w:val="0000FF"/>
                <w:w w:val="79"/>
              </w:rPr>
              <w:t>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8620" w:type="dxa"/>
            <w:vAlign w:val="bottom"/>
            <w:gridSpan w:val="10"/>
          </w:tcPr>
          <w:p>
            <w:pPr>
              <w:spacing w:after="0" w:line="205" w:lineRule="exact"/>
              <w:rPr>
                <w:sz w:val="20"/>
                <w:szCs w:val="20"/>
                <w:color w:val="auto"/>
              </w:rPr>
            </w:pPr>
            <w:r>
              <w:rPr>
                <w:rFonts w:ascii="Arial" w:cs="Arial" w:eastAsia="Arial" w:hAnsi="Arial"/>
                <w:sz w:val="18"/>
                <w:szCs w:val="18"/>
                <w:color w:val="0000FF"/>
              </w:rPr>
              <w:t>Notes to Condensed Consolidated Financial Statements (unaudited)</w:t>
            </w:r>
          </w:p>
        </w:tc>
        <w:tc>
          <w:tcPr>
            <w:tcW w:w="780" w:type="dxa"/>
            <w:vAlign w:val="bottom"/>
            <w:gridSpan w:val="4"/>
          </w:tcPr>
          <w:p>
            <w:pPr>
              <w:spacing w:after="0"/>
              <w:rPr>
                <w:sz w:val="17"/>
                <w:szCs w:val="17"/>
                <w:color w:val="auto"/>
              </w:rPr>
            </w:pPr>
          </w:p>
        </w:tc>
        <w:tc>
          <w:tcPr>
            <w:tcW w:w="420" w:type="dxa"/>
            <w:vAlign w:val="bottom"/>
            <w:gridSpan w:val="2"/>
          </w:tcPr>
          <w:p>
            <w:pPr>
              <w:jc w:val="center"/>
              <w:ind w:left="175"/>
              <w:spacing w:after="0" w:line="205" w:lineRule="exact"/>
              <w:rPr>
                <w:sz w:val="20"/>
                <w:szCs w:val="20"/>
                <w:color w:val="auto"/>
              </w:rPr>
            </w:pPr>
            <w:r>
              <w:rPr>
                <w:rFonts w:ascii="Arial" w:cs="Arial" w:eastAsia="Arial" w:hAnsi="Arial"/>
                <w:sz w:val="18"/>
                <w:szCs w:val="18"/>
                <w:color w:val="0000FF"/>
                <w:w w:val="79"/>
              </w:rPr>
              <w:t>11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2.</w:t>
            </w:r>
          </w:p>
        </w:tc>
        <w:tc>
          <w:tcPr>
            <w:tcW w:w="8740" w:type="dxa"/>
            <w:vAlign w:val="bottom"/>
            <w:gridSpan w:val="11"/>
          </w:tcPr>
          <w:p>
            <w:pPr>
              <w:spacing w:after="0" w:line="205" w:lineRule="exact"/>
              <w:rPr>
                <w:sz w:val="20"/>
                <w:szCs w:val="20"/>
                <w:color w:val="auto"/>
              </w:rPr>
            </w:pPr>
            <w:r>
              <w:rPr>
                <w:rFonts w:ascii="Arial" w:cs="Arial" w:eastAsia="Arial" w:hAnsi="Arial"/>
                <w:sz w:val="18"/>
                <w:szCs w:val="18"/>
                <w:color w:val="0000FF"/>
                <w:w w:val="95"/>
              </w:rPr>
              <w:t>MANAGEMENT’S DISCUSSION AND ANALYSIS OF FINANCIAL CONDITION AND RESULTS OF OPERATIONS</w:t>
            </w:r>
          </w:p>
        </w:tc>
        <w:tc>
          <w:tcPr>
            <w:tcW w:w="66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center"/>
              <w:ind w:right="300"/>
              <w:spacing w:after="0"/>
              <w:rPr>
                <w:sz w:val="20"/>
                <w:szCs w:val="20"/>
                <w:color w:val="auto"/>
              </w:rPr>
            </w:pPr>
            <w:r>
              <w:rPr>
                <w:rFonts w:ascii="Arial" w:cs="Arial" w:eastAsia="Arial" w:hAnsi="Arial"/>
                <w:sz w:val="15"/>
                <w:szCs w:val="15"/>
                <w:color w:val="0000FF"/>
                <w:w w:val="71"/>
              </w:rPr>
              <w:t>53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3.</w:t>
            </w:r>
          </w:p>
        </w:tc>
        <w:tc>
          <w:tcPr>
            <w:tcW w:w="6020" w:type="dxa"/>
            <w:vAlign w:val="bottom"/>
            <w:gridSpan w:val="8"/>
          </w:tcPr>
          <w:p>
            <w:pPr>
              <w:spacing w:after="0" w:line="205" w:lineRule="exact"/>
              <w:rPr>
                <w:sz w:val="20"/>
                <w:szCs w:val="20"/>
                <w:color w:val="auto"/>
              </w:rPr>
            </w:pPr>
            <w:r>
              <w:rPr>
                <w:rFonts w:ascii="Arial" w:cs="Arial" w:eastAsia="Arial" w:hAnsi="Arial"/>
                <w:sz w:val="18"/>
                <w:szCs w:val="18"/>
                <w:color w:val="0000FF"/>
                <w:w w:val="96"/>
              </w:rPr>
              <w:t>QUANTITATIVE AND QUALITATIVE DISCLOSURES ABOUT MARKET RISK</w:t>
            </w:r>
          </w:p>
        </w:tc>
        <w:tc>
          <w:tcPr>
            <w:tcW w:w="2720" w:type="dxa"/>
            <w:vAlign w:val="bottom"/>
            <w:gridSpan w:val="3"/>
          </w:tcPr>
          <w:p>
            <w:pPr>
              <w:spacing w:after="0"/>
              <w:rPr>
                <w:sz w:val="17"/>
                <w:szCs w:val="17"/>
                <w:color w:val="auto"/>
              </w:rPr>
            </w:pPr>
          </w:p>
        </w:tc>
        <w:tc>
          <w:tcPr>
            <w:tcW w:w="66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center"/>
              <w:ind w:right="300"/>
              <w:spacing w:after="0"/>
              <w:rPr>
                <w:sz w:val="20"/>
                <w:szCs w:val="20"/>
                <w:color w:val="auto"/>
              </w:rPr>
            </w:pPr>
            <w:r>
              <w:rPr>
                <w:rFonts w:ascii="Arial" w:cs="Arial" w:eastAsia="Arial" w:hAnsi="Arial"/>
                <w:sz w:val="15"/>
                <w:szCs w:val="15"/>
                <w:color w:val="0000FF"/>
                <w:w w:val="71"/>
              </w:rPr>
              <w:t>85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4.</w:t>
            </w:r>
          </w:p>
        </w:tc>
        <w:tc>
          <w:tcPr>
            <w:tcW w:w="6020" w:type="dxa"/>
            <w:vAlign w:val="bottom"/>
            <w:gridSpan w:val="8"/>
          </w:tcPr>
          <w:p>
            <w:pPr>
              <w:spacing w:after="0" w:line="205" w:lineRule="exact"/>
              <w:rPr>
                <w:sz w:val="20"/>
                <w:szCs w:val="20"/>
                <w:color w:val="auto"/>
              </w:rPr>
            </w:pPr>
            <w:r>
              <w:rPr>
                <w:rFonts w:ascii="Arial" w:cs="Arial" w:eastAsia="Arial" w:hAnsi="Arial"/>
                <w:sz w:val="18"/>
                <w:szCs w:val="18"/>
                <w:color w:val="0000FF"/>
              </w:rPr>
              <w:t>CONTROLS AND PROCEDURES</w:t>
            </w:r>
          </w:p>
        </w:tc>
        <w:tc>
          <w:tcPr>
            <w:tcW w:w="338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center"/>
              <w:ind w:right="300"/>
              <w:spacing w:after="0"/>
              <w:rPr>
                <w:sz w:val="20"/>
                <w:szCs w:val="20"/>
                <w:color w:val="auto"/>
              </w:rPr>
            </w:pPr>
            <w:r>
              <w:rPr>
                <w:rFonts w:ascii="Arial" w:cs="Arial" w:eastAsia="Arial" w:hAnsi="Arial"/>
                <w:sz w:val="15"/>
                <w:szCs w:val="15"/>
                <w:color w:val="0000FF"/>
                <w:w w:val="71"/>
              </w:rPr>
              <w:t>88</w:t>
            </w: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8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6860" w:type="dxa"/>
            <w:vAlign w:val="bottom"/>
            <w:gridSpan w:val="9"/>
          </w:tcPr>
          <w:p>
            <w:pPr>
              <w:jc w:val="center"/>
              <w:ind w:right="2580"/>
              <w:spacing w:after="0"/>
              <w:rPr>
                <w:sz w:val="20"/>
                <w:szCs w:val="20"/>
                <w:color w:val="auto"/>
              </w:rPr>
            </w:pPr>
            <w:r>
              <w:rPr>
                <w:rFonts w:ascii="Arial" w:cs="Arial" w:eastAsia="Arial" w:hAnsi="Arial"/>
                <w:sz w:val="18"/>
                <w:szCs w:val="18"/>
                <w:b w:val="1"/>
                <w:bCs w:val="1"/>
                <w:color w:val="auto"/>
              </w:rPr>
              <w:t>PART II — OTHER INFORMATION</w:t>
            </w:r>
          </w:p>
        </w:tc>
        <w:tc>
          <w:tcPr>
            <w:tcW w:w="3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80" w:type="dxa"/>
            <w:vAlign w:val="bottom"/>
          </w:tcPr>
          <w:p>
            <w:pPr>
              <w:ind w:left="20"/>
              <w:spacing w:after="0" w:line="187" w:lineRule="exact"/>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line="187" w:lineRule="exact"/>
              <w:rPr>
                <w:sz w:val="20"/>
                <w:szCs w:val="20"/>
                <w:color w:val="auto"/>
              </w:rPr>
            </w:pPr>
            <w:r>
              <w:rPr>
                <w:rFonts w:ascii="Arial" w:cs="Arial" w:eastAsia="Arial" w:hAnsi="Arial"/>
                <w:sz w:val="18"/>
                <w:szCs w:val="18"/>
                <w:color w:val="0000FF"/>
              </w:rPr>
              <w:t>LEGAL PROCEEDINGS</w:t>
            </w:r>
          </w:p>
        </w:tc>
        <w:tc>
          <w:tcPr>
            <w:tcW w:w="760" w:type="dxa"/>
            <w:vAlign w:val="bottom"/>
            <w:gridSpan w:val="3"/>
          </w:tcPr>
          <w:p>
            <w:pPr>
              <w:jc w:val="center"/>
              <w:ind w:right="20"/>
              <w:spacing w:after="0" w:line="187" w:lineRule="exact"/>
              <w:rPr>
                <w:sz w:val="20"/>
                <w:szCs w:val="20"/>
                <w:color w:val="auto"/>
              </w:rPr>
            </w:pPr>
            <w:r>
              <w:rPr>
                <w:rFonts w:ascii="Arial" w:cs="Arial" w:eastAsia="Arial" w:hAnsi="Arial"/>
                <w:sz w:val="18"/>
                <w:szCs w:val="18"/>
                <w:color w:val="0000FF"/>
                <w:w w:val="89"/>
              </w:rPr>
              <w:t>89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2.</w:t>
            </w:r>
          </w:p>
        </w:tc>
        <w:tc>
          <w:tcPr>
            <w:tcW w:w="9400" w:type="dxa"/>
            <w:vAlign w:val="bottom"/>
            <w:gridSpan w:val="14"/>
          </w:tcPr>
          <w:p>
            <w:pPr>
              <w:spacing w:after="0" w:line="205" w:lineRule="exact"/>
              <w:rPr>
                <w:sz w:val="20"/>
                <w:szCs w:val="20"/>
                <w:color w:val="auto"/>
              </w:rPr>
            </w:pPr>
            <w:r>
              <w:rPr>
                <w:rFonts w:ascii="Arial" w:cs="Arial" w:eastAsia="Arial" w:hAnsi="Arial"/>
                <w:sz w:val="18"/>
                <w:szCs w:val="18"/>
                <w:color w:val="0000FF"/>
              </w:rPr>
              <w:t>UNREGISTERED SALES OF EQUITY SECURITIES AND USE OF PROCEEDS</w:t>
            </w:r>
          </w:p>
        </w:tc>
        <w:tc>
          <w:tcPr>
            <w:tcW w:w="760" w:type="dxa"/>
            <w:vAlign w:val="bottom"/>
            <w:gridSpan w:val="3"/>
          </w:tcPr>
          <w:p>
            <w:pPr>
              <w:jc w:val="center"/>
              <w:ind w:right="20"/>
              <w:spacing w:after="0" w:line="205" w:lineRule="exact"/>
              <w:rPr>
                <w:sz w:val="20"/>
                <w:szCs w:val="20"/>
                <w:color w:val="auto"/>
              </w:rPr>
            </w:pPr>
            <w:r>
              <w:rPr>
                <w:rFonts w:ascii="Arial" w:cs="Arial" w:eastAsia="Arial" w:hAnsi="Arial"/>
                <w:sz w:val="18"/>
                <w:szCs w:val="18"/>
                <w:color w:val="0000FF"/>
                <w:w w:val="89"/>
              </w:rPr>
              <w:t>89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6.</w:t>
            </w:r>
          </w:p>
        </w:tc>
        <w:tc>
          <w:tcPr>
            <w:tcW w:w="5940" w:type="dxa"/>
            <w:vAlign w:val="bottom"/>
            <w:gridSpan w:val="7"/>
          </w:tcPr>
          <w:p>
            <w:pPr>
              <w:spacing w:after="0" w:line="205" w:lineRule="exact"/>
              <w:rPr>
                <w:sz w:val="20"/>
                <w:szCs w:val="20"/>
                <w:color w:val="auto"/>
              </w:rPr>
            </w:pPr>
            <w:r>
              <w:rPr>
                <w:rFonts w:ascii="Arial" w:cs="Arial" w:eastAsia="Arial" w:hAnsi="Arial"/>
                <w:sz w:val="18"/>
                <w:szCs w:val="18"/>
                <w:color w:val="0000FF"/>
              </w:rPr>
              <w:t>EXHIBITS</w:t>
            </w:r>
          </w:p>
        </w:tc>
        <w:tc>
          <w:tcPr>
            <w:tcW w:w="346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center"/>
              <w:ind w:right="300"/>
              <w:spacing w:after="0"/>
              <w:rPr>
                <w:sz w:val="20"/>
                <w:szCs w:val="20"/>
                <w:color w:val="auto"/>
              </w:rPr>
            </w:pPr>
            <w:r>
              <w:rPr>
                <w:rFonts w:ascii="Arial" w:cs="Arial" w:eastAsia="Arial" w:hAnsi="Arial"/>
                <w:sz w:val="15"/>
                <w:szCs w:val="15"/>
                <w:color w:val="0000FF"/>
                <w:w w:val="71"/>
              </w:rPr>
              <w:t>90</w:t>
            </w:r>
          </w:p>
        </w:tc>
        <w:tc>
          <w:tcPr>
            <w:tcW w:w="0" w:type="dxa"/>
            <w:vAlign w:val="bottom"/>
          </w:tcPr>
          <w:p>
            <w:pPr>
              <w:spacing w:after="0"/>
              <w:rPr>
                <w:sz w:val="1"/>
                <w:szCs w:val="1"/>
                <w:color w:val="auto"/>
              </w:rPr>
            </w:pPr>
          </w:p>
        </w:tc>
      </w:tr>
      <w:tr>
        <w:trPr>
          <w:trHeight w:val="1205"/>
        </w:trPr>
        <w:tc>
          <w:tcPr>
            <w:tcW w:w="108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220" w:type="dxa"/>
            <w:vAlign w:val="bottom"/>
          </w:tcPr>
          <w:p>
            <w:pPr>
              <w:jc w:val="right"/>
              <w:ind w:right="133"/>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r>
      <w:tr>
        <w:trPr>
          <w:trHeight w:val="203"/>
        </w:trPr>
        <w:tc>
          <w:tcPr>
            <w:tcW w:w="8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4"/>
          </w:tcPr>
          <w:p>
            <w:pPr>
              <w:jc w:val="right"/>
              <w:ind w:right="993"/>
              <w:spacing w:after="0"/>
              <w:rPr>
                <w:sz w:val="20"/>
                <w:szCs w:val="20"/>
                <w:color w:val="auto"/>
              </w:rPr>
            </w:pPr>
            <w:r>
              <w:rPr>
                <w:rFonts w:ascii="Arial" w:cs="Arial" w:eastAsia="Arial" w:hAnsi="Arial"/>
                <w:sz w:val="16"/>
                <w:szCs w:val="16"/>
                <w:b w:val="1"/>
                <w:bCs w:val="1"/>
                <w:color w:val="auto"/>
              </w:rPr>
              <w:t>in millions</w:t>
            </w:r>
          </w:p>
        </w:tc>
      </w:tr>
      <w:tr>
        <w:trPr>
          <w:trHeight w:val="214"/>
        </w:trPr>
        <w:tc>
          <w:tcPr>
            <w:tcW w:w="8380" w:type="dxa"/>
            <w:vAlign w:val="bottom"/>
          </w:tcPr>
          <w:p>
            <w:pPr>
              <w:ind w:left="390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1,594.1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910.6</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5)</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2,269.6</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 of discontinued operations (note 4)</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 (notes 3, 5 and 6)</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928.0</w:t>
            </w:r>
          </w:p>
        </w:tc>
      </w:tr>
      <w:tr>
        <w:trPr>
          <w:trHeight w:val="219"/>
        </w:trPr>
        <w:tc>
          <w:tcPr>
            <w:tcW w:w="838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5,940.5</w:t>
            </w:r>
          </w:p>
        </w:tc>
      </w:tr>
      <w:tr>
        <w:trPr>
          <w:trHeight w:val="173"/>
        </w:trPr>
        <w:tc>
          <w:tcPr>
            <w:tcW w:w="8380" w:type="dxa"/>
            <w:vAlign w:val="bottom"/>
          </w:tcPr>
          <w:p>
            <w:pPr>
              <w:ind w:left="20"/>
              <w:spacing w:after="0" w:line="173" w:lineRule="exact"/>
              <w:rPr>
                <w:sz w:val="20"/>
                <w:szCs w:val="20"/>
                <w:color w:val="auto"/>
              </w:rPr>
            </w:pPr>
            <w:r>
              <w:rPr>
                <w:rFonts w:ascii="Arial" w:cs="Arial" w:eastAsia="Arial" w:hAnsi="Arial"/>
                <w:sz w:val="18"/>
                <w:szCs w:val="18"/>
                <w:color w:val="auto"/>
                <w:w w:val="90"/>
              </w:rPr>
              <w:t>Investments and related notes receivable (including $2,162.5 million and $2,757.8 million, respectively, measured at</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7"/>
        </w:trPr>
        <w:tc>
          <w:tcPr>
            <w:tcW w:w="8380" w:type="dxa"/>
            <w:vAlign w:val="bottom"/>
          </w:tcPr>
          <w:p>
            <w:pPr>
              <w:ind w:left="180"/>
              <w:spacing w:after="0"/>
              <w:rPr>
                <w:sz w:val="20"/>
                <w:szCs w:val="20"/>
                <w:color w:val="auto"/>
              </w:rPr>
            </w:pPr>
            <w:r>
              <w:rPr>
                <w:rFonts w:ascii="Arial" w:cs="Arial" w:eastAsia="Arial" w:hAnsi="Arial"/>
                <w:sz w:val="18"/>
                <w:szCs w:val="18"/>
                <w:color w:val="auto"/>
              </w:rPr>
              <w:t>fair value on a recurring basis) (note 5)</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16,432.2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19,703.0</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(notes 8 and 10)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6,981.5</w:t>
            </w:r>
          </w:p>
        </w:tc>
      </w:tr>
      <w:tr>
        <w:trPr>
          <w:trHeight w:val="225"/>
        </w:trPr>
        <w:tc>
          <w:tcPr>
            <w:tcW w:w="8380" w:type="dxa"/>
            <w:vAlign w:val="bottom"/>
          </w:tcPr>
          <w:p>
            <w:pPr>
              <w:ind w:left="20"/>
              <w:spacing w:after="0"/>
              <w:rPr>
                <w:sz w:val="20"/>
                <w:szCs w:val="20"/>
                <w:color w:val="auto"/>
              </w:rPr>
            </w:pPr>
            <w:r>
              <w:rPr>
                <w:rFonts w:ascii="Arial" w:cs="Arial" w:eastAsia="Arial" w:hAnsi="Arial"/>
                <w:sz w:val="18"/>
                <w:szCs w:val="18"/>
                <w:color w:val="auto"/>
              </w:rPr>
              <w:t>Goodwill (note 8)</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9,523.4</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 net (note 8)</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r>
      <w:tr>
        <w:trPr>
          <w:trHeight w:val="225"/>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 (notes 3, 6 and 10)</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2,426.1</w:t>
            </w:r>
          </w:p>
        </w:tc>
      </w:tr>
      <w:tr>
        <w:trPr>
          <w:trHeight w:val="244"/>
        </w:trPr>
        <w:tc>
          <w:tcPr>
            <w:tcW w:w="838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46,917.0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22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03"/>
        </w:trPr>
        <w:tc>
          <w:tcPr>
            <w:tcW w:w="8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4"/>
          </w:tcPr>
          <w:p>
            <w:pPr>
              <w:jc w:val="right"/>
              <w:ind w:right="992"/>
              <w:spacing w:after="0"/>
              <w:rPr>
                <w:sz w:val="20"/>
                <w:szCs w:val="20"/>
                <w:color w:val="auto"/>
              </w:rPr>
            </w:pPr>
            <w:r>
              <w:rPr>
                <w:rFonts w:ascii="Arial" w:cs="Arial" w:eastAsia="Arial" w:hAnsi="Arial"/>
                <w:sz w:val="16"/>
                <w:szCs w:val="16"/>
                <w:b w:val="1"/>
                <w:bCs w:val="1"/>
                <w:color w:val="auto"/>
              </w:rPr>
              <w:t>in millions</w:t>
            </w:r>
          </w:p>
        </w:tc>
      </w:tr>
      <w:tr>
        <w:trPr>
          <w:trHeight w:val="214"/>
        </w:trPr>
        <w:tc>
          <w:tcPr>
            <w:tcW w:w="8360" w:type="dxa"/>
            <w:vAlign w:val="bottom"/>
          </w:tcPr>
          <w:p>
            <w:pPr>
              <w:ind w:left="316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8"/>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8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613.4</w:t>
            </w:r>
          </w:p>
        </w:tc>
      </w:tr>
      <w:tr>
        <w:trPr>
          <w:trHeight w:val="226"/>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(note 3)</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r>
      <w:tr>
        <w:trPr>
          <w:trHeight w:val="225"/>
        </w:trPr>
        <w:tc>
          <w:tcPr>
            <w:tcW w:w="8360" w:type="dxa"/>
            <w:vAlign w:val="bottom"/>
          </w:tcPr>
          <w:p>
            <w:pPr>
              <w:ind w:left="14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850.3</w:t>
            </w:r>
          </w:p>
        </w:tc>
      </w:tr>
      <w:tr>
        <w:trPr>
          <w:trHeight w:val="226"/>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capital expenditures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r>
      <w:tr>
        <w:trPr>
          <w:trHeight w:val="225"/>
        </w:trPr>
        <w:tc>
          <w:tcPr>
            <w:tcW w:w="8360" w:type="dxa"/>
            <w:vAlign w:val="bottom"/>
          </w:tcPr>
          <w:p>
            <w:pPr>
              <w:ind w:left="140"/>
              <w:spacing w:after="0"/>
              <w:rPr>
                <w:sz w:val="20"/>
                <w:szCs w:val="20"/>
                <w:color w:val="auto"/>
              </w:rPr>
            </w:pPr>
            <w:r>
              <w:rPr>
                <w:rFonts w:ascii="Arial" w:cs="Arial" w:eastAsia="Arial" w:hAnsi="Arial"/>
                <w:sz w:val="18"/>
                <w:szCs w:val="18"/>
                <w:color w:val="auto"/>
              </w:rPr>
              <w:t>Accrued income taxes (note 11)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26"/>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6)</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5"/>
        </w:trPr>
        <w:tc>
          <w:tcPr>
            <w:tcW w:w="8360" w:type="dxa"/>
            <w:vAlign w:val="bottom"/>
          </w:tcPr>
          <w:p>
            <w:pPr>
              <w:ind w:left="140"/>
              <w:spacing w:after="0"/>
              <w:rPr>
                <w:sz w:val="20"/>
                <w:szCs w:val="20"/>
                <w:color w:val="auto"/>
              </w:rPr>
            </w:pPr>
            <w:r>
              <w:rPr>
                <w:rFonts w:ascii="Arial" w:cs="Arial" w:eastAsia="Arial" w:hAnsi="Arial"/>
                <w:sz w:val="18"/>
                <w:szCs w:val="18"/>
                <w:color w:val="auto"/>
              </w:rPr>
              <w:t>Current liabilities of discontinued operations (note 4)</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26"/>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and current liabilities (notes 4 and 10)</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1,429.0</w:t>
            </w:r>
          </w:p>
        </w:tc>
      </w:tr>
      <w:tr>
        <w:trPr>
          <w:trHeight w:val="218"/>
        </w:trPr>
        <w:tc>
          <w:tcPr>
            <w:tcW w:w="8360" w:type="dxa"/>
            <w:vAlign w:val="bottom"/>
          </w:tcPr>
          <w:p>
            <w:pPr>
              <w:ind w:left="340"/>
              <w:spacing w:after="0" w:line="204"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4,084.8</w:t>
            </w: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(notes 9 and 10)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13,974.8</w:t>
            </w: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Long-term operating lease liabilities (notes 4 and 10)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1,226.1</w:t>
            </w: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 (notes 3 and 6)</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w:t>
            </w:r>
          </w:p>
        </w:tc>
      </w:tr>
      <w:tr>
        <w:trPr>
          <w:trHeight w:val="218"/>
        </w:trPr>
        <w:tc>
          <w:tcPr>
            <w:tcW w:w="83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21,319.0</w:t>
            </w:r>
          </w:p>
        </w:tc>
      </w:tr>
      <w:tr>
        <w:trPr>
          <w:trHeight w:val="179"/>
        </w:trPr>
        <w:tc>
          <w:tcPr>
            <w:tcW w:w="8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contingencies (notes 6, 9, 10, 11 and 15)</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99"/>
        </w:trPr>
        <w:tc>
          <w:tcPr>
            <w:tcW w:w="8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Equity (note 12):</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Liberty Global shareholders: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6"/>
        </w:trPr>
        <w:tc>
          <w:tcPr>
            <w:tcW w:w="8360" w:type="dxa"/>
            <w:vAlign w:val="bottom"/>
          </w:tcPr>
          <w:p>
            <w:pPr>
              <w:ind w:left="220"/>
              <w:spacing w:after="0" w:line="187" w:lineRule="exact"/>
              <w:rPr>
                <w:sz w:val="20"/>
                <w:szCs w:val="20"/>
                <w:color w:val="auto"/>
              </w:rPr>
            </w:pPr>
            <w:r>
              <w:rPr>
                <w:rFonts w:ascii="Arial" w:cs="Arial" w:eastAsia="Arial" w:hAnsi="Arial"/>
                <w:sz w:val="18"/>
                <w:szCs w:val="18"/>
                <w:color w:val="auto"/>
                <w:w w:val="87"/>
              </w:rPr>
              <w:t>Class A ordinary shares, $0.01 nominal value. Issued and outstanding 171,900,218 shares and 174,310,558 shares,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4"/>
        </w:trPr>
        <w:tc>
          <w:tcPr>
            <w:tcW w:w="83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87"/>
        </w:trPr>
        <w:tc>
          <w:tcPr>
            <w:tcW w:w="8360" w:type="dxa"/>
            <w:vAlign w:val="bottom"/>
            <w:shd w:val="clear" w:color="auto" w:fill="CCEEFF"/>
          </w:tcPr>
          <w:p>
            <w:pPr>
              <w:ind w:left="220"/>
              <w:spacing w:after="0" w:line="187" w:lineRule="exact"/>
              <w:rPr>
                <w:sz w:val="20"/>
                <w:szCs w:val="20"/>
                <w:color w:val="auto"/>
              </w:rPr>
            </w:pPr>
            <w:r>
              <w:rPr>
                <w:rFonts w:ascii="Arial" w:cs="Arial" w:eastAsia="Arial" w:hAnsi="Arial"/>
                <w:sz w:val="18"/>
                <w:szCs w:val="18"/>
                <w:color w:val="auto"/>
                <w:w w:val="89"/>
              </w:rPr>
              <w:t>Class B ordinary shares, $0.01 nominal value. Issued and outstanding 12,994,000 shares and 12,930,839 shares,</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4"/>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186"/>
        </w:trPr>
        <w:tc>
          <w:tcPr>
            <w:tcW w:w="8360" w:type="dxa"/>
            <w:vAlign w:val="bottom"/>
          </w:tcPr>
          <w:p>
            <w:pPr>
              <w:ind w:left="220"/>
              <w:spacing w:after="0" w:line="187" w:lineRule="exact"/>
              <w:rPr>
                <w:sz w:val="20"/>
                <w:szCs w:val="20"/>
                <w:color w:val="auto"/>
              </w:rPr>
            </w:pPr>
            <w:r>
              <w:rPr>
                <w:rFonts w:ascii="Arial" w:cs="Arial" w:eastAsia="Arial" w:hAnsi="Arial"/>
                <w:sz w:val="18"/>
                <w:szCs w:val="18"/>
                <w:color w:val="auto"/>
                <w:w w:val="87"/>
              </w:rPr>
              <w:t>Class C ordinary shares, $0.01 nominal value. Issued and outstanding 280,939,089 shares and 340,114,729 shares,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4"/>
        </w:trPr>
        <w:tc>
          <w:tcPr>
            <w:tcW w:w="83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r>
      <w:tr>
        <w:trPr>
          <w:trHeight w:val="225"/>
        </w:trPr>
        <w:tc>
          <w:tcPr>
            <w:tcW w:w="8360" w:type="dxa"/>
            <w:vAlign w:val="bottom"/>
          </w:tcPr>
          <w:p>
            <w:pPr>
              <w:ind w:left="220"/>
              <w:spacing w:after="0"/>
              <w:rPr>
                <w:sz w:val="20"/>
                <w:szCs w:val="20"/>
                <w:color w:val="auto"/>
              </w:rPr>
            </w:pPr>
            <w:r>
              <w:rPr>
                <w:rFonts w:ascii="Arial" w:cs="Arial" w:eastAsia="Arial" w:hAnsi="Arial"/>
                <w:sz w:val="18"/>
                <w:szCs w:val="18"/>
                <w:color w:val="auto"/>
              </w:rPr>
              <w:t>Accumulated earnings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24,317.4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18,144.5</w:t>
            </w:r>
          </w:p>
        </w:tc>
      </w:tr>
      <w:tr>
        <w:trPr>
          <w:trHeight w:val="22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earnings (loss), net of taxes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3,892.2</w:t>
            </w:r>
          </w:p>
        </w:tc>
      </w:tr>
      <w:tr>
        <w:trPr>
          <w:trHeight w:val="225"/>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shares, at cost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9"/>
        </w:trPr>
        <w:tc>
          <w:tcPr>
            <w:tcW w:w="836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Liberty Global shareholders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25,934.9</w:t>
            </w:r>
          </w:p>
        </w:tc>
      </w:tr>
      <w:tr>
        <w:trPr>
          <w:trHeight w:val="225"/>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r>
      <w:tr>
        <w:trPr>
          <w:trHeight w:val="219"/>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25,598.0</w:t>
            </w:r>
          </w:p>
        </w:tc>
      </w:tr>
      <w:tr>
        <w:trPr>
          <w:trHeight w:val="219"/>
        </w:trPr>
        <w:tc>
          <w:tcPr>
            <w:tcW w:w="8360" w:type="dxa"/>
            <w:vAlign w:val="bottom"/>
          </w:tcPr>
          <w:p>
            <w:pPr>
              <w:ind w:left="54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46,917.0</w:t>
            </w: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240" w:type="dxa"/>
            <w:vAlign w:val="bottom"/>
          </w:tcPr>
          <w:p>
            <w:pPr>
              <w:spacing w:after="0"/>
              <w:rPr>
                <w:sz w:val="16"/>
                <w:szCs w:val="16"/>
                <w:color w:val="auto"/>
              </w:rPr>
            </w:pPr>
          </w:p>
        </w:tc>
        <w:tc>
          <w:tcPr>
            <w:tcW w:w="2040" w:type="dxa"/>
            <w:vAlign w:val="bottom"/>
            <w:gridSpan w:val="5"/>
          </w:tcPr>
          <w:p>
            <w:pPr>
              <w:jc w:val="right"/>
              <w:ind w:right="39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240" w:type="dxa"/>
            <w:vAlign w:val="bottom"/>
          </w:tcPr>
          <w:p>
            <w:pPr>
              <w:spacing w:after="0"/>
              <w:rPr>
                <w:sz w:val="18"/>
                <w:szCs w:val="18"/>
                <w:color w:val="auto"/>
              </w:rPr>
            </w:pPr>
          </w:p>
        </w:tc>
        <w:tc>
          <w:tcPr>
            <w:tcW w:w="2040" w:type="dxa"/>
            <w:vAlign w:val="bottom"/>
            <w:gridSpan w:val="5"/>
          </w:tcPr>
          <w:p>
            <w:pPr>
              <w:jc w:val="right"/>
              <w:ind w:right="572"/>
              <w:spacing w:after="0"/>
              <w:rPr>
                <w:sz w:val="20"/>
                <w:szCs w:val="20"/>
                <w:color w:val="auto"/>
              </w:rPr>
            </w:pPr>
            <w:r>
              <w:rPr>
                <w:rFonts w:ascii="Arial" w:cs="Arial" w:eastAsia="Arial" w:hAnsi="Arial"/>
                <w:sz w:val="16"/>
                <w:szCs w:val="16"/>
                <w:b w:val="1"/>
                <w:bCs w:val="1"/>
                <w:color w:val="auto"/>
              </w:rPr>
              <w:t>September 30,</w:t>
            </w:r>
          </w:p>
        </w:tc>
      </w:tr>
      <w:tr>
        <w:trPr>
          <w:trHeight w:val="205"/>
        </w:trPr>
        <w:tc>
          <w:tcPr>
            <w:tcW w:w="65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r>
      <w:tr>
        <w:trPr>
          <w:trHeight w:val="203"/>
        </w:trPr>
        <w:tc>
          <w:tcPr>
            <w:tcW w:w="6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40" w:type="dxa"/>
            <w:vAlign w:val="bottom"/>
            <w:gridSpan w:val="9"/>
          </w:tcPr>
          <w:p>
            <w:pPr>
              <w:spacing w:after="0"/>
              <w:rPr>
                <w:sz w:val="20"/>
                <w:szCs w:val="20"/>
                <w:color w:val="auto"/>
              </w:rPr>
            </w:pPr>
            <w:r>
              <w:rPr>
                <w:rFonts w:ascii="Arial" w:cs="Arial" w:eastAsia="Arial" w:hAnsi="Arial"/>
                <w:sz w:val="16"/>
                <w:szCs w:val="16"/>
                <w:b w:val="1"/>
                <w:bCs w:val="1"/>
                <w:color w:val="auto"/>
                <w:w w:val="87"/>
              </w:rPr>
              <w:t>in millions, except per share amounts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63"/>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(notes 3, 4, 5 and 16)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8,390.5</w:t>
            </w:r>
          </w:p>
        </w:tc>
      </w:tr>
      <w:tr>
        <w:trPr>
          <w:trHeight w:val="153"/>
        </w:trPr>
        <w:tc>
          <w:tcPr>
            <w:tcW w:w="6580" w:type="dxa"/>
            <w:vAlign w:val="bottom"/>
          </w:tcPr>
          <w:p>
            <w:pPr>
              <w:ind w:left="40"/>
              <w:spacing w:after="0" w:line="154" w:lineRule="exact"/>
              <w:rPr>
                <w:sz w:val="20"/>
                <w:szCs w:val="20"/>
                <w:color w:val="auto"/>
              </w:rPr>
            </w:pPr>
            <w:r>
              <w:rPr>
                <w:rFonts w:ascii="Arial" w:cs="Arial" w:eastAsia="Arial" w:hAnsi="Arial"/>
                <w:sz w:val="17"/>
                <w:szCs w:val="17"/>
                <w:color w:val="auto"/>
                <w:w w:val="93"/>
              </w:rPr>
              <w:t>Operating costs and expenses (exclusive of depreciation and amortization, shown separately</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color w:val="auto"/>
              </w:rPr>
              <w:t>below):</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2"/>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other direct costs of services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2,445.7</w:t>
            </w:r>
          </w:p>
        </w:tc>
      </w:tr>
      <w:tr>
        <w:trPr>
          <w:trHeight w:val="225"/>
        </w:trPr>
        <w:tc>
          <w:tcPr>
            <w:tcW w:w="6580" w:type="dxa"/>
            <w:vAlign w:val="bottom"/>
          </w:tcPr>
          <w:p>
            <w:pPr>
              <w:ind w:left="140"/>
              <w:spacing w:after="0"/>
              <w:rPr>
                <w:sz w:val="20"/>
                <w:szCs w:val="20"/>
                <w:color w:val="auto"/>
              </w:rPr>
            </w:pPr>
            <w:r>
              <w:rPr>
                <w:rFonts w:ascii="Arial" w:cs="Arial" w:eastAsia="Arial" w:hAnsi="Arial"/>
                <w:sz w:val="18"/>
                <w:szCs w:val="18"/>
                <w:color w:val="auto"/>
              </w:rPr>
              <w:t>Other operating (note 13)</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1,225.6</w:t>
            </w: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r>
      <w:tr>
        <w:trPr>
          <w:trHeight w:val="225"/>
        </w:trPr>
        <w:tc>
          <w:tcPr>
            <w:tcW w:w="65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1,744.8</w:t>
            </w:r>
          </w:p>
        </w:tc>
      </w:tr>
      <w:tr>
        <w:trPr>
          <w:trHeight w:val="225"/>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restructuring and other operating items, net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18"/>
        </w:trPr>
        <w:tc>
          <w:tcPr>
            <w:tcW w:w="6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5,161.6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7,151.1</w:t>
            </w:r>
          </w:p>
        </w:tc>
      </w:tr>
      <w:tr>
        <w:trPr>
          <w:trHeight w:val="219"/>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1,239.4</w:t>
            </w:r>
          </w:p>
        </w:tc>
      </w:tr>
      <w:tr>
        <w:trPr>
          <w:trHeight w:val="205"/>
        </w:trPr>
        <w:tc>
          <w:tcPr>
            <w:tcW w:w="6580" w:type="dxa"/>
            <w:vAlign w:val="bottom"/>
          </w:tcPr>
          <w:p>
            <w:pPr>
              <w:ind w:left="20"/>
              <w:spacing w:after="0" w:line="204" w:lineRule="exact"/>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r>
      <w:tr>
        <w:trPr>
          <w:trHeight w:val="225"/>
        </w:trPr>
        <w:tc>
          <w:tcPr>
            <w:tcW w:w="6580" w:type="dxa"/>
            <w:vAlign w:val="bottom"/>
          </w:tcPr>
          <w:p>
            <w:pPr>
              <w:ind w:left="140"/>
              <w:spacing w:after="0"/>
              <w:rPr>
                <w:sz w:val="20"/>
                <w:szCs w:val="20"/>
                <w:color w:val="auto"/>
              </w:rPr>
            </w:pPr>
            <w:r>
              <w:rPr>
                <w:rFonts w:ascii="Arial" w:cs="Arial" w:eastAsia="Arial" w:hAnsi="Arial"/>
                <w:sz w:val="18"/>
                <w:szCs w:val="18"/>
                <w:color w:val="auto"/>
              </w:rPr>
              <w:t>Realized and unrealized gains on derivative instruments, net (note 6)</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707.4</w:t>
            </w: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r>
      <w:tr>
        <w:trPr>
          <w:trHeight w:val="173"/>
        </w:trPr>
        <w:tc>
          <w:tcPr>
            <w:tcW w:w="6580" w:type="dxa"/>
            <w:vAlign w:val="bottom"/>
          </w:tcPr>
          <w:p>
            <w:pPr>
              <w:ind w:left="140"/>
              <w:spacing w:after="0" w:line="173" w:lineRule="exact"/>
              <w:rPr>
                <w:sz w:val="20"/>
                <w:szCs w:val="20"/>
                <w:color w:val="auto"/>
              </w:rPr>
            </w:pPr>
            <w:r>
              <w:rPr>
                <w:rFonts w:ascii="Arial" w:cs="Arial" w:eastAsia="Arial" w:hAnsi="Arial"/>
                <w:sz w:val="18"/>
                <w:szCs w:val="18"/>
                <w:color w:val="auto"/>
                <w:w w:val="88"/>
              </w:rPr>
              <w:t>Realized and unrealized gains (losses) due to changes in fair values of certain investments,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7"/>
        </w:trPr>
        <w:tc>
          <w:tcPr>
            <w:tcW w:w="6580" w:type="dxa"/>
            <w:vAlign w:val="bottom"/>
          </w:tcPr>
          <w:p>
            <w:pPr>
              <w:ind w:left="300"/>
              <w:spacing w:after="0"/>
              <w:rPr>
                <w:sz w:val="20"/>
                <w:szCs w:val="20"/>
                <w:color w:val="auto"/>
              </w:rPr>
            </w:pPr>
            <w:r>
              <w:rPr>
                <w:rFonts w:ascii="Arial" w:cs="Arial" w:eastAsia="Arial" w:hAnsi="Arial"/>
                <w:sz w:val="18"/>
                <w:szCs w:val="18"/>
                <w:color w:val="auto"/>
              </w:rPr>
              <w:t>net (notes 5 and 7)</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373.3</w:t>
            </w: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(losses) on debt extinguishment, net (note 9)</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25"/>
        </w:trPr>
        <w:tc>
          <w:tcPr>
            <w:tcW w:w="6580" w:type="dxa"/>
            <w:vAlign w:val="bottom"/>
          </w:tcPr>
          <w:p>
            <w:pPr>
              <w:ind w:left="140"/>
              <w:spacing w:after="0"/>
              <w:rPr>
                <w:sz w:val="20"/>
                <w:szCs w:val="20"/>
                <w:color w:val="auto"/>
              </w:rPr>
            </w:pPr>
            <w:r>
              <w:rPr>
                <w:rFonts w:ascii="Arial" w:cs="Arial" w:eastAsia="Arial" w:hAnsi="Arial"/>
                <w:sz w:val="18"/>
                <w:szCs w:val="18"/>
                <w:color w:val="auto"/>
              </w:rPr>
              <w:t>Share of results of affiliates, net (note 5)</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Telenet Tower Sale (note 4)</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580" w:type="dxa"/>
            <w:vAlign w:val="bottom"/>
          </w:tcPr>
          <w:p>
            <w:pPr>
              <w:ind w:left="140"/>
              <w:spacing w:after="0"/>
              <w:rPr>
                <w:sz w:val="20"/>
                <w:szCs w:val="20"/>
                <w:color w:val="auto"/>
              </w:rPr>
            </w:pPr>
            <w:r>
              <w:rPr>
                <w:rFonts w:ascii="Arial" w:cs="Arial" w:eastAsia="Arial" w:hAnsi="Arial"/>
                <w:sz w:val="18"/>
                <w:szCs w:val="18"/>
                <w:color w:val="auto"/>
              </w:rPr>
              <w:t>Gain (adjustment to gain) on U.K. JV Transaction (note 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10,790.7</w:t>
            </w: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Atlas Edge JV Transactions (note 4)</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r>
      <w:tr>
        <w:trPr>
          <w:trHeight w:val="225"/>
        </w:trPr>
        <w:tc>
          <w:tcPr>
            <w:tcW w:w="6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19"/>
        </w:trPr>
        <w:tc>
          <w:tcPr>
            <w:tcW w:w="65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12,094.0</w:t>
            </w:r>
          </w:p>
        </w:tc>
      </w:tr>
      <w:tr>
        <w:trPr>
          <w:trHeight w:val="218"/>
        </w:trPr>
        <w:tc>
          <w:tcPr>
            <w:tcW w:w="6580" w:type="dxa"/>
            <w:vAlign w:val="bottom"/>
          </w:tcPr>
          <w:p>
            <w:pPr>
              <w:ind w:left="260"/>
              <w:spacing w:after="0"/>
              <w:rPr>
                <w:sz w:val="20"/>
                <w:szCs w:val="20"/>
                <w:color w:val="auto"/>
              </w:rPr>
            </w:pPr>
            <w:r>
              <w:rPr>
                <w:rFonts w:ascii="Arial" w:cs="Arial" w:eastAsia="Arial" w:hAnsi="Arial"/>
                <w:sz w:val="18"/>
                <w:szCs w:val="18"/>
                <w:color w:val="auto"/>
              </w:rPr>
              <w:t>Earnings from continuing operations before income taxes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13,333.4</w:t>
            </w: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(note 11)</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r>
      <w:tr>
        <w:trPr>
          <w:trHeight w:val="218"/>
        </w:trPr>
        <w:tc>
          <w:tcPr>
            <w:tcW w:w="6580" w:type="dxa"/>
            <w:vAlign w:val="bottom"/>
          </w:tcPr>
          <w:p>
            <w:pPr>
              <w:ind w:left="260"/>
              <w:spacing w:after="0"/>
              <w:rPr>
                <w:sz w:val="20"/>
                <w:szCs w:val="20"/>
                <w:color w:val="auto"/>
              </w:rPr>
            </w:pPr>
            <w:r>
              <w:rPr>
                <w:rFonts w:ascii="Arial" w:cs="Arial" w:eastAsia="Arial" w:hAnsi="Arial"/>
                <w:sz w:val="18"/>
                <w:szCs w:val="18"/>
                <w:color w:val="auto"/>
              </w:rPr>
              <w:t>Earnings from continuing operations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5,789.6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12,889.2</w:t>
            </w: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 (note 4):</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6580" w:type="dxa"/>
            <w:vAlign w:val="bottom"/>
          </w:tcPr>
          <w:p>
            <w:pPr>
              <w:ind w:left="260"/>
              <w:spacing w:after="0"/>
              <w:rPr>
                <w:sz w:val="20"/>
                <w:szCs w:val="20"/>
                <w:color w:val="auto"/>
              </w:rPr>
            </w:pPr>
            <w:r>
              <w:rPr>
                <w:rFonts w:ascii="Arial" w:cs="Arial" w:eastAsia="Arial" w:hAnsi="Arial"/>
                <w:sz w:val="18"/>
                <w:szCs w:val="18"/>
                <w:color w:val="auto"/>
              </w:rPr>
              <w:t>Earnings from discontinued operations, net of taxes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25"/>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disposal of discontinued operations, net of taxes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65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883.5</w:t>
            </w:r>
          </w:p>
        </w:tc>
        <w:tc>
          <w:tcPr>
            <w:tcW w:w="1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r>
      <w:tr>
        <w:trPr>
          <w:trHeight w:val="219"/>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12,933.5</w:t>
            </w:r>
          </w:p>
        </w:tc>
      </w:tr>
      <w:tr>
        <w:trPr>
          <w:trHeight w:val="22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r>
      <w:tr>
        <w:trPr>
          <w:trHeight w:val="239"/>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earnings attributable to Liberty Global shareholders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190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right"/>
              <w:ind w:right="39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80" w:type="dxa"/>
            <w:vAlign w:val="bottom"/>
          </w:tcPr>
          <w:p>
            <w:pPr>
              <w:spacing w:after="0"/>
              <w:rPr>
                <w:sz w:val="18"/>
                <w:szCs w:val="18"/>
                <w:color w:val="auto"/>
              </w:rPr>
            </w:pPr>
          </w:p>
        </w:tc>
        <w:tc>
          <w:tcPr>
            <w:tcW w:w="19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6"/>
                <w:szCs w:val="16"/>
                <w:b w:val="1"/>
                <w:bCs w:val="1"/>
                <w:color w:val="auto"/>
              </w:rPr>
              <w:t>September 30,</w:t>
            </w:r>
          </w:p>
        </w:tc>
      </w:tr>
      <w:tr>
        <w:trPr>
          <w:trHeight w:val="205"/>
        </w:trPr>
        <w:tc>
          <w:tcPr>
            <w:tcW w:w="658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r>
      <w:tr>
        <w:trPr>
          <w:trHeight w:val="203"/>
        </w:trPr>
        <w:tc>
          <w:tcPr>
            <w:tcW w:w="6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60" w:type="dxa"/>
            <w:vAlign w:val="bottom"/>
            <w:gridSpan w:val="9"/>
          </w:tcPr>
          <w:p>
            <w:pPr>
              <w:ind w:left="20"/>
              <w:spacing w:after="0"/>
              <w:rPr>
                <w:sz w:val="20"/>
                <w:szCs w:val="20"/>
                <w:color w:val="auto"/>
              </w:rPr>
            </w:pPr>
            <w:r>
              <w:rPr>
                <w:rFonts w:ascii="Arial" w:cs="Arial" w:eastAsia="Arial" w:hAnsi="Arial"/>
                <w:sz w:val="16"/>
                <w:szCs w:val="16"/>
                <w:b w:val="1"/>
                <w:bCs w:val="1"/>
                <w:color w:val="auto"/>
                <w:w w:val="87"/>
              </w:rPr>
              <w:t>in millions, except per share amounts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63"/>
        </w:trPr>
        <w:tc>
          <w:tcPr>
            <w:tcW w:w="6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attributable to Liberty Global shareholders per share (note 14):</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65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4.92</w:t>
            </w:r>
          </w:p>
        </w:tc>
        <w:tc>
          <w:tcPr>
            <w:tcW w:w="8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0.49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22.71</w:t>
            </w:r>
          </w:p>
        </w:tc>
      </w:tr>
      <w:tr>
        <w:trPr>
          <w:trHeight w:val="225"/>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18"/>
        </w:trPr>
        <w:tc>
          <w:tcPr>
            <w:tcW w:w="658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4.92</w:t>
            </w:r>
          </w:p>
        </w:tc>
        <w:tc>
          <w:tcPr>
            <w:tcW w:w="8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0.50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22.79</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65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Diluted earnings attributable to Liberty Global shareholders per share (note 14):</w:t>
            </w: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25"/>
        </w:trPr>
        <w:tc>
          <w:tcPr>
            <w:tcW w:w="65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4.87</w:t>
            </w:r>
          </w:p>
        </w:tc>
        <w:tc>
          <w:tcPr>
            <w:tcW w:w="8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0.48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22.19</w:t>
            </w:r>
          </w:p>
        </w:tc>
      </w:tr>
      <w:tr>
        <w:trPr>
          <w:trHeight w:val="225"/>
        </w:trPr>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18"/>
        </w:trPr>
        <w:tc>
          <w:tcPr>
            <w:tcW w:w="658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4.87</w:t>
            </w:r>
          </w:p>
        </w:tc>
        <w:tc>
          <w:tcPr>
            <w:tcW w:w="8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0.49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22.27</w:t>
            </w:r>
          </w:p>
        </w:tc>
      </w:tr>
      <w:tr>
        <w:trPr>
          <w:trHeight w:val="20"/>
        </w:trPr>
        <w:tc>
          <w:tcPr>
            <w:tcW w:w="6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327" w:right="3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8"/>
              </w:rPr>
              <w:t>Three months ended</w:t>
            </w:r>
          </w:p>
        </w:tc>
        <w:tc>
          <w:tcPr>
            <w:tcW w:w="360" w:type="dxa"/>
            <w:vAlign w:val="bottom"/>
          </w:tcPr>
          <w:p>
            <w:pPr>
              <w:spacing w:after="0"/>
              <w:rPr>
                <w:sz w:val="16"/>
                <w:szCs w:val="16"/>
                <w:color w:val="auto"/>
              </w:rPr>
            </w:pPr>
          </w:p>
        </w:tc>
        <w:tc>
          <w:tcPr>
            <w:tcW w:w="204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w w:val="99"/>
              </w:rPr>
              <w:t>Nine months ended</w:t>
            </w:r>
          </w:p>
        </w:tc>
      </w:tr>
      <w:tr>
        <w:trPr>
          <w:trHeight w:val="210"/>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7"/>
              </w:rPr>
              <w:t>September 30,</w:t>
            </w:r>
          </w:p>
        </w:tc>
        <w:tc>
          <w:tcPr>
            <w:tcW w:w="360" w:type="dxa"/>
            <w:vAlign w:val="bottom"/>
          </w:tcPr>
          <w:p>
            <w:pPr>
              <w:spacing w:after="0"/>
              <w:rPr>
                <w:sz w:val="18"/>
                <w:szCs w:val="18"/>
                <w:color w:val="auto"/>
              </w:rPr>
            </w:pPr>
          </w:p>
        </w:tc>
        <w:tc>
          <w:tcPr>
            <w:tcW w:w="204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September 30,</w:t>
            </w:r>
          </w:p>
        </w:tc>
      </w:tr>
      <w:tr>
        <w:trPr>
          <w:trHeight w:val="205"/>
        </w:trPr>
        <w:tc>
          <w:tcPr>
            <w:tcW w:w="63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r>
      <w:tr>
        <w:trPr>
          <w:trHeight w:val="203"/>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12,933.5</w:t>
            </w:r>
          </w:p>
        </w:tc>
      </w:tr>
      <w:tr>
        <w:trPr>
          <w:trHeight w:val="205"/>
        </w:trPr>
        <w:tc>
          <w:tcPr>
            <w:tcW w:w="632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earnings (loss), net of taxes: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6"/>
        </w:trPr>
        <w:tc>
          <w:tcPr>
            <w:tcW w:w="6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63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(7,174.5)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(894.0)</w:t>
            </w:r>
          </w:p>
        </w:tc>
      </w:tr>
      <w:tr>
        <w:trPr>
          <w:trHeight w:val="22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adjustments included in net earnings (note 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1,251.2</w:t>
            </w:r>
          </w:p>
        </w:tc>
      </w:tr>
      <w:tr>
        <w:trPr>
          <w:trHeight w:val="225"/>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Pension-related adjustments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9"/>
        </w:trPr>
        <w:tc>
          <w:tcPr>
            <w:tcW w:w="6320" w:type="dxa"/>
            <w:vAlign w:val="bottom"/>
            <w:shd w:val="clear" w:color="auto" w:fill="CCEEFF"/>
          </w:tcPr>
          <w:p>
            <w:pPr>
              <w:ind w:left="280"/>
              <w:spacing w:after="0" w:line="205" w:lineRule="exact"/>
              <w:rPr>
                <w:sz w:val="20"/>
                <w:szCs w:val="20"/>
                <w:color w:val="auto"/>
              </w:rPr>
            </w:pPr>
            <w:r>
              <w:rPr>
                <w:rFonts w:ascii="Arial" w:cs="Arial" w:eastAsia="Arial" w:hAnsi="Arial"/>
                <w:sz w:val="18"/>
                <w:szCs w:val="18"/>
                <w:color w:val="auto"/>
              </w:rPr>
              <w:t>Other comprehensive earnings (loss) from 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25"/>
        </w:trPr>
        <w:tc>
          <w:tcPr>
            <w:tcW w:w="6320" w:type="dxa"/>
            <w:vAlign w:val="bottom"/>
          </w:tcPr>
          <w:p>
            <w:pPr>
              <w:ind w:left="180"/>
              <w:spacing w:after="0"/>
              <w:rPr>
                <w:sz w:val="20"/>
                <w:szCs w:val="20"/>
                <w:color w:val="auto"/>
              </w:rPr>
            </w:pPr>
            <w:r>
              <w:rPr>
                <w:rFonts w:ascii="Arial" w:cs="Arial" w:eastAsia="Arial" w:hAnsi="Arial"/>
                <w:sz w:val="18"/>
                <w:szCs w:val="18"/>
                <w:color w:val="auto"/>
              </w:rPr>
              <w:t>Other comprehensive loss from discontinued operations (note 4)</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19"/>
        </w:trPr>
        <w:tc>
          <w:tcPr>
            <w:tcW w:w="63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 comprehensive earnings (loss)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r>
      <w:tr>
        <w:trPr>
          <w:trHeight w:val="218"/>
        </w:trPr>
        <w:tc>
          <w:tcPr>
            <w:tcW w:w="6320" w:type="dxa"/>
            <w:vAlign w:val="bottom"/>
          </w:tcPr>
          <w:p>
            <w:pPr>
              <w:ind w:left="580"/>
              <w:spacing w:after="0"/>
              <w:rPr>
                <w:sz w:val="20"/>
                <w:szCs w:val="20"/>
                <w:color w:val="auto"/>
              </w:rPr>
            </w:pPr>
            <w:r>
              <w:rPr>
                <w:rFonts w:ascii="Arial" w:cs="Arial" w:eastAsia="Arial" w:hAnsi="Arial"/>
                <w:sz w:val="18"/>
                <w:szCs w:val="18"/>
                <w:color w:val="auto"/>
              </w:rPr>
              <w:t>Comprehensive earnings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13,240.1</w:t>
            </w:r>
          </w:p>
        </w:tc>
      </w:tr>
      <w:tr>
        <w:trPr>
          <w:trHeight w:val="225"/>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earnings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19"/>
        </w:trPr>
        <w:tc>
          <w:tcPr>
            <w:tcW w:w="6320" w:type="dxa"/>
            <w:vAlign w:val="bottom"/>
          </w:tcPr>
          <w:p>
            <w:pPr>
              <w:ind w:left="500"/>
              <w:spacing w:after="0"/>
              <w:rPr>
                <w:sz w:val="20"/>
                <w:szCs w:val="20"/>
                <w:color w:val="auto"/>
              </w:rPr>
            </w:pPr>
            <w:r>
              <w:rPr>
                <w:rFonts w:ascii="Arial" w:cs="Arial" w:eastAsia="Arial" w:hAnsi="Arial"/>
                <w:sz w:val="18"/>
                <w:szCs w:val="18"/>
                <w:color w:val="auto"/>
                <w:w w:val="98"/>
              </w:rPr>
              <w:t>Comprehensive earnings (loss) attributable to Liberty Global shareholders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13,096.0</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8"/>
          </w:tcPr>
          <w:p>
            <w:pPr>
              <w:ind w:left="240"/>
              <w:spacing w:after="0"/>
              <w:rPr>
                <w:sz w:val="20"/>
                <w:szCs w:val="20"/>
                <w:color w:val="auto"/>
              </w:rPr>
            </w:pPr>
            <w:r>
              <w:rPr>
                <w:rFonts w:ascii="Arial" w:cs="Arial" w:eastAsia="Arial" w:hAnsi="Arial"/>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6"/>
            <w:vMerge w:val="restart"/>
          </w:tcPr>
          <w:p>
            <w:pPr>
              <w:jc w:val="center"/>
              <w:ind w:left="81"/>
              <w:spacing w:after="0"/>
              <w:rPr>
                <w:sz w:val="20"/>
                <w:szCs w:val="20"/>
                <w:color w:val="auto"/>
              </w:rPr>
            </w:pPr>
            <w:r>
              <w:rPr>
                <w:rFonts w:ascii="Arial" w:cs="Arial" w:eastAsia="Arial" w:hAnsi="Arial"/>
                <w:sz w:val="16"/>
                <w:szCs w:val="16"/>
                <w:b w:val="1"/>
                <w:bCs w:val="1"/>
                <w:color w:val="auto"/>
                <w:w w:val="91"/>
              </w:rPr>
              <w:t>Ordinary shares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3"/>
              </w:rPr>
              <w:t>Liberty</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6"/>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39" w:lineRule="exact"/>
              <w:rPr>
                <w:sz w:val="20"/>
                <w:szCs w:val="20"/>
                <w:color w:val="auto"/>
              </w:rPr>
            </w:pPr>
            <w:r>
              <w:rPr>
                <w:rFonts w:ascii="Arial" w:cs="Arial" w:eastAsia="Arial" w:hAnsi="Arial"/>
                <w:sz w:val="16"/>
                <w:szCs w:val="16"/>
                <w:b w:val="1"/>
                <w:bCs w:val="1"/>
                <w:color w:val="auto"/>
              </w:rPr>
              <w:t>paid-in</w:t>
            </w:r>
          </w:p>
        </w:tc>
        <w:tc>
          <w:tcPr>
            <w:tcW w:w="940" w:type="dxa"/>
            <w:vAlign w:val="bottom"/>
            <w:gridSpan w:val="2"/>
          </w:tcPr>
          <w:p>
            <w:pPr>
              <w:ind w:left="20"/>
              <w:spacing w:after="0" w:line="139" w:lineRule="exact"/>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2"/>
                <w:szCs w:val="12"/>
                <w:color w:val="auto"/>
              </w:rPr>
            </w:pPr>
          </w:p>
        </w:tc>
        <w:tc>
          <w:tcPr>
            <w:tcW w:w="1140" w:type="dxa"/>
            <w:vAlign w:val="bottom"/>
            <w:gridSpan w:val="3"/>
          </w:tcPr>
          <w:p>
            <w:pPr>
              <w:jc w:val="center"/>
              <w:ind w:right="80"/>
              <w:spacing w:after="0" w:line="139" w:lineRule="exact"/>
              <w:rPr>
                <w:sz w:val="20"/>
                <w:szCs w:val="20"/>
                <w:color w:val="auto"/>
              </w:rPr>
            </w:pPr>
            <w:r>
              <w:rPr>
                <w:rFonts w:ascii="Arial" w:cs="Arial" w:eastAsia="Arial" w:hAnsi="Arial"/>
                <w:sz w:val="16"/>
                <w:szCs w:val="16"/>
                <w:b w:val="1"/>
                <w:bCs w:val="1"/>
                <w:color w:val="auto"/>
                <w:w w:val="86"/>
              </w:rPr>
              <w:t>earnings, net</w:t>
            </w:r>
          </w:p>
        </w:tc>
        <w:tc>
          <w:tcPr>
            <w:tcW w:w="100" w:type="dxa"/>
            <w:vAlign w:val="bottom"/>
          </w:tcPr>
          <w:p>
            <w:pPr>
              <w:spacing w:after="0"/>
              <w:rPr>
                <w:sz w:val="12"/>
                <w:szCs w:val="12"/>
                <w:color w:val="auto"/>
              </w:rPr>
            </w:pPr>
          </w:p>
        </w:tc>
        <w:tc>
          <w:tcPr>
            <w:tcW w:w="660" w:type="dxa"/>
            <w:vAlign w:val="bottom"/>
            <w:gridSpan w:val="2"/>
          </w:tcPr>
          <w:p>
            <w:pPr>
              <w:spacing w:after="0" w:line="139" w:lineRule="exact"/>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9"/>
              </w:rPr>
              <w:t>controlling</w:t>
            </w:r>
          </w:p>
        </w:tc>
        <w:tc>
          <w:tcPr>
            <w:tcW w:w="160" w:type="dxa"/>
            <w:vAlign w:val="bottom"/>
          </w:tcPr>
          <w:p>
            <w:pPr>
              <w:spacing w:after="0"/>
              <w:rPr>
                <w:sz w:val="12"/>
                <w:szCs w:val="12"/>
                <w:color w:val="auto"/>
              </w:rPr>
            </w:pPr>
          </w:p>
        </w:tc>
        <w:tc>
          <w:tcPr>
            <w:tcW w:w="680" w:type="dxa"/>
            <w:vAlign w:val="bottom"/>
          </w:tcPr>
          <w:p>
            <w:pPr>
              <w:jc w:val="right"/>
              <w:ind w:right="161"/>
              <w:spacing w:after="0" w:line="13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A</w:t>
            </w:r>
          </w:p>
        </w:tc>
        <w:tc>
          <w:tcPr>
            <w:tcW w:w="6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8"/>
              </w:rPr>
              <w:t>Class B</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C</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earnings</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5"/>
              </w:rPr>
              <w:t>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3"/>
              </w:rPr>
              <w:t>interests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7"/>
              </w:rPr>
              <w:t>equity</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4"/>
          </w:tcPr>
          <w:p>
            <w:pPr>
              <w:ind w:left="6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2021</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4,692.1</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13,298.4</w:t>
            </w:r>
          </w:p>
        </w:tc>
        <w:tc>
          <w:tcPr>
            <w:tcW w:w="0" w:type="dxa"/>
            <w:vAlign w:val="bottom"/>
          </w:tcPr>
          <w:p>
            <w:pPr>
              <w:spacing w:after="0"/>
              <w:rPr>
                <w:sz w:val="1"/>
                <w:szCs w:val="1"/>
                <w:color w:val="auto"/>
              </w:rPr>
            </w:pPr>
          </w:p>
        </w:tc>
      </w:tr>
      <w:tr>
        <w:trPr>
          <w:trHeight w:val="210"/>
        </w:trPr>
        <w:tc>
          <w:tcPr>
            <w:tcW w:w="274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1,440.3</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Other comprehensive loss, net of taxes</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Arial" w:cs="Arial" w:eastAsia="Arial" w:hAnsi="Arial"/>
                <w:sz w:val="16"/>
                <w:szCs w:val="16"/>
                <w:color w:val="auto"/>
              </w:rPr>
              <w:t>Repurchases and cancellations of</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(323.2)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206"/>
        </w:trPr>
        <w:tc>
          <w:tcPr>
            <w:tcW w:w="2740" w:type="dxa"/>
            <w:vAlign w:val="bottom"/>
          </w:tcPr>
          <w:p>
            <w:pPr>
              <w:ind w:left="300"/>
              <w:spacing w:after="0"/>
              <w:rPr>
                <w:sz w:val="20"/>
                <w:szCs w:val="20"/>
                <w:color w:val="auto"/>
              </w:rPr>
            </w:pPr>
            <w:r>
              <w:rPr>
                <w:rFonts w:ascii="Arial" w:cs="Arial" w:eastAsia="Arial" w:hAnsi="Arial"/>
                <w:sz w:val="16"/>
                <w:szCs w:val="16"/>
                <w:color w:val="auto"/>
              </w:rPr>
              <w:t>Liberty Global ordinary shares</w:t>
            </w: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Share-based compensation (note 13)</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Arial" w:cs="Arial" w:eastAsia="Arial" w:hAnsi="Arial"/>
                <w:sz w:val="16"/>
                <w:szCs w:val="16"/>
                <w:color w:val="auto"/>
              </w:rPr>
              <w:t>Adjustments due to changes in</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6"/>
        </w:trPr>
        <w:tc>
          <w:tcPr>
            <w:tcW w:w="2740" w:type="dxa"/>
            <w:vAlign w:val="bottom"/>
          </w:tcPr>
          <w:p>
            <w:pPr>
              <w:ind w:left="300"/>
              <w:spacing w:after="0"/>
              <w:rPr>
                <w:sz w:val="20"/>
                <w:szCs w:val="20"/>
                <w:color w:val="auto"/>
              </w:rPr>
            </w:pPr>
            <w:r>
              <w:rPr>
                <w:rFonts w:ascii="Arial" w:cs="Arial" w:eastAsia="Arial" w:hAnsi="Arial"/>
                <w:sz w:val="16"/>
                <w:szCs w:val="16"/>
                <w:color w:val="auto"/>
              </w:rPr>
              <w:t>subsidiaries’ equity and other, net</w:t>
            </w: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2021</w:t>
            </w: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6,077.5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2,696.3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13,488.1</w:t>
            </w:r>
          </w:p>
        </w:tc>
        <w:tc>
          <w:tcPr>
            <w:tcW w:w="0" w:type="dxa"/>
            <w:vAlign w:val="bottom"/>
          </w:tcPr>
          <w:p>
            <w:pPr>
              <w:spacing w:after="0"/>
              <w:rPr>
                <w:sz w:val="1"/>
                <w:szCs w:val="1"/>
                <w:color w:val="auto"/>
              </w:rPr>
            </w:pPr>
          </w:p>
        </w:tc>
      </w:tr>
      <w:tr>
        <w:trPr>
          <w:trHeight w:val="210"/>
        </w:trPr>
        <w:tc>
          <w:tcPr>
            <w:tcW w:w="274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11,128.2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11,128.2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11,174.5</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6"/>
              </w:rPr>
              <w:t>Other comprehensive earnings, net of</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2,276.3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2,276.3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2,277.6</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taxes</w:t>
            </w: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Arial" w:cs="Arial" w:eastAsia="Arial" w:hAnsi="Arial"/>
                <w:sz w:val="16"/>
                <w:szCs w:val="16"/>
                <w:color w:val="auto"/>
              </w:rPr>
              <w:t>Repurchases and cancellations of</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(345.2)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(345.2)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(345.2)</w:t>
            </w:r>
          </w:p>
        </w:tc>
        <w:tc>
          <w:tcPr>
            <w:tcW w:w="0" w:type="dxa"/>
            <w:vAlign w:val="bottom"/>
          </w:tcPr>
          <w:p>
            <w:pPr>
              <w:spacing w:after="0"/>
              <w:rPr>
                <w:sz w:val="1"/>
                <w:szCs w:val="1"/>
                <w:color w:val="auto"/>
              </w:rPr>
            </w:pPr>
          </w:p>
        </w:tc>
      </w:tr>
      <w:tr>
        <w:trPr>
          <w:trHeight w:val="206"/>
        </w:trPr>
        <w:tc>
          <w:tcPr>
            <w:tcW w:w="2740" w:type="dxa"/>
            <w:vAlign w:val="bottom"/>
          </w:tcPr>
          <w:p>
            <w:pPr>
              <w:ind w:left="300"/>
              <w:spacing w:after="0"/>
              <w:rPr>
                <w:sz w:val="20"/>
                <w:szCs w:val="20"/>
                <w:color w:val="auto"/>
              </w:rPr>
            </w:pPr>
            <w:r>
              <w:rPr>
                <w:rFonts w:ascii="Arial" w:cs="Arial" w:eastAsia="Arial" w:hAnsi="Arial"/>
                <w:sz w:val="16"/>
                <w:szCs w:val="16"/>
                <w:color w:val="auto"/>
              </w:rPr>
              <w:t>Liberty Global ordinary shares</w:t>
            </w: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Share-based compensation (note 13)</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Arial" w:cs="Arial" w:eastAsia="Arial" w:hAnsi="Arial"/>
                <w:sz w:val="16"/>
                <w:szCs w:val="16"/>
                <w:color w:val="auto"/>
              </w:rPr>
              <w:t>Adjustments due to changes in</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06"/>
        </w:trPr>
        <w:tc>
          <w:tcPr>
            <w:tcW w:w="2740" w:type="dxa"/>
            <w:vAlign w:val="bottom"/>
          </w:tcPr>
          <w:p>
            <w:pPr>
              <w:ind w:left="300"/>
              <w:spacing w:after="0"/>
              <w:rPr>
                <w:sz w:val="20"/>
                <w:szCs w:val="20"/>
                <w:color w:val="auto"/>
              </w:rPr>
            </w:pPr>
            <w:r>
              <w:rPr>
                <w:rFonts w:ascii="Arial" w:cs="Arial" w:eastAsia="Arial" w:hAnsi="Arial"/>
                <w:sz w:val="16"/>
                <w:szCs w:val="16"/>
                <w:color w:val="auto"/>
              </w:rPr>
              <w:t>subsidiaries’ equity and other, net</w:t>
            </w: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2021</w:t>
            </w: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4,698.3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17,205.7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26,882.1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26,550.0</w:t>
            </w:r>
          </w:p>
        </w:tc>
        <w:tc>
          <w:tcPr>
            <w:tcW w:w="0" w:type="dxa"/>
            <w:vAlign w:val="bottom"/>
          </w:tcPr>
          <w:p>
            <w:pPr>
              <w:spacing w:after="0"/>
              <w:rPr>
                <w:sz w:val="1"/>
                <w:szCs w:val="1"/>
                <w:color w:val="auto"/>
              </w:rPr>
            </w:pPr>
          </w:p>
        </w:tc>
      </w:tr>
      <w:tr>
        <w:trPr>
          <w:trHeight w:val="210"/>
        </w:trPr>
        <w:tc>
          <w:tcPr>
            <w:tcW w:w="274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318.7</w:t>
            </w: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Other comprehensive loss, net of taxes</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(974.2)</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Arial" w:cs="Arial" w:eastAsia="Arial" w:hAnsi="Arial"/>
                <w:sz w:val="16"/>
                <w:szCs w:val="16"/>
                <w:color w:val="auto"/>
              </w:rPr>
              <w:t>Repurchases and cancellations of</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(358.0)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(358.1)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206"/>
        </w:trPr>
        <w:tc>
          <w:tcPr>
            <w:tcW w:w="2740" w:type="dxa"/>
            <w:vAlign w:val="bottom"/>
          </w:tcPr>
          <w:p>
            <w:pPr>
              <w:ind w:left="300"/>
              <w:spacing w:after="0"/>
              <w:rPr>
                <w:sz w:val="20"/>
                <w:szCs w:val="20"/>
                <w:color w:val="auto"/>
              </w:rPr>
            </w:pPr>
            <w:r>
              <w:rPr>
                <w:rFonts w:ascii="Arial" w:cs="Arial" w:eastAsia="Arial" w:hAnsi="Arial"/>
                <w:sz w:val="16"/>
                <w:szCs w:val="16"/>
                <w:color w:val="auto"/>
              </w:rPr>
              <w:t>Liberty Global ordinary shares</w:t>
            </w: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Share-based compensation (note 13)</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Arial" w:cs="Arial" w:eastAsia="Arial" w:hAnsi="Arial"/>
                <w:sz w:val="16"/>
                <w:szCs w:val="16"/>
                <w:color w:val="auto"/>
              </w:rPr>
              <w:t>Adjustments due to changes in</w:t>
            </w: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6"/>
        </w:trPr>
        <w:tc>
          <w:tcPr>
            <w:tcW w:w="27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subsidiaries’ equity and other, net</w:t>
            </w: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September 30, 2021</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17,508.4</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25,592.7</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6"/>
                <w:szCs w:val="16"/>
                <w:b w:val="1"/>
                <w:bCs w:val="1"/>
                <w:color w:val="auto"/>
                <w:w w:val="90"/>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6"/>
            <w:vMerge w:val="restart"/>
          </w:tcPr>
          <w:p>
            <w:pPr>
              <w:jc w:val="right"/>
              <w:spacing w:after="0"/>
              <w:rPr>
                <w:sz w:val="20"/>
                <w:szCs w:val="20"/>
                <w:color w:val="auto"/>
              </w:rPr>
            </w:pPr>
            <w:r>
              <w:rPr>
                <w:rFonts w:ascii="Arial" w:cs="Arial" w:eastAsia="Arial" w:hAnsi="Arial"/>
                <w:sz w:val="16"/>
                <w:szCs w:val="16"/>
                <w:b w:val="1"/>
                <w:bCs w:val="1"/>
                <w:color w:val="auto"/>
              </w:rPr>
              <w:t>Ordinary shares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3"/>
              </w:rPr>
              <w:t>Liberty</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39" w:lineRule="exact"/>
              <w:rPr>
                <w:sz w:val="20"/>
                <w:szCs w:val="20"/>
                <w:color w:val="auto"/>
              </w:rPr>
            </w:pPr>
            <w:r>
              <w:rPr>
                <w:rFonts w:ascii="Arial" w:cs="Arial" w:eastAsia="Arial" w:hAnsi="Arial"/>
                <w:sz w:val="16"/>
                <w:szCs w:val="16"/>
                <w:b w:val="1"/>
                <w:bCs w:val="1"/>
                <w:color w:val="auto"/>
              </w:rPr>
              <w:t>paid-in</w:t>
            </w:r>
          </w:p>
        </w:tc>
        <w:tc>
          <w:tcPr>
            <w:tcW w:w="102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7"/>
              </w:rPr>
              <w:t>Accumulated</w:t>
            </w:r>
          </w:p>
        </w:tc>
        <w:tc>
          <w:tcPr>
            <w:tcW w:w="1140" w:type="dxa"/>
            <w:vAlign w:val="bottom"/>
            <w:gridSpan w:val="3"/>
          </w:tcPr>
          <w:p>
            <w:pPr>
              <w:jc w:val="center"/>
              <w:ind w:right="80"/>
              <w:spacing w:after="0" w:line="139" w:lineRule="exact"/>
              <w:rPr>
                <w:sz w:val="20"/>
                <w:szCs w:val="20"/>
                <w:color w:val="auto"/>
              </w:rPr>
            </w:pPr>
            <w:r>
              <w:rPr>
                <w:rFonts w:ascii="Arial" w:cs="Arial" w:eastAsia="Arial" w:hAnsi="Arial"/>
                <w:sz w:val="16"/>
                <w:szCs w:val="16"/>
                <w:b w:val="1"/>
                <w:bCs w:val="1"/>
                <w:color w:val="auto"/>
                <w:w w:val="86"/>
              </w:rPr>
              <w:t>earnings (loss),</w:t>
            </w:r>
          </w:p>
        </w:tc>
        <w:tc>
          <w:tcPr>
            <w:tcW w:w="100" w:type="dxa"/>
            <w:vAlign w:val="bottom"/>
          </w:tcPr>
          <w:p>
            <w:pPr>
              <w:spacing w:after="0"/>
              <w:rPr>
                <w:sz w:val="12"/>
                <w:szCs w:val="12"/>
                <w:color w:val="auto"/>
              </w:rPr>
            </w:pPr>
          </w:p>
        </w:tc>
        <w:tc>
          <w:tcPr>
            <w:tcW w:w="660" w:type="dxa"/>
            <w:vAlign w:val="bottom"/>
            <w:gridSpan w:val="2"/>
          </w:tcPr>
          <w:p>
            <w:pPr>
              <w:spacing w:after="0" w:line="139" w:lineRule="exact"/>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9"/>
              </w:rPr>
              <w:t>controlling</w:t>
            </w:r>
          </w:p>
        </w:tc>
        <w:tc>
          <w:tcPr>
            <w:tcW w:w="160" w:type="dxa"/>
            <w:vAlign w:val="bottom"/>
          </w:tcPr>
          <w:p>
            <w:pPr>
              <w:spacing w:after="0"/>
              <w:rPr>
                <w:sz w:val="12"/>
                <w:szCs w:val="12"/>
                <w:color w:val="auto"/>
              </w:rPr>
            </w:pPr>
          </w:p>
        </w:tc>
        <w:tc>
          <w:tcPr>
            <w:tcW w:w="680" w:type="dxa"/>
            <w:vAlign w:val="bottom"/>
          </w:tcPr>
          <w:p>
            <w:pPr>
              <w:jc w:val="right"/>
              <w:ind w:right="161"/>
              <w:spacing w:after="0" w:line="13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A</w:t>
            </w: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Class B</w:t>
            </w:r>
          </w:p>
        </w:tc>
        <w:tc>
          <w:tcPr>
            <w:tcW w:w="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88"/>
              </w:rPr>
              <w:t>Class C</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6"/>
              </w:rPr>
              <w:t>earnings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7"/>
              </w:rPr>
              <w:t>net 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3"/>
              </w:rPr>
              <w:t>interests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97"/>
              </w:rPr>
              <w:t>equity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2022</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25,598.0</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1,110.3</w:t>
            </w: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Other comprehensive loss, net of taxes</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(1,217.8)</w:t>
            </w: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line="162" w:lineRule="exact"/>
              <w:rPr>
                <w:sz w:val="20"/>
                <w:szCs w:val="20"/>
                <w:color w:val="auto"/>
              </w:rPr>
            </w:pPr>
            <w:r>
              <w:rPr>
                <w:rFonts w:ascii="Arial" w:cs="Arial" w:eastAsia="Arial" w:hAnsi="Arial"/>
                <w:sz w:val="16"/>
                <w:szCs w:val="16"/>
                <w:color w:val="auto"/>
                <w:w w:val="89"/>
              </w:rPr>
              <w:t>Repurchases and cancellations of Liberty</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7"/>
              </w:rPr>
              <w:t>(0.2)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(495.9)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(496.1)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(496.1)</w:t>
            </w:r>
          </w:p>
        </w:tc>
        <w:tc>
          <w:tcPr>
            <w:tcW w:w="0" w:type="dxa"/>
            <w:vAlign w:val="bottom"/>
          </w:tcPr>
          <w:p>
            <w:pPr>
              <w:spacing w:after="0"/>
              <w:rPr>
                <w:sz w:val="1"/>
                <w:szCs w:val="1"/>
                <w:color w:val="auto"/>
              </w:rPr>
            </w:pPr>
          </w:p>
        </w:tc>
      </w:tr>
      <w:tr>
        <w:trPr>
          <w:trHeight w:val="206"/>
        </w:trPr>
        <w:tc>
          <w:tcPr>
            <w:tcW w:w="2780" w:type="dxa"/>
            <w:vAlign w:val="bottom"/>
          </w:tcPr>
          <w:p>
            <w:pPr>
              <w:ind w:left="300"/>
              <w:spacing w:after="0"/>
              <w:rPr>
                <w:sz w:val="20"/>
                <w:szCs w:val="20"/>
                <w:color w:val="auto"/>
              </w:rPr>
            </w:pPr>
            <w:r>
              <w:rPr>
                <w:rFonts w:ascii="Arial" w:cs="Arial" w:eastAsia="Arial" w:hAnsi="Arial"/>
                <w:sz w:val="16"/>
                <w:szCs w:val="16"/>
                <w:color w:val="auto"/>
              </w:rPr>
              <w:t>Global ordinary shares (note 12)</w:t>
            </w: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Share-based compensation (note 13)</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line="162" w:lineRule="exact"/>
              <w:rPr>
                <w:sz w:val="20"/>
                <w:szCs w:val="20"/>
                <w:color w:val="auto"/>
              </w:rPr>
            </w:pPr>
            <w:r>
              <w:rPr>
                <w:rFonts w:ascii="Arial" w:cs="Arial" w:eastAsia="Arial" w:hAnsi="Arial"/>
                <w:sz w:val="16"/>
                <w:szCs w:val="16"/>
                <w:color w:val="auto"/>
              </w:rPr>
              <w:t>Repurchases by Telenet of its</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6"/>
        </w:trPr>
        <w:tc>
          <w:tcPr>
            <w:tcW w:w="2780" w:type="dxa"/>
            <w:vAlign w:val="bottom"/>
          </w:tcPr>
          <w:p>
            <w:pPr>
              <w:ind w:left="300"/>
              <w:spacing w:after="0"/>
              <w:rPr>
                <w:sz w:val="20"/>
                <w:szCs w:val="20"/>
                <w:color w:val="auto"/>
              </w:rPr>
            </w:pPr>
            <w:r>
              <w:rPr>
                <w:rFonts w:ascii="Arial" w:cs="Arial" w:eastAsia="Arial" w:hAnsi="Arial"/>
                <w:sz w:val="16"/>
                <w:szCs w:val="16"/>
                <w:color w:val="auto"/>
              </w:rPr>
              <w:t>outstanding shares</w:t>
            </w: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Adjustments due to changes in</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subsidiaries’ equity and other, net</w:t>
            </w: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3,406.1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19,182.8</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2,673.9</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25,267.8</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(260.7)</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25,007.1</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3,131.1</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Arial" w:cs="Arial" w:eastAsia="Arial" w:hAnsi="Arial"/>
                <w:sz w:val="16"/>
                <w:szCs w:val="16"/>
                <w:color w:val="auto"/>
                <w:w w:val="94"/>
              </w:rPr>
              <w:t>Other comprehensive loss, net of taxes</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(2,723.2)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(2,723.2)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9"/>
              </w:rPr>
              <w:t>(2,715.9)</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89"/>
              </w:rPr>
              <w:t>Repurchases and cancellations of Liberty</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(565.9)</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Global ordinary shares (note 12)</w:t>
            </w: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line="162" w:lineRule="exact"/>
              <w:rPr>
                <w:sz w:val="20"/>
                <w:szCs w:val="20"/>
                <w:color w:val="auto"/>
              </w:rPr>
            </w:pPr>
            <w:r>
              <w:rPr>
                <w:rFonts w:ascii="Arial" w:cs="Arial" w:eastAsia="Arial" w:hAnsi="Arial"/>
                <w:sz w:val="16"/>
                <w:szCs w:val="16"/>
                <w:color w:val="auto"/>
                <w:w w:val="93"/>
              </w:rPr>
              <w:t>Dividend distributions by subsidiaries to</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6"/>
        </w:trPr>
        <w:tc>
          <w:tcPr>
            <w:tcW w:w="2780" w:type="dxa"/>
            <w:vAlign w:val="bottom"/>
          </w:tcPr>
          <w:p>
            <w:pPr>
              <w:ind w:left="300"/>
              <w:spacing w:after="0"/>
              <w:rPr>
                <w:sz w:val="20"/>
                <w:szCs w:val="20"/>
                <w:color w:val="auto"/>
              </w:rPr>
            </w:pPr>
            <w:r>
              <w:rPr>
                <w:rFonts w:ascii="Arial" w:cs="Arial" w:eastAsia="Arial" w:hAnsi="Arial"/>
                <w:sz w:val="16"/>
                <w:szCs w:val="16"/>
                <w:color w:val="auto"/>
              </w:rPr>
              <w:t>noncontrolling interest owners</w:t>
            </w: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Share-based compensation (note 13)</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line="162" w:lineRule="exact"/>
              <w:rPr>
                <w:sz w:val="20"/>
                <w:szCs w:val="20"/>
                <w:color w:val="auto"/>
              </w:rPr>
            </w:pPr>
            <w:r>
              <w:rPr>
                <w:rFonts w:ascii="Arial" w:cs="Arial" w:eastAsia="Arial" w:hAnsi="Arial"/>
                <w:sz w:val="16"/>
                <w:szCs w:val="16"/>
                <w:color w:val="auto"/>
              </w:rPr>
              <w:t>Adjustments due to changes in</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6"/>
        </w:trPr>
        <w:tc>
          <w:tcPr>
            <w:tcW w:w="2780" w:type="dxa"/>
            <w:vAlign w:val="bottom"/>
          </w:tcPr>
          <w:p>
            <w:pPr>
              <w:ind w:left="300"/>
              <w:spacing w:after="0"/>
              <w:rPr>
                <w:sz w:val="20"/>
                <w:szCs w:val="20"/>
                <w:color w:val="auto"/>
              </w:rPr>
            </w:pPr>
            <w:r>
              <w:rPr>
                <w:rFonts w:ascii="Arial" w:cs="Arial" w:eastAsia="Arial" w:hAnsi="Arial"/>
                <w:sz w:val="16"/>
                <w:szCs w:val="16"/>
                <w:color w:val="auto"/>
              </w:rPr>
              <w:t>subsidiaries’ equity and other, net</w:t>
            </w: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2,851.1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21,969.4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24,805.6</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2,348.0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2,431.7</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Other comprehensive loss, net of taxes</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(3,267.2)</w:t>
            </w: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line="162" w:lineRule="exact"/>
              <w:rPr>
                <w:sz w:val="20"/>
                <w:szCs w:val="20"/>
                <w:color w:val="auto"/>
              </w:rPr>
            </w:pPr>
            <w:r>
              <w:rPr>
                <w:rFonts w:ascii="Arial" w:cs="Arial" w:eastAsia="Arial" w:hAnsi="Arial"/>
                <w:sz w:val="16"/>
                <w:szCs w:val="16"/>
                <w:color w:val="auto"/>
                <w:w w:val="89"/>
              </w:rPr>
              <w:t>Repurchases and cancellations of Liberty</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7"/>
              </w:rPr>
              <w:t>(0.2)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(525.1)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(525.3)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(525.3)</w:t>
            </w:r>
          </w:p>
        </w:tc>
        <w:tc>
          <w:tcPr>
            <w:tcW w:w="0" w:type="dxa"/>
            <w:vAlign w:val="bottom"/>
          </w:tcPr>
          <w:p>
            <w:pPr>
              <w:spacing w:after="0"/>
              <w:rPr>
                <w:sz w:val="1"/>
                <w:szCs w:val="1"/>
                <w:color w:val="auto"/>
              </w:rPr>
            </w:pPr>
          </w:p>
        </w:tc>
      </w:tr>
      <w:tr>
        <w:trPr>
          <w:trHeight w:val="206"/>
        </w:trPr>
        <w:tc>
          <w:tcPr>
            <w:tcW w:w="2780" w:type="dxa"/>
            <w:vAlign w:val="bottom"/>
          </w:tcPr>
          <w:p>
            <w:pPr>
              <w:ind w:left="300"/>
              <w:spacing w:after="0"/>
              <w:rPr>
                <w:sz w:val="20"/>
                <w:szCs w:val="20"/>
                <w:color w:val="auto"/>
              </w:rPr>
            </w:pPr>
            <w:r>
              <w:rPr>
                <w:rFonts w:ascii="Arial" w:cs="Arial" w:eastAsia="Arial" w:hAnsi="Arial"/>
                <w:sz w:val="16"/>
                <w:szCs w:val="16"/>
                <w:color w:val="auto"/>
              </w:rPr>
              <w:t>Global ordinary shares (note 12)</w:t>
            </w: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Share-based compensation (note 13)</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line="162" w:lineRule="exact"/>
              <w:rPr>
                <w:sz w:val="20"/>
                <w:szCs w:val="20"/>
                <w:color w:val="auto"/>
              </w:rPr>
            </w:pPr>
            <w:r>
              <w:rPr>
                <w:rFonts w:ascii="Arial" w:cs="Arial" w:eastAsia="Arial" w:hAnsi="Arial"/>
                <w:sz w:val="16"/>
                <w:szCs w:val="16"/>
                <w:color w:val="auto"/>
                <w:w w:val="93"/>
              </w:rPr>
              <w:t>Dividend distributions by subsidiaries to</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2780" w:type="dxa"/>
            <w:vAlign w:val="bottom"/>
          </w:tcPr>
          <w:p>
            <w:pPr>
              <w:ind w:left="300"/>
              <w:spacing w:after="0"/>
              <w:rPr>
                <w:sz w:val="20"/>
                <w:szCs w:val="20"/>
                <w:color w:val="auto"/>
              </w:rPr>
            </w:pPr>
            <w:r>
              <w:rPr>
                <w:rFonts w:ascii="Arial" w:cs="Arial" w:eastAsia="Arial" w:hAnsi="Arial"/>
                <w:sz w:val="16"/>
                <w:szCs w:val="16"/>
                <w:color w:val="auto"/>
              </w:rPr>
              <w:t>noncontrolling interest owners</w:t>
            </w:r>
          </w:p>
        </w:tc>
        <w:tc>
          <w:tcPr>
            <w:tcW w:w="2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Adjustments due to changes in</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subsidiaries’ equity and other, net</w:t>
            </w: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2,371.2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24,317.4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(3,316.5)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23,376.7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23,489.1</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Nine months ended</w:t>
      </w:r>
    </w:p>
    <w:p>
      <w:pPr>
        <w:jc w:val="center"/>
        <w:ind w:left="878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r>
      <w:tr>
        <w:trPr>
          <w:trHeight w:val="202"/>
        </w:trPr>
        <w:tc>
          <w:tcPr>
            <w:tcW w:w="8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63"/>
        </w:trPr>
        <w:tc>
          <w:tcPr>
            <w:tcW w:w="8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5"/>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88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6,673.1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12,933.5</w:t>
            </w:r>
          </w:p>
        </w:tc>
      </w:tr>
      <w:tr>
        <w:trPr>
          <w:trHeight w:val="226"/>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from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18"/>
        </w:trPr>
        <w:tc>
          <w:tcPr>
            <w:tcW w:w="8800" w:type="dxa"/>
            <w:vAlign w:val="bottom"/>
          </w:tcPr>
          <w:p>
            <w:pPr>
              <w:ind w:left="240"/>
              <w:spacing w:after="0" w:line="204" w:lineRule="exact"/>
              <w:rPr>
                <w:sz w:val="20"/>
                <w:szCs w:val="20"/>
                <w:color w:val="auto"/>
              </w:rPr>
            </w:pPr>
            <w:r>
              <w:rPr>
                <w:rFonts w:ascii="Arial" w:cs="Arial" w:eastAsia="Arial" w:hAnsi="Arial"/>
                <w:sz w:val="18"/>
                <w:szCs w:val="18"/>
                <w:color w:val="auto"/>
              </w:rPr>
              <w:t>Earnings from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12,889.2</w:t>
            </w:r>
          </w:p>
        </w:tc>
      </w:tr>
      <w:tr>
        <w:trPr>
          <w:trHeight w:val="174"/>
        </w:trPr>
        <w:tc>
          <w:tcPr>
            <w:tcW w:w="88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w w:val="90"/>
              </w:rPr>
              <w:t>Adjustments to reconcile earnings from continuing operations to net cash provided by operating activities of continuing</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8"/>
        </w:trPr>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220.6</w:t>
            </w: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w:t>
            </w: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Impairment, restructuring and other operating items,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 and non-cash interest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Realized and unrealized gains on derivative instruments,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(707.4)</w:t>
            </w: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r>
      <w:tr>
        <w:trPr>
          <w:trHeight w:val="173"/>
        </w:trPr>
        <w:tc>
          <w:tcPr>
            <w:tcW w:w="8800" w:type="dxa"/>
            <w:vAlign w:val="bottom"/>
          </w:tcPr>
          <w:p>
            <w:pPr>
              <w:ind w:left="360"/>
              <w:spacing w:after="0" w:line="173" w:lineRule="exact"/>
              <w:rPr>
                <w:sz w:val="20"/>
                <w:szCs w:val="20"/>
                <w:color w:val="auto"/>
              </w:rPr>
            </w:pPr>
            <w:r>
              <w:rPr>
                <w:rFonts w:ascii="Arial" w:cs="Arial" w:eastAsia="Arial" w:hAnsi="Arial"/>
                <w:sz w:val="18"/>
                <w:szCs w:val="18"/>
                <w:color w:val="auto"/>
              </w:rPr>
              <w:t>Realized and unrealized losses (gains) due to changes in fair values of certain investments,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(373.3)</w:t>
            </w: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(gains) on debt extinguishment,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Share of results of affiliates,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Gain on Telenet Tower Sale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U.K. JV Transaction</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(10,790.7)</w:t>
            </w: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Gain on Atlas Edge JV Transactions</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(213.7)</w:t>
            </w: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Dividend distributions received from the VMO2 JV</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distributions received from the VodafoneZiggo JV</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r>
      <w:tr>
        <w:trPr>
          <w:trHeight w:val="218"/>
        </w:trPr>
        <w:tc>
          <w:tcPr>
            <w:tcW w:w="8800" w:type="dxa"/>
            <w:vAlign w:val="bottom"/>
          </w:tcPr>
          <w:p>
            <w:pPr>
              <w:ind w:left="500"/>
              <w:spacing w:after="0" w:line="204" w:lineRule="exact"/>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2,414.0</w:t>
            </w:r>
          </w:p>
        </w:tc>
      </w:tr>
      <w:tr>
        <w:trPr>
          <w:trHeight w:val="226"/>
        </w:trPr>
        <w:tc>
          <w:tcPr>
            <w:tcW w:w="8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18"/>
        </w:trPr>
        <w:tc>
          <w:tcPr>
            <w:tcW w:w="8800" w:type="dxa"/>
            <w:vAlign w:val="bottom"/>
          </w:tcPr>
          <w:p>
            <w:pPr>
              <w:ind w:left="660"/>
              <w:spacing w:after="0" w:line="204" w:lineRule="exact"/>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p>
      <w:pPr>
        <w:jc w:val="center"/>
        <w:ind w:left="8760"/>
        <w:spacing w:after="0"/>
        <w:rPr>
          <w:sz w:val="20"/>
          <w:szCs w:val="20"/>
          <w:color w:val="auto"/>
        </w:rPr>
      </w:pPr>
      <w:r>
        <w:rPr>
          <w:rFonts w:ascii="Arial" w:cs="Arial" w:eastAsia="Arial" w:hAnsi="Arial"/>
          <w:sz w:val="16"/>
          <w:szCs w:val="16"/>
          <w:b w:val="1"/>
          <w:bCs w:val="1"/>
          <w:color w:val="auto"/>
        </w:rPr>
        <w:t>Nine months ended</w:t>
      </w:r>
    </w:p>
    <w:p>
      <w:pPr>
        <w:jc w:val="center"/>
        <w:ind w:left="876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r>
      <w:tr>
        <w:trPr>
          <w:trHeight w:val="202"/>
        </w:trPr>
        <w:tc>
          <w:tcPr>
            <w:tcW w:w="8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63"/>
        </w:trPr>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Cash received from the sale of investments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7,560.4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4,770.7</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investments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(5,895.0)</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Cash received in connection with the sale of UPC Poland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Cash received in connection with the Telenet Tower Sale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distributions received from the VMO2 JV</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3"/>
        </w:trPr>
        <w:tc>
          <w:tcPr>
            <w:tcW w:w="8780" w:type="dxa"/>
            <w:vAlign w:val="bottom"/>
          </w:tcPr>
          <w:p>
            <w:pPr>
              <w:ind w:left="140"/>
              <w:spacing w:after="0" w:line="173" w:lineRule="exact"/>
              <w:rPr>
                <w:sz w:val="20"/>
                <w:szCs w:val="20"/>
                <w:color w:val="auto"/>
              </w:rPr>
            </w:pPr>
            <w:r>
              <w:rPr>
                <w:rFonts w:ascii="Arial" w:cs="Arial" w:eastAsia="Arial" w:hAnsi="Arial"/>
                <w:sz w:val="18"/>
                <w:szCs w:val="18"/>
                <w:color w:val="auto"/>
              </w:rPr>
              <w:t>Cash and restricted cash contributed to the VMO2 JV in connection with the U.K. JV</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7"/>
        </w:trPr>
        <w:tc>
          <w:tcPr>
            <w:tcW w:w="8780" w:type="dxa"/>
            <w:vAlign w:val="bottom"/>
          </w:tcPr>
          <w:p>
            <w:pPr>
              <w:ind w:left="260"/>
              <w:spacing w:after="0"/>
              <w:rPr>
                <w:sz w:val="20"/>
                <w:szCs w:val="20"/>
                <w:color w:val="auto"/>
              </w:rPr>
            </w:pPr>
            <w:r>
              <w:rPr>
                <w:rFonts w:ascii="Arial" w:cs="Arial" w:eastAsia="Arial" w:hAnsi="Arial"/>
                <w:sz w:val="18"/>
                <w:szCs w:val="18"/>
                <w:color w:val="auto"/>
              </w:rPr>
              <w:t>Transaction</w:t>
            </w:r>
          </w:p>
        </w:tc>
        <w:tc>
          <w:tcPr>
            <w:tcW w:w="2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(3,424.0)</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to the VodafoneZiggo JV</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Cash received in connection with the Atlas Edge JV Transactions</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received in connection with the U.K. JV Transaction</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25"/>
        </w:trPr>
        <w:tc>
          <w:tcPr>
            <w:tcW w:w="8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r>
      <w:tr>
        <w:trPr>
          <w:trHeight w:val="219"/>
        </w:trPr>
        <w:tc>
          <w:tcPr>
            <w:tcW w:w="878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Net cash provided (used) by investing activities of continuing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(5,704.3)</w:t>
            </w:r>
          </w:p>
        </w:tc>
      </w:tr>
      <w:tr>
        <w:trPr>
          <w:trHeight w:val="225"/>
        </w:trPr>
        <w:tc>
          <w:tcPr>
            <w:tcW w:w="8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cash used by investing activities of discontinued operations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19"/>
        </w:trPr>
        <w:tc>
          <w:tcPr>
            <w:tcW w:w="878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Net cash provided (used) by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(5,742.3)</w:t>
            </w:r>
          </w:p>
        </w:tc>
      </w:tr>
      <w:tr>
        <w:trPr>
          <w:trHeight w:val="245"/>
        </w:trPr>
        <w:tc>
          <w:tcPr>
            <w:tcW w:w="8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Borrowings of debt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2,570.7</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Operating-related vendor financing additions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Repayments and repurchases of debt and finance lease obligations: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6"/>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(excluding vendor financing)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r>
      <w:tr>
        <w:trPr>
          <w:trHeight w:val="225"/>
        </w:trPr>
        <w:tc>
          <w:tcPr>
            <w:tcW w:w="8780" w:type="dxa"/>
            <w:vAlign w:val="bottom"/>
          </w:tcPr>
          <w:p>
            <w:pPr>
              <w:ind w:left="260"/>
              <w:spacing w:after="0"/>
              <w:rPr>
                <w:sz w:val="20"/>
                <w:szCs w:val="20"/>
                <w:color w:val="auto"/>
              </w:rPr>
            </w:pPr>
            <w:r>
              <w:rPr>
                <w:rFonts w:ascii="Arial" w:cs="Arial" w:eastAsia="Arial" w:hAnsi="Arial"/>
                <w:sz w:val="18"/>
                <w:szCs w:val="18"/>
                <w:color w:val="auto"/>
              </w:rPr>
              <w:t>Principal payments on operating-related vendor financing</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(1,279.6)</w:t>
            </w:r>
          </w:p>
        </w:tc>
      </w:tr>
      <w:tr>
        <w:trPr>
          <w:trHeight w:val="226"/>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capital-related vendor financing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r>
      <w:tr>
        <w:trPr>
          <w:trHeight w:val="225"/>
        </w:trPr>
        <w:tc>
          <w:tcPr>
            <w:tcW w:w="8780" w:type="dxa"/>
            <w:vAlign w:val="bottom"/>
          </w:tcPr>
          <w:p>
            <w:pPr>
              <w:ind w:left="260"/>
              <w:spacing w:after="0"/>
              <w:rPr>
                <w:sz w:val="20"/>
                <w:szCs w:val="20"/>
                <w:color w:val="auto"/>
              </w:rPr>
            </w:pPr>
            <w:r>
              <w:rPr>
                <w:rFonts w:ascii="Arial" w:cs="Arial" w:eastAsia="Arial" w:hAnsi="Arial"/>
                <w:sz w:val="18"/>
                <w:szCs w:val="18"/>
                <w:color w:val="auto"/>
              </w:rPr>
              <w:t>Principal payments on finance leases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Dividend distributions by subsidiaries to noncontrolling interest owners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received (paid) related to derivative instruments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Payment of financing costs and debt premiums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by Telenet of its outstanding shares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19"/>
        </w:trPr>
        <w:tc>
          <w:tcPr>
            <w:tcW w:w="878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Net cash used by financing activities of continuing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r>
      <w:tr>
        <w:trPr>
          <w:trHeight w:val="225"/>
        </w:trPr>
        <w:tc>
          <w:tcPr>
            <w:tcW w:w="8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cash used by financing activities of discontinued operations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19"/>
        </w:trPr>
        <w:tc>
          <w:tcPr>
            <w:tcW w:w="878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Net cash used by financing activities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p>
      <w:pPr>
        <w:jc w:val="center"/>
        <w:ind w:left="8760"/>
        <w:spacing w:after="0"/>
        <w:rPr>
          <w:sz w:val="20"/>
          <w:szCs w:val="20"/>
          <w:color w:val="auto"/>
        </w:rPr>
      </w:pPr>
      <w:r>
        <w:rPr>
          <w:rFonts w:ascii="Arial" w:cs="Arial" w:eastAsia="Arial" w:hAnsi="Arial"/>
          <w:sz w:val="16"/>
          <w:szCs w:val="16"/>
          <w:b w:val="1"/>
          <w:bCs w:val="1"/>
          <w:color w:val="auto"/>
        </w:rPr>
        <w:t>Nine months ended</w:t>
      </w:r>
    </w:p>
    <w:p>
      <w:pPr>
        <w:jc w:val="center"/>
        <w:ind w:left="876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8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color w:val="auto"/>
              </w:rPr>
              <w:t>Net increase (decrease) in cash and cash equivalents and restricted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(4,022.4)</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(3,944.0)</w:t>
            </w: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color w:val="auto"/>
              </w:rPr>
              <w:t>Cash and cash equivalents and restricted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32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4,717.3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(decrease)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w:t>
            </w:r>
          </w:p>
        </w:tc>
        <w:tc>
          <w:tcPr>
            <w:tcW w:w="0" w:type="dxa"/>
            <w:vAlign w:val="bottom"/>
          </w:tcPr>
          <w:p>
            <w:pPr>
              <w:spacing w:after="0"/>
              <w:rPr>
                <w:sz w:val="1"/>
                <w:szCs w:val="1"/>
                <w:color w:val="auto"/>
              </w:rPr>
            </w:pPr>
          </w:p>
        </w:tc>
      </w:tr>
      <w:tr>
        <w:trPr>
          <w:trHeight w:val="218"/>
        </w:trPr>
        <w:tc>
          <w:tcPr>
            <w:tcW w:w="8780" w:type="dxa"/>
            <w:vAlign w:val="bottom"/>
          </w:tcPr>
          <w:p>
            <w:pPr>
              <w:ind w:left="500"/>
              <w:spacing w:after="0"/>
              <w:rPr>
                <w:sz w:val="20"/>
                <w:szCs w:val="20"/>
                <w:color w:val="auto"/>
              </w:rPr>
            </w:pPr>
            <w:r>
              <w:rPr>
                <w:rFonts w:ascii="Arial" w:cs="Arial" w:eastAsia="Arial" w:hAnsi="Arial"/>
                <w:sz w:val="18"/>
                <w:szCs w:val="18"/>
                <w:color w:val="auto"/>
              </w:rPr>
              <w:t>End of period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shd w:val="clear" w:color="auto" w:fill="CCEEFF"/>
          </w:tcPr>
          <w:p>
            <w:pPr>
              <w:ind w:left="340"/>
              <w:spacing w:after="0" w:line="193"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line="19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2"/>
              <w:spacing w:after="0" w:line="19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cash paid for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8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1,594.1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Restricted cash included in current assets of discontinued operations</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87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cash and cash equivalents and restricted cash</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hanging="334"/>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44"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Liberty Global plc (</w:t>
      </w:r>
      <w:r>
        <w:rPr>
          <w:rFonts w:ascii="Arial" w:cs="Arial" w:eastAsia="Arial" w:hAnsi="Arial"/>
          <w:sz w:val="15"/>
          <w:szCs w:val="15"/>
          <w:b w:val="1"/>
          <w:bCs w:val="1"/>
          <w:color w:val="auto"/>
        </w:rPr>
        <w:t>Liberty Global</w:t>
      </w:r>
      <w:r>
        <w:rPr>
          <w:rFonts w:ascii="Arial" w:cs="Arial" w:eastAsia="Arial" w:hAnsi="Arial"/>
          <w:sz w:val="15"/>
          <w:szCs w:val="15"/>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continuing operations comprise businesses that provide residential and business-to-business (</w:t>
      </w:r>
      <w:r>
        <w:rPr>
          <w:rFonts w:ascii="Arial" w:cs="Arial" w:eastAsia="Arial" w:hAnsi="Arial"/>
          <w:sz w:val="18"/>
          <w:szCs w:val="18"/>
          <w:b w:val="1"/>
          <w:bCs w:val="1"/>
          <w:color w:val="auto"/>
        </w:rPr>
        <w:t>B2B</w:t>
      </w:r>
      <w:r>
        <w:rPr>
          <w:rFonts w:ascii="Arial" w:cs="Arial" w:eastAsia="Arial" w:hAnsi="Arial"/>
          <w:sz w:val="18"/>
          <w:szCs w:val="18"/>
          <w:color w:val="auto"/>
        </w:rPr>
        <w:t>) communications services in (i) Switzerland and Slovakia through certain wholly-owned subsidiaries that we collectively refer to as “</w:t>
      </w:r>
      <w:r>
        <w:rPr>
          <w:rFonts w:ascii="Arial" w:cs="Arial" w:eastAsia="Arial" w:hAnsi="Arial"/>
          <w:sz w:val="18"/>
          <w:szCs w:val="18"/>
          <w:b w:val="1"/>
          <w:bCs w:val="1"/>
          <w:color w:val="auto"/>
        </w:rPr>
        <w:t>UPC Holding</w:t>
      </w:r>
      <w:r>
        <w:rPr>
          <w:rFonts w:ascii="Arial" w:cs="Arial" w:eastAsia="Arial" w:hAnsi="Arial"/>
          <w:sz w:val="18"/>
          <w:szCs w:val="18"/>
          <w:color w:val="auto"/>
        </w:rPr>
        <w:t>”, (ii) Belgium through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 61.1%-owned subsidiary, and (iii) Ireland through another wholly-owned subsidiary (</w:t>
      </w:r>
      <w:r>
        <w:rPr>
          <w:rFonts w:ascii="Arial" w:cs="Arial" w:eastAsia="Arial" w:hAnsi="Arial"/>
          <w:sz w:val="18"/>
          <w:szCs w:val="18"/>
          <w:b w:val="1"/>
          <w:bCs w:val="1"/>
          <w:color w:val="auto"/>
        </w:rPr>
        <w:t>VM Ireland</w:t>
      </w:r>
      <w:r>
        <w:rPr>
          <w:rFonts w:ascii="Arial" w:cs="Arial" w:eastAsia="Arial" w:hAnsi="Arial"/>
          <w:sz w:val="18"/>
          <w:szCs w:val="18"/>
          <w:color w:val="auto"/>
        </w:rPr>
        <w:t xml:space="preserve">). In addition, we own 50% noncontrolling interests in (a) a 50:50 joint venture (the </w:t>
      </w:r>
      <w:r>
        <w:rPr>
          <w:rFonts w:ascii="Arial" w:cs="Arial" w:eastAsia="Arial" w:hAnsi="Arial"/>
          <w:sz w:val="18"/>
          <w:szCs w:val="18"/>
          <w:b w:val="1"/>
          <w:bCs w:val="1"/>
          <w:color w:val="auto"/>
        </w:rPr>
        <w:t>VMO2 JV</w:t>
      </w:r>
      <w:r>
        <w:rPr>
          <w:rFonts w:ascii="Arial" w:cs="Arial" w:eastAsia="Arial" w:hAnsi="Arial"/>
          <w:sz w:val="18"/>
          <w:szCs w:val="18"/>
          <w:color w:val="auto"/>
        </w:rPr>
        <w:t>) with Telefónica SA (</w:t>
      </w:r>
      <w:r>
        <w:rPr>
          <w:rFonts w:ascii="Arial" w:cs="Arial" w:eastAsia="Arial" w:hAnsi="Arial"/>
          <w:sz w:val="18"/>
          <w:szCs w:val="18"/>
          <w:b w:val="1"/>
          <w:bCs w:val="1"/>
          <w:color w:val="auto"/>
        </w:rPr>
        <w:t>Telefónica</w:t>
      </w:r>
      <w:r>
        <w:rPr>
          <w:rFonts w:ascii="Arial" w:cs="Arial" w:eastAsia="Arial" w:hAnsi="Arial"/>
          <w:sz w:val="18"/>
          <w:szCs w:val="18"/>
          <w:color w:val="auto"/>
        </w:rPr>
        <w:t>), which provides residential and B2B communications services in the United Kingdom (</w:t>
      </w:r>
      <w:r>
        <w:rPr>
          <w:rFonts w:ascii="Arial" w:cs="Arial" w:eastAsia="Arial" w:hAnsi="Arial"/>
          <w:sz w:val="18"/>
          <w:szCs w:val="18"/>
          <w:b w:val="1"/>
          <w:bCs w:val="1"/>
          <w:color w:val="auto"/>
        </w:rPr>
        <w:t>U.K.</w:t>
      </w:r>
      <w:r>
        <w:rPr>
          <w:rFonts w:ascii="Arial" w:cs="Arial" w:eastAsia="Arial" w:hAnsi="Arial"/>
          <w:sz w:val="18"/>
          <w:szCs w:val="18"/>
          <w:color w:val="auto"/>
        </w:rPr>
        <w:t xml:space="preserve">), and (b) a 50:50 joint venture (the </w:t>
      </w:r>
      <w:r>
        <w:rPr>
          <w:rFonts w:ascii="Arial" w:cs="Arial" w:eastAsia="Arial" w:hAnsi="Arial"/>
          <w:sz w:val="18"/>
          <w:szCs w:val="18"/>
          <w:b w:val="1"/>
          <w:bCs w:val="1"/>
          <w:color w:val="auto"/>
        </w:rPr>
        <w:t>VodafoneZiggo JV</w:t>
      </w:r>
      <w:r>
        <w:rPr>
          <w:rFonts w:ascii="Arial" w:cs="Arial" w:eastAsia="Arial" w:hAnsi="Arial"/>
          <w:sz w:val="18"/>
          <w:szCs w:val="18"/>
          <w:color w:val="auto"/>
        </w:rPr>
        <w:t>) with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which provides residential and B2B communications services in the Netherlands.</w:t>
      </w:r>
    </w:p>
    <w:p>
      <w:pPr>
        <w:spacing w:after="0" w:line="2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in these condensed consolidated financial statements, our operations in Poland are reflected as discontinued operations for all applicable periods. For additional information, see note 4.</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May 31, 2021, our consolidated operations also included residential and B2B communications services provided to customers in the U.K. through Virgin Media Inc. (</w:t>
      </w:r>
      <w:r>
        <w:rPr>
          <w:rFonts w:ascii="Arial" w:cs="Arial" w:eastAsia="Arial" w:hAnsi="Arial"/>
          <w:sz w:val="18"/>
          <w:szCs w:val="18"/>
          <w:b w:val="1"/>
          <w:bCs w:val="1"/>
          <w:color w:val="auto"/>
        </w:rPr>
        <w:t>Virgin Media</w:t>
      </w:r>
      <w:r>
        <w:rPr>
          <w:rFonts w:ascii="Arial" w:cs="Arial" w:eastAsia="Arial" w:hAnsi="Arial"/>
          <w:sz w:val="18"/>
          <w:szCs w:val="18"/>
          <w:color w:val="auto"/>
        </w:rPr>
        <w:t>). On June 1, 2021, we contributed the U.K. JV Entities (as defined in note 4) to the VMO2 JV and began accounting for our 50% interest in the VMO2 JV as an equity method investment. For additional information, see note 4.</w:t>
      </w:r>
    </w:p>
    <w:p>
      <w:pPr>
        <w:spacing w:after="0" w:line="21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unaudited condensed consolidated financial statements have been prepared in accordance with accounting principles generally accepted in the United States (</w:t>
      </w:r>
      <w:r>
        <w:rPr>
          <w:rFonts w:ascii="Arial" w:cs="Arial" w:eastAsia="Arial" w:hAnsi="Arial"/>
          <w:sz w:val="15"/>
          <w:szCs w:val="15"/>
          <w:b w:val="1"/>
          <w:bCs w:val="1"/>
          <w:color w:val="auto"/>
        </w:rPr>
        <w:t>GAAP</w:t>
      </w:r>
      <w:r>
        <w:rPr>
          <w:rFonts w:ascii="Arial" w:cs="Arial" w:eastAsia="Arial" w:hAnsi="Arial"/>
          <w:sz w:val="15"/>
          <w:szCs w:val="15"/>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2021 consolidated financial statements and notes thereto included in our 2021 Annual Report on Form 10-K, as amended (our </w:t>
      </w:r>
      <w:r>
        <w:rPr>
          <w:rFonts w:ascii="Arial" w:cs="Arial" w:eastAsia="Arial" w:hAnsi="Arial"/>
          <w:sz w:val="15"/>
          <w:szCs w:val="15"/>
          <w:b w:val="1"/>
          <w:bCs w:val="1"/>
          <w:color w:val="auto"/>
        </w:rPr>
        <w:t>10-K</w:t>
      </w:r>
      <w:r>
        <w:rPr>
          <w:rFonts w:ascii="Arial" w:cs="Arial" w:eastAsia="Arial" w:hAnsi="Arial"/>
          <w:sz w:val="15"/>
          <w:szCs w:val="15"/>
          <w:color w:val="auto"/>
        </w:rPr>
        <w:t>).</w:t>
      </w:r>
    </w:p>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20" w:right="8160" w:hanging="314"/>
        <w:spacing w:after="0" w:line="514"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Recent Accounting Pronouncements </w:t>
      </w:r>
      <w:r>
        <w:rPr>
          <w:rFonts w:ascii="Arial" w:cs="Arial" w:eastAsia="Arial" w:hAnsi="Arial"/>
          <w:sz w:val="18"/>
          <w:szCs w:val="18"/>
          <w:i w:val="1"/>
          <w:iCs w:val="1"/>
          <w:color w:val="auto"/>
        </w:rPr>
        <w:t>ASU 2022-04</w:t>
      </w:r>
    </w:p>
    <w:p>
      <w:pPr>
        <w:spacing w:after="0" w:line="1" w:lineRule="exact"/>
        <w:rPr>
          <w:sz w:val="20"/>
          <w:szCs w:val="20"/>
          <w:color w:val="auto"/>
        </w:rPr>
      </w:pPr>
    </w:p>
    <w:p>
      <w:pPr>
        <w:jc w:val="both"/>
        <w:ind w:firstLine="318"/>
        <w:spacing w:after="0" w:line="287" w:lineRule="auto"/>
        <w:rPr>
          <w:sz w:val="20"/>
          <w:szCs w:val="20"/>
          <w:color w:val="auto"/>
        </w:rPr>
      </w:pPr>
      <w:r>
        <w:rPr>
          <w:rFonts w:ascii="Arial" w:cs="Arial" w:eastAsia="Arial" w:hAnsi="Arial"/>
          <w:sz w:val="15"/>
          <w:szCs w:val="15"/>
          <w:color w:val="auto"/>
        </w:rPr>
        <w:t>In September 2022, the Financial Accounting Standards Board (</w:t>
      </w:r>
      <w:r>
        <w:rPr>
          <w:rFonts w:ascii="Arial" w:cs="Arial" w:eastAsia="Arial" w:hAnsi="Arial"/>
          <w:sz w:val="15"/>
          <w:szCs w:val="15"/>
          <w:b w:val="1"/>
          <w:bCs w:val="1"/>
          <w:color w:val="auto"/>
        </w:rPr>
        <w:t>FASB</w:t>
      </w:r>
      <w:r>
        <w:rPr>
          <w:rFonts w:ascii="Arial" w:cs="Arial" w:eastAsia="Arial" w:hAnsi="Arial"/>
          <w:sz w:val="15"/>
          <w:szCs w:val="15"/>
          <w:color w:val="auto"/>
        </w:rPr>
        <w:t>) issued Accounting Standards Update (</w:t>
      </w:r>
      <w:r>
        <w:rPr>
          <w:rFonts w:ascii="Arial" w:cs="Arial" w:eastAsia="Arial" w:hAnsi="Arial"/>
          <w:sz w:val="15"/>
          <w:szCs w:val="15"/>
          <w:b w:val="1"/>
          <w:bCs w:val="1"/>
          <w:color w:val="auto"/>
        </w:rPr>
        <w:t>ASU</w:t>
      </w:r>
      <w:r>
        <w:rPr>
          <w:rFonts w:ascii="Arial" w:cs="Arial" w:eastAsia="Arial" w:hAnsi="Arial"/>
          <w:sz w:val="15"/>
          <w:szCs w:val="15"/>
          <w:color w:val="auto"/>
        </w:rPr>
        <w:t xml:space="preserve">) No. 2022-04, </w:t>
      </w:r>
      <w:r>
        <w:rPr>
          <w:rFonts w:ascii="Arial" w:cs="Arial" w:eastAsia="Arial" w:hAnsi="Arial"/>
          <w:sz w:val="15"/>
          <w:szCs w:val="15"/>
          <w:i w:val="1"/>
          <w:iCs w:val="1"/>
          <w:color w:val="auto"/>
        </w:rPr>
        <w:t>Liabilities—Supplier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Finance Programs </w:t>
      </w:r>
      <w:r>
        <w:rPr>
          <w:rFonts w:ascii="Arial" w:cs="Arial" w:eastAsia="Arial" w:hAnsi="Arial"/>
          <w:sz w:val="15"/>
          <w:szCs w:val="15"/>
          <w:color w:val="auto"/>
        </w:rPr>
        <w:t>(</w:t>
      </w:r>
      <w:r>
        <w:rPr>
          <w:rFonts w:ascii="Arial" w:cs="Arial" w:eastAsia="Arial" w:hAnsi="Arial"/>
          <w:sz w:val="15"/>
          <w:szCs w:val="15"/>
          <w:b w:val="1"/>
          <w:bCs w:val="1"/>
          <w:color w:val="auto"/>
        </w:rPr>
        <w:t>ASU 2022-04</w:t>
      </w:r>
      <w:r>
        <w:rPr>
          <w:rFonts w:ascii="Arial" w:cs="Arial" w:eastAsia="Arial" w:hAnsi="Arial"/>
          <w:sz w:val="15"/>
          <w:szCs w:val="15"/>
          <w:color w:val="auto"/>
        </w:rPr>
        <w:t>), which requires additional disclosures for buyers participating in supplier financing programs, which we refer to as vendor</w:t>
      </w:r>
      <w:r>
        <w:rPr>
          <w:rFonts w:ascii="Arial" w:cs="Arial" w:eastAsia="Arial" w:hAnsi="Arial"/>
          <w:sz w:val="15"/>
          <w:szCs w:val="15"/>
          <w:i w:val="1"/>
          <w:iCs w:val="1"/>
          <w:color w:val="auto"/>
        </w:rPr>
        <w:t xml:space="preserve"> </w:t>
      </w:r>
      <w:r>
        <w:rPr>
          <w:rFonts w:ascii="Arial" w:cs="Arial" w:eastAsia="Arial" w:hAnsi="Arial"/>
          <w:sz w:val="15"/>
          <w:szCs w:val="15"/>
          <w:color w:val="auto"/>
        </w:rPr>
        <w:t>financing, including (i) the key terms of the arrangement, (ii) the confirmed amount outstanding at the end of the period, (iii) the balance sheet presentation of related amounts and (iv) a reconciliation of the balances from period to period. ASU 2022-04 is effective for annual reporting periods beginning after December 15, 2022, including interim periods within those fiscal years, with early adoption permitted. We do not expect ASU 2022-04 to have a significant impact on our consolidated financial statements. For additional information regarding our vendor financing obligations, see note 9.</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2021-08</w:t>
      </w:r>
    </w:p>
    <w:p>
      <w:pPr>
        <w:spacing w:after="0" w:line="22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Accounting for Contract Assets and Contract Liabilities from Contracts with Customers</w:t>
      </w:r>
      <w:r>
        <w:rPr>
          <w:rFonts w:ascii="Arial" w:cs="Arial" w:eastAsia="Arial" w:hAnsi="Arial"/>
          <w:sz w:val="17"/>
          <w:szCs w:val="17"/>
          <w:color w:val="auto"/>
        </w:rPr>
        <w:t xml:space="preserve"> (</w:t>
      </w:r>
      <w:r>
        <w:rPr>
          <w:rFonts w:ascii="Arial" w:cs="Arial" w:eastAsia="Arial" w:hAnsi="Arial"/>
          <w:sz w:val="17"/>
          <w:szCs w:val="17"/>
          <w:b w:val="1"/>
          <w:bCs w:val="1"/>
          <w:color w:val="auto"/>
        </w:rPr>
        <w:t>ASU</w:t>
      </w:r>
      <w:r>
        <w:rPr>
          <w:rFonts w:ascii="Arial" w:cs="Arial" w:eastAsia="Arial" w:hAnsi="Arial"/>
          <w:sz w:val="17"/>
          <w:szCs w:val="17"/>
          <w:color w:val="auto"/>
        </w:rPr>
        <w:t xml:space="preserve"> </w:t>
      </w:r>
      <w:r>
        <w:rPr>
          <w:rFonts w:ascii="Arial" w:cs="Arial" w:eastAsia="Arial" w:hAnsi="Arial"/>
          <w:sz w:val="17"/>
          <w:szCs w:val="17"/>
          <w:b w:val="1"/>
          <w:bCs w:val="1"/>
          <w:color w:val="auto"/>
        </w:rPr>
        <w:t>2021-08</w:t>
      </w:r>
      <w:r>
        <w:rPr>
          <w:rFonts w:ascii="Arial" w:cs="Arial" w:eastAsia="Arial" w:hAnsi="Arial"/>
          <w:sz w:val="17"/>
          <w:szCs w:val="17"/>
          <w:color w:val="auto"/>
        </w:rPr>
        <w:t>), which requires contract assets and contract liabilities acquired in a business combination to be recognized and measured in accordance with Topic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if the acquirer had originated the contracts. ASU 2021-08 is effective for annual reporting periods beginning after December 15, 2022, including interim periods within those fiscal years, with early adoption permitted. The main impact of the adoption of ASU 2021-08 will be the recognition of contract assets and contract liabilities in future business combinations at amounts generally consistent with the carrying value of such assets and liabilities of the acquiree immediately before the acquisition date.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2020-04</w:t>
      </w:r>
    </w:p>
    <w:p>
      <w:pPr>
        <w:spacing w:after="0" w:line="23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 April 2020, the FASB issued ASU No. 2020-04, </w:t>
      </w:r>
      <w:r>
        <w:rPr>
          <w:rFonts w:ascii="Arial" w:cs="Arial" w:eastAsia="Arial" w:hAnsi="Arial"/>
          <w:sz w:val="18"/>
          <w:szCs w:val="18"/>
          <w:i w:val="1"/>
          <w:iCs w:val="1"/>
          <w:color w:val="auto"/>
        </w:rPr>
        <w:t>Facilitation of the Effects of Reference Rate Reform on Financial 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ASU 2020-04</w:t>
      </w:r>
      <w:r>
        <w:rPr>
          <w:rFonts w:ascii="Arial" w:cs="Arial" w:eastAsia="Arial" w:hAnsi="Arial"/>
          <w:sz w:val="18"/>
          <w:szCs w:val="18"/>
          <w:color w:val="auto"/>
        </w:rPr>
        <w:t>), which provides optional expedients and exceptions for contract modifications, subject to meeting certain criteria, that reference the London Interbank Offered Rate (</w:t>
      </w:r>
      <w:r>
        <w:rPr>
          <w:rFonts w:ascii="Arial" w:cs="Arial" w:eastAsia="Arial" w:hAnsi="Arial"/>
          <w:sz w:val="18"/>
          <w:szCs w:val="18"/>
          <w:b w:val="1"/>
          <w:bCs w:val="1"/>
          <w:color w:val="auto"/>
        </w:rPr>
        <w:t>LIBOR</w:t>
      </w:r>
      <w:r>
        <w:rPr>
          <w:rFonts w:ascii="Arial" w:cs="Arial" w:eastAsia="Arial" w:hAnsi="Arial"/>
          <w:sz w:val="18"/>
          <w:szCs w:val="18"/>
          <w:color w:val="auto"/>
        </w:rPr>
        <w:t>) or another reference rate expected to be discontinued. In accordance with the optional expedients in ASU 2020-04, we have modified certain of our debt agreements during 2022 to replace LIBOR with another reference rate and applied the practical expedient to account for the modification as a continuation of the existing contract. The use of optional expedients in ASU 2020-04 has not had a significant impact on our consolidated financial statements to date. For additional information regarding our debt, see note 9.</w:t>
      </w:r>
    </w:p>
    <w:p>
      <w:pPr>
        <w:spacing w:after="0" w:line="212" w:lineRule="exact"/>
        <w:rPr>
          <w:sz w:val="20"/>
          <w:szCs w:val="20"/>
          <w:color w:val="auto"/>
        </w:rPr>
      </w:pPr>
    </w:p>
    <w:p>
      <w:pPr>
        <w:ind w:left="380" w:hanging="374"/>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$40.3 million and $42.0 million at September 30, 2022 and December 31, 2021, respectively.</w:t>
      </w:r>
    </w:p>
    <w:p>
      <w:pPr>
        <w:spacing w:after="0" w:line="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5"/>
          <w:szCs w:val="15"/>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$27.1 million and $29.7 million as of September 30, 2022 and December 31, 2021, respectively. The current and long-term portions of our contract asset balances are included within other current assets and other assets, net, respectively, on our condensed consolidated balance sheets.</w:t>
      </w:r>
    </w:p>
    <w:p>
      <w:pPr>
        <w:spacing w:after="0" w:line="3" w:lineRule="exact"/>
        <w:rPr>
          <w:sz w:val="20"/>
          <w:szCs w:val="20"/>
          <w:color w:val="auto"/>
        </w:rPr>
      </w:pPr>
    </w:p>
    <w:p>
      <w:pPr>
        <w:jc w:val="both"/>
        <w:ind w:firstLine="318"/>
        <w:spacing w:after="0" w:line="313" w:lineRule="auto"/>
        <w:rPr>
          <w:sz w:val="20"/>
          <w:szCs w:val="20"/>
          <w:color w:val="auto"/>
        </w:rPr>
      </w:pPr>
      <w:r>
        <w:rPr>
          <w:rFonts w:ascii="Arial" w:cs="Arial" w:eastAsia="Arial" w:hAnsi="Arial"/>
          <w:sz w:val="15"/>
          <w:szCs w:val="15"/>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$278.8 million and $286.5 million as of September 30, 2022 and December 31, 2021, respectively. The decrease in deferred revenue for the nine months ended September 30, 2022 is primarily due to the net effect of (a) the impact of additions during the period and (b) the recognition of $207.9 million of revenue that was included in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deferred revenue balance at December 31, 2021. The long-term portions of our deferred revenue balances are included within other long-term liabilities on our condensed consolidated balance sheets.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Costs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aggregate assets associated with incremental costs to obtain and fulfill our contracts were $63.4 million and $63.4 million at September 30, 2022 and December 31, 2021, respectively. The current and long-term portions of our assets related to contract costs are included within other current assets and other assets, net, respectively, on our condensed consolidated balance sheets. We amortized $3.9 million and $12.5 million during the three and nine months ended September 30, 2022, respectively, and $4.9 million and $76.7 million during the three and nine months ended September 30, 2021, respectively, to operating costs and expenses related to these assets.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9" w:lineRule="exact"/>
        <w:rPr>
          <w:sz w:val="20"/>
          <w:szCs w:val="20"/>
          <w:color w:val="auto"/>
        </w:rPr>
      </w:pPr>
    </w:p>
    <w:p>
      <w:pPr>
        <w:ind w:left="380" w:hanging="374"/>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2022 Dispositions</w:t>
      </w:r>
    </w:p>
    <w:p>
      <w:pPr>
        <w:spacing w:after="0" w:line="2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UPC Poland. </w:t>
      </w:r>
      <w:r>
        <w:rPr>
          <w:rFonts w:ascii="Arial" w:cs="Arial" w:eastAsia="Arial" w:hAnsi="Arial"/>
          <w:sz w:val="18"/>
          <w:szCs w:val="18"/>
          <w:color w:val="auto"/>
        </w:rPr>
        <w:t>On April 1, 2022, we completed the sale of 100% of our operations in Poland (</w:t>
      </w:r>
      <w:r>
        <w:rPr>
          <w:rFonts w:ascii="Arial" w:cs="Arial" w:eastAsia="Arial" w:hAnsi="Arial"/>
          <w:sz w:val="18"/>
          <w:szCs w:val="18"/>
          <w:b w:val="1"/>
          <w:bCs w:val="1"/>
          <w:color w:val="auto"/>
        </w:rPr>
        <w:t>UPC Poland</w:t>
      </w:r>
      <w:r>
        <w:rPr>
          <w:rFonts w:ascii="Arial" w:cs="Arial" w:eastAsia="Arial" w:hAnsi="Arial"/>
          <w:sz w:val="18"/>
          <w:szCs w:val="18"/>
          <w:color w:val="auto"/>
        </w:rPr>
        <w:t>) to a subsidiary of iliad S.A. After considering</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working capital adjustments (including cash disposed), we received net cash proceeds of Polish zloty 6,566.7 million ($1,563.0 million at the transaction date). A portion of the net proceeds from the sale, after reflecting the impact of derivative settlements, was used to repurchase certain of UPC Holding’s outstanding indebtedness, with the remainder available for general corporate purposes. For additional information regarding these financing transactions, see note 9.</w:t>
      </w:r>
    </w:p>
    <w:p>
      <w:pPr>
        <w:spacing w:after="0" w:line="2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sale of UPC Poland, we recognized a gain of $848.9 million, which includes a cumulative foreign currency translation gain of $10.9 million. No income taxes were required to be provided on this gain.</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agreed to provide certain transitional services for a period of up to five years, depending on the service. These services will principally comprise network and information technology-related functions. The annual charges will depend on the actual level of services required by the purchaser. During the three and nine months ended September 30, 2022, we recorded revenue of $8.3 million and $17.1 million, respectively, associated with these transitional services.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UPC Poland is presented as a discontinued operation in our condensed consolidated financial statements for all applicable periods. Effective with the signing of the sale and purchase agreement on September 22, 2021, we ceased to depreciate or amortize the associated long-lived assets. Our operations in Poland were held through UPC Holding prior to the disposal date. No debt, interest or derivative instruments of the UPC Holding borrowing group have been allocated to discontinued operations. Prior to being presented as a discontinued operation, the operations of UPC Poland were included in our former “</w:t>
      </w:r>
      <w:r>
        <w:rPr>
          <w:rFonts w:ascii="Arial" w:cs="Arial" w:eastAsia="Arial" w:hAnsi="Arial"/>
          <w:sz w:val="18"/>
          <w:szCs w:val="18"/>
          <w:i w:val="1"/>
          <w:iCs w:val="1"/>
          <w:color w:val="auto"/>
        </w:rPr>
        <w:t>Central</w:t>
      </w:r>
      <w:r>
        <w:rPr>
          <w:rFonts w:ascii="Arial" w:cs="Arial" w:eastAsia="Arial" w:hAnsi="Arial"/>
          <w:sz w:val="18"/>
          <w:szCs w:val="18"/>
          <w:color w:val="auto"/>
        </w:rPr>
        <w:t xml:space="preserve"> </w:t>
      </w:r>
      <w:r>
        <w:rPr>
          <w:rFonts w:ascii="Arial" w:cs="Arial" w:eastAsia="Arial" w:hAnsi="Arial"/>
          <w:sz w:val="18"/>
          <w:szCs w:val="18"/>
          <w:i w:val="1"/>
          <w:iCs w:val="1"/>
          <w:color w:val="auto"/>
        </w:rPr>
        <w:t>and Eastern Europe</w:t>
      </w:r>
      <w:r>
        <w:rPr>
          <w:rFonts w:ascii="Arial" w:cs="Arial" w:eastAsia="Arial" w:hAnsi="Arial"/>
          <w:sz w:val="18"/>
          <w:szCs w:val="18"/>
          <w:color w:val="auto"/>
        </w:rPr>
        <w:t>” reportable segment.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carrying amounts of the major classes of assets and liabilities of UPC Poland as of December 31, 2021 are summarized in the following table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960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6"/>
        </w:trPr>
        <w:tc>
          <w:tcPr>
            <w:tcW w:w="9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25"/>
        </w:trPr>
        <w:tc>
          <w:tcPr>
            <w:tcW w:w="9600" w:type="dxa"/>
            <w:vAlign w:val="bottom"/>
          </w:tcPr>
          <w:p>
            <w:pPr>
              <w:ind w:left="12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464.7</w:t>
            </w:r>
          </w:p>
        </w:tc>
      </w:tr>
      <w:tr>
        <w:trPr>
          <w:trHeight w:val="225"/>
        </w:trPr>
        <w:tc>
          <w:tcPr>
            <w:tcW w:w="9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9"/>
        </w:trPr>
        <w:tc>
          <w:tcPr>
            <w:tcW w:w="960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8"/>
        </w:trPr>
        <w:tc>
          <w:tcPr>
            <w:tcW w:w="9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9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9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debt and finance lease obligations</w:t>
            </w: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5"/>
        </w:trPr>
        <w:tc>
          <w:tcPr>
            <w:tcW w:w="9600" w:type="dxa"/>
            <w:vAlign w:val="bottom"/>
          </w:tcPr>
          <w:p>
            <w:pPr>
              <w:ind w:left="120"/>
              <w:spacing w:after="0"/>
              <w:rPr>
                <w:sz w:val="20"/>
                <w:szCs w:val="20"/>
                <w:color w:val="auto"/>
              </w:rPr>
            </w:pPr>
            <w:r>
              <w:rPr>
                <w:rFonts w:ascii="Arial" w:cs="Arial" w:eastAsia="Arial" w:hAnsi="Arial"/>
                <w:sz w:val="18"/>
                <w:szCs w:val="18"/>
                <w:color w:val="auto"/>
              </w:rPr>
              <w:t>Other accrued and current liabilities</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26"/>
        </w:trPr>
        <w:tc>
          <w:tcPr>
            <w:tcW w:w="9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and finance lease obligations</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9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44"/>
        </w:trPr>
        <w:tc>
          <w:tcPr>
            <w:tcW w:w="9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operating results of UPC Poland for the periods indicated are summarized in the following table. These amounts exclude intercompany revenue and expenses that are eliminated within our condensed consolidated statements of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Three months ended</w:t>
            </w: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Nine months ended September 30,</w:t>
            </w:r>
          </w:p>
        </w:tc>
      </w:tr>
      <w:tr>
        <w:trPr>
          <w:trHeight w:val="203"/>
        </w:trPr>
        <w:tc>
          <w:tcPr>
            <w:tcW w:w="5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8"/>
              </w:rPr>
              <w:t>September 30, 2021</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2022 (a)</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r>
      <w:tr>
        <w:trPr>
          <w:trHeight w:val="203"/>
        </w:trPr>
        <w:tc>
          <w:tcPr>
            <w:tcW w:w="5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9"/>
        </w:trPr>
        <w:tc>
          <w:tcPr>
            <w:tcW w:w="5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880" w:type="dxa"/>
            <w:vAlign w:val="bottom"/>
          </w:tcPr>
          <w:p>
            <w:pPr>
              <w:ind w:left="20"/>
              <w:spacing w:after="0" w:line="198" w:lineRule="exact"/>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31.6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45.0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83.9</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8"/>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25"/>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operating results of UPC Poland from January 1, 2022 through April 1, 2022, the date UPC Poland was sold.</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Telenet Tower Sale. </w:t>
      </w:r>
      <w:r>
        <w:rPr>
          <w:rFonts w:ascii="Arial" w:cs="Arial" w:eastAsia="Arial" w:hAnsi="Arial"/>
          <w:sz w:val="15"/>
          <w:szCs w:val="15"/>
          <w:color w:val="auto"/>
        </w:rPr>
        <w:t>On June 1, 2022, Telenet completed the sale of substantially all of their passive infrastructure and tower assets to DigitalBridge</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LLC (</w:t>
      </w:r>
      <w:r>
        <w:rPr>
          <w:rFonts w:ascii="Arial" w:cs="Arial" w:eastAsia="Arial" w:hAnsi="Arial"/>
          <w:sz w:val="15"/>
          <w:szCs w:val="15"/>
          <w:b w:val="1"/>
          <w:bCs w:val="1"/>
          <w:color w:val="auto"/>
        </w:rPr>
        <w:t>DigitalBridge</w:t>
      </w:r>
      <w:r>
        <w:rPr>
          <w:rFonts w:ascii="Arial" w:cs="Arial" w:eastAsia="Arial" w:hAnsi="Arial"/>
          <w:sz w:val="15"/>
          <w:szCs w:val="15"/>
          <w:color w:val="auto"/>
        </w:rPr>
        <w:t xml:space="preserve">) (the </w:t>
      </w:r>
      <w:r>
        <w:rPr>
          <w:rFonts w:ascii="Arial" w:cs="Arial" w:eastAsia="Arial" w:hAnsi="Arial"/>
          <w:sz w:val="15"/>
          <w:szCs w:val="15"/>
          <w:b w:val="1"/>
          <w:bCs w:val="1"/>
          <w:color w:val="auto"/>
        </w:rPr>
        <w:t>Telenet Tower Sale</w:t>
      </w:r>
      <w:r>
        <w:rPr>
          <w:rFonts w:ascii="Arial" w:cs="Arial" w:eastAsia="Arial" w:hAnsi="Arial"/>
          <w:sz w:val="15"/>
          <w:szCs w:val="15"/>
          <w:color w:val="auto"/>
        </w:rPr>
        <w:t>). After considering working capital adjustments, we received net cash proceeds of €733.0 million ($779.9 million at the transaction date). Effective with the signing of the sale and purchase agreement on March 25, 2022, we began accounting for the associated assets and liabilities as held for sale and, accordingly, we ceased to depreciate or amortize these long-lived assets.</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completion of the Telenet Tower Sale, we recognized a gain of $700.4 million. No income taxes were required to be provided on this gain.</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As part of the Telenet Tower Sale, Telenet entered into a master lease agreement to lease back the passive infrastructure and tower assets from DigitalBridge for an initial period of 15 years (the </w:t>
      </w:r>
      <w:r>
        <w:rPr>
          <w:rFonts w:ascii="Arial" w:cs="Arial" w:eastAsia="Arial" w:hAnsi="Arial"/>
          <w:sz w:val="18"/>
          <w:szCs w:val="18"/>
          <w:b w:val="1"/>
          <w:bCs w:val="1"/>
          <w:color w:val="auto"/>
        </w:rPr>
        <w:t>Telenet Tower Lease Agreement</w:t>
      </w:r>
      <w:r>
        <w:rPr>
          <w:rFonts w:ascii="Arial" w:cs="Arial" w:eastAsia="Arial" w:hAnsi="Arial"/>
          <w:sz w:val="18"/>
          <w:szCs w:val="18"/>
          <w:color w:val="auto"/>
        </w:rPr>
        <w:t>). In connection with the Telenet Tower Lease Agreement, we recorded non-cash additions to our operating lease right-of-use (</w:t>
      </w:r>
      <w:r>
        <w:rPr>
          <w:rFonts w:ascii="Arial" w:cs="Arial" w:eastAsia="Arial" w:hAnsi="Arial"/>
          <w:sz w:val="18"/>
          <w:szCs w:val="18"/>
          <w:b w:val="1"/>
          <w:bCs w:val="1"/>
          <w:color w:val="auto"/>
        </w:rPr>
        <w:t>ROU</w:t>
      </w:r>
      <w:r>
        <w:rPr>
          <w:rFonts w:ascii="Arial" w:cs="Arial" w:eastAsia="Arial" w:hAnsi="Arial"/>
          <w:sz w:val="18"/>
          <w:szCs w:val="18"/>
          <w:color w:val="auto"/>
        </w:rPr>
        <w:t>) assets of $615.1 million and a corresponding increase to our operating lease liabilities of the same amount.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addition, as part of the Telenet Tower Lease Agreement, Telenet has also committed to lease back 475 build-to-suit sites over the term of the lease. As of September 30, 2022, the total U.S. dollar equivalent of the estimated future payments for the build-to-suit sites over the term of the lease was $95.5 million, the majority of which are due after 2027. Telenet will act as an agent over the construction of future towers on the build-to-suit sites.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Pending Transaction</w:t>
      </w:r>
    </w:p>
    <w:p>
      <w:pPr>
        <w:spacing w:after="0" w:line="2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Telenet NetCo Transaction. </w:t>
      </w:r>
      <w:r>
        <w:rPr>
          <w:rFonts w:ascii="Arial" w:cs="Arial" w:eastAsia="Arial" w:hAnsi="Arial"/>
          <w:sz w:val="18"/>
          <w:szCs w:val="18"/>
          <w:color w:val="auto"/>
        </w:rPr>
        <w:t>On July 19, 2022, Telenet and Fluvius System Operator CV (</w:t>
      </w:r>
      <w:r>
        <w:rPr>
          <w:rFonts w:ascii="Arial" w:cs="Arial" w:eastAsia="Arial" w:hAnsi="Arial"/>
          <w:sz w:val="18"/>
          <w:szCs w:val="18"/>
          <w:b w:val="1"/>
          <w:bCs w:val="1"/>
          <w:color w:val="auto"/>
        </w:rPr>
        <w:t>Fluvius</w:t>
      </w:r>
      <w:r>
        <w:rPr>
          <w:rFonts w:ascii="Arial" w:cs="Arial" w:eastAsia="Arial" w:hAnsi="Arial"/>
          <w:sz w:val="18"/>
          <w:szCs w:val="18"/>
          <w:color w:val="auto"/>
        </w:rPr>
        <w:t>) entered into an agreement to create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self-funding infrastructure company (</w:t>
      </w:r>
      <w:r>
        <w:rPr>
          <w:rFonts w:ascii="Arial" w:cs="Arial" w:eastAsia="Arial" w:hAnsi="Arial"/>
          <w:sz w:val="18"/>
          <w:szCs w:val="18"/>
          <w:b w:val="1"/>
          <w:bCs w:val="1"/>
          <w:color w:val="auto"/>
        </w:rPr>
        <w:t>NetCo</w:t>
      </w:r>
      <w:r>
        <w:rPr>
          <w:rFonts w:ascii="Arial" w:cs="Arial" w:eastAsia="Arial" w:hAnsi="Arial"/>
          <w:sz w:val="18"/>
          <w:szCs w:val="18"/>
          <w:color w:val="auto"/>
        </w:rPr>
        <w:t>) within their combined geographic footprint in Belgium. The companies will each contribute certain cable infrastructure assets with Telenet and Fluvius initially owning 66.8% and 33.2% of NetCo, respectively. Telenet and Liberty Global will consolidate NetCo upon closing of the transaction, which we currently expect to occur in early 2023. The closing of the transaction is subject to the satisfaction of certain conditions, including regulatory conditions and approval from Fluvius shareholders.</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Dispositions</w:t>
      </w:r>
    </w:p>
    <w:p>
      <w:pPr>
        <w:spacing w:after="0" w:line="238"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5"/>
          <w:szCs w:val="15"/>
          <w:i w:val="1"/>
          <w:iCs w:val="1"/>
          <w:color w:val="auto"/>
        </w:rPr>
        <w:t xml:space="preserve">U.K. JV Transaction. </w:t>
      </w:r>
      <w:r>
        <w:rPr>
          <w:rFonts w:ascii="Arial" w:cs="Arial" w:eastAsia="Arial" w:hAnsi="Arial"/>
          <w:sz w:val="15"/>
          <w:szCs w:val="15"/>
          <w:color w:val="auto"/>
        </w:rPr>
        <w:t>On June 1, 2021, pursuant to a Contribution Agreement dated May 7, 2020 (the</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Contribution Agreement</w:t>
      </w:r>
      <w:r>
        <w:rPr>
          <w:rFonts w:ascii="Arial" w:cs="Arial" w:eastAsia="Arial" w:hAnsi="Arial"/>
          <w:sz w:val="15"/>
          <w:szCs w:val="15"/>
          <w:color w:val="auto"/>
        </w:rPr>
        <w:t>) with, among others,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Telefónica, (i) we contributed Virgin Media’s U.K. operations and certain other Liberty Global subsidiaries (together, the </w:t>
      </w:r>
      <w:r>
        <w:rPr>
          <w:rFonts w:ascii="Arial" w:cs="Arial" w:eastAsia="Arial" w:hAnsi="Arial"/>
          <w:sz w:val="15"/>
          <w:szCs w:val="15"/>
          <w:b w:val="1"/>
          <w:bCs w:val="1"/>
          <w:color w:val="auto"/>
        </w:rPr>
        <w:t>U.K. JV Entities</w:t>
      </w:r>
      <w:r>
        <w:rPr>
          <w:rFonts w:ascii="Arial" w:cs="Arial" w:eastAsia="Arial" w:hAnsi="Arial"/>
          <w:sz w:val="15"/>
          <w:szCs w:val="15"/>
          <w:color w:val="auto"/>
        </w:rPr>
        <w:t>) to the VMO2 JV and (ii) Telefónica contributed its U.K. mobile business to the VMO2 JV, creating a nationwide integrated communications provider (herein referred to as the “</w:t>
      </w:r>
      <w:r>
        <w:rPr>
          <w:rFonts w:ascii="Arial" w:cs="Arial" w:eastAsia="Arial" w:hAnsi="Arial"/>
          <w:sz w:val="15"/>
          <w:szCs w:val="15"/>
          <w:b w:val="1"/>
          <w:bCs w:val="1"/>
          <w:color w:val="auto"/>
        </w:rPr>
        <w:t>U.K. JV Transaction</w:t>
      </w:r>
      <w:r>
        <w:rPr>
          <w:rFonts w:ascii="Arial" w:cs="Arial" w:eastAsia="Arial" w:hAnsi="Arial"/>
          <w:sz w:val="15"/>
          <w:szCs w:val="15"/>
          <w:color w:val="auto"/>
        </w:rPr>
        <w:t>”). We account for our 50% interest in the VMO2 JV as an equity method investment, as further described in note 5.</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U.K. JV Transaction, we received net cash of $52.0 million, which includes (i) an equalization payment, (ii) our share of the proceeds associated with related recapitalization financing transactions completed by the VMO2 JV and (iii) $44.5 million of cash paid by Liberty Global to settle certain centrally-held vendor financing obligations associated with the VMO2 JV.</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U.K. JV Transaction, we recognized a pre-tax gain of $10,790.7 million, net of the recognition of a cumulative foreign currency translation loss of $1,198.6 million. This gain was calculated by deducting the carrying value of the U.K. JV Entities (including the related foreign currency translation loss) from the sum of (i) the fair value assigned to our 50% interest in the VMO2 JV and (ii) the net cash received pursuant to the equalization payment and the recapitalization transactions described above. For information regarding our approach to the valuation of our interest in the VMO2 JV, see note 7.</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summary of the fair value of the assets and liabilities of the VMO2 JV at the June 1, 2021 transaction date is presented in the following table. The opening balance sheet presented below reflects the final purchase price allocation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4,186.7</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12,523.2</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29,502.7</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13,274.6</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4,116.2</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(4,352.5)</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(5,780.8)</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(21,879.2)</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(2,170.9)</w:t>
            </w:r>
          </w:p>
        </w:tc>
      </w:tr>
      <w:tr>
        <w:trPr>
          <w:trHeight w:val="219"/>
        </w:trPr>
        <w:tc>
          <w:tcPr>
            <w:tcW w:w="9820" w:type="dxa"/>
            <w:vAlign w:val="bottom"/>
          </w:tcPr>
          <w:p>
            <w:pPr>
              <w:ind w:left="200"/>
              <w:spacing w:after="0"/>
              <w:rPr>
                <w:sz w:val="20"/>
                <w:szCs w:val="20"/>
                <w:color w:val="auto"/>
              </w:rPr>
            </w:pPr>
            <w:r>
              <w:rPr>
                <w:rFonts w:ascii="Arial" w:cs="Arial" w:eastAsia="Arial" w:hAnsi="Arial"/>
                <w:sz w:val="18"/>
                <w:szCs w:val="18"/>
                <w:color w:val="auto"/>
              </w:rPr>
              <w:t>Total fair value of the net assets of the VMO2 JV</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29,420.0</w:t>
            </w: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condensed consolidated statement of operations for the nine months ended September 30, 2021 includes aggregate earnings from continuing operations before income taxes attributable to the U.K. JV Entities of $890.5 million.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Effective with the signing of the Contribution Agreement, we began accounting for the U.K. JV Entities as held for sale. Accordingly, we ceased to depreciate or amortize the long-lived assets of the U.K. JV Entities. However, the U.K. JV Entities were not presented as discontinued operations as the U.K. JV Transaction did not represent a strategic shift as defined by GAAP.</w:t>
      </w:r>
    </w:p>
    <w:p>
      <w:pPr>
        <w:spacing w:after="0" w:line="20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AtlasEdge JV Transactions. </w:t>
      </w:r>
      <w:r>
        <w:rPr>
          <w:rFonts w:ascii="Arial" w:cs="Arial" w:eastAsia="Arial" w:hAnsi="Arial"/>
          <w:sz w:val="17"/>
          <w:szCs w:val="17"/>
          <w:color w:val="auto"/>
        </w:rPr>
        <w:t>On September 1, 2021, we (i) contributed certain assets and liabilities to a newly-formed 50:50 joint venture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AtlasEdge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JV</w:t>
      </w:r>
      <w:r>
        <w:rPr>
          <w:rFonts w:ascii="Arial" w:cs="Arial" w:eastAsia="Arial" w:hAnsi="Arial"/>
          <w:sz w:val="17"/>
          <w:szCs w:val="17"/>
          <w:color w:val="auto"/>
        </w:rPr>
        <w:t>) that was established for the purpose of acquiring and commercializing European technical real estate for edge colocation and hosting services and (ii) sold</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other assets to the AtlasEdge JV. In connection with these transactions, which we refer to as the “</w:t>
      </w:r>
      <w:r>
        <w:rPr>
          <w:rFonts w:ascii="Arial" w:cs="Arial" w:eastAsia="Arial" w:hAnsi="Arial"/>
          <w:sz w:val="17"/>
          <w:szCs w:val="17"/>
          <w:b w:val="1"/>
          <w:bCs w:val="1"/>
          <w:color w:val="auto"/>
        </w:rPr>
        <w:t>AtlasEdge JV Transactions</w:t>
      </w:r>
      <w:r>
        <w:rPr>
          <w:rFonts w:ascii="Arial" w:cs="Arial" w:eastAsia="Arial" w:hAnsi="Arial"/>
          <w:sz w:val="17"/>
          <w:szCs w:val="17"/>
          <w:color w:val="auto"/>
        </w:rPr>
        <w:t>”, we (i) received cash of $130.0 million and (ii) recognized a pre-tax gain of $213.7 million (net of the recognition of a cumulative foreign currency transaction loss of $1.8 million), representing the difference between the estimated fair value and the carrying value of the net assets associated with these transactions. We account for our interest in the AtlasEdge JV as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investments are set forth below:</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020" w:type="dxa"/>
            <w:vAlign w:val="bottom"/>
            <w:vMerge w:val="restart"/>
          </w:tcPr>
          <w:p>
            <w:pPr>
              <w:spacing w:after="0"/>
              <w:rPr>
                <w:sz w:val="20"/>
                <w:szCs w:val="20"/>
                <w:color w:val="auto"/>
              </w:rPr>
            </w:pPr>
            <w:r>
              <w:rPr>
                <w:rFonts w:ascii="Arial" w:cs="Arial" w:eastAsia="Arial" w:hAnsi="Arial"/>
                <w:sz w:val="16"/>
                <w:szCs w:val="16"/>
                <w:b w:val="1"/>
                <w:bCs w:val="1"/>
                <w:color w:val="auto"/>
              </w:rPr>
              <w:t>Accounting Method</w:t>
            </w: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320" w:type="dxa"/>
            <w:vAlign w:val="bottom"/>
            <w:gridSpan w:val="2"/>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3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3"/>
          </w:tcPr>
          <w:p>
            <w:pPr>
              <w:jc w:val="right"/>
              <w:ind w:right="13"/>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 (b):</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20" w:type="dxa"/>
            <w:vAlign w:val="bottom"/>
          </w:tcPr>
          <w:p>
            <w:pPr>
              <w:ind w:left="160"/>
              <w:spacing w:after="0"/>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VMO2 JV</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020" w:type="dxa"/>
            <w:vAlign w:val="bottom"/>
          </w:tcPr>
          <w:p>
            <w:pPr>
              <w:ind w:left="280"/>
              <w:spacing w:after="0"/>
              <w:rPr>
                <w:sz w:val="20"/>
                <w:szCs w:val="20"/>
                <w:color w:val="auto"/>
              </w:rPr>
            </w:pPr>
            <w:r>
              <w:rPr>
                <w:rFonts w:ascii="Arial" w:cs="Arial" w:eastAsia="Arial" w:hAnsi="Arial"/>
                <w:sz w:val="18"/>
                <w:szCs w:val="18"/>
                <w:color w:val="auto"/>
              </w:rPr>
              <w:t>VodafoneZiggo JV (c)</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2,572.4</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AtlasEdge JV</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47.5</w:t>
            </w:r>
          </w:p>
        </w:tc>
        <w:tc>
          <w:tcPr>
            <w:tcW w:w="0" w:type="dxa"/>
            <w:vAlign w:val="bottom"/>
          </w:tcPr>
          <w:p>
            <w:pPr>
              <w:spacing w:after="0"/>
              <w:rPr>
                <w:sz w:val="1"/>
                <w:szCs w:val="1"/>
                <w:color w:val="auto"/>
              </w:rPr>
            </w:pPr>
          </w:p>
        </w:tc>
      </w:tr>
      <w:tr>
        <w:trPr>
          <w:trHeight w:val="225"/>
        </w:trPr>
        <w:tc>
          <w:tcPr>
            <w:tcW w:w="7020" w:type="dxa"/>
            <w:vAlign w:val="bottom"/>
          </w:tcPr>
          <w:p>
            <w:pPr>
              <w:ind w:left="28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143.7</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35.9</w:t>
            </w:r>
          </w:p>
        </w:tc>
        <w:tc>
          <w:tcPr>
            <w:tcW w:w="0" w:type="dxa"/>
            <w:vAlign w:val="bottom"/>
          </w:tcPr>
          <w:p>
            <w:pPr>
              <w:spacing w:after="0"/>
              <w:rPr>
                <w:sz w:val="1"/>
                <w:szCs w:val="1"/>
                <w:color w:val="auto"/>
              </w:rPr>
            </w:pPr>
          </w:p>
        </w:tc>
      </w:tr>
      <w:tr>
        <w:trPr>
          <w:trHeight w:val="225"/>
        </w:trPr>
        <w:tc>
          <w:tcPr>
            <w:tcW w:w="7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400"/>
              <w:spacing w:after="0" w:line="205" w:lineRule="exact"/>
              <w:rPr>
                <w:sz w:val="20"/>
                <w:szCs w:val="20"/>
                <w:color w:val="auto"/>
              </w:rPr>
            </w:pPr>
            <w:r>
              <w:rPr>
                <w:rFonts w:ascii="Arial" w:cs="Arial" w:eastAsia="Arial" w:hAnsi="Arial"/>
                <w:sz w:val="18"/>
                <w:szCs w:val="18"/>
                <w:color w:val="auto"/>
              </w:rPr>
              <w:t>Total — equity</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14,269.7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16,945.2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20" w:type="dxa"/>
            <w:vAlign w:val="bottom"/>
          </w:tcPr>
          <w:p>
            <w:pPr>
              <w:spacing w:after="0" w:line="204" w:lineRule="exact"/>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020" w:type="dxa"/>
            <w:vAlign w:val="bottom"/>
          </w:tcPr>
          <w:p>
            <w:pPr>
              <w:ind w:left="28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2,269.6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20" w:type="dxa"/>
            <w:vAlign w:val="bottom"/>
          </w:tcPr>
          <w:p>
            <w:pPr>
              <w:ind w:left="280"/>
              <w:spacing w:after="0"/>
              <w:rPr>
                <w:sz w:val="20"/>
                <w:szCs w:val="20"/>
                <w:color w:val="auto"/>
              </w:rPr>
            </w:pPr>
            <w:r>
              <w:rPr>
                <w:rFonts w:ascii="Arial" w:cs="Arial" w:eastAsia="Arial" w:hAnsi="Arial"/>
                <w:sz w:val="18"/>
                <w:szCs w:val="18"/>
                <w:color w:val="auto"/>
              </w:rPr>
              <w:t>Televisa Univision, Inc. (</w:t>
            </w:r>
            <w:r>
              <w:rPr>
                <w:rFonts w:ascii="Arial" w:cs="Arial" w:eastAsia="Arial" w:hAnsi="Arial"/>
                <w:sz w:val="18"/>
                <w:szCs w:val="18"/>
                <w:b w:val="1"/>
                <w:bCs w:val="1"/>
                <w:color w:val="auto"/>
              </w:rPr>
              <w:t>Televisa Univision</w:t>
            </w:r>
            <w:r>
              <w:rPr>
                <w:rFonts w:ascii="Arial" w:cs="Arial" w:eastAsia="Arial" w:hAnsi="Arial"/>
                <w:sz w:val="18"/>
                <w:szCs w:val="18"/>
                <w:color w:val="auto"/>
              </w:rPr>
              <w:t>) (e)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385.5</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25"/>
        </w:trPr>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Lacework Inc. (</w:t>
            </w:r>
            <w:r>
              <w:rPr>
                <w:rFonts w:ascii="Arial" w:cs="Arial" w:eastAsia="Arial" w:hAnsi="Arial"/>
                <w:sz w:val="18"/>
                <w:szCs w:val="18"/>
                <w:b w:val="1"/>
                <w:bCs w:val="1"/>
                <w:color w:val="auto"/>
              </w:rPr>
              <w:t>Lacework</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25"/>
        </w:trPr>
        <w:tc>
          <w:tcPr>
            <w:tcW w:w="7020" w:type="dxa"/>
            <w:vAlign w:val="bottom"/>
          </w:tcPr>
          <w:p>
            <w:pPr>
              <w:ind w:left="28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596.3</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25"/>
        </w:trPr>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SMAs (d)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20" w:type="dxa"/>
            <w:vAlign w:val="bottom"/>
          </w:tcPr>
          <w:p>
            <w:pPr>
              <w:ind w:left="280"/>
              <w:spacing w:after="0"/>
              <w:rPr>
                <w:sz w:val="20"/>
                <w:szCs w:val="20"/>
                <w:color w:val="auto"/>
              </w:rPr>
            </w:pPr>
            <w:r>
              <w:rPr>
                <w:rFonts w:ascii="Arial" w:cs="Arial" w:eastAsia="Arial" w:hAnsi="Arial"/>
                <w:sz w:val="18"/>
                <w:szCs w:val="18"/>
                <w:color w:val="auto"/>
              </w:rPr>
              <w:t>Plume Design, Inc. (</w:t>
            </w:r>
            <w:r>
              <w:rPr>
                <w:rFonts w:ascii="Arial" w:cs="Arial" w:eastAsia="Arial" w:hAnsi="Arial"/>
                <w:sz w:val="18"/>
                <w:szCs w:val="18"/>
                <w:b w:val="1"/>
                <w:bCs w:val="1"/>
                <w:color w:val="auto"/>
              </w:rPr>
              <w:t>Plume</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188.8</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11.5</w:t>
            </w:r>
          </w:p>
        </w:tc>
        <w:tc>
          <w:tcPr>
            <w:tcW w:w="0" w:type="dxa"/>
            <w:vAlign w:val="bottom"/>
          </w:tcPr>
          <w:p>
            <w:pPr>
              <w:spacing w:after="0"/>
              <w:rPr>
                <w:sz w:val="1"/>
                <w:szCs w:val="1"/>
                <w:color w:val="auto"/>
              </w:rPr>
            </w:pPr>
          </w:p>
        </w:tc>
      </w:tr>
      <w:tr>
        <w:trPr>
          <w:trHeight w:val="225"/>
        </w:trPr>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25"/>
        </w:trPr>
        <w:tc>
          <w:tcPr>
            <w:tcW w:w="7020" w:type="dxa"/>
            <w:vAlign w:val="bottom"/>
          </w:tcPr>
          <w:p>
            <w:pPr>
              <w:ind w:left="280"/>
              <w:spacing w:after="0"/>
              <w:rPr>
                <w:sz w:val="20"/>
                <w:szCs w:val="20"/>
                <w:color w:val="auto"/>
              </w:rPr>
            </w:pPr>
            <w:r>
              <w:rPr>
                <w:rFonts w:ascii="Arial" w:cs="Arial" w:eastAsia="Arial" w:hAnsi="Arial"/>
                <w:sz w:val="18"/>
                <w:szCs w:val="18"/>
                <w:color w:val="auto"/>
              </w:rPr>
              <w:t>Pax8 Inc. (</w:t>
            </w:r>
            <w:r>
              <w:rPr>
                <w:rFonts w:ascii="Arial" w:cs="Arial" w:eastAsia="Arial" w:hAnsi="Arial"/>
                <w:sz w:val="18"/>
                <w:szCs w:val="18"/>
                <w:b w:val="1"/>
                <w:bCs w:val="1"/>
                <w:color w:val="auto"/>
              </w:rPr>
              <w:t>Pax8</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25"/>
        </w:trPr>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Aviatrix Systems, Inc. (</w:t>
            </w:r>
            <w:r>
              <w:rPr>
                <w:rFonts w:ascii="Arial" w:cs="Arial" w:eastAsia="Arial" w:hAnsi="Arial"/>
                <w:sz w:val="18"/>
                <w:szCs w:val="18"/>
                <w:b w:val="1"/>
                <w:bCs w:val="1"/>
                <w:color w:val="auto"/>
              </w:rPr>
              <w:t>Aviatrix</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25"/>
        </w:trPr>
        <w:tc>
          <w:tcPr>
            <w:tcW w:w="7020" w:type="dxa"/>
            <w:vAlign w:val="bottom"/>
          </w:tcPr>
          <w:p>
            <w:pPr>
              <w:ind w:left="280"/>
              <w:spacing w:after="0"/>
              <w:rPr>
                <w:sz w:val="20"/>
                <w:szCs w:val="20"/>
                <w:color w:val="auto"/>
              </w:rPr>
            </w:pPr>
            <w:r>
              <w:rPr>
                <w:rFonts w:ascii="Arial" w:cs="Arial" w:eastAsia="Arial" w:hAnsi="Arial"/>
                <w:sz w:val="18"/>
                <w:szCs w:val="18"/>
                <w:color w:val="auto"/>
              </w:rPr>
              <w:t>CANAL+ Polska S.A.</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70.8</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25"/>
        </w:trPr>
        <w:tc>
          <w:tcPr>
            <w:tcW w:w="7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400"/>
              <w:spacing w:after="0" w:line="205" w:lineRule="exact"/>
              <w:rPr>
                <w:sz w:val="20"/>
                <w:szCs w:val="20"/>
                <w:color w:val="auto"/>
              </w:rPr>
            </w:pPr>
            <w:r>
              <w:rPr>
                <w:rFonts w:ascii="Arial" w:cs="Arial" w:eastAsia="Arial" w:hAnsi="Arial"/>
                <w:sz w:val="18"/>
                <w:szCs w:val="18"/>
                <w:color w:val="auto"/>
              </w:rPr>
              <w:t>Total — fair value</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20" w:type="dxa"/>
            <w:vAlign w:val="bottom"/>
          </w:tcPr>
          <w:p>
            <w:pPr>
              <w:ind w:left="480"/>
              <w:spacing w:after="0" w:line="204" w:lineRule="exact"/>
              <w:rPr>
                <w:sz w:val="20"/>
                <w:szCs w:val="20"/>
                <w:color w:val="auto"/>
              </w:rPr>
            </w:pPr>
            <w:r>
              <w:rPr>
                <w:rFonts w:ascii="Arial" w:cs="Arial" w:eastAsia="Arial" w:hAnsi="Arial"/>
                <w:sz w:val="18"/>
                <w:szCs w:val="18"/>
                <w:color w:val="auto"/>
              </w:rPr>
              <w:t>Total investments (f)</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18,581.2</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21,972.6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2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16,432.2</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3"/>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19,703.0</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207" w:lineRule="exact"/>
        <w:rPr>
          <w:rFonts w:ascii="Arial" w:cs="Arial" w:eastAsia="Arial" w:hAnsi="Arial"/>
          <w:sz w:val="18"/>
          <w:szCs w:val="18"/>
          <w:color w:val="auto"/>
        </w:rPr>
      </w:pPr>
    </w:p>
    <w:p>
      <w:pPr>
        <w:jc w:val="both"/>
        <w:ind w:left="480" w:hanging="474"/>
        <w:spacing w:after="0" w:line="309" w:lineRule="auto"/>
        <w:tabs>
          <w:tab w:leader="none" w:pos="474"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 respective fair values. At September 30, 2022 and December 31, 2021, the aggregate carrying amounts of our equity method investments exceeded our proportionate share of the respective investee’s net assets by $1,079.4 million and $1,236.0 million, respectively, which primarily includes amounts associated with the VodafoneZiggo JV Receivables, as defined below, and amounts we are owed under a long-term note receivable from All3Media.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hanging="474"/>
        <w:spacing w:after="0" w:line="248" w:lineRule="auto"/>
        <w:tabs>
          <w:tab w:leader="none" w:pos="477"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Amounts include certain notes receivable due from a subsidiary of the VodafoneZiggo JV to a subsidiary of Liberty Global comprising (i) a euro-denominated note receivable with a principal amount of $685.3 million and $797.1 million at September 30, 2022 and December 31, 2021, respectively, (the </w:t>
      </w:r>
      <w:r>
        <w:rPr>
          <w:rFonts w:ascii="Arial" w:cs="Arial" w:eastAsia="Arial" w:hAnsi="Arial"/>
          <w:sz w:val="18"/>
          <w:szCs w:val="18"/>
          <w:b w:val="1"/>
          <w:bCs w:val="1"/>
          <w:color w:val="auto"/>
        </w:rPr>
        <w:t>VodafoneZiggo JV Receivable I</w:t>
      </w:r>
      <w:r>
        <w:rPr>
          <w:rFonts w:ascii="Arial" w:cs="Arial" w:eastAsia="Arial" w:hAnsi="Arial"/>
          <w:sz w:val="18"/>
          <w:szCs w:val="18"/>
          <w:color w:val="auto"/>
        </w:rPr>
        <w:t xml:space="preserve">), and (ii) a euro-denominated note receivable with a principal amount of $203.5 million and $236.7 million at September 30, 2022 and December 31, 2021, respectively, (the </w:t>
      </w:r>
      <w:r>
        <w:rPr>
          <w:rFonts w:ascii="Arial" w:cs="Arial" w:eastAsia="Arial" w:hAnsi="Arial"/>
          <w:sz w:val="18"/>
          <w:szCs w:val="18"/>
          <w:b w:val="1"/>
          <w:bCs w:val="1"/>
          <w:color w:val="auto"/>
        </w:rPr>
        <w:t>VodafoneZiggo JV Receivable II</w:t>
      </w:r>
      <w:r>
        <w:rPr>
          <w:rFonts w:ascii="Arial" w:cs="Arial" w:eastAsia="Arial" w:hAnsi="Arial"/>
          <w:sz w:val="18"/>
          <w:szCs w:val="18"/>
          <w:color w:val="auto"/>
        </w:rPr>
        <w:t xml:space="preserve"> and, together with the VodafoneZiggo JV Receivable I, the </w:t>
      </w:r>
      <w:r>
        <w:rPr>
          <w:rFonts w:ascii="Arial" w:cs="Arial" w:eastAsia="Arial" w:hAnsi="Arial"/>
          <w:sz w:val="18"/>
          <w:szCs w:val="18"/>
          <w:b w:val="1"/>
          <w:bCs w:val="1"/>
          <w:color w:val="auto"/>
        </w:rPr>
        <w:t>VodafoneZiggo JV Receivables</w:t>
      </w:r>
      <w:r>
        <w:rPr>
          <w:rFonts w:ascii="Arial" w:cs="Arial" w:eastAsia="Arial" w:hAnsi="Arial"/>
          <w:sz w:val="18"/>
          <w:szCs w:val="18"/>
          <w:color w:val="auto"/>
        </w:rPr>
        <w:t>). The VodafoneZiggo JV Receivables bear interest at 5.55% and have a final maturity date of December 31, 2030. During the nine months ended September 30, 2022, interest accrued on the VodafoneZiggo JV Receivables was $40.7 million, all of which has been cash settled.</w:t>
      </w:r>
    </w:p>
    <w:p>
      <w:pPr>
        <w:spacing w:after="0" w:line="225" w:lineRule="exact"/>
        <w:rPr>
          <w:rFonts w:ascii="Arial" w:cs="Arial" w:eastAsia="Arial" w:hAnsi="Arial"/>
          <w:sz w:val="18"/>
          <w:szCs w:val="18"/>
          <w:color w:val="auto"/>
        </w:rPr>
      </w:pPr>
    </w:p>
    <w:p>
      <w:pPr>
        <w:jc w:val="both"/>
        <w:ind w:left="480" w:hanging="474"/>
        <w:spacing w:after="0" w:line="268" w:lineRule="auto"/>
        <w:tabs>
          <w:tab w:leader="none" w:pos="474"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September 30, 2022, all of our investments held under SMAs were classified as available-for-sale debt securities. At September 30, 2022 and December 31, 2021, interest accrued on our debt securities, which is included in other current assets on our condensed consolidated balance sheets, was $11.3 million and $5.1 million, respectively.</w:t>
      </w:r>
    </w:p>
    <w:p>
      <w:pPr>
        <w:spacing w:after="0" w:line="207" w:lineRule="exact"/>
        <w:rPr>
          <w:rFonts w:ascii="Arial" w:cs="Arial" w:eastAsia="Arial" w:hAnsi="Arial"/>
          <w:sz w:val="17"/>
          <w:szCs w:val="17"/>
          <w:color w:val="auto"/>
        </w:rPr>
      </w:pPr>
    </w:p>
    <w:p>
      <w:pPr>
        <w:ind w:left="480" w:hanging="474"/>
        <w:spacing w:after="0" w:line="264" w:lineRule="auto"/>
        <w:tabs>
          <w:tab w:leader="none" w:pos="477"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September 30, 2022, the fair value of our investment in Televisa Univision reflects the merger of Univision Holdings Inc. and Grupo Televisa, S.A.B., which was completed during the first quarter of 2022.</w:t>
      </w:r>
    </w:p>
    <w:p>
      <w:pPr>
        <w:spacing w:after="0" w:line="207" w:lineRule="exact"/>
        <w:rPr>
          <w:rFonts w:ascii="Arial" w:cs="Arial" w:eastAsia="Arial" w:hAnsi="Arial"/>
          <w:sz w:val="18"/>
          <w:szCs w:val="18"/>
          <w:color w:val="auto"/>
        </w:rPr>
      </w:pPr>
    </w:p>
    <w:p>
      <w:pPr>
        <w:ind w:left="480" w:hanging="474"/>
        <w:spacing w:after="0" w:line="264" w:lineRule="auto"/>
        <w:tabs>
          <w:tab w:leader="none" w:pos="47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condensed consolidated statements of cash flows, including amounts associated with SMAs.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2180" w:type="dxa"/>
            <w:vAlign w:val="bottom"/>
            <w:gridSpan w:val="4"/>
          </w:tcPr>
          <w:p>
            <w:pPr>
              <w:jc w:val="right"/>
              <w:ind w:right="75"/>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9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6"/>
                <w:szCs w:val="16"/>
                <w:b w:val="1"/>
                <w:bCs w:val="1"/>
                <w:color w:val="auto"/>
                <w:w w:val="89"/>
              </w:rPr>
              <w:t>September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05"/>
        </w:trPr>
        <w:tc>
          <w:tcPr>
            <w:tcW w:w="59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2021</w:t>
            </w:r>
          </w:p>
        </w:tc>
      </w:tr>
      <w:tr>
        <w:trPr>
          <w:trHeight w:val="203"/>
        </w:trPr>
        <w:tc>
          <w:tcPr>
            <w:tcW w:w="5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5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5"/>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398.5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5"/>
        </w:trPr>
        <w:tc>
          <w:tcPr>
            <w:tcW w:w="592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5"/>
        </w:trPr>
        <w:tc>
          <w:tcPr>
            <w:tcW w:w="5920" w:type="dxa"/>
            <w:vAlign w:val="bottom"/>
          </w:tcPr>
          <w:p>
            <w:pPr>
              <w:ind w:left="20"/>
              <w:spacing w:after="0"/>
              <w:rPr>
                <w:sz w:val="20"/>
                <w:szCs w:val="20"/>
                <w:color w:val="auto"/>
              </w:rPr>
            </w:pPr>
            <w:r>
              <w:rPr>
                <w:rFonts w:ascii="Arial" w:cs="Arial" w:eastAsia="Arial" w:hAnsi="Arial"/>
                <w:sz w:val="18"/>
                <w:szCs w:val="18"/>
                <w:color w:val="auto"/>
              </w:rPr>
              <w:t>Formula E</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(15.1)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AtlasEdge JV</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592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501.0</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w:t>
      </w:r>
    </w:p>
    <w:p>
      <w:pPr>
        <w:spacing w:after="0" w:line="214"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100% of the interest income earned on the VodafoneZiggo JV Receivables.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VMO2 JV</w:t>
      </w:r>
    </w:p>
    <w:p>
      <w:pPr>
        <w:spacing w:after="0" w:line="23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On June 1, 2021, we completed the U.K. JV Transaction. Each of Liberty Global and Telefónica (each a “</w:t>
      </w:r>
      <w:r>
        <w:rPr>
          <w:rFonts w:ascii="Arial" w:cs="Arial" w:eastAsia="Arial" w:hAnsi="Arial"/>
          <w:sz w:val="18"/>
          <w:szCs w:val="18"/>
          <w:b w:val="1"/>
          <w:bCs w:val="1"/>
          <w:color w:val="auto"/>
        </w:rPr>
        <w:t>U.K. JV Shareholder</w:t>
      </w:r>
      <w:r>
        <w:rPr>
          <w:rFonts w:ascii="Arial" w:cs="Arial" w:eastAsia="Arial" w:hAnsi="Arial"/>
          <w:sz w:val="18"/>
          <w:szCs w:val="18"/>
          <w:color w:val="auto"/>
        </w:rPr>
        <w:t>”) holds 50% of the issued share capital of the VMO2 JV</w:t>
      </w:r>
      <w:r>
        <w:rPr>
          <w:rFonts w:ascii="Arial" w:cs="Arial" w:eastAsia="Arial" w:hAnsi="Arial"/>
          <w:sz w:val="18"/>
          <w:szCs w:val="18"/>
          <w:i w:val="1"/>
          <w:iCs w:val="1"/>
          <w:color w:val="auto"/>
        </w:rPr>
        <w:t>.</w:t>
      </w:r>
      <w:r>
        <w:rPr>
          <w:rFonts w:ascii="Arial" w:cs="Arial" w:eastAsia="Arial" w:hAnsi="Arial"/>
          <w:sz w:val="18"/>
          <w:szCs w:val="18"/>
          <w:color w:val="auto"/>
        </w:rPr>
        <w:t xml:space="preserve"> The U.K. JV Shareholders intend for the VMO2 JV to be funded solely from its net cash flows from operations and third-party financing. We account for our 50% interest in the VMO2 JV as an equity method investment and consider the VMO2 JV to be a related party. For additional information regarding the U.K. JV Transaction, see note 4.</w:t>
      </w:r>
    </w:p>
    <w:p>
      <w:pPr>
        <w:spacing w:after="0" w:line="21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Pursuant to an agreement (the </w:t>
      </w:r>
      <w:r>
        <w:rPr>
          <w:rFonts w:ascii="Arial" w:cs="Arial" w:eastAsia="Arial" w:hAnsi="Arial"/>
          <w:sz w:val="15"/>
          <w:szCs w:val="15"/>
          <w:b w:val="1"/>
          <w:bCs w:val="1"/>
          <w:color w:val="auto"/>
        </w:rPr>
        <w:t>U.K. JV Framework Agreement</w:t>
      </w:r>
      <w:r>
        <w:rPr>
          <w:rFonts w:ascii="Arial" w:cs="Arial" w:eastAsia="Arial" w:hAnsi="Arial"/>
          <w:sz w:val="15"/>
          <w:szCs w:val="15"/>
          <w:color w:val="auto"/>
        </w:rPr>
        <w:t xml:space="preserve">), Liberty Global provides certain services to the VMO2 JV on a transitional or ongoing basis (collectively, the </w:t>
      </w:r>
      <w:r>
        <w:rPr>
          <w:rFonts w:ascii="Arial" w:cs="Arial" w:eastAsia="Arial" w:hAnsi="Arial"/>
          <w:sz w:val="15"/>
          <w:szCs w:val="15"/>
          <w:b w:val="1"/>
          <w:bCs w:val="1"/>
          <w:color w:val="auto"/>
        </w:rPr>
        <w:t>U.K. JV Services</w:t>
      </w:r>
      <w:r>
        <w:rPr>
          <w:rFonts w:ascii="Arial" w:cs="Arial" w:eastAsia="Arial" w:hAnsi="Arial"/>
          <w:sz w:val="15"/>
          <w:szCs w:val="15"/>
          <w:color w:val="auto"/>
        </w:rPr>
        <w:t>).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provided during the term of the U.K. JV Framework Agreement. We recorded revenue related to the U.K. JV Services of $59.8 million and $69.7 million during the three months ended September 30, 2022 and 2021, respectively, and $192.4 million and $93.9 million during the nine months ended September 30, 2022 and 2021, respectively. At September 30, 2022 and December 31, 2021, $33.7 million and $43.3 million, respectively, was due from the VMO2 JV, primarily related to (a) services performed under the U.K. JV Framework Agreement and (b) amounts incurred by Liberty Global for certain equipment and licenses purchased on behalf of the VMO2 JV. Amounts due from the VMO2 JV are periodically cash settled and are included in other current assets on our condensed consolidated balance sheets. In addition, during the nine months ended September 30, 2022, we received dividend distributions from the VMO2 JV aggregating $467.9 million, of which $201.0 million was accounted for as a return on capital and $266.9 million was accounted for as a return of capital for purposes of our condensed consolidated statement of cash flows.</w:t>
      </w:r>
    </w:p>
    <w:p>
      <w:pPr>
        <w:spacing w:after="0" w:line="3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VMO2 JV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60" w:type="dxa"/>
            <w:vAlign w:val="bottom"/>
            <w:gridSpan w:val="4"/>
          </w:tcPr>
          <w:p>
            <w:pPr>
              <w:ind w:left="2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ind w:left="4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 (a)</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6"/>
              </w:rPr>
              <w:t>9,642.7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1,178.7</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56.3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280"/>
              <w:spacing w:after="0" w:line="198" w:lineRule="exact"/>
              <w:rPr>
                <w:sz w:val="20"/>
                <w:szCs w:val="20"/>
                <w:color w:val="auto"/>
              </w:rPr>
            </w:pPr>
            <w:r>
              <w:rPr>
                <w:rFonts w:ascii="Arial" w:cs="Arial" w:eastAsia="Arial" w:hAnsi="Arial"/>
                <w:sz w:val="18"/>
                <w:szCs w:val="18"/>
                <w:color w:val="auto"/>
                <w:w w:val="96"/>
              </w:rPr>
              <w:t>1,646.4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6"/>
              </w:rPr>
              <w:t>1,238.7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operating results of the VMO2 JV for the period from June 1, 2021 through September 30, 2021.</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VodafoneZiggo JV</w:t>
      </w:r>
    </w:p>
    <w:p>
      <w:pPr>
        <w:spacing w:after="0" w:line="2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NL JV Framework Agreement</w:t>
      </w:r>
      <w:r>
        <w:rPr>
          <w:rFonts w:ascii="Arial" w:cs="Arial" w:eastAsia="Arial" w:hAnsi="Arial"/>
          <w:sz w:val="17"/>
          <w:szCs w:val="17"/>
          <w:color w:val="auto"/>
        </w:rPr>
        <w:t xml:space="preserve">), Liberty Global provides certain services to the VodafoneZiggo JV (collectively, the </w:t>
      </w:r>
      <w:r>
        <w:rPr>
          <w:rFonts w:ascii="Arial" w:cs="Arial" w:eastAsia="Arial" w:hAnsi="Arial"/>
          <w:sz w:val="17"/>
          <w:szCs w:val="17"/>
          <w:b w:val="1"/>
          <w:bCs w:val="1"/>
          <w:color w:val="auto"/>
        </w:rPr>
        <w:t>NL</w:t>
      </w:r>
      <w:r>
        <w:rPr>
          <w:rFonts w:ascii="Arial" w:cs="Arial" w:eastAsia="Arial" w:hAnsi="Arial"/>
          <w:sz w:val="17"/>
          <w:szCs w:val="17"/>
          <w:color w:val="auto"/>
        </w:rPr>
        <w:t xml:space="preserve"> </w:t>
      </w:r>
      <w:r>
        <w:rPr>
          <w:rFonts w:ascii="Arial" w:cs="Arial" w:eastAsia="Arial" w:hAnsi="Arial"/>
          <w:sz w:val="17"/>
          <w:szCs w:val="17"/>
          <w:b w:val="1"/>
          <w:bCs w:val="1"/>
          <w:color w:val="auto"/>
        </w:rPr>
        <w:t>JV Services</w:t>
      </w:r>
      <w:r>
        <w:rPr>
          <w:rFonts w:ascii="Arial" w:cs="Arial" w:eastAsia="Arial" w:hAnsi="Arial"/>
          <w:sz w:val="17"/>
          <w:szCs w:val="17"/>
          <w:color w:val="auto"/>
        </w:rPr>
        <w:t>). The NL JV Services provided by Liberty Global consist primarily of (i) technology and other services and (ii) capital-related expenditures for</w:t>
      </w:r>
      <w:r>
        <w:rPr>
          <w:rFonts w:ascii="Arial" w:cs="Arial" w:eastAsia="Arial" w:hAnsi="Arial"/>
          <w:sz w:val="17"/>
          <w:szCs w:val="17"/>
          <w:b w:val="1"/>
          <w:bCs w:val="1"/>
          <w:color w:val="auto"/>
        </w:rPr>
        <w:t xml:space="preserve"> </w:t>
      </w:r>
      <w:r>
        <w:rPr>
          <w:rFonts w:ascii="Arial" w:cs="Arial" w:eastAsia="Arial" w:hAnsi="Arial"/>
          <w:sz w:val="17"/>
          <w:szCs w:val="17"/>
          <w:color w:val="auto"/>
        </w:rPr>
        <w:t>assets that will be used by, or will otherwise benefit, the VodafoneZiggo JV. Liberty Global charges both fixed and usage-based fees to the VodafoneZiggo JV for the NL JV Services provided during the term of the NL JV Framework Agreement. We recorded revenue from the VodafoneZiggo JV of $75.4 million and $45.2 million during the three months ended September 30, 2022 and 2021, respectively, and $192.7 million and $161.0 million during the nine months ended September 30, 2022 and 2021, respectively, primarily related to (a) the NL JV Services and (b) the sale of customer premises equipment at a mark-up. At September 30, 2022 and December 31, 2021, $33.0 million and $62.5 million, respectively, was due from the VodafoneZiggo JV related to the aforementioned transactions. Amounts due from the VodafoneZiggo JV are periodically cash settled and are included in other current assets on our condensed consolidated balance sheets. In addition, during the nine months ended September 30, 2022 and 2021, we received dividend distributions from the VodafoneZiggo JV aggregating $186.9 million and $240.9 million, respectively, which were accounted for as returns on capital for purposes of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60" w:type="dxa"/>
            <w:vAlign w:val="bottom"/>
            <w:gridSpan w:val="4"/>
          </w:tcPr>
          <w:p>
            <w:pPr>
              <w:jc w:val="right"/>
              <w:ind w:right="574"/>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232.5</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(32.9)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585.2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realized and unrealized gains (losses) due to changes in fair value,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276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8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September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5"/>
        </w:trPr>
        <w:tc>
          <w:tcPr>
            <w:tcW w:w="58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2021</w:t>
            </w:r>
          </w:p>
        </w:tc>
      </w:tr>
      <w:tr>
        <w:trPr>
          <w:trHeight w:val="203"/>
        </w:trPr>
        <w:tc>
          <w:tcPr>
            <w:tcW w:w="5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50"/>
        </w:trPr>
        <w:tc>
          <w:tcPr>
            <w:tcW w:w="5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5"/>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Pax8</w:t>
            </w:r>
          </w:p>
        </w:tc>
        <w:tc>
          <w:tcPr>
            <w:tcW w:w="8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Lionsgate</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Televisa Univision</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Skillz Inc. (</w:t>
            </w:r>
            <w:r>
              <w:rPr>
                <w:rFonts w:ascii="Arial" w:cs="Arial" w:eastAsia="Arial" w:hAnsi="Arial"/>
                <w:sz w:val="18"/>
                <w:szCs w:val="18"/>
                <w:b w:val="1"/>
                <w:bCs w:val="1"/>
                <w:color w:val="auto"/>
              </w:rPr>
              <w:t>Skillz</w:t>
            </w: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25"/>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Plume</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Aviatrix</w:t>
            </w:r>
          </w:p>
        </w:tc>
        <w:tc>
          <w:tcPr>
            <w:tcW w:w="8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Lacework</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25"/>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(a)</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588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 for the 2022 nine-month period includes a gain of $12.0 million related to investments that were sold during the second quarter.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 Securities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At September 30, 2022 and December 31, 2021, all of our SMAs were composed of debt securities, which are summarized in the following tables: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September 30, 2022</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14"/>
              <w:spacing w:after="0" w:line="155" w:lineRule="exact"/>
              <w:rPr>
                <w:sz w:val="20"/>
                <w:szCs w:val="20"/>
                <w:color w:val="auto"/>
              </w:rPr>
            </w:pPr>
            <w:r>
              <w:rPr>
                <w:rFonts w:ascii="Arial" w:cs="Arial" w:eastAsia="Arial" w:hAnsi="Arial"/>
                <w:sz w:val="16"/>
                <w:szCs w:val="16"/>
                <w:b w:val="1"/>
                <w:bCs w:val="1"/>
                <w:color w:val="auto"/>
                <w:w w:val="88"/>
              </w:rPr>
              <w:t>Amortized cost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3"/>
                <w:szCs w:val="13"/>
                <w:color w:val="auto"/>
              </w:rPr>
            </w:pPr>
          </w:p>
        </w:tc>
        <w:tc>
          <w:tcPr>
            <w:tcW w:w="10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2"/>
              </w:rPr>
              <w:t>basis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5"/>
              </w:rPr>
              <w:t>unrealized losses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 millions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8"/>
        </w:trPr>
        <w:tc>
          <w:tcPr>
            <w:tcW w:w="7220" w:type="dxa"/>
            <w:vAlign w:val="bottom"/>
          </w:tcPr>
          <w:p>
            <w:pPr>
              <w:ind w:left="180"/>
              <w:spacing w:after="0" w:line="204" w:lineRule="exact"/>
              <w:rPr>
                <w:sz w:val="20"/>
                <w:szCs w:val="20"/>
                <w:color w:val="auto"/>
              </w:rPr>
            </w:pPr>
            <w:r>
              <w:rPr>
                <w:rFonts w:ascii="Arial" w:cs="Arial" w:eastAsia="Arial" w:hAnsi="Arial"/>
                <w:sz w:val="18"/>
                <w:szCs w:val="18"/>
                <w:color w:val="auto"/>
              </w:rPr>
              <w:t>Total debt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2,374.8</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14"/>
              <w:spacing w:after="0" w:line="155" w:lineRule="exact"/>
              <w:rPr>
                <w:sz w:val="20"/>
                <w:szCs w:val="20"/>
                <w:color w:val="auto"/>
              </w:rPr>
            </w:pPr>
            <w:r>
              <w:rPr>
                <w:rFonts w:ascii="Arial" w:cs="Arial" w:eastAsia="Arial" w:hAnsi="Arial"/>
                <w:sz w:val="16"/>
                <w:szCs w:val="16"/>
                <w:b w:val="1"/>
                <w:bCs w:val="1"/>
                <w:color w:val="auto"/>
                <w:w w:val="88"/>
              </w:rPr>
              <w:t>Amortized cost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3"/>
                <w:szCs w:val="13"/>
                <w:color w:val="auto"/>
              </w:rPr>
            </w:pPr>
          </w:p>
        </w:tc>
        <w:tc>
          <w:tcPr>
            <w:tcW w:w="10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2"/>
              </w:rPr>
              <w:t>basis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5"/>
              </w:rPr>
              <w:t>unrealized losses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 millions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122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8"/>
        </w:trPr>
        <w:tc>
          <w:tcPr>
            <w:tcW w:w="7220" w:type="dxa"/>
            <w:vAlign w:val="bottom"/>
          </w:tcPr>
          <w:p>
            <w:pPr>
              <w:ind w:left="180"/>
              <w:spacing w:after="0" w:line="204" w:lineRule="exact"/>
              <w:rPr>
                <w:sz w:val="20"/>
                <w:szCs w:val="20"/>
                <w:color w:val="auto"/>
              </w:rPr>
            </w:pPr>
            <w:r>
              <w:rPr>
                <w:rFonts w:ascii="Arial" w:cs="Arial" w:eastAsia="Arial" w:hAnsi="Arial"/>
                <w:sz w:val="18"/>
                <w:szCs w:val="18"/>
                <w:color w:val="auto"/>
              </w:rPr>
              <w:t>Total debt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2,806.3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received proceeds from the sale of debt securities of $2.6 billion and $1.9 billion during the three months ended September 30, 2022 and 2021, respectively, and $7.5 billion and $4.8 billion during the nine months ended September 30, 2022 and 2021, respectively, the majority of which were reinvested in new debt securities held under SMAs. The sale of debt securities resulted in a realized net loss of $1.5 million and nil during the three months ended September 30, 2022 and 2021, respectively, and realized net losses of $7.6 million and $1.6 million during the nine months ended September 30, 2022 and 2021,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spacing w:after="0"/>
              <w:rPr>
                <w:sz w:val="19"/>
                <w:szCs w:val="19"/>
                <w:color w:val="auto"/>
              </w:rPr>
            </w:pPr>
          </w:p>
        </w:tc>
        <w:tc>
          <w:tcPr>
            <w:tcW w:w="9640" w:type="dxa"/>
            <w:vAlign w:val="bottom"/>
          </w:tcPr>
          <w:p>
            <w:pPr>
              <w:ind w:left="60"/>
              <w:spacing w:after="0"/>
              <w:rPr>
                <w:sz w:val="20"/>
                <w:szCs w:val="20"/>
                <w:color w:val="auto"/>
              </w:rPr>
            </w:pPr>
            <w:r>
              <w:rPr>
                <w:rFonts w:ascii="Arial" w:cs="Arial" w:eastAsia="Arial" w:hAnsi="Arial"/>
                <w:sz w:val="18"/>
                <w:szCs w:val="18"/>
                <w:color w:val="auto"/>
              </w:rPr>
              <w:t>The fair values of our debt securities as of September 30, 2022 by contractual maturity are shown below (in millions):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9900" w:type="dxa"/>
            <w:vAlign w:val="bottom"/>
            <w:gridSpan w:val="2"/>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2,149.0</w:t>
            </w:r>
          </w:p>
        </w:tc>
        <w:tc>
          <w:tcPr>
            <w:tcW w:w="0" w:type="dxa"/>
            <w:vAlign w:val="bottom"/>
          </w:tcPr>
          <w:p>
            <w:pPr>
              <w:spacing w:after="0"/>
              <w:rPr>
                <w:sz w:val="1"/>
                <w:szCs w:val="1"/>
                <w:color w:val="auto"/>
              </w:rPr>
            </w:pPr>
          </w:p>
        </w:tc>
      </w:tr>
      <w:tr>
        <w:trPr>
          <w:trHeight w:val="225"/>
        </w:trPr>
        <w:tc>
          <w:tcPr>
            <w:tcW w:w="9900" w:type="dxa"/>
            <w:vAlign w:val="bottom"/>
            <w:gridSpan w:val="2"/>
          </w:tcPr>
          <w:p>
            <w:pPr>
              <w:ind w:left="20"/>
              <w:spacing w:after="0"/>
              <w:rPr>
                <w:sz w:val="20"/>
                <w:szCs w:val="20"/>
                <w:color w:val="auto"/>
              </w:rPr>
            </w:pPr>
            <w:r>
              <w:rPr>
                <w:rFonts w:ascii="Arial" w:cs="Arial" w:eastAsia="Arial" w:hAnsi="Arial"/>
                <w:sz w:val="18"/>
                <w:szCs w:val="18"/>
                <w:color w:val="auto"/>
              </w:rPr>
              <w:t>Due in one to five years</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26"/>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9900" w:type="dxa"/>
            <w:vAlign w:val="bottom"/>
            <w:gridSpan w:val="2"/>
          </w:tcPr>
          <w:p>
            <w:pPr>
              <w:ind w:left="180"/>
              <w:spacing w:after="0" w:line="204" w:lineRule="exact"/>
              <w:rPr>
                <w:sz w:val="20"/>
                <w:szCs w:val="20"/>
                <w:color w:val="auto"/>
              </w:rPr>
            </w:pPr>
            <w:r>
              <w:rPr>
                <w:rFonts w:ascii="Arial" w:cs="Arial" w:eastAsia="Arial" w:hAnsi="Arial"/>
                <w:sz w:val="18"/>
                <w:szCs w:val="18"/>
                <w:color w:val="auto"/>
              </w:rPr>
              <w:t>Total (a)</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2,374.8</w:t>
            </w:r>
          </w:p>
        </w:tc>
        <w:tc>
          <w:tcPr>
            <w:tcW w:w="0" w:type="dxa"/>
            <w:vAlign w:val="bottom"/>
          </w:tcPr>
          <w:p>
            <w:pPr>
              <w:spacing w:after="0"/>
              <w:rPr>
                <w:sz w:val="1"/>
                <w:szCs w:val="1"/>
                <w:color w:val="auto"/>
              </w:rPr>
            </w:pPr>
          </w:p>
        </w:tc>
      </w:tr>
      <w:tr>
        <w:trPr>
          <w:trHeight w:val="21"/>
        </w:trPr>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99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60" w:type="dxa"/>
            <w:vAlign w:val="bottom"/>
          </w:tcPr>
          <w:p>
            <w:pPr>
              <w:spacing w:after="0"/>
              <w:rPr>
                <w:sz w:val="20"/>
                <w:szCs w:val="20"/>
                <w:color w:val="auto"/>
              </w:rPr>
            </w:pPr>
            <w:r>
              <w:rPr>
                <w:rFonts w:ascii="Arial" w:cs="Arial" w:eastAsia="Arial" w:hAnsi="Arial"/>
                <w:sz w:val="18"/>
                <w:szCs w:val="18"/>
                <w:color w:val="auto"/>
              </w:rPr>
              <w:t>(a)</w:t>
            </w:r>
          </w:p>
        </w:tc>
        <w:tc>
          <w:tcPr>
            <w:tcW w:w="9640" w:type="dxa"/>
            <w:vAlign w:val="bottom"/>
          </w:tcPr>
          <w:p>
            <w:pPr>
              <w:ind w:left="220"/>
              <w:spacing w:after="0"/>
              <w:rPr>
                <w:sz w:val="20"/>
                <w:szCs w:val="20"/>
                <w:color w:val="auto"/>
              </w:rPr>
            </w:pPr>
            <w:r>
              <w:rPr>
                <w:rFonts w:ascii="Arial" w:cs="Arial" w:eastAsia="Arial" w:hAnsi="Arial"/>
                <w:sz w:val="18"/>
                <w:szCs w:val="18"/>
                <w:color w:val="auto"/>
              </w:rPr>
              <w:t>The weighted average life of our total debt securities was 0.5 years as of September 30, 2022.</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Further, the U.K. is similarly facing various macroeconomic pressures, including financial and political challenges, that have impacted the broader U.K. economy and valuation of the local currency. These factors, among others, may impact the mobile and fixed-line operations of the VMO2 JV. If the adverse impacts of economic, financial, political, competitive, regulatory or other factors were to cause significant deterioration of the results of operations or significant changes in our estimates of discount rates, future results or cash flows of the VMO2 JV, we could conclude in future periods that our investment in the VMO2 JV is impaired. Any such impairment of our investment in the VMO2 JV would be reflected as a component of share of results of affiliates, net, in our consolidated statement of operations and could be significant.</w:t>
      </w:r>
    </w:p>
    <w:p>
      <w:pPr>
        <w:spacing w:after="0" w:line="217" w:lineRule="exact"/>
        <w:rPr>
          <w:sz w:val="20"/>
          <w:szCs w:val="20"/>
          <w:color w:val="auto"/>
        </w:rPr>
      </w:pPr>
    </w:p>
    <w:p>
      <w:pPr>
        <w:ind w:left="380" w:hanging="374"/>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50"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and the Swiss franc (</w:t>
      </w:r>
      <w:r>
        <w:rPr>
          <w:rFonts w:ascii="Arial" w:cs="Arial" w:eastAsia="Arial" w:hAnsi="Arial"/>
          <w:sz w:val="18"/>
          <w:szCs w:val="18"/>
          <w:b w:val="1"/>
          <w:bCs w:val="1"/>
          <w:color w:val="auto"/>
        </w:rPr>
        <w:t>CHF</w:t>
      </w:r>
      <w:r>
        <w:rPr>
          <w:rFonts w:ascii="Arial" w:cs="Arial" w:eastAsia="Arial" w:hAnsi="Arial"/>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8"/>
              </w:rPr>
              <w:t>September 30, 2022</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December 31, 2021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6"/>
        </w:trPr>
        <w:tc>
          <w:tcPr>
            <w:tcW w:w="4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Current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Total</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right"/>
              <w:ind w:right="71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3"/>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4320" w:type="dxa"/>
            <w:vAlign w:val="bottom"/>
            <w:gridSpan w:val="2"/>
          </w:tcPr>
          <w:p>
            <w:pPr>
              <w:ind w:left="140"/>
              <w:spacing w:after="0"/>
              <w:rPr>
                <w:sz w:val="20"/>
                <w:szCs w:val="20"/>
                <w:color w:val="auto"/>
              </w:rPr>
            </w:pPr>
            <w:r>
              <w:rPr>
                <w:rFonts w:ascii="Arial" w:cs="Arial" w:eastAsia="Arial" w:hAnsi="Arial"/>
                <w:sz w:val="18"/>
                <w:szCs w:val="18"/>
                <w:color w:val="auto"/>
                <w:w w:val="90"/>
              </w:rPr>
              <w:t>Cross-currency and interest rate derivative contracts (b) $</w:t>
            </w:r>
          </w:p>
        </w:tc>
        <w:tc>
          <w:tcPr>
            <w:tcW w:w="860" w:type="dxa"/>
            <w:vAlign w:val="bottom"/>
          </w:tcPr>
          <w:p>
            <w:pPr>
              <w:jc w:val="right"/>
              <w:spacing w:after="0"/>
              <w:rPr>
                <w:sz w:val="20"/>
                <w:szCs w:val="20"/>
                <w:color w:val="auto"/>
              </w:rPr>
            </w:pPr>
            <w:r>
              <w:rPr>
                <w:rFonts w:ascii="Arial" w:cs="Arial" w:eastAsia="Arial" w:hAnsi="Arial"/>
                <w:sz w:val="18"/>
                <w:szCs w:val="18"/>
                <w:color w:val="auto"/>
              </w:rPr>
              <w:t>388.9</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379.2</w:t>
            </w:r>
          </w:p>
        </w:tc>
      </w:tr>
      <w:tr>
        <w:trPr>
          <w:trHeight w:val="22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92"/>
        </w:trPr>
        <w:tc>
          <w:tcPr>
            <w:tcW w:w="4120" w:type="dxa"/>
            <w:vAlign w:val="bottom"/>
          </w:tcPr>
          <w:p>
            <w:pPr>
              <w:jc w:val="center"/>
              <w:ind w:right="2992"/>
              <w:spacing w:after="0" w:line="192" w:lineRule="exact"/>
              <w:rPr>
                <w:sz w:val="20"/>
                <w:szCs w:val="20"/>
                <w:color w:val="auto"/>
              </w:rPr>
            </w:pPr>
            <w:r>
              <w:rPr>
                <w:rFonts w:ascii="Arial" w:cs="Arial" w:eastAsia="Arial" w:hAnsi="Arial"/>
                <w:sz w:val="18"/>
                <w:szCs w:val="18"/>
                <w:color w:val="auto"/>
                <w:w w:val="89"/>
              </w:rPr>
              <w:t>Total</w:t>
            </w:r>
          </w:p>
        </w:tc>
        <w:tc>
          <w:tcPr>
            <w:tcW w:w="200" w:type="dxa"/>
            <w:vAlign w:val="bottom"/>
          </w:tcPr>
          <w:p>
            <w:pPr>
              <w:jc w:val="right"/>
              <w:spacing w:after="0" w:line="19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92" w:lineRule="exact"/>
              <w:rPr>
                <w:sz w:val="20"/>
                <w:szCs w:val="20"/>
                <w:color w:val="auto"/>
              </w:rPr>
            </w:pPr>
            <w:r>
              <w:rPr>
                <w:rFonts w:ascii="Arial" w:cs="Arial" w:eastAsia="Arial" w:hAnsi="Arial"/>
                <w:sz w:val="18"/>
                <w:szCs w:val="18"/>
                <w:color w:val="auto"/>
              </w:rPr>
              <w:t>396.4</w:t>
            </w:r>
          </w:p>
        </w:tc>
        <w:tc>
          <w:tcPr>
            <w:tcW w:w="280" w:type="dxa"/>
            <w:vAlign w:val="bottom"/>
            <w:gridSpan w:val="3"/>
          </w:tcPr>
          <w:p>
            <w:pPr>
              <w:jc w:val="right"/>
              <w:ind w:right="40"/>
              <w:spacing w:after="0" w:line="19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2" w:lineRule="exact"/>
              <w:rPr>
                <w:sz w:val="20"/>
                <w:szCs w:val="20"/>
                <w:color w:val="auto"/>
              </w:rPr>
            </w:pPr>
            <w:r>
              <w:rPr>
                <w:rFonts w:ascii="Arial" w:cs="Arial" w:eastAsia="Arial" w:hAnsi="Arial"/>
                <w:sz w:val="18"/>
                <w:szCs w:val="18"/>
                <w:color w:val="auto"/>
              </w:rPr>
              <w:t>1,515.1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32"/>
              <w:spacing w:after="0" w:line="19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2" w:lineRule="exact"/>
              <w:rPr>
                <w:sz w:val="20"/>
                <w:szCs w:val="20"/>
                <w:color w:val="auto"/>
              </w:rPr>
            </w:pPr>
            <w:r>
              <w:rPr>
                <w:rFonts w:ascii="Arial" w:cs="Arial" w:eastAsia="Arial" w:hAnsi="Arial"/>
                <w:sz w:val="18"/>
                <w:szCs w:val="18"/>
                <w:color w:val="auto"/>
              </w:rPr>
              <w:t>1,911.5</w:t>
            </w:r>
          </w:p>
        </w:tc>
        <w:tc>
          <w:tcPr>
            <w:tcW w:w="120" w:type="dxa"/>
            <w:vAlign w:val="bottom"/>
          </w:tcPr>
          <w:p>
            <w:pPr>
              <w:spacing w:after="0"/>
              <w:rPr>
                <w:sz w:val="16"/>
                <w:szCs w:val="16"/>
                <w:color w:val="auto"/>
              </w:rPr>
            </w:pPr>
          </w:p>
        </w:tc>
        <w:tc>
          <w:tcPr>
            <w:tcW w:w="18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2" w:lineRule="exact"/>
              <w:rPr>
                <w:sz w:val="20"/>
                <w:szCs w:val="20"/>
                <w:color w:val="auto"/>
              </w:rPr>
            </w:pPr>
            <w:r>
              <w:rPr>
                <w:rFonts w:ascii="Arial" w:cs="Arial" w:eastAsia="Arial" w:hAnsi="Arial"/>
                <w:sz w:val="18"/>
                <w:szCs w:val="18"/>
                <w:color w:val="auto"/>
              </w:rPr>
              <w:t>244.3</w:t>
            </w:r>
          </w:p>
        </w:tc>
        <w:tc>
          <w:tcPr>
            <w:tcW w:w="24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2" w:lineRule="exact"/>
              <w:rPr>
                <w:sz w:val="20"/>
                <w:szCs w:val="20"/>
                <w:color w:val="auto"/>
              </w:rPr>
            </w:pPr>
            <w:r>
              <w:rPr>
                <w:rFonts w:ascii="Arial" w:cs="Arial" w:eastAsia="Arial" w:hAnsi="Arial"/>
                <w:sz w:val="18"/>
                <w:szCs w:val="18"/>
                <w:color w:val="auto"/>
              </w:rPr>
              <w:t>278.1</w:t>
            </w:r>
          </w:p>
        </w:tc>
        <w:tc>
          <w:tcPr>
            <w:tcW w:w="100" w:type="dxa"/>
            <w:vAlign w:val="bottom"/>
          </w:tcPr>
          <w:p>
            <w:pPr>
              <w:spacing w:after="0"/>
              <w:rPr>
                <w:sz w:val="16"/>
                <w:szCs w:val="16"/>
                <w:color w:val="auto"/>
              </w:rPr>
            </w:pPr>
          </w:p>
        </w:tc>
        <w:tc>
          <w:tcPr>
            <w:tcW w:w="240" w:type="dxa"/>
            <w:vAlign w:val="bottom"/>
          </w:tcPr>
          <w:p>
            <w:pPr>
              <w:jc w:val="right"/>
              <w:ind w:right="52"/>
              <w:spacing w:after="0" w:line="19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2" w:lineRule="exact"/>
              <w:rPr>
                <w:sz w:val="20"/>
                <w:szCs w:val="20"/>
                <w:color w:val="auto"/>
              </w:rPr>
            </w:pPr>
            <w:r>
              <w:rPr>
                <w:rFonts w:ascii="Arial" w:cs="Arial" w:eastAsia="Arial" w:hAnsi="Arial"/>
                <w:sz w:val="18"/>
                <w:szCs w:val="18"/>
                <w:color w:val="auto"/>
              </w:rPr>
              <w:t>522.4</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4120" w:type="dxa"/>
            <w:vAlign w:val="bottom"/>
            <w:shd w:val="clear" w:color="auto" w:fill="CCEEFF"/>
          </w:tcPr>
          <w:p>
            <w:pPr>
              <w:jc w:val="center"/>
              <w:ind w:right="2992"/>
              <w:spacing w:after="0" w:line="192" w:lineRule="exact"/>
              <w:rPr>
                <w:sz w:val="20"/>
                <w:szCs w:val="20"/>
                <w:color w:val="auto"/>
              </w:rPr>
            </w:pPr>
            <w:r>
              <w:rPr>
                <w:rFonts w:ascii="Arial" w:cs="Arial" w:eastAsia="Arial" w:hAnsi="Arial"/>
                <w:sz w:val="18"/>
                <w:szCs w:val="18"/>
                <w:color w:val="auto"/>
                <w:w w:val="94"/>
              </w:rPr>
              <w:t>Liabilities (a):</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5"/>
        </w:trPr>
        <w:tc>
          <w:tcPr>
            <w:tcW w:w="4320" w:type="dxa"/>
            <w:vAlign w:val="bottom"/>
            <w:gridSpan w:val="2"/>
          </w:tcPr>
          <w:p>
            <w:pPr>
              <w:ind w:left="140"/>
              <w:spacing w:after="0"/>
              <w:rPr>
                <w:sz w:val="20"/>
                <w:szCs w:val="20"/>
                <w:color w:val="auto"/>
              </w:rPr>
            </w:pPr>
            <w:r>
              <w:rPr>
                <w:rFonts w:ascii="Arial" w:cs="Arial" w:eastAsia="Arial" w:hAnsi="Arial"/>
                <w:sz w:val="18"/>
                <w:szCs w:val="18"/>
                <w:color w:val="auto"/>
                <w:w w:val="90"/>
              </w:rPr>
              <w:t>Cross-currency and interest rate derivative contracts (b) $</w:t>
            </w:r>
          </w:p>
        </w:tc>
        <w:tc>
          <w:tcPr>
            <w:tcW w:w="860" w:type="dxa"/>
            <w:vAlign w:val="bottom"/>
          </w:tcPr>
          <w:p>
            <w:pPr>
              <w:jc w:val="right"/>
              <w:spacing w:after="0"/>
              <w:rPr>
                <w:sz w:val="20"/>
                <w:szCs w:val="20"/>
                <w:color w:val="auto"/>
              </w:rPr>
            </w:pPr>
            <w:r>
              <w:rPr>
                <w:rFonts w:ascii="Arial" w:cs="Arial" w:eastAsia="Arial" w:hAnsi="Arial"/>
                <w:sz w:val="18"/>
                <w:szCs w:val="18"/>
                <w:color w:val="auto"/>
              </w:rPr>
              <w:t>223.1</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879.0</w:t>
            </w:r>
          </w:p>
        </w:tc>
      </w:tr>
      <w:tr>
        <w:trPr>
          <w:trHeight w:val="22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8"/>
        </w:trPr>
        <w:tc>
          <w:tcPr>
            <w:tcW w:w="4120" w:type="dxa"/>
            <w:vAlign w:val="bottom"/>
          </w:tcPr>
          <w:p>
            <w:pPr>
              <w:jc w:val="center"/>
              <w:ind w:right="2992"/>
              <w:spacing w:after="0"/>
              <w:rPr>
                <w:sz w:val="20"/>
                <w:szCs w:val="20"/>
                <w:color w:val="auto"/>
              </w:rPr>
            </w:pPr>
            <w:r>
              <w:rPr>
                <w:rFonts w:ascii="Arial" w:cs="Arial" w:eastAsia="Arial" w:hAnsi="Arial"/>
                <w:sz w:val="18"/>
                <w:szCs w:val="18"/>
                <w:color w:val="auto"/>
                <w:w w:val="89"/>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233.7</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648.5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892.0</w:t>
            </w:r>
          </w:p>
        </w:tc>
      </w:tr>
      <w:tr>
        <w:trPr>
          <w:trHeight w:val="20"/>
        </w:trPr>
        <w:tc>
          <w:tcPr>
            <w:tcW w:w="4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derivative assets, long-term derivative assets and long-term derivative liabilities are included in other current assets, other assets, net, and other long-term liabilities, respectively, on our condensed consolidated balance sheets.</w:t>
      </w:r>
    </w:p>
    <w:p>
      <w:pPr>
        <w:spacing w:after="0" w:line="207" w:lineRule="exact"/>
        <w:rPr>
          <w:rFonts w:ascii="Arial" w:cs="Arial" w:eastAsia="Arial" w:hAnsi="Arial"/>
          <w:sz w:val="18"/>
          <w:szCs w:val="18"/>
          <w:color w:val="auto"/>
        </w:rPr>
      </w:pPr>
    </w:p>
    <w:p>
      <w:pPr>
        <w:jc w:val="both"/>
        <w:ind w:left="480" w:hanging="474"/>
        <w:spacing w:after="0" w:line="309" w:lineRule="auto"/>
        <w:tabs>
          <w:tab w:leader="none" w:pos="474"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losses of $16.3 million and $34.0 million during the three months ended September 30, 2022 and 2021, respectively, and $7.0 million and $34.8 million during the nine months ended September 30, 2022 and 2021, respectively. These amounts are included in realized and unrealized gains on derivative instruments, net, in our condensed consolidated statements of operations. For further information regarding our fair value measurements, see note 7.</w:t>
      </w:r>
    </w:p>
    <w:p>
      <w:pPr>
        <w:spacing w:after="0" w:line="178" w:lineRule="exact"/>
        <w:rPr>
          <w:rFonts w:ascii="Arial" w:cs="Arial" w:eastAsia="Arial" w:hAnsi="Arial"/>
          <w:sz w:val="15"/>
          <w:szCs w:val="15"/>
          <w:color w:val="auto"/>
        </w:rPr>
      </w:pPr>
    </w:p>
    <w:p>
      <w:pPr>
        <w:ind w:left="480" w:hanging="47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equity-related derivative instruments include warrants on our investment in Plume.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realized and unrealized gains on derivative instruments, net,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180" w:type="dxa"/>
            <w:vAlign w:val="bottom"/>
            <w:gridSpan w:val="4"/>
          </w:tcPr>
          <w:p>
            <w:pPr>
              <w:jc w:val="right"/>
              <w:ind w:right="75"/>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60" w:type="dxa"/>
            <w:vAlign w:val="bottom"/>
            <w:gridSpan w:val="4"/>
          </w:tcPr>
          <w:p>
            <w:pPr>
              <w:jc w:val="right"/>
              <w:ind w:right="57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8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r>
      <w:tr>
        <w:trPr>
          <w:trHeight w:val="205"/>
        </w:trPr>
        <w:tc>
          <w:tcPr>
            <w:tcW w:w="58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2021</w:t>
            </w:r>
          </w:p>
        </w:tc>
      </w:tr>
      <w:tr>
        <w:trPr>
          <w:trHeight w:val="203"/>
        </w:trPr>
        <w:tc>
          <w:tcPr>
            <w:tcW w:w="5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63"/>
        </w:trPr>
        <w:tc>
          <w:tcPr>
            <w:tcW w:w="5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549.3</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170.9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r>
      <w:tr>
        <w:trPr>
          <w:trHeight w:val="218"/>
        </w:trPr>
        <w:tc>
          <w:tcPr>
            <w:tcW w:w="584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06"/>
        </w:trPr>
        <w:tc>
          <w:tcPr>
            <w:tcW w:w="5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Equity-related derivative instruments:</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5"/>
        </w:trPr>
        <w:tc>
          <w:tcPr>
            <w:tcW w:w="5840" w:type="dxa"/>
            <w:vAlign w:val="bottom"/>
          </w:tcPr>
          <w:p>
            <w:pPr>
              <w:ind w:left="140"/>
              <w:spacing w:after="0"/>
              <w:rPr>
                <w:sz w:val="20"/>
                <w:szCs w:val="20"/>
                <w:color w:val="auto"/>
              </w:rPr>
            </w:pPr>
            <w:r>
              <w:rPr>
                <w:rFonts w:ascii="Arial" w:cs="Arial" w:eastAsia="Arial" w:hAnsi="Arial"/>
                <w:sz w:val="18"/>
                <w:szCs w:val="18"/>
                <w:color w:val="auto"/>
              </w:rPr>
              <w:t>ITV Collar</w:t>
            </w:r>
          </w:p>
        </w:tc>
        <w:tc>
          <w:tcPr>
            <w:tcW w:w="8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18"/>
        </w:trPr>
        <w:tc>
          <w:tcPr>
            <w:tcW w:w="5840" w:type="dxa"/>
            <w:vAlign w:val="bottom"/>
            <w:tcBorders>
              <w:bottom w:val="single" w:sz="8" w:color="CCEEFF"/>
            </w:tcBorders>
          </w:tcPr>
          <w:p>
            <w:pPr>
              <w:ind w:left="260"/>
              <w:spacing w:after="0" w:line="204" w:lineRule="exact"/>
              <w:rPr>
                <w:sz w:val="20"/>
                <w:szCs w:val="20"/>
                <w:color w:val="auto"/>
              </w:rPr>
            </w:pPr>
            <w:r>
              <w:rPr>
                <w:rFonts w:ascii="Arial" w:cs="Arial" w:eastAsia="Arial" w:hAnsi="Arial"/>
                <w:sz w:val="18"/>
                <w:szCs w:val="18"/>
                <w:color w:val="auto"/>
              </w:rPr>
              <w:t>Total equity-related derivative instruments</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r>
      <w:tr>
        <w:trPr>
          <w:trHeight w:val="219"/>
        </w:trPr>
        <w:tc>
          <w:tcPr>
            <w:tcW w:w="5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8"/>
        </w:trPr>
        <w:tc>
          <w:tcPr>
            <w:tcW w:w="584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546.9</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199.3</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w:t>
            </w:r>
          </w:p>
        </w:tc>
      </w:tr>
      <w:tr>
        <w:trPr>
          <w:trHeight w:val="20"/>
        </w:trPr>
        <w:tc>
          <w:tcPr>
            <w:tcW w:w="5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outflows of our derivative instruments:</w:t>
      </w:r>
    </w:p>
    <w:p>
      <w:pPr>
        <w:spacing w:after="0" w:line="100"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Nine months ended</w:t>
      </w:r>
    </w:p>
    <w:p>
      <w:pPr>
        <w:jc w:val="center"/>
        <w:ind w:left="866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2"/>
        </w:trPr>
        <w:tc>
          <w:tcPr>
            <w:tcW w:w="8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3"/>
        </w:trPr>
        <w:tc>
          <w:tcPr>
            <w:tcW w:w="8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(51.7)</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center"/>
              <w:ind w:left="293"/>
              <w:spacing w:after="0"/>
              <w:rPr>
                <w:sz w:val="20"/>
                <w:szCs w:val="20"/>
                <w:color w:val="auto"/>
              </w:rPr>
            </w:pPr>
            <w:r>
              <w:rPr>
                <w:rFonts w:ascii="Arial" w:cs="Arial" w:eastAsia="Arial" w:hAnsi="Arial"/>
                <w:sz w:val="18"/>
                <w:szCs w:val="18"/>
                <w:color w:val="auto"/>
                <w:w w:val="93"/>
              </w:rPr>
              <w:t>(61.7)</w:t>
            </w:r>
          </w:p>
        </w:tc>
      </w:tr>
      <w:tr>
        <w:trPr>
          <w:trHeight w:val="22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7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91"/>
              </w:rPr>
              <w:t>23.1</w:t>
            </w:r>
          </w:p>
        </w:tc>
      </w:tr>
      <w:tr>
        <w:trPr>
          <w:trHeight w:val="218"/>
        </w:trPr>
        <w:tc>
          <w:tcPr>
            <w:tcW w:w="868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93"/>
              </w:rPr>
              <w:t>(90.3)</w:t>
            </w:r>
          </w:p>
        </w:tc>
      </w:tr>
      <w:tr>
        <w:trPr>
          <w:trHeight w:val="20"/>
        </w:trPr>
        <w:tc>
          <w:tcPr>
            <w:tcW w:w="8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September 30, 2022, our exposure to counterparty credit risk included derivative assets with an aggregate fair value of $1.3 billion.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September 30, 2022,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September 30,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tcPr>
          <w:p>
            <w:pPr>
              <w:jc w:val="right"/>
              <w:ind w:right="474"/>
              <w:spacing w:after="0"/>
              <w:rPr>
                <w:sz w:val="20"/>
                <w:szCs w:val="20"/>
                <w:color w:val="auto"/>
              </w:rPr>
            </w:pPr>
            <w:r>
              <w:rPr>
                <w:rFonts w:ascii="Arial" w:cs="Arial" w:eastAsia="Arial" w:hAnsi="Arial"/>
                <w:sz w:val="16"/>
                <w:szCs w:val="16"/>
                <w:b w:val="1"/>
                <w:bCs w:val="1"/>
                <w:color w:val="auto"/>
                <w:w w:val="95"/>
              </w:rPr>
              <w:t>Notional amount</w:t>
            </w:r>
          </w:p>
        </w:tc>
        <w:tc>
          <w:tcPr>
            <w:tcW w:w="580" w:type="dxa"/>
            <w:vAlign w:val="bottom"/>
          </w:tcPr>
          <w:p>
            <w:pPr>
              <w:spacing w:after="0"/>
              <w:rPr>
                <w:sz w:val="16"/>
                <w:szCs w:val="16"/>
                <w:color w:val="auto"/>
              </w:rPr>
            </w:pPr>
          </w:p>
        </w:tc>
        <w:tc>
          <w:tcPr>
            <w:tcW w:w="1660" w:type="dxa"/>
            <w:vAlign w:val="bottom"/>
          </w:tcPr>
          <w:p>
            <w:pPr>
              <w:jc w:val="right"/>
              <w:ind w:right="214"/>
              <w:spacing w:after="0"/>
              <w:rPr>
                <w:sz w:val="20"/>
                <w:szCs w:val="20"/>
                <w:color w:val="auto"/>
              </w:rPr>
            </w:pPr>
            <w:r>
              <w:rPr>
                <w:rFonts w:ascii="Arial" w:cs="Arial" w:eastAsia="Arial" w:hAnsi="Arial"/>
                <w:sz w:val="16"/>
                <w:szCs w:val="16"/>
                <w:b w:val="1"/>
                <w:bCs w:val="1"/>
                <w:color w:val="auto"/>
              </w:rPr>
              <w:t>Notional amount</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10"/>
        </w:trPr>
        <w:tc>
          <w:tcPr>
            <w:tcW w:w="4360" w:type="dxa"/>
            <w:vAlign w:val="bottom"/>
          </w:tcPr>
          <w:p>
            <w:pPr>
              <w:spacing w:after="0"/>
              <w:rPr>
                <w:sz w:val="18"/>
                <w:szCs w:val="18"/>
                <w:color w:val="auto"/>
              </w:rPr>
            </w:pPr>
          </w:p>
        </w:tc>
        <w:tc>
          <w:tcPr>
            <w:tcW w:w="220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6"/>
                <w:szCs w:val="16"/>
                <w:b w:val="1"/>
                <w:bCs w:val="1"/>
                <w:color w:val="auto"/>
              </w:rPr>
              <w:t>due from counterparty</w:t>
            </w:r>
          </w:p>
        </w:tc>
        <w:tc>
          <w:tcPr>
            <w:tcW w:w="5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7"/>
              </w:rPr>
              <w:t>due to counterparty</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3"/>
        </w:trPr>
        <w:tc>
          <w:tcPr>
            <w:tcW w:w="4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gridSpan w:val="2"/>
          </w:tcPr>
          <w:p>
            <w:pPr>
              <w:ind w:left="1460"/>
              <w:spacing w:after="0"/>
              <w:rPr>
                <w:sz w:val="20"/>
                <w:szCs w:val="20"/>
                <w:color w:val="auto"/>
              </w:rPr>
            </w:pPr>
            <w:r>
              <w:rPr>
                <w:rFonts w:ascii="Arial" w:cs="Arial" w:eastAsia="Arial" w:hAnsi="Arial"/>
                <w:sz w:val="16"/>
                <w:szCs w:val="16"/>
                <w:b w:val="1"/>
                <w:bCs w:val="1"/>
                <w:color w:val="auto"/>
              </w:rPr>
              <w:t>in millions</w:t>
            </w: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03"/>
        </w:trPr>
        <w:tc>
          <w:tcPr>
            <w:tcW w:w="4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250.0</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r>
      <w:tr>
        <w:trPr>
          <w:trHeight w:val="225"/>
        </w:trPr>
        <w:tc>
          <w:tcPr>
            <w:tcW w:w="436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4,475.0</w:t>
            </w:r>
          </w:p>
        </w:tc>
        <w:tc>
          <w:tcPr>
            <w:tcW w:w="580" w:type="dxa"/>
            <w:vAlign w:val="bottom"/>
          </w:tcPr>
          <w:p>
            <w:pPr>
              <w:ind w:left="120"/>
              <w:spacing w:after="0"/>
              <w:rPr>
                <w:sz w:val="20"/>
                <w:szCs w:val="20"/>
                <w:color w:val="auto"/>
              </w:rPr>
            </w:pPr>
            <w:r>
              <w:rPr>
                <w:rFonts w:ascii="Arial" w:cs="Arial" w:eastAsia="Arial" w:hAnsi="Arial"/>
                <w:sz w:val="18"/>
                <w:szCs w:val="18"/>
                <w:color w:val="auto"/>
              </w:rPr>
              <w:t>CHF</w:t>
            </w:r>
          </w:p>
        </w:tc>
        <w:tc>
          <w:tcPr>
            <w:tcW w:w="1660" w:type="dxa"/>
            <w:vAlign w:val="bottom"/>
          </w:tcPr>
          <w:p>
            <w:pPr>
              <w:jc w:val="right"/>
              <w:spacing w:after="0"/>
              <w:rPr>
                <w:sz w:val="20"/>
                <w:szCs w:val="20"/>
                <w:color w:val="auto"/>
              </w:rPr>
            </w:pPr>
            <w:r>
              <w:rPr>
                <w:rFonts w:ascii="Arial" w:cs="Arial" w:eastAsia="Arial" w:hAnsi="Arial"/>
                <w:sz w:val="18"/>
                <w:szCs w:val="18"/>
                <w:color w:val="auto"/>
              </w:rPr>
              <w:t>4,098.2</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5.7</w:t>
            </w:r>
          </w:p>
        </w:tc>
      </w:tr>
      <w:tr>
        <w:trPr>
          <w:trHeight w:val="226"/>
        </w:trPr>
        <w:tc>
          <w:tcPr>
            <w:tcW w:w="4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2,650.0</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CHF</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2,970.1</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r>
      <w:tr>
        <w:trPr>
          <w:trHeight w:val="225"/>
        </w:trPr>
        <w:tc>
          <w:tcPr>
            <w:tcW w:w="436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CHF</w:t>
            </w: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740.0</w:t>
            </w:r>
          </w:p>
        </w:tc>
        <w:tc>
          <w:tcPr>
            <w:tcW w:w="58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701.1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0.3</w:t>
            </w:r>
          </w:p>
        </w:tc>
      </w:tr>
      <w:tr>
        <w:trPr>
          <w:trHeight w:val="266"/>
        </w:trPr>
        <w:tc>
          <w:tcPr>
            <w:tcW w:w="43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Telenet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3,940.0</w:t>
            </w:r>
          </w:p>
        </w:tc>
        <w:tc>
          <w:tcPr>
            <w:tcW w:w="58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3,489.6</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4.3</w:t>
            </w:r>
          </w:p>
        </w:tc>
      </w:tr>
      <w:tr>
        <w:trPr>
          <w:trHeight w:val="226"/>
        </w:trPr>
        <w:tc>
          <w:tcPr>
            <w:tcW w:w="4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45.2</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94" w:lineRule="auto"/>
        <w:tabs>
          <w:tab w:leader="none" w:pos="477"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certain derivative instruments that are “forward-starting,” such that the initial exchange occurs at a date subsequent to September 30, 2022. These instruments are typically entered into in order to extend existing hedges without the need to amend existing contracts.</w:t>
      </w:r>
    </w:p>
    <w:p>
      <w:pPr>
        <w:spacing w:after="0" w:line="183" w:lineRule="exact"/>
        <w:rPr>
          <w:rFonts w:ascii="Arial" w:cs="Arial" w:eastAsia="Arial" w:hAnsi="Arial"/>
          <w:sz w:val="17"/>
          <w:szCs w:val="17"/>
          <w:color w:val="auto"/>
        </w:rPr>
      </w:pPr>
    </w:p>
    <w:p>
      <w:pPr>
        <w:ind w:left="480" w:hanging="474"/>
        <w:spacing w:after="0" w:line="264" w:lineRule="auto"/>
        <w:tabs>
          <w:tab w:leader="none" w:pos="4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4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September 30,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5"/>
          </w:tcPr>
          <w:p>
            <w:pPr>
              <w:ind w:left="1080"/>
              <w:spacing w:after="0"/>
              <w:rPr>
                <w:sz w:val="20"/>
                <w:szCs w:val="20"/>
                <w:color w:val="auto"/>
              </w:rPr>
            </w:pPr>
            <w:r>
              <w:rPr>
                <w:rFonts w:ascii="Arial" w:cs="Arial" w:eastAsia="Arial" w:hAnsi="Arial"/>
                <w:sz w:val="16"/>
                <w:szCs w:val="16"/>
                <w:b w:val="1"/>
                <w:bCs w:val="1"/>
                <w:color w:val="auto"/>
              </w:rPr>
              <w:t>Pays fixed rate</w:t>
            </w:r>
          </w:p>
        </w:tc>
        <w:tc>
          <w:tcPr>
            <w:tcW w:w="360" w:type="dxa"/>
            <w:vAlign w:val="bottom"/>
          </w:tcPr>
          <w:p>
            <w:pPr>
              <w:spacing w:after="0"/>
              <w:rPr>
                <w:sz w:val="18"/>
                <w:szCs w:val="18"/>
                <w:color w:val="auto"/>
              </w:rPr>
            </w:pPr>
          </w:p>
        </w:tc>
        <w:tc>
          <w:tcPr>
            <w:tcW w:w="3520" w:type="dxa"/>
            <w:vAlign w:val="bottom"/>
            <w:gridSpan w:val="3"/>
          </w:tcPr>
          <w:p>
            <w:pPr>
              <w:ind w:left="940"/>
              <w:spacing w:after="0"/>
              <w:rPr>
                <w:sz w:val="20"/>
                <w:szCs w:val="20"/>
                <w:color w:val="auto"/>
              </w:rPr>
            </w:pPr>
            <w:r>
              <w:rPr>
                <w:rFonts w:ascii="Arial" w:cs="Arial" w:eastAsia="Arial" w:hAnsi="Arial"/>
                <w:sz w:val="16"/>
                <w:szCs w:val="16"/>
                <w:b w:val="1"/>
                <w:bCs w:val="1"/>
                <w:color w:val="auto"/>
              </w:rPr>
              <w:t>Receives fixed rate</w:t>
            </w:r>
          </w:p>
        </w:tc>
      </w:tr>
      <w:tr>
        <w:trPr>
          <w:trHeight w:val="155"/>
        </w:trPr>
        <w:tc>
          <w:tcPr>
            <w:tcW w:w="33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0"/>
              </w:rPr>
              <w:t>Notional</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3"/>
              </w:rPr>
              <w:t>Notional</w:t>
            </w:r>
          </w:p>
        </w:tc>
        <w:tc>
          <w:tcPr>
            <w:tcW w:w="1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remaining life</w:t>
            </w:r>
          </w:p>
        </w:tc>
        <w:tc>
          <w:tcPr>
            <w:tcW w:w="3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amount</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3"/>
        </w:trPr>
        <w:tc>
          <w:tcPr>
            <w:tcW w:w="3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in millions</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278"/>
              <w:spacing w:after="0"/>
              <w:rPr>
                <w:sz w:val="20"/>
                <w:szCs w:val="20"/>
                <w:color w:val="auto"/>
              </w:rPr>
            </w:pPr>
            <w:r>
              <w:rPr>
                <w:rFonts w:ascii="Arial" w:cs="Arial" w:eastAsia="Arial" w:hAnsi="Arial"/>
                <w:sz w:val="16"/>
                <w:szCs w:val="16"/>
                <w:b w:val="1"/>
                <w:bCs w:val="1"/>
                <w:color w:val="auto"/>
                <w:w w:val="90"/>
              </w:rPr>
              <w:t>in millions</w:t>
            </w: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3"/>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5,561.2</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3,217.4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r>
      <w:tr>
        <w:trPr>
          <w:trHeight w:val="159"/>
        </w:trPr>
        <w:tc>
          <w:tcPr>
            <w:tcW w:w="3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2,700.8</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1,274.7</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r>
      <w:tr>
        <w:trPr>
          <w:trHeight w:val="304"/>
        </w:trPr>
        <w:tc>
          <w:tcPr>
            <w:tcW w:w="334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3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From time to time, we enter into interest rate swap options (</w:t>
      </w:r>
      <w:r>
        <w:rPr>
          <w:rFonts w:ascii="Arial" w:cs="Arial" w:eastAsia="Arial" w:hAnsi="Arial"/>
          <w:sz w:val="18"/>
          <w:szCs w:val="18"/>
          <w:b w:val="1"/>
          <w:bCs w:val="1"/>
          <w:color w:val="auto"/>
        </w:rPr>
        <w:t>swaptions</w:t>
      </w:r>
      <w:r>
        <w:rPr>
          <w:rFonts w:ascii="Arial" w:cs="Arial" w:eastAsia="Arial" w:hAnsi="Arial"/>
          <w:sz w:val="18"/>
          <w:szCs w:val="18"/>
          <w:color w:val="auto"/>
        </w:rPr>
        <w:t>) which give us the right, but not the obligation, to enter into certain interest rate swap contracts at set dates in the future. Such contracts typically have a life of no more than three years. At September 30, 2022, the option expiration period on each of our swaptions had expired.</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Swaps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September 30,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2060" w:type="dxa"/>
            <w:vAlign w:val="bottom"/>
            <w:gridSpan w:val="3"/>
          </w:tcPr>
          <w:p>
            <w:pPr>
              <w:ind w:left="20"/>
              <w:spacing w:after="0"/>
              <w:rPr>
                <w:sz w:val="20"/>
                <w:szCs w:val="20"/>
                <w:color w:val="auto"/>
              </w:rPr>
            </w:pPr>
            <w:r>
              <w:rPr>
                <w:rFonts w:ascii="Arial" w:cs="Arial" w:eastAsia="Arial" w:hAnsi="Arial"/>
                <w:sz w:val="16"/>
                <w:szCs w:val="16"/>
                <w:b w:val="1"/>
                <w:bCs w:val="1"/>
                <w:color w:val="auto"/>
              </w:rPr>
              <w:t>Notional amount due from</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7"/>
              </w:rPr>
              <w:t>Weighted average</w:t>
            </w:r>
          </w:p>
        </w:tc>
      </w:tr>
      <w:tr>
        <w:trPr>
          <w:trHeight w:val="210"/>
        </w:trPr>
        <w:tc>
          <w:tcPr>
            <w:tcW w:w="7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counterparty</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3"/>
        </w:trPr>
        <w:tc>
          <w:tcPr>
            <w:tcW w:w="7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in years</w:t>
            </w:r>
          </w:p>
        </w:tc>
      </w:tr>
      <w:tr>
        <w:trPr>
          <w:trHeight w:val="163"/>
        </w:trPr>
        <w:tc>
          <w:tcPr>
            <w:tcW w:w="7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2,417.0</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159"/>
        </w:trPr>
        <w:tc>
          <w:tcPr>
            <w:tcW w:w="7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September 30, 2022, we had no interest rate collar agreements, and the total U.S. dollar equivalents of the notional amounts of our purchased interest rate caps and floors were $1.1 billion and $7.3 billion, respectively.</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impact of the derivative instruments that mitigate our foreign currency and interest rate risk, as described above, on our borrowing costs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85"/>
              </w:rPr>
              <w:t>Decrease to</w:t>
            </w:r>
          </w:p>
        </w:tc>
      </w:tr>
      <w:tr>
        <w:trPr>
          <w:trHeight w:val="159"/>
        </w:trPr>
        <w:tc>
          <w:tcPr>
            <w:tcW w:w="9020" w:type="dxa"/>
            <w:vAlign w:val="bottom"/>
          </w:tcPr>
          <w:p>
            <w:pPr>
              <w:spacing w:after="0"/>
              <w:rPr>
                <w:sz w:val="13"/>
                <w:szCs w:val="13"/>
                <w:color w:val="auto"/>
              </w:rPr>
            </w:pPr>
          </w:p>
        </w:tc>
        <w:tc>
          <w:tcPr>
            <w:tcW w:w="22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borrowing costs at</w:t>
            </w:r>
          </w:p>
        </w:tc>
      </w:tr>
      <w:tr>
        <w:trPr>
          <w:trHeight w:val="210"/>
        </w:trPr>
        <w:tc>
          <w:tcPr>
            <w:tcW w:w="902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September 30, 2022 (a)</w:t>
            </w:r>
          </w:p>
        </w:tc>
      </w:tr>
      <w:tr>
        <w:trPr>
          <w:trHeight w:val="194"/>
        </w:trPr>
        <w:tc>
          <w:tcPr>
            <w:tcW w:w="90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25"/>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Telenet</w:t>
            </w:r>
          </w:p>
        </w:tc>
        <w:tc>
          <w:tcPr>
            <w:tcW w:w="22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8"/>
        </w:trPr>
        <w:tc>
          <w:tcPr>
            <w:tcW w:w="9020" w:type="dxa"/>
            <w:vAlign w:val="bottom"/>
          </w:tcPr>
          <w:p>
            <w:pPr>
              <w:ind w:left="120"/>
              <w:spacing w:after="0" w:line="204" w:lineRule="exact"/>
              <w:rPr>
                <w:sz w:val="20"/>
                <w:szCs w:val="20"/>
                <w:color w:val="auto"/>
              </w:rPr>
            </w:pPr>
            <w:r>
              <w:rPr>
                <w:rFonts w:ascii="Arial" w:cs="Arial" w:eastAsia="Arial" w:hAnsi="Arial"/>
                <w:sz w:val="18"/>
                <w:szCs w:val="18"/>
                <w:color w:val="auto"/>
              </w:rPr>
              <w:t>Total decrease to borrowing costs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0"/>
        </w:trPr>
        <w:tc>
          <w:tcPr>
            <w:tcW w:w="90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effect of derivative instruments in effect at September 30, 2022 and does not include forward-starting derivative instruments.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of our subsidiaries enter into foreign currency forward and option contracts with respect to non-functional currency exposure, including hedges of the proceeds from the sale of UPC Poland. As of September 30, 2022, the total U.S. dollar equivalent of the notional amounts of our foreign currency forward and option contracts was $488.4 million.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the fair value method to account for (i) certain of our investments and (ii) our derivative instruments. The reported fair values of these investments and derivative instruments as of September 30, 2022 are unlikely to represent the value that will be paid or received upon the ultimate settlement or disposition of these assets and liabilities.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215"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Fair value measurements are also used in connection with nonrecurring valuations performed in connection with acquisition accounting, impairment assessments and the accounting for our initial investment in the VMO2 JV. These nonrecurring valuations include the valuation of reporting units, customer relationships and other intangible assets, property and equipment, the implied value of goodwill and the valuation of our initial investment in the VMO2 JV. The valuation of reporting units and our initial investment in the VMO2 JV are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16),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nine months ended September 30, 2022, we did not perform any significant nonrecurring fair value measurements. During the nine months ended September 30, 2021, we performed a nonrecurring valuation for the purpose of determining the fair value of our initial investment in the VMO2 JV. The weighted average cost of capital used to value our initial investment was 6.9%. For information regarding our investment in the VMO2 JV, see note 5.</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6"/>
          </w:tcPr>
          <w:p>
            <w:pPr>
              <w:jc w:val="center"/>
              <w:ind w:left="875"/>
              <w:spacing w:after="0"/>
              <w:rPr>
                <w:sz w:val="20"/>
                <w:szCs w:val="20"/>
                <w:color w:val="auto"/>
              </w:rPr>
            </w:pPr>
            <w:r>
              <w:rPr>
                <w:rFonts w:ascii="Arial" w:cs="Arial" w:eastAsia="Arial" w:hAnsi="Arial"/>
                <w:sz w:val="16"/>
                <w:szCs w:val="16"/>
                <w:b w:val="1"/>
                <w:bCs w:val="1"/>
                <w:color w:val="auto"/>
                <w:w w:val="89"/>
              </w:rPr>
              <w:t>Fair value measurements at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895"/>
              <w:spacing w:after="0"/>
              <w:rPr>
                <w:sz w:val="20"/>
                <w:szCs w:val="20"/>
                <w:color w:val="auto"/>
              </w:rPr>
            </w:pPr>
            <w:r>
              <w:rPr>
                <w:rFonts w:ascii="Arial" w:cs="Arial" w:eastAsia="Arial" w:hAnsi="Arial"/>
                <w:sz w:val="16"/>
                <w:szCs w:val="16"/>
                <w:b w:val="1"/>
                <w:bCs w:val="1"/>
                <w:color w:val="auto"/>
                <w:w w:val="88"/>
              </w:rPr>
              <w:t>September 30, 2022 using:</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3"/>
                <w:szCs w:val="13"/>
                <w:color w:val="auto"/>
              </w:rPr>
            </w:pPr>
          </w:p>
        </w:tc>
        <w:tc>
          <w:tcPr>
            <w:tcW w:w="1100" w:type="dxa"/>
            <w:vAlign w:val="bottom"/>
            <w:vMerge w:val="restart"/>
          </w:tcPr>
          <w:p>
            <w:pPr>
              <w:jc w:val="center"/>
              <w:ind w:right="114"/>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7"/>
              </w:rPr>
              <w:t>in active</w:t>
            </w:r>
          </w:p>
        </w:tc>
        <w:tc>
          <w:tcPr>
            <w:tcW w:w="280" w:type="dxa"/>
            <w:vAlign w:val="bottom"/>
          </w:tcPr>
          <w:p>
            <w:pPr>
              <w:spacing w:after="0"/>
              <w:rPr>
                <w:sz w:val="13"/>
                <w:szCs w:val="13"/>
                <w:color w:val="auto"/>
              </w:rPr>
            </w:pPr>
          </w:p>
        </w:tc>
        <w:tc>
          <w:tcPr>
            <w:tcW w:w="1120" w:type="dxa"/>
            <w:vAlign w:val="bottom"/>
            <w:gridSpan w:val="2"/>
          </w:tcPr>
          <w:p>
            <w:pPr>
              <w:jc w:val="center"/>
              <w:ind w:right="400"/>
              <w:spacing w:after="0" w:line="159" w:lineRule="exact"/>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9" w:lineRule="exact"/>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3"/>
                <w:szCs w:val="13"/>
                <w:color w:val="auto"/>
              </w:rPr>
            </w:pPr>
          </w:p>
        </w:tc>
        <w:tc>
          <w:tcPr>
            <w:tcW w:w="1100" w:type="dxa"/>
            <w:vAlign w:val="bottom"/>
          </w:tcPr>
          <w:p>
            <w:pPr>
              <w:jc w:val="center"/>
              <w:ind w:right="114"/>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5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280" w:type="dxa"/>
            <w:vAlign w:val="bottom"/>
          </w:tcPr>
          <w:p>
            <w:pPr>
              <w:spacing w:after="0"/>
              <w:rPr>
                <w:sz w:val="13"/>
                <w:szCs w:val="13"/>
                <w:color w:val="auto"/>
              </w:rPr>
            </w:pPr>
          </w:p>
        </w:tc>
        <w:tc>
          <w:tcPr>
            <w:tcW w:w="1120" w:type="dxa"/>
            <w:vAlign w:val="bottom"/>
            <w:gridSpan w:val="2"/>
          </w:tcPr>
          <w:p>
            <w:pPr>
              <w:jc w:val="center"/>
              <w:ind w:right="380"/>
              <w:spacing w:after="0" w:line="159" w:lineRule="exact"/>
              <w:rPr>
                <w:sz w:val="20"/>
                <w:szCs w:val="20"/>
                <w:color w:val="auto"/>
              </w:rPr>
            </w:pPr>
            <w:r>
              <w:rPr>
                <w:rFonts w:ascii="Arial" w:cs="Arial" w:eastAsia="Arial" w:hAnsi="Arial"/>
                <w:sz w:val="16"/>
                <w:szCs w:val="16"/>
                <w:b w:val="1"/>
                <w:bCs w:val="1"/>
                <w:color w:val="auto"/>
                <w:w w:val="87"/>
              </w:rPr>
              <w:t>inputs</w:t>
            </w:r>
          </w:p>
        </w:tc>
        <w:tc>
          <w:tcPr>
            <w:tcW w:w="200" w:type="dxa"/>
            <w:vAlign w:val="bottom"/>
          </w:tcPr>
          <w:p>
            <w:pPr>
              <w:spacing w:after="0"/>
              <w:rPr>
                <w:sz w:val="13"/>
                <w:szCs w:val="13"/>
                <w:color w:val="auto"/>
              </w:rPr>
            </w:pPr>
          </w:p>
        </w:tc>
        <w:tc>
          <w:tcPr>
            <w:tcW w:w="1100" w:type="dxa"/>
            <w:vAlign w:val="bottom"/>
          </w:tcPr>
          <w:p>
            <w:pPr>
              <w:jc w:val="center"/>
              <w:ind w:right="114"/>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28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(Level 2)</w:t>
            </w:r>
          </w:p>
        </w:tc>
        <w:tc>
          <w:tcPr>
            <w:tcW w:w="200" w:type="dxa"/>
            <w:vAlign w:val="bottom"/>
          </w:tcPr>
          <w:p>
            <w:pPr>
              <w:spacing w:after="0"/>
              <w:rPr>
                <w:sz w:val="18"/>
                <w:szCs w:val="18"/>
                <w:color w:val="auto"/>
              </w:rPr>
            </w:pPr>
          </w:p>
        </w:tc>
        <w:tc>
          <w:tcPr>
            <w:tcW w:w="1100" w:type="dxa"/>
            <w:vAlign w:val="bottom"/>
          </w:tcPr>
          <w:p>
            <w:pPr>
              <w:jc w:val="center"/>
              <w:ind w:right="9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3"/>
        </w:trPr>
        <w:tc>
          <w:tcPr>
            <w:tcW w:w="1260" w:type="dxa"/>
            <w:vAlign w:val="bottom"/>
            <w:tcBorders>
              <w:top w:val="single" w:sz="8" w:color="auto"/>
            </w:tcBorders>
          </w:tcPr>
          <w:p>
            <w:pPr>
              <w:spacing w:after="0"/>
              <w:rPr>
                <w:sz w:val="17"/>
                <w:szCs w:val="17"/>
                <w:color w:val="auto"/>
              </w:rPr>
            </w:pPr>
          </w:p>
        </w:tc>
        <w:tc>
          <w:tcPr>
            <w:tcW w:w="4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6"/>
        </w:trPr>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derivative instruments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5"/>
        </w:trPr>
        <w:tc>
          <w:tcPr>
            <w:tcW w:w="570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1,573.0</w:t>
            </w: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0" w:type="dxa"/>
            <w:vAlign w:val="bottom"/>
          </w:tcPr>
          <w:p>
            <w:pPr>
              <w:spacing w:after="0"/>
              <w:rPr>
                <w:sz w:val="1"/>
                <w:szCs w:val="1"/>
                <w:color w:val="auto"/>
              </w:rPr>
            </w:pPr>
          </w:p>
        </w:tc>
      </w:tr>
      <w:tr>
        <w:trPr>
          <w:trHeight w:val="218"/>
        </w:trPr>
        <w:tc>
          <w:tcPr>
            <w:tcW w:w="5700" w:type="dxa"/>
            <w:vAlign w:val="bottom"/>
            <w:gridSpan w:val="2"/>
          </w:tcPr>
          <w:p>
            <w:pPr>
              <w:ind w:left="540"/>
              <w:spacing w:after="0" w:line="204"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1,687.1</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60" w:type="dxa"/>
            <w:vAlign w:val="bottom"/>
            <w:shd w:val="clear" w:color="auto" w:fill="CCEEFF"/>
          </w:tcPr>
          <w:p>
            <w:pPr>
              <w:spacing w:after="0"/>
              <w:rPr>
                <w:sz w:val="14"/>
                <w:szCs w:val="14"/>
                <w:color w:val="auto"/>
              </w:rPr>
            </w:pPr>
          </w:p>
        </w:tc>
        <w:tc>
          <w:tcPr>
            <w:tcW w:w="4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700" w:type="dxa"/>
            <w:vAlign w:val="bottom"/>
            <w:gridSpan w:val="2"/>
          </w:tcPr>
          <w:p>
            <w:pPr>
              <w:ind w:left="540"/>
              <w:spacing w:after="0" w:line="204" w:lineRule="exact"/>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648.5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6"/>
          </w:tcPr>
          <w:p>
            <w:pPr>
              <w:jc w:val="center"/>
              <w:ind w:left="855"/>
              <w:spacing w:after="0"/>
              <w:rPr>
                <w:sz w:val="20"/>
                <w:szCs w:val="20"/>
                <w:color w:val="auto"/>
              </w:rPr>
            </w:pPr>
            <w:r>
              <w:rPr>
                <w:rFonts w:ascii="Arial" w:cs="Arial" w:eastAsia="Arial" w:hAnsi="Arial"/>
                <w:sz w:val="16"/>
                <w:szCs w:val="16"/>
                <w:b w:val="1"/>
                <w:bCs w:val="1"/>
                <w:color w:val="auto"/>
                <w:w w:val="89"/>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915"/>
              <w:spacing w:after="0"/>
              <w:rPr>
                <w:sz w:val="20"/>
                <w:szCs w:val="20"/>
                <w:color w:val="auto"/>
              </w:rPr>
            </w:pPr>
            <w:r>
              <w:rPr>
                <w:rFonts w:ascii="Arial" w:cs="Arial" w:eastAsia="Arial" w:hAnsi="Arial"/>
                <w:sz w:val="16"/>
                <w:szCs w:val="16"/>
                <w:b w:val="1"/>
                <w:bCs w:val="1"/>
                <w:color w:val="auto"/>
                <w:w w:val="88"/>
              </w:rPr>
              <w:t>December 31, 2021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180" w:type="dxa"/>
            <w:vAlign w:val="bottom"/>
          </w:tcPr>
          <w:p>
            <w:pPr>
              <w:spacing w:after="0"/>
              <w:rPr>
                <w:sz w:val="13"/>
                <w:szCs w:val="13"/>
                <w:color w:val="auto"/>
              </w:rPr>
            </w:pPr>
          </w:p>
        </w:tc>
        <w:tc>
          <w:tcPr>
            <w:tcW w:w="1120" w:type="dxa"/>
            <w:vAlign w:val="bottom"/>
            <w:vMerge w:val="restart"/>
          </w:tcPr>
          <w:p>
            <w:pPr>
              <w:jc w:val="center"/>
              <w:ind w:right="94"/>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7"/>
              </w:rPr>
              <w:t>in active</w:t>
            </w:r>
          </w:p>
        </w:tc>
        <w:tc>
          <w:tcPr>
            <w:tcW w:w="200" w:type="dxa"/>
            <w:vAlign w:val="bottom"/>
          </w:tcPr>
          <w:p>
            <w:pPr>
              <w:spacing w:after="0"/>
              <w:rPr>
                <w:sz w:val="13"/>
                <w:szCs w:val="13"/>
                <w:color w:val="auto"/>
              </w:rPr>
            </w:pPr>
          </w:p>
        </w:tc>
        <w:tc>
          <w:tcPr>
            <w:tcW w:w="120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observable</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57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inputs</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(Level 2)</w:t>
            </w:r>
          </w:p>
        </w:tc>
        <w:tc>
          <w:tcPr>
            <w:tcW w:w="180" w:type="dxa"/>
            <w:vAlign w:val="bottom"/>
          </w:tcPr>
          <w:p>
            <w:pPr>
              <w:spacing w:after="0"/>
              <w:rPr>
                <w:sz w:val="18"/>
                <w:szCs w:val="18"/>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3"/>
        </w:trPr>
        <w:tc>
          <w:tcPr>
            <w:tcW w:w="126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2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derivative instruments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5"/>
        </w:trPr>
        <w:tc>
          <w:tcPr>
            <w:tcW w:w="572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Investments:</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19"/>
        </w:trPr>
        <w:tc>
          <w:tcPr>
            <w:tcW w:w="572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18"/>
        </w:trPr>
        <w:tc>
          <w:tcPr>
            <w:tcW w:w="5720" w:type="dxa"/>
            <w:vAlign w:val="bottom"/>
            <w:gridSpan w:val="2"/>
          </w:tcPr>
          <w:p>
            <w:pPr>
              <w:ind w:left="460"/>
              <w:spacing w:after="0" w:line="204"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6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879.0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720" w:type="dxa"/>
            <w:vAlign w:val="bottom"/>
            <w:gridSpan w:val="2"/>
          </w:tcPr>
          <w:p>
            <w:pPr>
              <w:ind w:left="460"/>
              <w:spacing w:after="0" w:line="204" w:lineRule="exact"/>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892.0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Cross-currency,</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3"/>
              </w:rPr>
              <w:t>Equity-related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9"/>
              </w:rPr>
              <w:t>interest rate and</w:t>
            </w:r>
          </w:p>
        </w:tc>
        <w:tc>
          <w:tcPr>
            <w:tcW w:w="12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8"/>
              </w:rPr>
              <w:t>foreign currency</w:t>
            </w: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0"/>
              </w:rPr>
              <w:t>derivative</w:t>
            </w:r>
          </w:p>
        </w:tc>
        <w:tc>
          <w:tcPr>
            <w:tcW w:w="260" w:type="dxa"/>
            <w:vAlign w:val="bottom"/>
          </w:tcPr>
          <w:p>
            <w:pPr>
              <w:spacing w:after="0"/>
              <w:rPr>
                <w:sz w:val="13"/>
                <w:szCs w:val="13"/>
                <w:color w:val="auto"/>
              </w:rPr>
            </w:pPr>
          </w:p>
        </w:tc>
        <w:tc>
          <w:tcPr>
            <w:tcW w:w="94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derivative contracts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instruments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ind w:left="900"/>
              <w:spacing w:after="0"/>
              <w:rPr>
                <w:sz w:val="20"/>
                <w:szCs w:val="20"/>
                <w:color w:val="auto"/>
              </w:rPr>
            </w:pPr>
            <w:r>
              <w:rPr>
                <w:rFonts w:ascii="Arial" w:cs="Arial" w:eastAsia="Arial" w:hAnsi="Arial"/>
                <w:sz w:val="16"/>
                <w:szCs w:val="16"/>
                <w:b w:val="1"/>
                <w:bCs w:val="1"/>
                <w:color w:val="auto"/>
                <w:w w:val="88"/>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(liabilities)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9"/>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1,512.9</w:t>
            </w:r>
          </w:p>
        </w:tc>
        <w:tc>
          <w:tcPr>
            <w:tcW w:w="0" w:type="dxa"/>
            <w:vAlign w:val="bottom"/>
          </w:tcPr>
          <w:p>
            <w:pPr>
              <w:spacing w:after="0"/>
              <w:rPr>
                <w:sz w:val="1"/>
                <w:szCs w:val="1"/>
                <w:color w:val="auto"/>
              </w:rPr>
            </w:pPr>
          </w:p>
        </w:tc>
      </w:tr>
      <w:tr>
        <w:trPr>
          <w:trHeight w:val="225"/>
        </w:trPr>
        <w:tc>
          <w:tcPr>
            <w:tcW w:w="5820" w:type="dxa"/>
            <w:vAlign w:val="bottom"/>
          </w:tcPr>
          <w:p>
            <w:pPr>
              <w:ind w:left="140"/>
              <w:spacing w:after="0"/>
              <w:rPr>
                <w:sz w:val="20"/>
                <w:szCs w:val="20"/>
                <w:color w:val="auto"/>
              </w:rPr>
            </w:pPr>
            <w:r>
              <w:rPr>
                <w:rFonts w:ascii="Arial" w:cs="Arial" w:eastAsia="Arial" w:hAnsi="Arial"/>
                <w:sz w:val="18"/>
                <w:szCs w:val="18"/>
                <w:color w:val="auto"/>
              </w:rPr>
              <w:t>Gains included in earnings from continuing operations (a):</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Realized and unrealized gains on derivative instruments, net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73"/>
        </w:trPr>
        <w:tc>
          <w:tcPr>
            <w:tcW w:w="5820" w:type="dxa"/>
            <w:vAlign w:val="bottom"/>
          </w:tcPr>
          <w:p>
            <w:pPr>
              <w:ind w:left="260"/>
              <w:spacing w:after="0" w:line="173" w:lineRule="exact"/>
              <w:rPr>
                <w:sz w:val="20"/>
                <w:szCs w:val="20"/>
                <w:color w:val="auto"/>
              </w:rPr>
            </w:pPr>
            <w:r>
              <w:rPr>
                <w:rFonts w:ascii="Arial" w:cs="Arial" w:eastAsia="Arial" w:hAnsi="Arial"/>
                <w:sz w:val="18"/>
                <w:szCs w:val="18"/>
                <w:color w:val="auto"/>
                <w:w w:val="99"/>
              </w:rPr>
              <w:t>Realized and unrealized gains due to changes in fair values of certain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420"/>
              <w:spacing w:after="0"/>
              <w:rPr>
                <w:sz w:val="20"/>
                <w:szCs w:val="20"/>
                <w:color w:val="auto"/>
              </w:rPr>
            </w:pPr>
            <w:r>
              <w:rPr>
                <w:rFonts w:ascii="Arial" w:cs="Arial" w:eastAsia="Arial" w:hAnsi="Arial"/>
                <w:sz w:val="18"/>
                <w:szCs w:val="18"/>
                <w:color w:val="auto"/>
              </w:rPr>
              <w:t>investments, net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5"/>
        </w:trPr>
        <w:tc>
          <w:tcPr>
            <w:tcW w:w="5820" w:type="dxa"/>
            <w:vAlign w:val="bottom"/>
          </w:tcPr>
          <w:p>
            <w:pPr>
              <w:ind w:left="14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out of Level 3</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 and other, net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of net assets at September 30, 2022 (b)</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1,687.1</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Amounts primarily relate to assets and liabilities that we continue to carry on our condensed consolidated balance sheet as of September 30, 2022.</w:t>
      </w:r>
    </w:p>
    <w:p>
      <w:pPr>
        <w:spacing w:after="0" w:line="278" w:lineRule="exact"/>
        <w:rPr>
          <w:rFonts w:ascii="Arial" w:cs="Arial" w:eastAsia="Arial" w:hAnsi="Arial"/>
          <w:sz w:val="15"/>
          <w:szCs w:val="15"/>
          <w:color w:val="auto"/>
        </w:rPr>
      </w:pPr>
    </w:p>
    <w:p>
      <w:pPr>
        <w:ind w:left="480" w:hanging="474"/>
        <w:spacing w:after="0" w:line="264" w:lineRule="auto"/>
        <w:tabs>
          <w:tab w:leader="none" w:pos="4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September 30, 2022, $317.6 million of our Level 3 investments were accounted for under the measurement alternative at cost less impairment, adjusted for observable price changes.</w:t>
      </w:r>
    </w:p>
    <w:p>
      <w:pPr>
        <w:spacing w:after="0" w:line="20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240" w:type="dxa"/>
            <w:vAlign w:val="bottom"/>
          </w:tcPr>
          <w:p>
            <w:pPr>
              <w:jc w:val="right"/>
              <w:ind w:right="154"/>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r>
      <w:tr>
        <w:trPr>
          <w:trHeight w:val="203"/>
        </w:trPr>
        <w:tc>
          <w:tcPr>
            <w:tcW w:w="8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jc w:val="right"/>
              <w:ind w:right="1014"/>
              <w:spacing w:after="0"/>
              <w:rPr>
                <w:sz w:val="20"/>
                <w:szCs w:val="20"/>
                <w:color w:val="auto"/>
              </w:rPr>
            </w:pPr>
            <w:r>
              <w:rPr>
                <w:rFonts w:ascii="Arial" w:cs="Arial" w:eastAsia="Arial" w:hAnsi="Arial"/>
                <w:sz w:val="16"/>
                <w:szCs w:val="16"/>
                <w:b w:val="1"/>
                <w:bCs w:val="1"/>
                <w:color w:val="auto"/>
              </w:rPr>
              <w:t>in millions</w:t>
            </w:r>
          </w:p>
        </w:tc>
      </w:tr>
      <w:tr>
        <w:trPr>
          <w:trHeight w:val="203"/>
        </w:trPr>
        <w:tc>
          <w:tcPr>
            <w:tcW w:w="8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9,472.8</w:t>
            </w: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Support equipment, buildings and land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3,653.7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4,310.5</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r>
      <w:tr>
        <w:trPr>
          <w:trHeight w:val="218"/>
        </w:trPr>
        <w:tc>
          <w:tcPr>
            <w:tcW w:w="8320" w:type="dxa"/>
            <w:vAlign w:val="bottom"/>
          </w:tcPr>
          <w:p>
            <w:pPr>
              <w:jc w:val="right"/>
              <w:ind w:right="5492"/>
              <w:spacing w:after="0" w:line="204" w:lineRule="exact"/>
              <w:rPr>
                <w:sz w:val="20"/>
                <w:szCs w:val="20"/>
                <w:color w:val="auto"/>
              </w:rPr>
            </w:pPr>
            <w:r>
              <w:rPr>
                <w:rFonts w:ascii="Arial" w:cs="Arial" w:eastAsia="Arial" w:hAnsi="Arial"/>
                <w:sz w:val="18"/>
                <w:szCs w:val="18"/>
                <w:color w:val="auto"/>
                <w:w w:val="94"/>
              </w:rPr>
              <w:t>Total property and equipment, gross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15,062.5</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(8,081.0)</w:t>
            </w:r>
          </w:p>
        </w:tc>
      </w:tr>
      <w:tr>
        <w:trPr>
          <w:trHeight w:val="218"/>
        </w:trPr>
        <w:tc>
          <w:tcPr>
            <w:tcW w:w="8320" w:type="dxa"/>
            <w:vAlign w:val="bottom"/>
          </w:tcPr>
          <w:p>
            <w:pPr>
              <w:jc w:val="right"/>
              <w:ind w:right="5492"/>
              <w:spacing w:after="0" w:line="204" w:lineRule="exact"/>
              <w:rPr>
                <w:sz w:val="20"/>
                <w:szCs w:val="20"/>
                <w:color w:val="auto"/>
              </w:rPr>
            </w:pPr>
            <w:r>
              <w:rPr>
                <w:rFonts w:ascii="Arial" w:cs="Arial" w:eastAsia="Arial" w:hAnsi="Arial"/>
                <w:sz w:val="18"/>
                <w:szCs w:val="18"/>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6,981.5</w:t>
            </w: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nine months ended September 30, 2022 and 2021, we recorded non-cash increases to our property and equipment related to vendor financing arrangements of $142.9 million and $599.6 million (including amounts related to the U.K. JV Entities through the June 1, 2021 closing of the U.K. JV Transaction), respectively, which exclude related value-added taxes (</w:t>
      </w:r>
      <w:r>
        <w:rPr>
          <w:rFonts w:ascii="Arial" w:cs="Arial" w:eastAsia="Arial" w:hAnsi="Arial"/>
          <w:sz w:val="18"/>
          <w:szCs w:val="18"/>
          <w:b w:val="1"/>
          <w:bCs w:val="1"/>
          <w:color w:val="auto"/>
        </w:rPr>
        <w:t>VAT</w:t>
      </w:r>
      <w:r>
        <w:rPr>
          <w:rFonts w:ascii="Arial" w:cs="Arial" w:eastAsia="Arial" w:hAnsi="Arial"/>
          <w:sz w:val="18"/>
          <w:szCs w:val="18"/>
          <w:color w:val="auto"/>
        </w:rPr>
        <w:t>) of $17.0 million and $75.9 million, respectively, that were also financed under these arrangements.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our goodwill during the nine months ended September 30, 2022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1"/>
              </w:rPr>
              <w:t>currency</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160" w:type="dxa"/>
            <w:vAlign w:val="bottom"/>
          </w:tcPr>
          <w:p>
            <w:pPr>
              <w:spacing w:after="0"/>
              <w:rPr>
                <w:sz w:val="13"/>
                <w:szCs w:val="13"/>
                <w:color w:val="auto"/>
              </w:rPr>
            </w:pPr>
          </w:p>
        </w:tc>
        <w:tc>
          <w:tcPr>
            <w:tcW w:w="1240" w:type="dxa"/>
            <w:vAlign w:val="bottom"/>
            <w:vMerge w:val="restart"/>
          </w:tcPr>
          <w:p>
            <w:pPr>
              <w:jc w:val="right"/>
              <w:ind w:right="134"/>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159"/>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January 1, 2022</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adjustments and</w:t>
            </w:r>
          </w:p>
        </w:tc>
        <w:tc>
          <w:tcPr>
            <w:tcW w:w="1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other</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millions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6,105.2</w:t>
            </w:r>
          </w:p>
        </w:tc>
        <w:tc>
          <w:tcPr>
            <w:tcW w:w="0" w:type="dxa"/>
            <w:vAlign w:val="bottom"/>
          </w:tcPr>
          <w:p>
            <w:pPr>
              <w:spacing w:after="0"/>
              <w:rPr>
                <w:sz w:val="1"/>
                <w:szCs w:val="1"/>
                <w:color w:val="auto"/>
              </w:rPr>
            </w:pP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Belgium</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2,228.4</w:t>
            </w: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2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Central and Other</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September 30, 2022</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5"/>
        </w:trPr>
        <w:tc>
          <w:tcPr>
            <w:tcW w:w="3520" w:type="dxa"/>
            <w:vAlign w:val="bottom"/>
          </w:tcPr>
          <w:p>
            <w:pPr>
              <w:spacing w:after="0"/>
              <w:rPr>
                <w:sz w:val="13"/>
                <w:szCs w:val="13"/>
                <w:color w:val="auto"/>
              </w:rPr>
            </w:pPr>
          </w:p>
        </w:tc>
        <w:tc>
          <w:tcPr>
            <w:tcW w:w="11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w w:val="93"/>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3"/>
                <w:szCs w:val="13"/>
                <w:color w:val="auto"/>
              </w:rPr>
            </w:pPr>
          </w:p>
        </w:tc>
        <w:tc>
          <w:tcPr>
            <w:tcW w:w="1040" w:type="dxa"/>
            <w:vAlign w:val="bottom"/>
          </w:tcPr>
          <w:p>
            <w:pPr>
              <w:jc w:val="center"/>
              <w:ind w:right="56"/>
              <w:spacing w:after="0" w:line="155" w:lineRule="exact"/>
              <w:rPr>
                <w:sz w:val="20"/>
                <w:szCs w:val="20"/>
                <w:color w:val="auto"/>
              </w:rPr>
            </w:pPr>
            <w:r>
              <w:rPr>
                <w:rFonts w:ascii="Arial" w:cs="Arial" w:eastAsia="Arial" w:hAnsi="Arial"/>
                <w:sz w:val="16"/>
                <w:szCs w:val="16"/>
                <w:b w:val="1"/>
                <w:bCs w:val="1"/>
                <w:color w:val="auto"/>
                <w:w w:val="92"/>
              </w:rPr>
              <w:t>Net carrying</w:t>
            </w:r>
          </w:p>
        </w:tc>
        <w:tc>
          <w:tcPr>
            <w:tcW w:w="100" w:type="dxa"/>
            <w:vAlign w:val="bottom"/>
          </w:tcPr>
          <w:p>
            <w:pPr>
              <w:spacing w:after="0"/>
              <w:rPr>
                <w:sz w:val="13"/>
                <w:szCs w:val="13"/>
                <w:color w:val="auto"/>
              </w:rPr>
            </w:pPr>
          </w:p>
        </w:tc>
        <w:tc>
          <w:tcPr>
            <w:tcW w:w="1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3"/>
                <w:szCs w:val="13"/>
                <w:color w:val="auto"/>
              </w:rPr>
            </w:pPr>
          </w:p>
        </w:tc>
        <w:tc>
          <w:tcPr>
            <w:tcW w:w="1040" w:type="dxa"/>
            <w:vAlign w:val="bottom"/>
          </w:tcPr>
          <w:p>
            <w:pPr>
              <w:jc w:val="right"/>
              <w:ind w:right="75"/>
              <w:spacing w:after="0" w:line="155" w:lineRule="exact"/>
              <w:rPr>
                <w:sz w:val="20"/>
                <w:szCs w:val="20"/>
                <w:color w:val="auto"/>
              </w:rPr>
            </w:pPr>
            <w:r>
              <w:rPr>
                <w:rFonts w:ascii="Arial" w:cs="Arial" w:eastAsia="Arial" w:hAnsi="Arial"/>
                <w:sz w:val="16"/>
                <w:szCs w:val="16"/>
                <w:b w:val="1"/>
                <w:bCs w:val="1"/>
                <w:color w:val="auto"/>
                <w:w w:val="92"/>
              </w:rPr>
              <w:t>Net carrying</w:t>
            </w:r>
          </w:p>
        </w:tc>
      </w:tr>
      <w:tr>
        <w:trPr>
          <w:trHeight w:val="210"/>
        </w:trPr>
        <w:tc>
          <w:tcPr>
            <w:tcW w:w="3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amortization</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amount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amount</w:t>
            </w:r>
          </w:p>
        </w:tc>
      </w:tr>
      <w:tr>
        <w:trPr>
          <w:trHeight w:val="203"/>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63"/>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w:t>
            </w:r>
          </w:p>
        </w:tc>
      </w:tr>
      <w:tr>
        <w:trPr>
          <w:trHeight w:val="225"/>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w:t>
            </w:r>
          </w:p>
        </w:tc>
      </w:tr>
      <w:tr>
        <w:trPr>
          <w:trHeight w:val="238"/>
        </w:trPr>
        <w:tc>
          <w:tcPr>
            <w:tcW w:w="35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nine months ended September 30, 2022, we recorded a non-cash increase of $384.1 million related to Telenet’s acquisition of mobile spectrum licenses.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September 30, 2022</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3"/>
          </w:tcPr>
          <w:p>
            <w:pPr>
              <w:jc w:val="right"/>
              <w:ind w:right="674"/>
              <w:spacing w:after="0" w:line="155" w:lineRule="exact"/>
              <w:rPr>
                <w:sz w:val="20"/>
                <w:szCs w:val="20"/>
                <w:color w:val="auto"/>
              </w:rPr>
            </w:pPr>
            <w:r>
              <w:rPr>
                <w:rFonts w:ascii="Arial" w:cs="Arial" w:eastAsia="Arial" w:hAnsi="Arial"/>
                <w:sz w:val="16"/>
                <w:szCs w:val="16"/>
                <w:b w:val="1"/>
                <w:bCs w:val="1"/>
                <w:color w:val="auto"/>
              </w:rPr>
              <w:t>Unused borrowing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1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80" w:type="dxa"/>
            <w:vAlign w:val="bottom"/>
            <w:gridSpan w:val="3"/>
            <w:vMerge w:val="restart"/>
          </w:tcPr>
          <w:p>
            <w:pPr>
              <w:jc w:val="right"/>
              <w:ind w:right="914"/>
              <w:spacing w:after="0"/>
              <w:rPr>
                <w:sz w:val="20"/>
                <w:szCs w:val="20"/>
                <w:color w:val="auto"/>
              </w:rPr>
            </w:pPr>
            <w:r>
              <w:rPr>
                <w:rFonts w:ascii="Arial" w:cs="Arial" w:eastAsia="Arial" w:hAnsi="Arial"/>
                <w:sz w:val="16"/>
                <w:szCs w:val="16"/>
                <w:b w:val="1"/>
                <w:bCs w:val="1"/>
                <w:color w:val="auto"/>
              </w:rPr>
              <w:t>capacity (b)</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2660" w:type="dxa"/>
            <w:vAlign w:val="bottom"/>
            <w:gridSpan w:val="4"/>
            <w:vMerge w:val="restart"/>
          </w:tcPr>
          <w:p>
            <w:pPr>
              <w:jc w:val="right"/>
              <w:ind w:right="713"/>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1280" w:type="dxa"/>
            <w:vAlign w:val="bottom"/>
            <w:vMerge w:val="restart"/>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14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vMerge w:val="restart"/>
          </w:tcPr>
          <w:p>
            <w:pPr>
              <w:jc w:val="right"/>
              <w:ind w:right="335"/>
              <w:spacing w:after="0" w:line="181" w:lineRule="exact"/>
              <w:rPr>
                <w:sz w:val="20"/>
                <w:szCs w:val="20"/>
                <w:color w:val="auto"/>
              </w:rPr>
            </w:pPr>
            <w:r>
              <w:rPr>
                <w:rFonts w:ascii="Arial" w:cs="Arial" w:eastAsia="Arial" w:hAnsi="Arial"/>
                <w:sz w:val="16"/>
                <w:szCs w:val="16"/>
                <w:b w:val="1"/>
                <w:bCs w:val="1"/>
                <w:color w:val="auto"/>
                <w:w w:val="99"/>
              </w:rPr>
              <w:t>Borrowing</w:t>
            </w:r>
          </w:p>
        </w:tc>
        <w:tc>
          <w:tcPr>
            <w:tcW w:w="200" w:type="dxa"/>
            <w:vAlign w:val="bottom"/>
          </w:tcPr>
          <w:p>
            <w:pPr>
              <w:spacing w:after="0" w:line="20" w:lineRule="exact"/>
              <w:rPr>
                <w:sz w:val="1"/>
                <w:szCs w:val="1"/>
                <w:color w:val="auto"/>
              </w:rPr>
            </w:pPr>
          </w:p>
        </w:tc>
        <w:tc>
          <w:tcPr>
            <w:tcW w:w="1260" w:type="dxa"/>
            <w:vAlign w:val="bottom"/>
            <w:gridSpan w:val="2"/>
            <w:vMerge w:val="restart"/>
          </w:tcPr>
          <w:p>
            <w:pPr>
              <w:jc w:val="center"/>
              <w:ind w:right="300"/>
              <w:spacing w:after="0" w:line="181" w:lineRule="exact"/>
              <w:rPr>
                <w:sz w:val="20"/>
                <w:szCs w:val="20"/>
                <w:color w:val="auto"/>
              </w:rPr>
            </w:pPr>
            <w:r>
              <w:rPr>
                <w:rFonts w:ascii="Arial" w:cs="Arial" w:eastAsia="Arial" w:hAnsi="Arial"/>
                <w:sz w:val="16"/>
                <w:szCs w:val="16"/>
                <w:b w:val="1"/>
                <w:bCs w:val="1"/>
                <w:color w:val="auto"/>
                <w:w w:val="89"/>
              </w:rPr>
              <w:t>U.S. $</w:t>
            </w:r>
          </w:p>
        </w:tc>
        <w:tc>
          <w:tcPr>
            <w:tcW w:w="140" w:type="dxa"/>
            <w:vAlign w:val="bottom"/>
          </w:tcPr>
          <w:p>
            <w:pPr>
              <w:spacing w:after="0" w:line="20" w:lineRule="exact"/>
              <w:rPr>
                <w:sz w:val="1"/>
                <w:szCs w:val="1"/>
                <w:color w:val="auto"/>
              </w:rPr>
            </w:pPr>
          </w:p>
        </w:tc>
        <w:tc>
          <w:tcPr>
            <w:tcW w:w="1320" w:type="dxa"/>
            <w:vAlign w:val="bottom"/>
            <w:gridSpan w:val="2"/>
            <w:vMerge w:val="restart"/>
          </w:tcPr>
          <w:p>
            <w:pPr>
              <w:ind w:left="40"/>
              <w:spacing w:after="0" w:line="181"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line="20" w:lineRule="exact"/>
              <w:rPr>
                <w:sz w:val="1"/>
                <w:szCs w:val="1"/>
                <w:color w:val="auto"/>
              </w:rPr>
            </w:pPr>
          </w:p>
        </w:tc>
        <w:tc>
          <w:tcPr>
            <w:tcW w:w="1200" w:type="dxa"/>
            <w:vAlign w:val="bottom"/>
            <w:vMerge w:val="restart"/>
          </w:tcPr>
          <w:p>
            <w:pPr>
              <w:jc w:val="right"/>
              <w:ind w:right="133"/>
              <w:spacing w:after="0" w:line="181" w:lineRule="exact"/>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line="20" w:lineRule="exact"/>
              <w:rPr>
                <w:sz w:val="1"/>
                <w:szCs w:val="1"/>
                <w:color w:val="auto"/>
              </w:rPr>
            </w:pPr>
          </w:p>
        </w:tc>
      </w:tr>
      <w:tr>
        <w:trPr>
          <w:trHeight w:val="159"/>
        </w:trPr>
        <w:tc>
          <w:tcPr>
            <w:tcW w:w="414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interest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rate (a)</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currency</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88"/>
              </w:rPr>
              <w:t>equivalent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5"/>
          </w:tcPr>
          <w:p>
            <w:pPr>
              <w:ind w:left="86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Bank Facility (c)</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713.4</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UPC SPE Notes</w:t>
            </w:r>
          </w:p>
        </w:tc>
        <w:tc>
          <w:tcPr>
            <w:tcW w:w="1280" w:type="dxa"/>
            <w:vAlign w:val="bottom"/>
          </w:tcPr>
          <w:p>
            <w:pPr>
              <w:jc w:val="right"/>
              <w:spacing w:after="0"/>
              <w:rPr>
                <w:sz w:val="20"/>
                <w:szCs w:val="20"/>
                <w:color w:val="auto"/>
              </w:rPr>
            </w:pPr>
            <w:r>
              <w:rPr>
                <w:rFonts w:ascii="Arial" w:cs="Arial" w:eastAsia="Arial" w:hAnsi="Arial"/>
                <w:sz w:val="18"/>
                <w:szCs w:val="18"/>
                <w:color w:val="auto"/>
              </w:rPr>
              <w:t>4.59 %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Senior Notes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Credit Facility (d)</w:t>
            </w:r>
          </w:p>
        </w:tc>
        <w:tc>
          <w:tcPr>
            <w:tcW w:w="1280" w:type="dxa"/>
            <w:vAlign w:val="bottom"/>
          </w:tcPr>
          <w:p>
            <w:pPr>
              <w:jc w:val="right"/>
              <w:spacing w:after="0"/>
              <w:rPr>
                <w:sz w:val="20"/>
                <w:szCs w:val="20"/>
                <w:color w:val="auto"/>
              </w:rPr>
            </w:pPr>
            <w:r>
              <w:rPr>
                <w:rFonts w:ascii="Arial" w:cs="Arial" w:eastAsia="Arial" w:hAnsi="Arial"/>
                <w:sz w:val="18"/>
                <w:szCs w:val="18"/>
                <w:color w:val="auto"/>
              </w:rPr>
              <w:t>4.79 %</w:t>
            </w: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555.0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3,558.9</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Senior Secured Notes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VM Ireland Credit Facility (e)</w:t>
            </w:r>
          </w:p>
        </w:tc>
        <w:tc>
          <w:tcPr>
            <w:tcW w:w="1280" w:type="dxa"/>
            <w:vAlign w:val="bottom"/>
          </w:tcPr>
          <w:p>
            <w:pPr>
              <w:jc w:val="right"/>
              <w:spacing w:after="0"/>
              <w:rPr>
                <w:sz w:val="20"/>
                <w:szCs w:val="20"/>
                <w:color w:val="auto"/>
              </w:rPr>
            </w:pPr>
            <w:r>
              <w:rPr>
                <w:rFonts w:ascii="Arial" w:cs="Arial" w:eastAsia="Arial" w:hAnsi="Arial"/>
                <w:sz w:val="18"/>
                <w:szCs w:val="18"/>
                <w:color w:val="auto"/>
              </w:rPr>
              <w:t>5.31 %</w:t>
            </w: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Vendor financing (f)</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Other (g)</w:t>
            </w:r>
          </w:p>
        </w:tc>
        <w:tc>
          <w:tcPr>
            <w:tcW w:w="1280" w:type="dxa"/>
            <w:vAlign w:val="bottom"/>
          </w:tcPr>
          <w:p>
            <w:pPr>
              <w:jc w:val="right"/>
              <w:spacing w:after="0"/>
              <w:rPr>
                <w:sz w:val="20"/>
                <w:szCs w:val="20"/>
                <w:color w:val="auto"/>
              </w:rPr>
            </w:pPr>
            <w:r>
              <w:rPr>
                <w:rFonts w:ascii="Arial" w:cs="Arial" w:eastAsia="Arial" w:hAnsi="Arial"/>
                <w:sz w:val="18"/>
                <w:szCs w:val="18"/>
                <w:color w:val="auto"/>
              </w:rPr>
              <w:t>4.16 %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154"/>
        </w:trPr>
        <w:tc>
          <w:tcPr>
            <w:tcW w:w="4140" w:type="dxa"/>
            <w:vAlign w:val="bottom"/>
            <w:tcBorders>
              <w:top w:val="single" w:sz="8" w:color="CCEEFF"/>
            </w:tcBorders>
            <w:shd w:val="clear" w:color="auto" w:fill="CCEEFF"/>
          </w:tcPr>
          <w:p>
            <w:pPr>
              <w:ind w:left="180"/>
              <w:spacing w:after="0" w:line="154" w:lineRule="exact"/>
              <w:rPr>
                <w:sz w:val="20"/>
                <w:szCs w:val="20"/>
                <w:color w:val="auto"/>
              </w:rPr>
            </w:pPr>
            <w:r>
              <w:rPr>
                <w:rFonts w:ascii="Arial" w:cs="Arial" w:eastAsia="Arial" w:hAnsi="Arial"/>
                <w:sz w:val="17"/>
                <w:szCs w:val="17"/>
                <w:color w:val="auto"/>
                <w:w w:val="99"/>
              </w:rPr>
              <w:t>Total debt before deferred financing costs, discounts</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12,857.8</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14,398.8</w:t>
            </w:r>
          </w:p>
        </w:tc>
        <w:tc>
          <w:tcPr>
            <w:tcW w:w="0" w:type="dxa"/>
            <w:vAlign w:val="bottom"/>
          </w:tcPr>
          <w:p>
            <w:pPr>
              <w:spacing w:after="0"/>
              <w:rPr>
                <w:sz w:val="1"/>
                <w:szCs w:val="1"/>
                <w:color w:val="auto"/>
              </w:rPr>
            </w:pPr>
          </w:p>
        </w:tc>
      </w:tr>
      <w:tr>
        <w:trPr>
          <w:trHeight w:val="231"/>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and premiums (h)</w:t>
            </w: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240" w:type="dxa"/>
            <w:vAlign w:val="bottom"/>
          </w:tcPr>
          <w:p>
            <w:pPr>
              <w:jc w:val="right"/>
              <w:ind w:right="154"/>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r>
      <w:tr>
        <w:trPr>
          <w:trHeight w:val="203"/>
        </w:trPr>
        <w:tc>
          <w:tcPr>
            <w:tcW w:w="8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4"/>
          </w:tcPr>
          <w:p>
            <w:pPr>
              <w:jc w:val="right"/>
              <w:ind w:right="1014"/>
              <w:spacing w:after="0"/>
              <w:rPr>
                <w:sz w:val="20"/>
                <w:szCs w:val="20"/>
                <w:color w:val="auto"/>
              </w:rPr>
            </w:pPr>
            <w:r>
              <w:rPr>
                <w:rFonts w:ascii="Arial" w:cs="Arial" w:eastAsia="Arial" w:hAnsi="Arial"/>
                <w:sz w:val="16"/>
                <w:szCs w:val="16"/>
                <w:b w:val="1"/>
                <w:bCs w:val="1"/>
                <w:color w:val="auto"/>
              </w:rPr>
              <w:t>in millions</w:t>
            </w:r>
          </w:p>
        </w:tc>
      </w:tr>
      <w:tr>
        <w:trPr>
          <w:trHeight w:val="163"/>
        </w:trPr>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14,398.8</w:t>
            </w: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1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14,341.1</w:t>
            </w: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 (note 10)</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 and finance lease obligations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14,825.1</w:t>
            </w: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debt and finance lease obligations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w:t>
            </w: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309" w:lineRule="auto"/>
        <w:tabs>
          <w:tab w:leader="none" w:pos="477"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the weighted average interest rate in effect at September 30, 2022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3.17% at September 30, 2022. For information regarding our derivative instruments, see note 6.</w:t>
      </w:r>
    </w:p>
    <w:p>
      <w:pPr>
        <w:spacing w:after="0" w:line="178" w:lineRule="exact"/>
        <w:rPr>
          <w:rFonts w:ascii="Arial" w:cs="Arial" w:eastAsia="Arial" w:hAnsi="Arial"/>
          <w:sz w:val="15"/>
          <w:szCs w:val="15"/>
          <w:color w:val="auto"/>
        </w:rPr>
      </w:pPr>
    </w:p>
    <w:p>
      <w:pPr>
        <w:jc w:val="both"/>
        <w:ind w:left="480" w:hanging="474"/>
        <w:spacing w:after="0" w:line="318" w:lineRule="auto"/>
        <w:tabs>
          <w:tab w:leader="none" w:pos="474" w:val="left"/>
        </w:tabs>
        <w:numPr>
          <w:ilvl w:val="0"/>
          <w:numId w:val="21"/>
        </w:numPr>
        <w:rPr>
          <w:rFonts w:ascii="Arial" w:cs="Arial" w:eastAsia="Arial" w:hAnsi="Arial"/>
          <w:sz w:val="15"/>
          <w:szCs w:val="15"/>
          <w:color w:val="auto"/>
        </w:rPr>
      </w:pPr>
      <w:r>
        <w:rPr>
          <w:rFonts w:ascii="Arial" w:cs="Arial" w:eastAsia="Arial" w:hAnsi="Arial"/>
          <w:sz w:val="15"/>
          <w:szCs w:val="15"/>
          <w:color w:val="auto"/>
        </w:rPr>
        <w:t>Unused borrowing capacity represents the maximum availability under the applicable facility at September 30, 2022 without regard to covenant compliance calculations or other conditions precedent to borrowing. The following table provides our borrowing availability and amounts available to loan or distribute under each of the respective subsidiary facilities, based on the most restrictive applicable leverage covenants and leverage-based restricted payment tests, (i) at September 30, 2022 and (ii) upon completion of the relevant September 30, 2022 compliance reporting requirements.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color w:val="auto"/>
        </w:rPr>
        <w:t>These amounts do not consider any actual or potential changes to our borrowing levels or any amounts loaned or distributed subsequent to September 30, 2022, or the impact of additional amounts that may be available to borrow, loan or distribute under certain defined baskets within each respective facility.</w:t>
      </w:r>
    </w:p>
    <w:p>
      <w:pPr>
        <w:spacing w:after="0" w:line="107"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6"/>
                <w:szCs w:val="16"/>
                <w:b w:val="1"/>
                <w:bCs w:val="1"/>
                <w:color w:val="auto"/>
              </w:rPr>
              <w:t>Availability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3"/>
          </w:tcPr>
          <w:p>
            <w:pPr>
              <w:jc w:val="right"/>
              <w:ind w:right="274"/>
              <w:spacing w:after="0" w:line="155" w:lineRule="exact"/>
              <w:rPr>
                <w:sz w:val="20"/>
                <w:szCs w:val="20"/>
                <w:color w:val="auto"/>
              </w:rPr>
            </w:pPr>
            <w:r>
              <w:rPr>
                <w:rFonts w:ascii="Arial" w:cs="Arial" w:eastAsia="Arial" w:hAnsi="Arial"/>
                <w:sz w:val="16"/>
                <w:szCs w:val="16"/>
                <w:b w:val="1"/>
                <w:bCs w:val="1"/>
                <w:color w:val="auto"/>
                <w:w w:val="89"/>
              </w:rPr>
              <w:t>Upon completion of the relevant</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4"/>
            <w:vMerge w:val="restart"/>
          </w:tcPr>
          <w:p>
            <w:pPr>
              <w:ind w:left="50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3"/>
                <w:szCs w:val="13"/>
                <w:color w:val="auto"/>
              </w:rPr>
            </w:pPr>
          </w:p>
        </w:tc>
        <w:tc>
          <w:tcPr>
            <w:tcW w:w="2580" w:type="dxa"/>
            <w:vAlign w:val="bottom"/>
            <w:gridSpan w:val="3"/>
          </w:tcPr>
          <w:p>
            <w:pPr>
              <w:jc w:val="right"/>
              <w:ind w:right="214"/>
              <w:spacing w:after="0" w:line="159" w:lineRule="exact"/>
              <w:rPr>
                <w:sz w:val="20"/>
                <w:szCs w:val="20"/>
                <w:color w:val="auto"/>
              </w:rPr>
            </w:pPr>
            <w:r>
              <w:rPr>
                <w:rFonts w:ascii="Arial" w:cs="Arial" w:eastAsia="Arial" w:hAnsi="Arial"/>
                <w:sz w:val="16"/>
                <w:szCs w:val="16"/>
                <w:b w:val="1"/>
                <w:bCs w:val="1"/>
                <w:color w:val="auto"/>
                <w:w w:val="93"/>
              </w:rPr>
              <w:t>September 30, 2022 compliance</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3"/>
          </w:tcPr>
          <w:p>
            <w:pPr>
              <w:jc w:val="right"/>
              <w:ind w:right="494"/>
              <w:spacing w:after="0"/>
              <w:rPr>
                <w:sz w:val="20"/>
                <w:szCs w:val="20"/>
                <w:color w:val="auto"/>
              </w:rPr>
            </w:pPr>
            <w:r>
              <w:rPr>
                <w:rFonts w:ascii="Arial" w:cs="Arial" w:eastAsia="Arial" w:hAnsi="Arial"/>
                <w:sz w:val="16"/>
                <w:szCs w:val="16"/>
                <w:b w:val="1"/>
                <w:bCs w:val="1"/>
                <w:color w:val="auto"/>
              </w:rPr>
              <w:t>reporting requirements</w:t>
            </w: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6"/>
                <w:szCs w:val="16"/>
                <w:b w:val="1"/>
                <w:bCs w:val="1"/>
                <w:color w:val="auto"/>
                <w:w w:val="99"/>
              </w:rPr>
              <w:t>Borrowing</w:t>
            </w: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115"/>
              <w:spacing w:after="0" w:line="155" w:lineRule="exact"/>
              <w:rPr>
                <w:sz w:val="20"/>
                <w:szCs w:val="20"/>
                <w:color w:val="auto"/>
              </w:rPr>
            </w:pPr>
            <w:r>
              <w:rPr>
                <w:rFonts w:ascii="Arial" w:cs="Arial" w:eastAsia="Arial" w:hAnsi="Arial"/>
                <w:sz w:val="16"/>
                <w:szCs w:val="16"/>
                <w:b w:val="1"/>
                <w:bCs w:val="1"/>
                <w:color w:val="auto"/>
                <w:w w:val="89"/>
              </w:rPr>
              <w:t>U.S. $</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6"/>
              <w:spacing w:after="0" w:line="155" w:lineRule="exact"/>
              <w:rPr>
                <w:sz w:val="20"/>
                <w:szCs w:val="20"/>
                <w:color w:val="auto"/>
              </w:rPr>
            </w:pPr>
            <w:r>
              <w:rPr>
                <w:rFonts w:ascii="Arial" w:cs="Arial" w:eastAsia="Arial" w:hAnsi="Arial"/>
                <w:sz w:val="16"/>
                <w:szCs w:val="16"/>
                <w:b w:val="1"/>
                <w:bCs w:val="1"/>
                <w:color w:val="auto"/>
              </w:rPr>
              <w:t>Borrowing</w:t>
            </w: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6"/>
                <w:szCs w:val="16"/>
                <w:b w:val="1"/>
                <w:bCs w:val="1"/>
                <w:color w:val="auto"/>
              </w:rPr>
              <w:t>U.S. $</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equivalent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w w:val="98"/>
              </w:rPr>
              <w:t>equivalent</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4"/>
          </w:tcPr>
          <w:p>
            <w:pPr>
              <w:jc w:val="right"/>
              <w:ind w:right="956"/>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to borrow:</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120"/>
              <w:spacing w:after="0"/>
              <w:rPr>
                <w:sz w:val="20"/>
                <w:szCs w:val="20"/>
                <w:color w:val="auto"/>
              </w:rPr>
            </w:pPr>
            <w:r>
              <w:rPr>
                <w:rFonts w:ascii="Arial" w:cs="Arial" w:eastAsia="Arial" w:hAnsi="Arial"/>
                <w:sz w:val="18"/>
                <w:szCs w:val="18"/>
                <w:color w:val="auto"/>
              </w:rPr>
              <w:t>UPC Holding Bank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713.4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698.4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713.4</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Telenet Credit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555.0</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25"/>
        </w:trPr>
        <w:tc>
          <w:tcPr>
            <w:tcW w:w="4620" w:type="dxa"/>
            <w:vAlign w:val="bottom"/>
          </w:tcPr>
          <w:p>
            <w:pPr>
              <w:ind w:left="120"/>
              <w:spacing w:after="0"/>
              <w:rPr>
                <w:sz w:val="20"/>
                <w:szCs w:val="20"/>
                <w:color w:val="auto"/>
              </w:rPr>
            </w:pPr>
            <w:r>
              <w:rPr>
                <w:rFonts w:ascii="Arial" w:cs="Arial" w:eastAsia="Arial" w:hAnsi="Arial"/>
                <w:sz w:val="18"/>
                <w:szCs w:val="18"/>
                <w:color w:val="auto"/>
              </w:rPr>
              <w:t>VM Ireland Credit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20"/>
              <w:spacing w:after="0"/>
              <w:rPr>
                <w:sz w:val="20"/>
                <w:szCs w:val="20"/>
                <w:color w:val="auto"/>
              </w:rPr>
            </w:pPr>
            <w:r>
              <w:rPr>
                <w:rFonts w:ascii="Arial" w:cs="Arial" w:eastAsia="Arial" w:hAnsi="Arial"/>
                <w:sz w:val="18"/>
                <w:szCs w:val="18"/>
                <w:color w:val="auto"/>
              </w:rPr>
              <w:t>Available to loan or distribute: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UPC Holding Bank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303.9</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25"/>
        </w:trPr>
        <w:tc>
          <w:tcPr>
            <w:tcW w:w="4620" w:type="dxa"/>
            <w:vAlign w:val="bottom"/>
          </w:tcPr>
          <w:p>
            <w:pPr>
              <w:ind w:left="120"/>
              <w:spacing w:after="0"/>
              <w:rPr>
                <w:sz w:val="20"/>
                <w:szCs w:val="20"/>
                <w:color w:val="auto"/>
              </w:rPr>
            </w:pPr>
            <w:r>
              <w:rPr>
                <w:rFonts w:ascii="Arial" w:cs="Arial" w:eastAsia="Arial" w:hAnsi="Arial"/>
                <w:sz w:val="18"/>
                <w:szCs w:val="18"/>
                <w:color w:val="auto"/>
              </w:rPr>
              <w:t>Telenet Credit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555.0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555.0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VM Ireland Credit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98.2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80" w:hanging="474"/>
        <w:spacing w:after="0" w:line="250" w:lineRule="auto"/>
        <w:tabs>
          <w:tab w:leader="none" w:pos="4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Unused borrowing capacity under the UPC Holding Bank Facility relates to an equivalent €713.4 million ($698.4 million) under the UPC Revolving Facility, part of which has been made available as an ancillary facility. With the exception of €23.0 million ($22.5 million) of borrowings under the ancillary facility, the UPC Revolving Facility was undrawn at September 30, 2022.</w:t>
      </w:r>
    </w:p>
    <w:p>
      <w:pPr>
        <w:jc w:val="both"/>
        <w:ind w:left="480" w:hanging="474"/>
        <w:spacing w:after="0" w:line="248" w:lineRule="auto"/>
        <w:tabs>
          <w:tab w:leader="none" w:pos="4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€510.0 million ($499.3 million) under the Telenet Revolving Facility I, (ii) €25.0 million ($24.5 million) under the Telenet Overdraft Facility and (iii) €20.0 million ($19.6 million) under the Telenet Revolving Facility, each of which were undrawn at September 30, 2022.</w:t>
      </w:r>
    </w:p>
    <w:p>
      <w:pPr>
        <w:spacing w:after="0" w:line="221"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Unused borrowing capacity under the VM Ireland Credit Facility relates to €100.0 million ($97.9 million) under the VM Ireland Revolving Facility, which was undrawn at September 30, 2022.</w:t>
      </w:r>
    </w:p>
    <w:p>
      <w:pPr>
        <w:spacing w:after="0" w:line="207" w:lineRule="exact"/>
        <w:rPr>
          <w:rFonts w:ascii="Arial" w:cs="Arial" w:eastAsia="Arial" w:hAnsi="Arial"/>
          <w:sz w:val="18"/>
          <w:szCs w:val="18"/>
          <w:color w:val="auto"/>
        </w:rPr>
      </w:pPr>
    </w:p>
    <w:p>
      <w:pPr>
        <w:jc w:val="both"/>
        <w:ind w:left="480" w:hanging="474"/>
        <w:spacing w:after="0" w:line="263" w:lineRule="auto"/>
        <w:tabs>
          <w:tab w:leader="none" w:pos="471"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nine months ended September 30, 2022 and 2021, the constructive cash outflow included in cash flows from operating activities and the corresponding constructive cash inflow included in cash flows from financing activities related to these operating expenses was $397.1 million and $1,657.5 million, respectively. Repayments of vendor financing obligations at the time we pay the financing intermediary are included in repayments and repurchases of debt and finance lease obligations in our condensed consolidated statements of cash flows.</w:t>
      </w:r>
    </w:p>
    <w:p>
      <w:pPr>
        <w:spacing w:after="0" w:line="214" w:lineRule="exact"/>
        <w:rPr>
          <w:rFonts w:ascii="Arial" w:cs="Arial" w:eastAsia="Arial" w:hAnsi="Arial"/>
          <w:sz w:val="17"/>
          <w:szCs w:val="17"/>
          <w:color w:val="auto"/>
        </w:rPr>
      </w:pPr>
    </w:p>
    <w:p>
      <w:pPr>
        <w:jc w:val="both"/>
        <w:ind w:left="480" w:hanging="474"/>
        <w:spacing w:after="0" w:line="255" w:lineRule="auto"/>
        <w:tabs>
          <w:tab w:leader="none" w:pos="4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for the 2022 period includes $384.1 million of liabilities related to Telenet’s acquisition of mobile spectrum licenses. Telenet will make annual payments for the license fees over the terms of the respective licenses. For more information regarding Telenet’s acquisition of mobile spectrum licenses, see note 8.</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hanging="474"/>
        <w:spacing w:after="0" w:line="255" w:lineRule="auto"/>
        <w:tabs>
          <w:tab w:leader="none" w:pos="4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September 30, 2022 and December 31, 2021, our debt had an estimated fair value of $11.7 billion and $14.5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 - General Information</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At September 30, 2022, most of our outstanding debt had been incurred by one of our three subsidiary “borrowing groups.” References to these borrowing groups, which comprise UPC Holding, Telenet and VM Ireland, include their respective restricted parent and subsidiary entities. Below we provide summary descriptions of certain financing transactions completed during the first nine months of 2022. A portion of our financing transactions may include non-cash borrowings and repayments. During the nine months ended September 30, 2022 and 2021, non-cash borrowings and repayments aggregated nil and $2.9 billion, respectively.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11 to the consolidated financial statements included in our 10-K.</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UPC Holding Financing Transactions</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April 2022, a portion of the net proceeds from the sale of UPC Poland was used to (i) purchase and extinguish €216.5 million ($212.0 million) of the €600.0 million ($587.4 million) outstanding principal amount under UPC Facility AQ, together with accrued and unpaid interest, from the related UPCB SPE and, simultaneously, an equal amount of UPCB Finance VII Euro Notes were purchased and cancelled, (ii) purchase and cancel €205.1 million ($200.8 million) of the €594.3 million ($581.8 million) outstanding principal amount of UPC Holding 3.875% Senior Notes, (iii) purchase and cancel $82.7 million of the $535.0 million outstanding principal amount of UPC Holding 5.50% Senior Notes, (iv) purchase and extinguish $208.0 million of the $1,925.0 million outstanding principal amount under UPC Facility AX, (v) purchase and extinguish €169.5 million ($165.9 million) of the €862.5 million ($844.4 million) outstanding principal amount under UPC Facility AY and (vi) settle associated derivatives. In connection with these transactions, UPC Holding recognized an aggregate loss on debt extinguishment of $2.0 million related to (a) the net gain associated with settlement discounts of $4.7 million, (b) the write-off of $5.2 million of unamortized deferred financing costs and discounts and (c) the payment of $1.5 million of third-party costs.</w:t>
      </w:r>
    </w:p>
    <w:p>
      <w:pPr>
        <w:spacing w:after="0" w:line="18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May 2022, an additional (i) €51.3 million ($50.2 million) of UPC Holding 3.875% Senior Notes were purchased and cancelled and (ii) €8.6 million ($8.4 million) under UPC Facility AQ, together with accrued and unpaid interest, was purchased and extinguished and, simultaneously, an equal amount of UPCB Finance VII Euro Notes were purchased and cancelled. In connection with these transactions, UPC Holding recognized an aggregate gain on debt extinguishment of $4.8 million related to (a) the net gain associated with settlement discounts of $5.1 million and (b) the write-off of $0.3 million of unamortized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debt as of September 30, 2022 are presented below for the named entity and its subsidiaries, unless otherwise noted, and represent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dollar equivalents based on September 30, 2022 exchange rates.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UPC Holding</w:t>
            </w:r>
          </w:p>
        </w:tc>
        <w:tc>
          <w:tcPr>
            <w:tcW w:w="200" w:type="dxa"/>
            <w:vAlign w:val="bottom"/>
          </w:tcPr>
          <w:p>
            <w:pPr>
              <w:spacing w:after="0"/>
              <w:rPr>
                <w:sz w:val="16"/>
                <w:szCs w:val="16"/>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120" w:type="dxa"/>
            <w:vAlign w:val="bottom"/>
          </w:tcPr>
          <w:p>
            <w:pPr>
              <w:spacing w:after="0"/>
              <w:rPr>
                <w:sz w:val="16"/>
                <w:szCs w:val="1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VM Ireland</w:t>
            </w:r>
          </w:p>
        </w:tc>
        <w:tc>
          <w:tcPr>
            <w:tcW w:w="220" w:type="dxa"/>
            <w:vAlign w:val="bottom"/>
          </w:tcPr>
          <w:p>
            <w:pPr>
              <w:spacing w:after="0"/>
              <w:rPr>
                <w:sz w:val="16"/>
                <w:szCs w:val="16"/>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(a)</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millions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2022 (remainder of year)</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5,887.3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12,062.7</w:t>
            </w:r>
          </w:p>
        </w:tc>
        <w:tc>
          <w:tcPr>
            <w:tcW w:w="0" w:type="dxa"/>
            <w:vAlign w:val="bottom"/>
          </w:tcPr>
          <w:p>
            <w:pPr>
              <w:spacing w:after="0"/>
              <w:rPr>
                <w:sz w:val="1"/>
                <w:szCs w:val="1"/>
                <w:color w:val="auto"/>
              </w:rPr>
            </w:pPr>
          </w:p>
        </w:tc>
      </w:tr>
      <w:tr>
        <w:trPr>
          <w:trHeight w:val="219"/>
        </w:trPr>
        <w:tc>
          <w:tcPr>
            <w:tcW w:w="5260" w:type="dxa"/>
            <w:vAlign w:val="bottom"/>
            <w:tcBorders>
              <w:top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debt maturities (b)</w:t>
            </w: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12,857.8</w:t>
            </w:r>
          </w:p>
        </w:tc>
        <w:tc>
          <w:tcPr>
            <w:tcW w:w="0" w:type="dxa"/>
            <w:vAlign w:val="bottom"/>
          </w:tcPr>
          <w:p>
            <w:pPr>
              <w:spacing w:after="0"/>
              <w:rPr>
                <w:sz w:val="1"/>
                <w:szCs w:val="1"/>
                <w:color w:val="auto"/>
              </w:rPr>
            </w:pPr>
          </w:p>
        </w:tc>
      </w:tr>
      <w:tr>
        <w:trPr>
          <w:trHeight w:val="225"/>
        </w:trPr>
        <w:tc>
          <w:tcPr>
            <w:tcW w:w="5260" w:type="dxa"/>
            <w:vAlign w:val="bottom"/>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43"/>
        </w:trPr>
        <w:tc>
          <w:tcPr>
            <w:tcW w:w="5260" w:type="dxa"/>
            <w:vAlign w:val="bottom"/>
            <w:tcBorders>
              <w:top w:val="single" w:sz="8" w:color="CCEEFF"/>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debt</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12,814.2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260" w:type="dxa"/>
            <w:vAlign w:val="bottom"/>
            <w:vMerge w:val="continue"/>
          </w:tcPr>
          <w:p>
            <w:pPr>
              <w:spacing w:after="0"/>
              <w:rPr>
                <w:sz w:val="17"/>
                <w:szCs w:val="17"/>
                <w:color w:val="auto"/>
              </w:rPr>
            </w:pPr>
          </w:p>
        </w:tc>
        <w:tc>
          <w:tcPr>
            <w:tcW w:w="280" w:type="dxa"/>
            <w:vAlign w:val="bottom"/>
          </w:tcPr>
          <w:p>
            <w:pPr>
              <w:jc w:val="right"/>
              <w:ind w:right="93"/>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8" w:lineRule="exact"/>
              <w:rPr>
                <w:sz w:val="20"/>
                <w:szCs w:val="20"/>
                <w:color w:val="auto"/>
              </w:rPr>
            </w:pPr>
            <w:r>
              <w:rPr>
                <w:rFonts w:ascii="Arial" w:cs="Arial" w:eastAsia="Arial" w:hAnsi="Arial"/>
                <w:sz w:val="18"/>
                <w:szCs w:val="18"/>
                <w:color w:val="auto"/>
              </w:rPr>
              <w:t>238.4</w:t>
            </w:r>
          </w:p>
        </w:tc>
        <w:tc>
          <w:tcPr>
            <w:tcW w:w="120" w:type="dxa"/>
            <w:vAlign w:val="bottom"/>
          </w:tcPr>
          <w:p>
            <w:pPr>
              <w:spacing w:after="0"/>
              <w:rPr>
                <w:sz w:val="17"/>
                <w:szCs w:val="17"/>
                <w:color w:val="auto"/>
              </w:rPr>
            </w:pPr>
          </w:p>
        </w:tc>
        <w:tc>
          <w:tcPr>
            <w:tcW w:w="200" w:type="dxa"/>
            <w:vAlign w:val="bottom"/>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8" w:lineRule="exact"/>
              <w:rPr>
                <w:sz w:val="20"/>
                <w:szCs w:val="20"/>
                <w:color w:val="auto"/>
              </w:rPr>
            </w:pPr>
            <w:r>
              <w:rPr>
                <w:rFonts w:ascii="Arial" w:cs="Arial" w:eastAsia="Arial" w:hAnsi="Arial"/>
                <w:sz w:val="18"/>
                <w:szCs w:val="18"/>
                <w:color w:val="auto"/>
              </w:rPr>
              <w:t>355.7</w:t>
            </w:r>
          </w:p>
        </w:tc>
        <w:tc>
          <w:tcPr>
            <w:tcW w:w="12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50.0</w:t>
            </w:r>
          </w:p>
        </w:tc>
        <w:tc>
          <w:tcPr>
            <w:tcW w:w="120" w:type="dxa"/>
            <w:vAlign w:val="bottom"/>
          </w:tcPr>
          <w:p>
            <w:pPr>
              <w:spacing w:after="0"/>
              <w:rPr>
                <w:sz w:val="17"/>
                <w:szCs w:val="17"/>
                <w:color w:val="auto"/>
              </w:rPr>
            </w:pPr>
          </w:p>
        </w:tc>
        <w:tc>
          <w:tcPr>
            <w:tcW w:w="240" w:type="dxa"/>
            <w:vAlign w:val="bottom"/>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Long-term portion</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Amounts include certain senior secured notes issued by special purpose financing entities that are consolidated by UPC Holding and Liberty Global.</w:t>
      </w:r>
    </w:p>
    <w:p>
      <w:pPr>
        <w:spacing w:after="0" w:line="278" w:lineRule="exact"/>
        <w:rPr>
          <w:rFonts w:ascii="Arial" w:cs="Arial" w:eastAsia="Arial" w:hAnsi="Arial"/>
          <w:sz w:val="15"/>
          <w:szCs w:val="15"/>
          <w:color w:val="auto"/>
        </w:rPr>
      </w:pPr>
    </w:p>
    <w:p>
      <w:pPr>
        <w:ind w:left="480" w:hanging="474"/>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include vendor financing obligations of $660.8 million, as set forth below:</w:t>
      </w:r>
    </w:p>
    <w:p>
      <w:pPr>
        <w:spacing w:after="0" w:line="112"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18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UPC</w:t>
            </w:r>
          </w:p>
        </w:tc>
        <w:tc>
          <w:tcPr>
            <w:tcW w:w="320" w:type="dxa"/>
            <w:vAlign w:val="bottom"/>
          </w:tcPr>
          <w:p>
            <w:pPr>
              <w:spacing w:after="0"/>
              <w:rPr>
                <w:sz w:val="16"/>
                <w:szCs w:val="16"/>
                <w:color w:val="auto"/>
              </w:rPr>
            </w:pPr>
          </w:p>
        </w:tc>
        <w:tc>
          <w:tcPr>
            <w:tcW w:w="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4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3"/>
              </w:rPr>
              <w:t>Holding</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2022 (remainder of year)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9"/>
        </w:trPr>
        <w:tc>
          <w:tcPr>
            <w:tcW w:w="5600" w:type="dxa"/>
            <w:vAlign w:val="bottom"/>
          </w:tcPr>
          <w:p>
            <w:pPr>
              <w:ind w:left="220"/>
              <w:spacing w:after="0"/>
              <w:rPr>
                <w:sz w:val="20"/>
                <w:szCs w:val="20"/>
                <w:color w:val="auto"/>
              </w:rPr>
            </w:pPr>
            <w:r>
              <w:rPr>
                <w:rFonts w:ascii="Arial" w:cs="Arial" w:eastAsia="Arial" w:hAnsi="Arial"/>
                <w:sz w:val="18"/>
                <w:szCs w:val="18"/>
                <w:color w:val="auto"/>
              </w:rPr>
              <w:t>Total vendor financing maturities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tcPr>
          <w:p>
            <w:pPr>
              <w:ind w:left="20"/>
              <w:spacing w:after="0" w:line="198" w:lineRule="exact"/>
              <w:rPr>
                <w:sz w:val="20"/>
                <w:szCs w:val="20"/>
                <w:color w:val="auto"/>
              </w:rPr>
            </w:pPr>
            <w:r>
              <w:rPr>
                <w:rFonts w:ascii="Arial" w:cs="Arial" w:eastAsia="Arial" w:hAnsi="Arial"/>
                <w:sz w:val="18"/>
                <w:szCs w:val="18"/>
                <w:color w:val="auto"/>
              </w:rPr>
              <w:t>Long-term portion</w:t>
            </w:r>
          </w:p>
        </w:tc>
        <w:tc>
          <w:tcPr>
            <w:tcW w:w="20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8" w:lineRule="exact"/>
              <w:rPr>
                <w:sz w:val="20"/>
                <w:szCs w:val="20"/>
                <w:color w:val="auto"/>
              </w:rPr>
            </w:pPr>
            <w:r>
              <w:rPr>
                <w:rFonts w:ascii="Arial" w:cs="Arial" w:eastAsia="Arial" w:hAnsi="Arial"/>
                <w:sz w:val="18"/>
                <w:szCs w:val="18"/>
                <w:color w:val="auto"/>
              </w:rPr>
              <w:t>29.8</w:t>
            </w:r>
          </w:p>
        </w:tc>
        <w:tc>
          <w:tcPr>
            <w:tcW w:w="100" w:type="dxa"/>
            <w:vAlign w:val="bottom"/>
          </w:tcPr>
          <w:p>
            <w:pPr>
              <w:spacing w:after="0"/>
              <w:rPr>
                <w:sz w:val="17"/>
                <w:szCs w:val="17"/>
                <w:color w:val="auto"/>
              </w:rPr>
            </w:pPr>
          </w:p>
        </w:tc>
        <w:tc>
          <w:tcPr>
            <w:tcW w:w="240" w:type="dxa"/>
            <w:vAlign w:val="bottom"/>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Vendor Financing Obligations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balances of our vendor financing obligations for the indicated periods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03"/>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r>
      <w:tr>
        <w:trPr>
          <w:trHeight w:val="163"/>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r>
      <w:tr>
        <w:trPr>
          <w:trHeight w:val="225"/>
        </w:trPr>
        <w:tc>
          <w:tcPr>
            <w:tcW w:w="8520" w:type="dxa"/>
            <w:vAlign w:val="bottom"/>
          </w:tcPr>
          <w:p>
            <w:pPr>
              <w:ind w:left="180"/>
              <w:spacing w:after="0"/>
              <w:rPr>
                <w:sz w:val="20"/>
                <w:szCs w:val="20"/>
                <w:color w:val="auto"/>
              </w:rPr>
            </w:pPr>
            <w:r>
              <w:rPr>
                <w:rFonts w:ascii="Arial" w:cs="Arial" w:eastAsia="Arial" w:hAnsi="Arial"/>
                <w:sz w:val="18"/>
                <w:szCs w:val="18"/>
                <w:color w:val="auto"/>
              </w:rPr>
              <w:t>Vendor financing obligations of the U.K. JV Entities at January 1</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2,805.8</w:t>
            </w:r>
          </w:p>
        </w:tc>
      </w:tr>
      <w:tr>
        <w:trPr>
          <w:trHeight w:val="219"/>
        </w:trPr>
        <w:tc>
          <w:tcPr>
            <w:tcW w:w="85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January 1, including amounts classified as held for sale</w:t>
            </w: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3,905.4</w:t>
            </w:r>
          </w:p>
        </w:tc>
      </w:tr>
      <w:tr>
        <w:trPr>
          <w:trHeight w:val="225"/>
        </w:trPr>
        <w:tc>
          <w:tcPr>
            <w:tcW w:w="8520" w:type="dxa"/>
            <w:vAlign w:val="bottom"/>
          </w:tcPr>
          <w:p>
            <w:pPr>
              <w:ind w:left="180"/>
              <w:spacing w:after="0"/>
              <w:rPr>
                <w:sz w:val="20"/>
                <w:szCs w:val="20"/>
                <w:color w:val="auto"/>
              </w:rPr>
            </w:pPr>
            <w:r>
              <w:rPr>
                <w:rFonts w:ascii="Arial" w:cs="Arial" w:eastAsia="Arial" w:hAnsi="Arial"/>
                <w:sz w:val="18"/>
                <w:szCs w:val="18"/>
                <w:color w:val="auto"/>
              </w:rPr>
              <w:t>Operating-related vendor financing additions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1,657.5</w:t>
            </w:r>
          </w:p>
        </w:tc>
      </w:tr>
      <w:tr>
        <w:trPr>
          <w:trHeight w:val="22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Capital-related vendor financing additions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r>
      <w:tr>
        <w:trPr>
          <w:trHeight w:val="225"/>
        </w:trPr>
        <w:tc>
          <w:tcPr>
            <w:tcW w:w="8520" w:type="dxa"/>
            <w:vAlign w:val="bottom"/>
          </w:tcPr>
          <w:p>
            <w:pPr>
              <w:ind w:left="180"/>
              <w:spacing w:after="0"/>
              <w:rPr>
                <w:sz w:val="20"/>
                <w:szCs w:val="20"/>
                <w:color w:val="auto"/>
              </w:rPr>
            </w:pPr>
            <w:r>
              <w:rPr>
                <w:rFonts w:ascii="Arial" w:cs="Arial" w:eastAsia="Arial" w:hAnsi="Arial"/>
                <w:sz w:val="18"/>
                <w:szCs w:val="18"/>
                <w:color w:val="auto"/>
              </w:rPr>
              <w:t>Principal payments on operating-related vendor financing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(1,279.6)</w:t>
            </w:r>
          </w:p>
        </w:tc>
      </w:tr>
      <w:tr>
        <w:trPr>
          <w:trHeight w:val="22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r>
      <w:tr>
        <w:trPr>
          <w:trHeight w:val="225"/>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acquisitions and 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r>
      <w:tr>
        <w:trPr>
          <w:trHeight w:val="219"/>
        </w:trPr>
        <w:tc>
          <w:tcPr>
            <w:tcW w:w="8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vendor financing obligations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4,244.8</w:t>
            </w:r>
          </w:p>
        </w:tc>
      </w:tr>
      <w:tr>
        <w:trPr>
          <w:trHeight w:val="225"/>
        </w:trPr>
        <w:tc>
          <w:tcPr>
            <w:tcW w:w="8520" w:type="dxa"/>
            <w:vAlign w:val="bottom"/>
          </w:tcPr>
          <w:p>
            <w:pPr>
              <w:ind w:left="340"/>
              <w:spacing w:after="0"/>
              <w:rPr>
                <w:sz w:val="20"/>
                <w:szCs w:val="20"/>
                <w:color w:val="auto"/>
              </w:rPr>
            </w:pPr>
            <w:r>
              <w:rPr>
                <w:rFonts w:ascii="Arial" w:cs="Arial" w:eastAsia="Arial" w:hAnsi="Arial"/>
                <w:sz w:val="18"/>
                <w:szCs w:val="18"/>
                <w:color w:val="auto"/>
              </w:rPr>
              <w:t>Less: vendor financing obligations of the U.K. JV Entities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(3,241.3)</w:t>
            </w:r>
          </w:p>
        </w:tc>
      </w:tr>
      <w:tr>
        <w:trPr>
          <w:trHeight w:val="244"/>
        </w:trPr>
        <w:tc>
          <w:tcPr>
            <w:tcW w:w="85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September 30</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1,003.5</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40" w:hanging="334"/>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Lease Balances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ROU assets and lease liabilities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8"/>
              </w:rPr>
              <w:t>December 31, 2021</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3"/>
          </w:tcPr>
          <w:p>
            <w:pPr>
              <w:ind w:left="90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Finance leases (a)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 (b)</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0" w:type="dxa"/>
            <w:vAlign w:val="bottom"/>
          </w:tcPr>
          <w:p>
            <w:pPr>
              <w:spacing w:after="0"/>
              <w:rPr>
                <w:sz w:val="1"/>
                <w:szCs w:val="1"/>
                <w:color w:val="auto"/>
              </w:rPr>
            </w:pPr>
          </w:p>
        </w:tc>
      </w:tr>
      <w:tr>
        <w:trPr>
          <w:trHeight w:val="218"/>
        </w:trPr>
        <w:tc>
          <w:tcPr>
            <w:tcW w:w="8460" w:type="dxa"/>
            <w:vAlign w:val="bottom"/>
          </w:tcPr>
          <w:p>
            <w:pPr>
              <w:ind w:left="260"/>
              <w:spacing w:after="0" w:line="204" w:lineRule="exact"/>
              <w:rPr>
                <w:sz w:val="20"/>
                <w:szCs w:val="20"/>
                <w:color w:val="auto"/>
              </w:rPr>
            </w:pPr>
            <w:r>
              <w:rPr>
                <w:rFonts w:ascii="Arial" w:cs="Arial" w:eastAsia="Arial" w:hAnsi="Arial"/>
                <w:sz w:val="18"/>
                <w:szCs w:val="18"/>
                <w:color w:val="auto"/>
              </w:rPr>
              <w:t>Total ROU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1,753.8</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leases (d)</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finance lease ROU assets are included in property and equipment, net, on our condensed consolidated balance sheets. At September 30, 2022, the weighted average remaining lease term for finance leases was 21.6 years and the weighted average discount rate was 6.0%. During the nine months ended September 30, 2022 and 2021, we recorded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color w:val="auto"/>
        </w:rPr>
        <w:t>non-cash additions to our finance lease ROU assets of $25.8 million and $27.8 million (including amounts related to the U.K. JV Entities through the June 1, 2021 closing of the U.K. JV Transaction), respectively.</w:t>
      </w:r>
    </w:p>
    <w:p>
      <w:pPr>
        <w:spacing w:after="0" w:line="207" w:lineRule="exact"/>
        <w:rPr>
          <w:sz w:val="20"/>
          <w:szCs w:val="20"/>
          <w:color w:val="auto"/>
        </w:rPr>
      </w:pPr>
    </w:p>
    <w:p>
      <w:pPr>
        <w:jc w:val="both"/>
        <w:ind w:left="480" w:hanging="474"/>
        <w:spacing w:after="0" w:line="249" w:lineRule="auto"/>
        <w:tabs>
          <w:tab w:leader="none" w:pos="4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lease ROU assets are included in other assets, net, on our condensed consolidated balance sheets. At September 30, 2022, the weighted average remaining lease term for operating leases was 13.3 years and the weighted average discount rate was 5.7%. During the nine months ended September 30, 2022 and 2021, we recorded non-cash additions to our operating lease ROU assets of $670.0 million and $67.4 million (including amounts related to the U.K. JV Entities through the June 1, 2021 closing of the U.K. JV Transaction), respectively. For additional information regarding the non-cash additions to our operating lease ROU assets during the nine months ended September 30, 2022 related to the Telenet Tower Lease Agreement, see note 4.</w:t>
      </w:r>
    </w:p>
    <w:p>
      <w:pPr>
        <w:spacing w:after="0" w:line="222"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obligations and long-term debt and finance lease obligations, respectively, on our condensed consolidated balance sheets.</w:t>
      </w:r>
    </w:p>
    <w:p>
      <w:pPr>
        <w:spacing w:after="0" w:line="207" w:lineRule="exact"/>
        <w:rPr>
          <w:rFonts w:ascii="Arial" w:cs="Arial" w:eastAsia="Arial" w:hAnsi="Arial"/>
          <w:sz w:val="18"/>
          <w:szCs w:val="18"/>
          <w:color w:val="auto"/>
        </w:rPr>
      </w:pPr>
    </w:p>
    <w:p>
      <w:pPr>
        <w:jc w:val="both"/>
        <w:ind w:left="480" w:hanging="474"/>
        <w:spacing w:after="0" w:line="255" w:lineRule="auto"/>
        <w:tabs>
          <w:tab w:leader="none" w:pos="4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current portions of our operating lease liabilities are included within other accrued and current liabilities on our condensed consolidated balance sheets. For additional information regarding the increase in our operating lease liabilities during the nine months ended September 30, 2022 related to the Telenet Tower Lease Agreement, see note 4.</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320" w:type="dxa"/>
            <w:vAlign w:val="bottom"/>
            <w:gridSpan w:val="4"/>
          </w:tcPr>
          <w:p>
            <w:pPr>
              <w:jc w:val="right"/>
              <w:ind w:right="155"/>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6"/>
                <w:szCs w:val="16"/>
                <w:b w:val="1"/>
                <w:bCs w:val="1"/>
                <w:color w:val="auto"/>
                <w:w w:val="89"/>
              </w:rPr>
              <w:t>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5"/>
        </w:trPr>
        <w:tc>
          <w:tcPr>
            <w:tcW w:w="56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95"/>
              </w:rPr>
              <w:t>2021</w:t>
            </w:r>
          </w:p>
        </w:tc>
      </w:tr>
      <w:tr>
        <w:trPr>
          <w:trHeight w:val="203"/>
        </w:trPr>
        <w:tc>
          <w:tcPr>
            <w:tcW w:w="5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3"/>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17.2</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18"/>
        </w:trPr>
        <w:tc>
          <w:tcPr>
            <w:tcW w:w="5600" w:type="dxa"/>
            <w:vAlign w:val="bottom"/>
          </w:tcPr>
          <w:p>
            <w:pPr>
              <w:ind w:left="260"/>
              <w:spacing w:after="0" w:line="204" w:lineRule="exact"/>
              <w:rPr>
                <w:sz w:val="20"/>
                <w:szCs w:val="20"/>
                <w:color w:val="auto"/>
              </w:rPr>
            </w:pPr>
            <w:r>
              <w:rPr>
                <w:rFonts w:ascii="Arial" w:cs="Arial" w:eastAsia="Arial" w:hAnsi="Arial"/>
                <w:sz w:val="18"/>
                <w:szCs w:val="18"/>
                <w:color w:val="auto"/>
              </w:rPr>
              <w:t>Total finance lease expense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 (a)</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Short-term lease expense (a)</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(b)</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8"/>
        </w:trPr>
        <w:tc>
          <w:tcPr>
            <w:tcW w:w="5600" w:type="dxa"/>
            <w:vAlign w:val="bottom"/>
          </w:tcPr>
          <w:p>
            <w:pPr>
              <w:ind w:left="300"/>
              <w:spacing w:after="0" w:line="204" w:lineRule="exact"/>
              <w:rPr>
                <w:sz w:val="20"/>
                <w:szCs w:val="20"/>
                <w:color w:val="auto"/>
              </w:rPr>
            </w:pPr>
            <w:r>
              <w:rPr>
                <w:rFonts w:ascii="Arial" w:cs="Arial" w:eastAsia="Arial" w:hAnsi="Arial"/>
                <w:sz w:val="18"/>
                <w:szCs w:val="18"/>
                <w:color w:val="auto"/>
              </w:rPr>
              <w:t>Total lease expense</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64.4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365" w:lineRule="auto"/>
        <w:tabs>
          <w:tab w:leader="none" w:pos="477"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spacing w:after="0" w:line="137" w:lineRule="exact"/>
        <w:rPr>
          <w:rFonts w:ascii="Arial" w:cs="Arial" w:eastAsia="Arial" w:hAnsi="Arial"/>
          <w:sz w:val="15"/>
          <w:szCs w:val="15"/>
          <w:color w:val="auto"/>
        </w:rPr>
      </w:pPr>
    </w:p>
    <w:p>
      <w:pPr>
        <w:jc w:val="both"/>
        <w:ind w:left="480" w:hanging="474"/>
        <w:spacing w:after="0" w:line="255" w:lineRule="auto"/>
        <w:tabs>
          <w:tab w:leader="none" w:pos="4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cash outflows from operating and finance leases is set forth below:</w:t>
      </w:r>
    </w:p>
    <w:p>
      <w:pPr>
        <w:spacing w:after="0" w:line="129"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Nine months ended</w:t>
      </w:r>
    </w:p>
    <w:p>
      <w:pPr>
        <w:jc w:val="center"/>
        <w:ind w:left="844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r>
      <w:tr>
        <w:trPr>
          <w:trHeight w:val="202"/>
        </w:trPr>
        <w:tc>
          <w:tcPr>
            <w:tcW w:w="8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r>
      <w:tr>
        <w:trPr>
          <w:trHeight w:val="203"/>
        </w:trPr>
        <w:tc>
          <w:tcPr>
            <w:tcW w:w="8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163.7</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164.1</w:t>
            </w: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 (interest component)</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5"/>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outflows from finance leases (principal component)</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8460" w:type="dxa"/>
            <w:vAlign w:val="bottom"/>
            <w:tcBorders>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cash outflows from operating and finance leases</w:t>
            </w: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230.5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operating and finance lease liabilities as of September 30, 2022 are presented below. Amounts represent U.S. dollar equivalents based 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exchange rates: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Operating leases</w:t>
            </w:r>
          </w:p>
        </w:tc>
        <w:tc>
          <w:tcPr>
            <w:tcW w:w="340" w:type="dxa"/>
            <w:vAlign w:val="bottom"/>
          </w:tcPr>
          <w:p>
            <w:pPr>
              <w:spacing w:after="0"/>
              <w:rPr>
                <w:sz w:val="16"/>
                <w:szCs w:val="16"/>
                <w:color w:val="auto"/>
              </w:rPr>
            </w:pPr>
          </w:p>
        </w:tc>
        <w:tc>
          <w:tcPr>
            <w:tcW w:w="1000" w:type="dxa"/>
            <w:vAlign w:val="bottom"/>
          </w:tcPr>
          <w:p>
            <w:pPr>
              <w:jc w:val="right"/>
              <w:ind w:right="333"/>
              <w:spacing w:after="0"/>
              <w:rPr>
                <w:sz w:val="20"/>
                <w:szCs w:val="20"/>
                <w:color w:val="auto"/>
              </w:rPr>
            </w:pPr>
            <w:r>
              <w:rPr>
                <w:rFonts w:ascii="Arial" w:cs="Arial" w:eastAsia="Arial" w:hAnsi="Arial"/>
                <w:sz w:val="16"/>
                <w:szCs w:val="16"/>
                <w:b w:val="1"/>
                <w:bCs w:val="1"/>
                <w:color w:val="auto"/>
                <w:w w:val="92"/>
              </w:rPr>
              <w:t>Finance</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2022 (remainder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payments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Present value of lease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4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Long-term portion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60" w:hanging="454"/>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Income tax expense attributable to our earnings from continuing operations before income taxes differs from the amounts computed using the applicable income tax rate as a result of the following factors: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8"/>
              </w:rPr>
              <w:t>Three months ended</w:t>
            </w:r>
          </w:p>
        </w:tc>
        <w:tc>
          <w:tcPr>
            <w:tcW w:w="360" w:type="dxa"/>
            <w:vAlign w:val="bottom"/>
          </w:tcPr>
          <w:p>
            <w:pPr>
              <w:spacing w:after="0"/>
              <w:rPr>
                <w:sz w:val="16"/>
                <w:szCs w:val="16"/>
                <w:color w:val="auto"/>
              </w:rPr>
            </w:pPr>
          </w:p>
        </w:tc>
        <w:tc>
          <w:tcPr>
            <w:tcW w:w="210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7"/>
              </w:rPr>
              <w:t>September 30,</w:t>
            </w:r>
          </w:p>
        </w:tc>
        <w:tc>
          <w:tcPr>
            <w:tcW w:w="360" w:type="dxa"/>
            <w:vAlign w:val="bottom"/>
          </w:tcPr>
          <w:p>
            <w:pPr>
              <w:spacing w:after="0"/>
              <w:rPr>
                <w:sz w:val="18"/>
                <w:szCs w:val="18"/>
                <w:color w:val="auto"/>
              </w:rPr>
            </w:pPr>
          </w:p>
        </w:tc>
        <w:tc>
          <w:tcPr>
            <w:tcW w:w="210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September 30,</w:t>
            </w:r>
          </w:p>
        </w:tc>
      </w:tr>
      <w:tr>
        <w:trPr>
          <w:trHeight w:val="205"/>
        </w:trPr>
        <w:tc>
          <w:tcPr>
            <w:tcW w:w="62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r>
      <w:tr>
        <w:trPr>
          <w:trHeight w:val="203"/>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3"/>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expense (a)</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(2,533.3)</w:t>
            </w:r>
          </w:p>
        </w:tc>
      </w:tr>
      <w:tr>
        <w:trPr>
          <w:trHeight w:val="225"/>
        </w:trPr>
        <w:tc>
          <w:tcPr>
            <w:tcW w:w="6200" w:type="dxa"/>
            <w:vAlign w:val="bottom"/>
          </w:tcPr>
          <w:p>
            <w:pPr>
              <w:ind w:left="20"/>
              <w:spacing w:after="0"/>
              <w:rPr>
                <w:sz w:val="20"/>
                <w:szCs w:val="20"/>
                <w:color w:val="auto"/>
              </w:rPr>
            </w:pPr>
            <w:r>
              <w:rPr>
                <w:rFonts w:ascii="Arial" w:cs="Arial" w:eastAsia="Arial" w:hAnsi="Arial"/>
                <w:sz w:val="18"/>
                <w:szCs w:val="18"/>
                <w:color w:val="auto"/>
              </w:rPr>
              <w:t>Non-deductible or non-taxable foreign currency exchange results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174"/>
        </w:trPr>
        <w:tc>
          <w:tcPr>
            <w:tcW w:w="62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2"/>
              </w:rPr>
              <w:t>Basis and other differences in the treatment of items associated with investments in</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8"/>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subsidiaries and affiliates (b)</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25"/>
        </w:trPr>
        <w:tc>
          <w:tcPr>
            <w:tcW w:w="6200" w:type="dxa"/>
            <w:vAlign w:val="bottom"/>
          </w:tcPr>
          <w:p>
            <w:pPr>
              <w:ind w:left="20"/>
              <w:spacing w:after="0"/>
              <w:rPr>
                <w:sz w:val="20"/>
                <w:szCs w:val="20"/>
                <w:color w:val="auto"/>
              </w:rPr>
            </w:pPr>
            <w:r>
              <w:rPr>
                <w:rFonts w:ascii="Arial" w:cs="Arial" w:eastAsia="Arial" w:hAnsi="Arial"/>
                <w:sz w:val="18"/>
                <w:szCs w:val="18"/>
                <w:color w:val="auto"/>
              </w:rPr>
              <w:t>International rate differences (c)</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2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or non-taxable interest and other items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5"/>
        </w:trPr>
        <w:tc>
          <w:tcPr>
            <w:tcW w:w="6200" w:type="dxa"/>
            <w:vAlign w:val="bottom"/>
          </w:tcPr>
          <w:p>
            <w:pPr>
              <w:ind w:left="20"/>
              <w:spacing w:after="0"/>
              <w:rPr>
                <w:sz w:val="20"/>
                <w:szCs w:val="20"/>
                <w:color w:val="auto"/>
              </w:rPr>
            </w:pPr>
            <w:r>
              <w:rPr>
                <w:rFonts w:ascii="Arial" w:cs="Arial" w:eastAsia="Arial" w:hAnsi="Arial"/>
                <w:sz w:val="18"/>
                <w:szCs w:val="18"/>
                <w:color w:val="auto"/>
              </w:rPr>
              <w:t>Change in valuation allowances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2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associated with technology innovation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5"/>
        </w:trPr>
        <w:tc>
          <w:tcPr>
            <w:tcW w:w="6200" w:type="dxa"/>
            <w:vAlign w:val="bottom"/>
          </w:tcPr>
          <w:p>
            <w:pPr>
              <w:ind w:left="20"/>
              <w:spacing w:after="0"/>
              <w:rPr>
                <w:sz w:val="20"/>
                <w:szCs w:val="20"/>
                <w:color w:val="auto"/>
              </w:rPr>
            </w:pPr>
            <w:r>
              <w:rPr>
                <w:rFonts w:ascii="Arial" w:cs="Arial" w:eastAsia="Arial" w:hAnsi="Arial"/>
                <w:sz w:val="18"/>
                <w:szCs w:val="18"/>
                <w:color w:val="auto"/>
              </w:rPr>
              <w:t>Recognition of previously unrecognized tax benefits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Non-taxable gain (adjustment to gain) associated with the U.K. JV Transaction</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2,050.2</w:t>
            </w:r>
          </w:p>
        </w:tc>
      </w:tr>
      <w:tr>
        <w:trPr>
          <w:trHeight w:val="225"/>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200" w:type="dxa"/>
            <w:vAlign w:val="bottom"/>
            <w:tcBorders>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income tax expense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2" w:lineRule="auto"/>
        <w:tabs>
          <w:tab w:leader="none" w:pos="4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statutory or “expected” tax rate is the U.K. rate of 19.0%. On June 10, 2021, legislation was enacted in the U.K. to increase the U.K. corporate income rate to 25.0% from April 1, 2023. The impact of this rate change on our deferred tax balances was recorded during the second quarter of 2021. Effective January 1, 2022, the enacted corporate income tax rate in the Netherlands increased from 25.0% to 25.8%. This change did not have a material impact on our consolidated financial statements.</w:t>
      </w:r>
    </w:p>
    <w:p>
      <w:pPr>
        <w:spacing w:after="0" w:line="21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reflect the net impact of differences in the treatment of income and loss items between financial reporting and tax accounting related to investments in subsidiaries and affiliates, including the effects of foreign earnings.</w:t>
      </w:r>
    </w:p>
    <w:p>
      <w:pPr>
        <w:spacing w:after="0" w:line="207" w:lineRule="exact"/>
        <w:rPr>
          <w:rFonts w:ascii="Arial" w:cs="Arial" w:eastAsia="Arial" w:hAnsi="Arial"/>
          <w:sz w:val="18"/>
          <w:szCs w:val="18"/>
          <w:color w:val="auto"/>
        </w:rPr>
      </w:pPr>
    </w:p>
    <w:p>
      <w:pPr>
        <w:ind w:left="480" w:right="20" w:hanging="474"/>
        <w:spacing w:after="0" w:line="252" w:lineRule="auto"/>
        <w:tabs>
          <w:tab w:leader="none" w:pos="4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August 16, 2022, the Inflation Reduction Act was signed into law in the U.S. Although this legislation does not increase the U.S. corporate income tax rate, it includes, among other provisions, a new corporate alternative minimum tax (</w:t>
      </w:r>
      <w:r>
        <w:rPr>
          <w:rFonts w:ascii="Arial" w:cs="Arial" w:eastAsia="Arial" w:hAnsi="Arial"/>
          <w:sz w:val="18"/>
          <w:szCs w:val="18"/>
          <w:b w:val="1"/>
          <w:bCs w:val="1"/>
          <w:color w:val="auto"/>
        </w:rPr>
        <w:t>CAMT</w:t>
      </w:r>
      <w:r>
        <w:rPr>
          <w:rFonts w:ascii="Arial" w:cs="Arial" w:eastAsia="Arial" w:hAnsi="Arial"/>
          <w:sz w:val="18"/>
          <w:szCs w:val="18"/>
          <w:color w:val="auto"/>
        </w:rPr>
        <w:t>) effective for tax years beginning after December 31, 2022. We do not anticipate the CAMT will have a material impact on our consolidated financial statements and have elected to disregard our CAMT status when evaluating our deferred tax assets under the regular U.S. tax system.</w:t>
      </w:r>
    </w:p>
    <w:p>
      <w:pPr>
        <w:spacing w:after="0" w:line="22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September 30, 2022, our unrecognized tax benefits were $431.9 million, of which $409.4 million would have a favorable impact on our effective income tax rate if ultimately recognized, after considering amounts that we would expect to be offset by valuation allowances and other factors. During the next 12 months, we expect an $11.0 million reduction to our unrecognized tax benefits related to tax positions taken as of September 30, 2022, substantially none of which would have a favorable impact on our effective income tax rate if ultimately recognized. No assurance can be given as to the nature or impact of any changes in our unrecognized tax positions during the next 12 months.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Certain of our subsidiaries are currently involved in income tax examinations in various jurisdictions in which we operate, including Belgium, Ireland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157"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color w:val="auto"/>
        </w:rPr>
        <w:t>On October 7, 2022, the U.S. Department of Justice filed suit against Liberty Global, Inc. (</w:t>
      </w:r>
      <w:r>
        <w:rPr>
          <w:rFonts w:ascii="Arial" w:cs="Arial" w:eastAsia="Arial" w:hAnsi="Arial"/>
          <w:sz w:val="15"/>
          <w:szCs w:val="15"/>
          <w:b w:val="1"/>
          <w:bCs w:val="1"/>
          <w:color w:val="auto"/>
        </w:rPr>
        <w:t>LGI</w:t>
      </w:r>
      <w:r>
        <w:rPr>
          <w:rFonts w:ascii="Arial" w:cs="Arial" w:eastAsia="Arial" w:hAnsi="Arial"/>
          <w:sz w:val="15"/>
          <w:szCs w:val="15"/>
          <w:color w:val="auto"/>
        </w:rPr>
        <w:t>), a wholly owned U.S. subsidiary of Liberty Global, in the U.S. District Court of Colorado for unpaid federal income taxes and penalties for the 2018 tax year of approximately $284 million. This action by the U.S. Department of Justice is related to the November 2020 complaint filed by LGI in the District Court of Colorado seeking a refund of approximately $110 million of taxes, penalties and interest associated with the application of certain temporary Treasury regulations issued in June 2019. No amounts have been accrued by LGI with respect to this matter. We will vigorously defend this matter and continue to actively pursue our claim for refund.</w:t>
      </w:r>
    </w:p>
    <w:p>
      <w:pPr>
        <w:spacing w:after="0" w:line="170" w:lineRule="exact"/>
        <w:rPr>
          <w:sz w:val="20"/>
          <w:szCs w:val="20"/>
          <w:color w:val="auto"/>
        </w:rPr>
      </w:pPr>
    </w:p>
    <w:p>
      <w:pPr>
        <w:ind w:left="480" w:hanging="474"/>
        <w:spacing w:after="0"/>
        <w:tabs>
          <w:tab w:leader="none" w:pos="4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During the nine months ended September 30, 2022, we repurchased (i) 3,856,700 shares of our Class A ordinary shares at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price per share of $21.55 and (ii) 62,747,813 shares of our Class C ordinary shares at an average price per share of $23.97, for an aggregate purchase price of $1,587.3 million, including direct acquisition costs.</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September 30, 2022, we have repurchased all of the shares authorized under the original share buyback plan for 2022. In July 2022, our board of directors authorized an additional $400.0 million for 2022 share repurchases and we have $114.6 million of that additional authorized amount remaining as of September 30, 2022. In addition, we are authorized to repurchase 10% of our shares during 2023 based on the total number of our outstanding shares as of December 31, 2022.</w:t>
      </w:r>
    </w:p>
    <w:p>
      <w:pPr>
        <w:spacing w:after="0" w:line="211" w:lineRule="exact"/>
        <w:rPr>
          <w:sz w:val="20"/>
          <w:szCs w:val="20"/>
          <w:color w:val="auto"/>
        </w:rPr>
      </w:pPr>
    </w:p>
    <w:p>
      <w:pPr>
        <w:ind w:left="480" w:hanging="474"/>
        <w:spacing w:after="0"/>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10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6"/>
                <w:szCs w:val="16"/>
                <w:b w:val="1"/>
                <w:bCs w:val="1"/>
                <w:color w:val="auto"/>
                <w:w w:val="87"/>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84"/>
              </w:rPr>
              <w:t>2021</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00" w:type="dxa"/>
            <w:vAlign w:val="bottom"/>
          </w:tcPr>
          <w:p>
            <w:pPr>
              <w:ind w:left="140"/>
              <w:spacing w:after="0"/>
              <w:rPr>
                <w:sz w:val="20"/>
                <w:szCs w:val="20"/>
                <w:color w:val="auto"/>
              </w:rPr>
            </w:pPr>
            <w:r>
              <w:rPr>
                <w:rFonts w:ascii="Arial" w:cs="Arial" w:eastAsia="Arial" w:hAnsi="Arial"/>
                <w:sz w:val="18"/>
                <w:szCs w:val="18"/>
                <w:color w:val="auto"/>
              </w:rPr>
              <w:t>Non-performance based incentive awards (a)</w:t>
            </w: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31.4</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26"/>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incentive awards (b)</w:t>
            </w:r>
          </w:p>
        </w:tc>
        <w:tc>
          <w:tcPr>
            <w:tcW w:w="7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5"/>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Liberty Global</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5"/>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300"/>
              <w:spacing w:after="0" w:line="205" w:lineRule="exact"/>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10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5"/>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300"/>
              <w:spacing w:after="0" w:line="205" w:lineRule="exact"/>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April 2021, with respect to 2014 and 2015 grants, the compensation committee of our board of directors approved the extension of the expiration dates of outstanding share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and director options from a seven-year term to a ten-year term. Accordingly, the Black-Scholes fair values of the respective outstanding awards increased,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resulting in the recognition of aggregate incremental share-based compensation expense of $22.7 million during the second quarter of 2021.</w:t>
      </w:r>
    </w:p>
    <w:p>
      <w:pPr>
        <w:spacing w:after="0" w:line="255" w:lineRule="exact"/>
        <w:rPr>
          <w:sz w:val="20"/>
          <w:szCs w:val="20"/>
          <w:color w:val="auto"/>
        </w:rPr>
      </w:pPr>
    </w:p>
    <w:p>
      <w:pPr>
        <w:ind w:left="480" w:right="20" w:hanging="474"/>
        <w:spacing w:after="0" w:line="264" w:lineRule="auto"/>
        <w:tabs>
          <w:tab w:leader="none" w:pos="4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our 2019 Challenge Performance Awards and (ii) in the 2021 periods,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 and our 2019 CEO Performance Award.</w:t>
      </w:r>
    </w:p>
    <w:p>
      <w:pPr>
        <w:spacing w:after="0" w:line="207" w:lineRule="exact"/>
        <w:rPr>
          <w:rFonts w:ascii="Arial" w:cs="Arial" w:eastAsia="Arial" w:hAnsi="Arial"/>
          <w:sz w:val="18"/>
          <w:szCs w:val="18"/>
          <w:color w:val="auto"/>
        </w:rPr>
      </w:pPr>
    </w:p>
    <w:p>
      <w:pPr>
        <w:jc w:val="both"/>
        <w:ind w:left="480" w:hanging="474"/>
        <w:spacing w:after="0" w:line="250" w:lineRule="auto"/>
        <w:tabs>
          <w:tab w:leader="none" w:pos="4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 In addition, amounts include compensation expense related to the Ventures Incentive Plans (as defined and described below).</w:t>
      </w:r>
    </w:p>
    <w:p>
      <w:pPr>
        <w:spacing w:after="0" w:line="214"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The following table provides the aggregate number of options, SARs and performance-based share appreciation rights (</w:t>
      </w:r>
      <w:r>
        <w:rPr>
          <w:rFonts w:ascii="Arial" w:cs="Arial" w:eastAsia="Arial" w:hAnsi="Arial"/>
          <w:sz w:val="18"/>
          <w:szCs w:val="18"/>
          <w:b w:val="1"/>
          <w:bCs w:val="1"/>
          <w:color w:val="auto"/>
        </w:rPr>
        <w:t>PSARs</w:t>
      </w:r>
      <w:r>
        <w:rPr>
          <w:rFonts w:ascii="Arial" w:cs="Arial" w:eastAsia="Arial" w:hAnsi="Arial"/>
          <w:sz w:val="18"/>
          <w:szCs w:val="18"/>
          <w:color w:val="auto"/>
        </w:rPr>
        <w:t>) with respect to awards issued by Liberty Global that were (i) outstanding and (ii) exercisable as of September 30,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6"/>
                <w:szCs w:val="16"/>
                <w:b w:val="1"/>
                <w:bCs w:val="1"/>
                <w:color w:val="auto"/>
              </w:rPr>
              <w:t>Class A</w:t>
            </w:r>
          </w:p>
        </w:tc>
        <w:tc>
          <w:tcPr>
            <w:tcW w:w="12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8"/>
              </w:rPr>
              <w:t>Gross number of</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Weighted average</w:t>
            </w:r>
          </w:p>
        </w:tc>
        <w:tc>
          <w:tcPr>
            <w:tcW w:w="142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8"/>
              </w:rPr>
              <w:t>Gross number of</w:t>
            </w:r>
          </w:p>
        </w:tc>
        <w:tc>
          <w:tcPr>
            <w:tcW w:w="13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Weighted average</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8"/>
              </w:rPr>
              <w:t>shares underlying</w:t>
            </w:r>
          </w:p>
        </w:tc>
        <w:tc>
          <w:tcPr>
            <w:tcW w:w="1420" w:type="dxa"/>
            <w:vAlign w:val="bottom"/>
            <w:gridSpan w:val="3"/>
            <w:vMerge w:val="continue"/>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8"/>
              </w:rPr>
              <w:t>shares underlying</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1"/>
              </w:rPr>
              <w:t>option, SAR and</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4"/>
              </w:rPr>
              <w:t>exercise or base</w:t>
            </w: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1"/>
              </w:rPr>
              <w:t>option, SAR and</w:t>
            </w:r>
          </w:p>
        </w:tc>
        <w:tc>
          <w:tcPr>
            <w:tcW w:w="100" w:type="dxa"/>
            <w:vAlign w:val="bottom"/>
          </w:tcPr>
          <w:p>
            <w:pPr>
              <w:spacing w:after="0"/>
              <w:rPr>
                <w:sz w:val="13"/>
                <w:szCs w:val="13"/>
                <w:color w:val="auto"/>
              </w:rPr>
            </w:pPr>
          </w:p>
        </w:tc>
        <w:tc>
          <w:tcPr>
            <w:tcW w:w="1200" w:type="dxa"/>
            <w:vAlign w:val="bottom"/>
          </w:tcPr>
          <w:p>
            <w:pPr>
              <w:jc w:val="center"/>
              <w:ind w:right="15"/>
              <w:spacing w:after="0" w:line="159" w:lineRule="exact"/>
              <w:rPr>
                <w:sz w:val="20"/>
                <w:szCs w:val="20"/>
                <w:color w:val="auto"/>
              </w:rPr>
            </w:pPr>
            <w:r>
              <w:rPr>
                <w:rFonts w:ascii="Arial" w:cs="Arial" w:eastAsia="Arial" w:hAnsi="Arial"/>
                <w:sz w:val="16"/>
                <w:szCs w:val="16"/>
                <w:b w:val="1"/>
                <w:bCs w:val="1"/>
                <w:color w:val="auto"/>
                <w:w w:val="84"/>
              </w:rPr>
              <w:t>exercise or base</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PSAR awards (a)</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price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PSAR awards (a)</w:t>
            </w:r>
          </w:p>
        </w:tc>
        <w:tc>
          <w:tcPr>
            <w:tcW w:w="100" w:type="dxa"/>
            <w:vAlign w:val="bottom"/>
          </w:tcPr>
          <w:p>
            <w:pPr>
              <w:spacing w:after="0"/>
              <w:rPr>
                <w:sz w:val="18"/>
                <w:szCs w:val="18"/>
                <w:color w:val="auto"/>
              </w:rPr>
            </w:pPr>
          </w:p>
        </w:tc>
        <w:tc>
          <w:tcPr>
            <w:tcW w:w="1200" w:type="dxa"/>
            <w:vAlign w:val="bottom"/>
          </w:tcPr>
          <w:p>
            <w:pPr>
              <w:jc w:val="center"/>
              <w:ind w:right="15"/>
              <w:spacing w:after="0"/>
              <w:rPr>
                <w:sz w:val="20"/>
                <w:szCs w:val="20"/>
                <w:color w:val="auto"/>
              </w:rPr>
            </w:pPr>
            <w:r>
              <w:rPr>
                <w:rFonts w:ascii="Arial" w:cs="Arial" w:eastAsia="Arial" w:hAnsi="Arial"/>
                <w:sz w:val="16"/>
                <w:szCs w:val="16"/>
                <w:b w:val="1"/>
                <w:bCs w:val="1"/>
                <w:color w:val="auto"/>
                <w:w w:val="88"/>
              </w:rPr>
              <w:t>price</w:t>
            </w:r>
          </w:p>
        </w:tc>
        <w:tc>
          <w:tcPr>
            <w:tcW w:w="0" w:type="dxa"/>
            <w:vAlign w:val="bottom"/>
          </w:tcPr>
          <w:p>
            <w:pPr>
              <w:spacing w:after="0"/>
              <w:rPr>
                <w:sz w:val="1"/>
                <w:szCs w:val="1"/>
                <w:color w:val="auto"/>
              </w:rPr>
            </w:pPr>
          </w:p>
        </w:tc>
      </w:tr>
      <w:tr>
        <w:trPr>
          <w:trHeight w:val="141"/>
        </w:trPr>
        <w:tc>
          <w:tcPr>
            <w:tcW w:w="568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25,412,528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59,394,995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Exercisable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18,025,425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38,810,843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former Liberty Global employees (b):</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1,657,050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3,812,478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Exercisable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1,578,680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3,655,773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318" w:lineRule="auto"/>
        <w:tabs>
          <w:tab w:leader="none" w:pos="477" w:val="left"/>
        </w:tabs>
        <w:numPr>
          <w:ilvl w:val="0"/>
          <w:numId w:val="35"/>
        </w:numPr>
        <w:rPr>
          <w:rFonts w:ascii="Arial" w:cs="Arial" w:eastAsia="Arial" w:hAnsi="Arial"/>
          <w:sz w:val="15"/>
          <w:szCs w:val="15"/>
          <w:color w:val="auto"/>
        </w:rPr>
      </w:pPr>
      <w:r>
        <w:rPr>
          <w:rFonts w:ascii="Arial" w:cs="Arial" w:eastAsia="Arial" w:hAnsi="Arial"/>
          <w:sz w:val="15"/>
          <w:szCs w:val="15"/>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72" w:lineRule="exact"/>
        <w:rPr>
          <w:rFonts w:ascii="Arial" w:cs="Arial" w:eastAsia="Arial" w:hAnsi="Arial"/>
          <w:sz w:val="15"/>
          <w:szCs w:val="15"/>
          <w:color w:val="auto"/>
        </w:rPr>
      </w:pPr>
    </w:p>
    <w:p>
      <w:pPr>
        <w:jc w:val="both"/>
        <w:ind w:left="480" w:hanging="474"/>
        <w:spacing w:after="0" w:line="255" w:lineRule="auto"/>
        <w:tabs>
          <w:tab w:leader="none" w:pos="4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ordinary shares.</w:t>
      </w:r>
    </w:p>
    <w:p>
      <w:pPr>
        <w:spacing w:after="0" w:line="209" w:lineRule="exact"/>
        <w:rPr>
          <w:sz w:val="20"/>
          <w:szCs w:val="20"/>
          <w:color w:val="auto"/>
        </w:rPr>
      </w:pPr>
    </w:p>
    <w:p>
      <w:pPr>
        <w:ind w:firstLine="318"/>
        <w:spacing w:after="0" w:line="301" w:lineRule="auto"/>
        <w:rPr>
          <w:sz w:val="20"/>
          <w:szCs w:val="20"/>
          <w:color w:val="auto"/>
        </w:rPr>
      </w:pPr>
      <w:r>
        <w:rPr>
          <w:rFonts w:ascii="Arial" w:cs="Arial" w:eastAsia="Arial" w:hAnsi="Arial"/>
          <w:sz w:val="17"/>
          <w:szCs w:val="17"/>
          <w:color w:val="auto"/>
        </w:rPr>
        <w:t>The following table provides the aggregate number of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that were outstanding as of September 30, 2022. The number of shares to be issued on the vesting date of these awards will be reduced by the amount of the employee’s required income tax withholding.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6"/>
                <w:szCs w:val="16"/>
                <w:b w:val="1"/>
                <w:bCs w:val="1"/>
                <w:color w:val="auto"/>
              </w:rPr>
              <w:t>Class A</w:t>
            </w:r>
          </w:p>
        </w:tc>
        <w:tc>
          <w:tcPr>
            <w:tcW w:w="1420" w:type="dxa"/>
            <w:vAlign w:val="bottom"/>
            <w:gridSpan w:val="2"/>
          </w:tcPr>
          <w:p>
            <w:pPr>
              <w:ind w:left="400"/>
              <w:spacing w:after="0"/>
              <w:rPr>
                <w:sz w:val="20"/>
                <w:szCs w:val="20"/>
                <w:color w:val="auto"/>
              </w:rPr>
            </w:pPr>
            <w:r>
              <w:rPr>
                <w:rFonts w:ascii="Arial" w:cs="Arial" w:eastAsia="Arial" w:hAnsi="Arial"/>
                <w:sz w:val="16"/>
                <w:szCs w:val="16"/>
                <w:b w:val="1"/>
                <w:bCs w:val="1"/>
                <w:color w:val="auto"/>
              </w:rPr>
              <w:t>Class B</w:t>
            </w:r>
          </w:p>
        </w:tc>
        <w:tc>
          <w:tcPr>
            <w:tcW w:w="1300" w:type="dxa"/>
            <w:vAlign w:val="bottom"/>
          </w:tcPr>
          <w:p>
            <w:pPr>
              <w:jc w:val="right"/>
              <w:ind w:right="295"/>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81"/>
        </w:trPr>
        <w:tc>
          <w:tcPr>
            <w:tcW w:w="44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Held by Liberty Global employees</w:t>
            </w:r>
          </w:p>
        </w:tc>
        <w:tc>
          <w:tcPr>
            <w:tcW w:w="4020" w:type="dxa"/>
            <w:vAlign w:val="bottom"/>
            <w:gridSpan w:val="2"/>
            <w:shd w:val="clear" w:color="auto" w:fill="CCEEFF"/>
          </w:tcPr>
          <w:p>
            <w:pPr>
              <w:jc w:val="right"/>
              <w:ind w:right="1"/>
              <w:spacing w:after="0" w:line="199" w:lineRule="exact"/>
              <w:rPr>
                <w:sz w:val="20"/>
                <w:szCs w:val="20"/>
                <w:color w:val="auto"/>
              </w:rPr>
            </w:pPr>
            <w:r>
              <w:rPr>
                <w:rFonts w:ascii="Arial" w:cs="Arial" w:eastAsia="Arial" w:hAnsi="Arial"/>
                <w:sz w:val="18"/>
                <w:szCs w:val="18"/>
                <w:color w:val="auto"/>
              </w:rPr>
              <w:t>2,030,337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4,060,073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Held by Former Liberty Global employees (a)</w:t>
            </w:r>
          </w:p>
        </w:tc>
        <w:tc>
          <w:tcPr>
            <w:tcW w:w="2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vMerge w:val="continue"/>
          </w:tcPr>
          <w:p>
            <w:pPr>
              <w:spacing w:after="0"/>
              <w:rPr>
                <w:sz w:val="17"/>
                <w:szCs w:val="17"/>
                <w:color w:val="auto"/>
              </w:rPr>
            </w:pPr>
          </w:p>
        </w:tc>
        <w:tc>
          <w:tcPr>
            <w:tcW w:w="4020" w:type="dxa"/>
            <w:vAlign w:val="bottom"/>
            <w:gridSpan w:val="2"/>
          </w:tcPr>
          <w:p>
            <w:pPr>
              <w:jc w:val="right"/>
              <w:ind w:right="1"/>
              <w:spacing w:after="0" w:line="197" w:lineRule="exact"/>
              <w:rPr>
                <w:sz w:val="20"/>
                <w:szCs w:val="20"/>
                <w:color w:val="auto"/>
              </w:rPr>
            </w:pPr>
            <w:r>
              <w:rPr>
                <w:rFonts w:ascii="Arial" w:cs="Arial" w:eastAsia="Arial" w:hAnsi="Arial"/>
                <w:sz w:val="18"/>
                <w:szCs w:val="18"/>
                <w:color w:val="auto"/>
              </w:rPr>
              <w:t>32,813</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197"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7" w:lineRule="exact"/>
              <w:rPr>
                <w:sz w:val="20"/>
                <w:szCs w:val="20"/>
                <w:color w:val="auto"/>
              </w:rPr>
            </w:pPr>
            <w:r>
              <w:rPr>
                <w:rFonts w:ascii="Arial" w:cs="Arial" w:eastAsia="Arial" w:hAnsi="Arial"/>
                <w:sz w:val="18"/>
                <w:szCs w:val="18"/>
                <w:color w:val="auto"/>
              </w:rPr>
              <w:t>66,834</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720" w:type="dxa"/>
            <w:vAlign w:val="bottom"/>
            <w:vMerge w:val="restart"/>
          </w:tcPr>
          <w:p>
            <w:pPr>
              <w:jc w:val="right"/>
              <w:ind w:right="1312"/>
              <w:spacing w:after="0"/>
              <w:rPr>
                <w:sz w:val="20"/>
                <w:szCs w:val="20"/>
                <w:color w:val="auto"/>
              </w:rPr>
            </w:pPr>
            <w:r>
              <w:rPr>
                <w:rFonts w:ascii="Arial" w:cs="Arial" w:eastAsia="Arial" w:hAnsi="Arial"/>
                <w:sz w:val="18"/>
                <w:szCs w:val="18"/>
                <w:color w:val="auto"/>
              </w:rPr>
              <w:t>40</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4"/>
        </w:trPr>
        <w:tc>
          <w:tcPr>
            <w:tcW w:w="44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40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center"/>
        <w:ind w:right="10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right="100" w:hanging="474"/>
        <w:spacing w:after="0" w:line="264" w:lineRule="auto"/>
        <w:tabs>
          <w:tab w:leader="none" w:pos="4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The future vesting of these RSUs will increase the number of our outstanding ordinary shares.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2022 Ventures Incentive Plan</w:t>
      </w:r>
    </w:p>
    <w:p>
      <w:pPr>
        <w:spacing w:after="0" w:line="238" w:lineRule="exact"/>
        <w:rPr>
          <w:sz w:val="20"/>
          <w:szCs w:val="20"/>
          <w:color w:val="auto"/>
        </w:rPr>
      </w:pPr>
    </w:p>
    <w:p>
      <w:pPr>
        <w:jc w:val="both"/>
        <w:ind w:right="100" w:firstLine="318"/>
        <w:spacing w:after="0" w:line="304" w:lineRule="auto"/>
        <w:rPr>
          <w:sz w:val="20"/>
          <w:szCs w:val="20"/>
          <w:color w:val="auto"/>
        </w:rPr>
      </w:pPr>
      <w:r>
        <w:rPr>
          <w:rFonts w:ascii="Arial" w:cs="Arial" w:eastAsia="Arial" w:hAnsi="Arial"/>
          <w:sz w:val="15"/>
          <w:szCs w:val="15"/>
          <w:color w:val="auto"/>
        </w:rPr>
        <w:t>In April 2022, the compensation committee of our board of directors approved the “</w:t>
      </w:r>
      <w:r>
        <w:rPr>
          <w:rFonts w:ascii="Arial" w:cs="Arial" w:eastAsia="Arial" w:hAnsi="Arial"/>
          <w:sz w:val="15"/>
          <w:szCs w:val="15"/>
          <w:b w:val="1"/>
          <w:bCs w:val="1"/>
          <w:color w:val="auto"/>
        </w:rPr>
        <w:t>2022 Ventures Incentive Plan</w:t>
      </w:r>
      <w:r>
        <w:rPr>
          <w:rFonts w:ascii="Arial" w:cs="Arial" w:eastAsia="Arial" w:hAnsi="Arial"/>
          <w:sz w:val="15"/>
          <w:szCs w:val="15"/>
          <w:color w:val="auto"/>
        </w:rPr>
        <w:t>”. Structured similarly to the 2021 Ventures Incentive Plan, the 2022 Ventures Incentive Plan was provided to executive officers and other key employees and is based on the performance of the Liberty Global Ventures Portfolio (the “</w:t>
      </w:r>
      <w:r>
        <w:rPr>
          <w:rFonts w:ascii="Arial" w:cs="Arial" w:eastAsia="Arial" w:hAnsi="Arial"/>
          <w:sz w:val="15"/>
          <w:szCs w:val="15"/>
          <w:b w:val="1"/>
          <w:bCs w:val="1"/>
          <w:color w:val="auto"/>
        </w:rPr>
        <w:t>Portfolio</w:t>
      </w:r>
      <w:r>
        <w:rPr>
          <w:rFonts w:ascii="Arial" w:cs="Arial" w:eastAsia="Arial" w:hAnsi="Arial"/>
          <w:sz w:val="15"/>
          <w:szCs w:val="15"/>
          <w:color w:val="auto"/>
        </w:rPr>
        <w:t>”), which is measured by assessing the fair value of the Portfolio over a three-year period beginning December 31, 2021 and ending on December 31, 2024. Payout will be denominated in cash and will be assessed at the end of the three-year period using eligible participants’ initial contribution between 10% and 50% of their 2022 annual target equity value (which contributed amount is in lieu of their normal annual equity grant). The compensation committee has the discretion to settle the final payout amount in (i) cash or (ii) Liberty Global Class A and Class C ordinary shares based on the change in the Portfolio’s value. Subject to forfeitures, 100% of each participant’s payout under the 2022 Ventures Incentive Plan will vest on or around March 15, 2025. In order to receive the payout, participants are required to remain employed through the final vesting date. An initial fair value assessment was performed for the Portfolio as of December 31, 2021 by an independent third-party valuation specialist.</w:t>
      </w:r>
    </w:p>
    <w:p>
      <w:pPr>
        <w:spacing w:after="0" w:line="180" w:lineRule="exact"/>
        <w:rPr>
          <w:sz w:val="20"/>
          <w:szCs w:val="20"/>
          <w:color w:val="auto"/>
        </w:rPr>
      </w:pPr>
    </w:p>
    <w:p>
      <w:pPr>
        <w:jc w:val="both"/>
        <w:ind w:right="100" w:firstLine="318"/>
        <w:spacing w:after="0" w:line="305" w:lineRule="auto"/>
        <w:rPr>
          <w:sz w:val="20"/>
          <w:szCs w:val="20"/>
          <w:color w:val="auto"/>
        </w:rPr>
      </w:pPr>
      <w:r>
        <w:rPr>
          <w:rFonts w:ascii="Arial" w:cs="Arial" w:eastAsia="Arial" w:hAnsi="Arial"/>
          <w:sz w:val="15"/>
          <w:szCs w:val="15"/>
          <w:color w:val="auto"/>
        </w:rPr>
        <w:t xml:space="preserve">The 2022 Ventures Incentive Plan and 2021 Ventures Incentive Plan awards (together the </w:t>
      </w:r>
      <w:r>
        <w:rPr>
          <w:rFonts w:ascii="Arial" w:cs="Arial" w:eastAsia="Arial" w:hAnsi="Arial"/>
          <w:sz w:val="15"/>
          <w:szCs w:val="15"/>
          <w:b w:val="1"/>
          <w:bCs w:val="1"/>
          <w:color w:val="auto"/>
        </w:rPr>
        <w:t>Ventures Incentive Plans</w:t>
      </w:r>
      <w:r>
        <w:rPr>
          <w:rFonts w:ascii="Arial" w:cs="Arial" w:eastAsia="Arial" w:hAnsi="Arial"/>
          <w:sz w:val="15"/>
          <w:szCs w:val="15"/>
          <w:color w:val="auto"/>
        </w:rPr>
        <w:t>) are liability classified due to the fact that the final payout under these plans will be denominated in cash and may be settled in a variable number of shares. We recognize share-based compensation expense related to the Ventures Incentive Plans as a charge to operations on a straight-line basis, including any changes in expense due to the change in the fair value of the Portfolio on each assessment date, from the date of grant through the respective vesting dates. Our share of payroll taxes incurred in connection with the vesting of the Ventures Incentive Plans is recorded as a component of share-based compensation expense in our condensed consolidated statements of operations. The estimated fair value of the final payouts under our Ventures Incentive Plans are shown below:</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Vesting date</w:t>
            </w:r>
          </w:p>
        </w:tc>
        <w:tc>
          <w:tcPr>
            <w:tcW w:w="160" w:type="dxa"/>
            <w:vAlign w:val="bottom"/>
          </w:tcPr>
          <w:p>
            <w:pPr>
              <w:spacing w:after="0"/>
              <w:rPr>
                <w:sz w:val="18"/>
                <w:szCs w:val="18"/>
                <w:color w:val="auto"/>
              </w:rPr>
            </w:pPr>
          </w:p>
        </w:tc>
        <w:tc>
          <w:tcPr>
            <w:tcW w:w="1520" w:type="dxa"/>
            <w:vAlign w:val="bottom"/>
          </w:tcPr>
          <w:p>
            <w:pPr>
              <w:jc w:val="right"/>
              <w:ind w:right="55"/>
              <w:spacing w:after="0"/>
              <w:rPr>
                <w:sz w:val="20"/>
                <w:szCs w:val="20"/>
                <w:color w:val="auto"/>
              </w:rPr>
            </w:pPr>
            <w:r>
              <w:rPr>
                <w:rFonts w:ascii="Arial" w:cs="Arial" w:eastAsia="Arial" w:hAnsi="Arial"/>
                <w:sz w:val="16"/>
                <w:szCs w:val="16"/>
                <w:b w:val="1"/>
                <w:bCs w:val="1"/>
                <w:color w:val="auto"/>
                <w:w w:val="90"/>
              </w:rPr>
              <w:t>September 30, 2022</w:t>
            </w:r>
          </w:p>
        </w:tc>
      </w:tr>
      <w:tr>
        <w:trPr>
          <w:trHeight w:val="203"/>
        </w:trPr>
        <w:tc>
          <w:tcPr>
            <w:tcW w:w="79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in millions</w:t>
            </w:r>
          </w:p>
        </w:tc>
      </w:tr>
      <w:tr>
        <w:trPr>
          <w:trHeight w:val="150"/>
        </w:trPr>
        <w:tc>
          <w:tcPr>
            <w:tcW w:w="7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Ventures Incentive Plan</w:t>
            </w:r>
          </w:p>
        </w:tc>
        <w:tc>
          <w:tcPr>
            <w:tcW w:w="1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 Ventures Incentive Plan</w:t>
            </w:r>
          </w:p>
        </w:tc>
        <w:tc>
          <w:tcPr>
            <w:tcW w:w="1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March 2025</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4"/>
        </w:trPr>
        <w:tc>
          <w:tcPr>
            <w:tcW w:w="792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43" w:name="page44"/>
    <w:bookmarkEnd w:id="43"/>
    <w:p>
      <w:pPr>
        <w:jc w:val="center"/>
        <w:ind w:right="10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80" w:hanging="474"/>
        <w:spacing w:after="0"/>
        <w:tabs>
          <w:tab w:leader="none" w:pos="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44" w:lineRule="exact"/>
        <w:rPr>
          <w:sz w:val="20"/>
          <w:szCs w:val="20"/>
          <w:color w:val="auto"/>
        </w:rPr>
      </w:pPr>
    </w:p>
    <w:p>
      <w:pPr>
        <w:jc w:val="both"/>
        <w:ind w:right="100" w:firstLine="318"/>
        <w:spacing w:after="0" w:line="258"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PSARs and PSUs) as if they had been exercised, vested or converted at the beginning of the periods presented.</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basic and diluted weighted average ordinary shares outstanding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8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8"/>
              </w:rPr>
              <w:t>Three months ended</w:t>
            </w:r>
          </w:p>
        </w:tc>
        <w:tc>
          <w:tcPr>
            <w:tcW w:w="2780" w:type="dxa"/>
            <w:vAlign w:val="bottom"/>
            <w:gridSpan w:val="3"/>
          </w:tcPr>
          <w:p>
            <w:pPr>
              <w:jc w:val="right"/>
              <w:ind w:right="654"/>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580" w:type="dxa"/>
            <w:vAlign w:val="bottom"/>
          </w:tcPr>
          <w:p>
            <w:pPr>
              <w:spacing w:after="0"/>
              <w:rPr>
                <w:sz w:val="18"/>
                <w:szCs w:val="18"/>
                <w:color w:val="auto"/>
              </w:rPr>
            </w:pPr>
          </w:p>
        </w:tc>
        <w:tc>
          <w:tcPr>
            <w:tcW w:w="28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7"/>
              </w:rPr>
              <w:t>September 30,</w:t>
            </w:r>
          </w:p>
        </w:tc>
        <w:tc>
          <w:tcPr>
            <w:tcW w:w="2780" w:type="dxa"/>
            <w:vAlign w:val="bottom"/>
            <w:gridSpan w:val="3"/>
          </w:tcPr>
          <w:p>
            <w:pPr>
              <w:jc w:val="right"/>
              <w:ind w:right="814"/>
              <w:spacing w:after="0"/>
              <w:rPr>
                <w:sz w:val="20"/>
                <w:szCs w:val="20"/>
                <w:color w:val="auto"/>
              </w:rPr>
            </w:pPr>
            <w:r>
              <w:rPr>
                <w:rFonts w:ascii="Arial" w:cs="Arial" w:eastAsia="Arial" w:hAnsi="Arial"/>
                <w:sz w:val="16"/>
                <w:szCs w:val="16"/>
                <w:b w:val="1"/>
                <w:bCs w:val="1"/>
                <w:color w:val="auto"/>
              </w:rPr>
              <w:t>September 30,</w:t>
            </w:r>
          </w:p>
        </w:tc>
      </w:tr>
      <w:tr>
        <w:trPr>
          <w:trHeight w:val="205"/>
        </w:trPr>
        <w:tc>
          <w:tcPr>
            <w:tcW w:w="55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r>
      <w:tr>
        <w:trPr>
          <w:trHeight w:val="128"/>
        </w:trPr>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Weighted average ordinary shares outstanding (basic EPS computation)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477,176,983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551,973,418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499,476,564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561,295,200</w:t>
            </w:r>
          </w:p>
        </w:tc>
      </w:tr>
      <w:tr>
        <w:trPr>
          <w:trHeight w:val="173"/>
        </w:trPr>
        <w:tc>
          <w:tcPr>
            <w:tcW w:w="5580" w:type="dxa"/>
            <w:vAlign w:val="bottom"/>
          </w:tcPr>
          <w:p>
            <w:pPr>
              <w:ind w:left="20"/>
              <w:spacing w:after="0" w:line="173" w:lineRule="exact"/>
              <w:rPr>
                <w:sz w:val="20"/>
                <w:szCs w:val="20"/>
                <w:color w:val="auto"/>
              </w:rPr>
            </w:pPr>
            <w:r>
              <w:rPr>
                <w:rFonts w:ascii="Arial" w:cs="Arial" w:eastAsia="Arial" w:hAnsi="Arial"/>
                <w:sz w:val="18"/>
                <w:szCs w:val="18"/>
                <w:color w:val="auto"/>
                <w:w w:val="88"/>
              </w:rPr>
              <w:t>Incremental shares attributable to the assumed exercise of outstanding options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2"/>
        </w:trPr>
        <w:tc>
          <w:tcPr>
            <w:tcW w:w="5580" w:type="dxa"/>
            <w:vAlign w:val="bottom"/>
          </w:tcPr>
          <w:p>
            <w:pPr>
              <w:ind w:left="180"/>
              <w:spacing w:after="0" w:line="172" w:lineRule="exact"/>
              <w:rPr>
                <w:sz w:val="20"/>
                <w:szCs w:val="20"/>
                <w:color w:val="auto"/>
              </w:rPr>
            </w:pPr>
            <w:r>
              <w:rPr>
                <w:rFonts w:ascii="Arial" w:cs="Arial" w:eastAsia="Arial" w:hAnsi="Arial"/>
                <w:sz w:val="18"/>
                <w:szCs w:val="18"/>
                <w:color w:val="auto"/>
                <w:w w:val="89"/>
              </w:rPr>
              <w:t>and SARs and the release of RSUs and PSUs upon vesting (treasury stock</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7"/>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method)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5,338,957</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13,071,058</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8,403,044</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13,131,584</w:t>
            </w:r>
          </w:p>
        </w:tc>
      </w:tr>
      <w:tr>
        <w:trPr>
          <w:trHeight w:val="24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Weighted average ordinary shares outstanding (diluted EPS computation)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482,515,940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565,044,476</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507,879,608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574,426,784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calculation of diluted EPS excludes aggregate options, SARs and RSUs of 80.4 million and 51.5 million for the three months ended September 30, 2022 and 2021, respectively, and a total of 60.1 million and 51.5 million for the nine months ended September 30, 2022 and 2021, respectively, because their effect would have been anti-dilutive.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net earnings from continuing operations attributable to Liberty Global shareholders is set forth below:</w:t>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2140" w:type="dxa"/>
            <w:vAlign w:val="bottom"/>
            <w:gridSpan w:val="4"/>
          </w:tcPr>
          <w:p>
            <w:pPr>
              <w:jc w:val="right"/>
              <w:ind w:right="437"/>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gridSpan w:val="3"/>
          </w:tcPr>
          <w:p>
            <w:pPr>
              <w:ind w:left="560"/>
              <w:spacing w:after="0"/>
              <w:rPr>
                <w:sz w:val="20"/>
                <w:szCs w:val="20"/>
                <w:color w:val="auto"/>
              </w:rPr>
            </w:pPr>
            <w:r>
              <w:rPr>
                <w:rFonts w:ascii="Arial" w:cs="Arial" w:eastAsia="Arial" w:hAnsi="Arial"/>
                <w:sz w:val="16"/>
                <w:szCs w:val="16"/>
                <w:b w:val="1"/>
                <w:bCs w:val="1"/>
                <w:color w:val="auto"/>
                <w:w w:val="98"/>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5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12,889</w:t>
            </w:r>
          </w:p>
        </w:tc>
        <w:tc>
          <w:tcPr>
            <w:tcW w:w="0" w:type="dxa"/>
            <w:vAlign w:val="bottom"/>
          </w:tcPr>
          <w:p>
            <w:pPr>
              <w:spacing w:after="0"/>
              <w:rPr>
                <w:sz w:val="1"/>
                <w:szCs w:val="1"/>
                <w:color w:val="auto"/>
              </w:rPr>
            </w:pPr>
          </w:p>
        </w:tc>
      </w:tr>
      <w:tr>
        <w:trPr>
          <w:trHeight w:val="173"/>
        </w:trPr>
        <w:tc>
          <w:tcPr>
            <w:tcW w:w="5640" w:type="dxa"/>
            <w:vAlign w:val="bottom"/>
          </w:tcPr>
          <w:p>
            <w:pPr>
              <w:ind w:left="20"/>
              <w:spacing w:after="0" w:line="173" w:lineRule="exact"/>
              <w:rPr>
                <w:sz w:val="20"/>
                <w:szCs w:val="20"/>
                <w:color w:val="auto"/>
              </w:rPr>
            </w:pPr>
            <w:r>
              <w:rPr>
                <w:rFonts w:ascii="Arial" w:cs="Arial" w:eastAsia="Arial" w:hAnsi="Arial"/>
                <w:sz w:val="18"/>
                <w:szCs w:val="18"/>
                <w:color w:val="auto"/>
              </w:rPr>
              <w:t>Net earnings from continuing operations attributable to noncontrolling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3"/>
              </w:rPr>
              <w:t>(41.6)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54"/>
        </w:trPr>
        <w:tc>
          <w:tcPr>
            <w:tcW w:w="5640" w:type="dxa"/>
            <w:vAlign w:val="bottom"/>
            <w:shd w:val="clear" w:color="auto" w:fill="CCEEFF"/>
          </w:tcPr>
          <w:p>
            <w:pPr>
              <w:ind w:left="180"/>
              <w:spacing w:after="0" w:line="154" w:lineRule="exact"/>
              <w:rPr>
                <w:sz w:val="20"/>
                <w:szCs w:val="20"/>
                <w:color w:val="auto"/>
              </w:rPr>
            </w:pPr>
            <w:r>
              <w:rPr>
                <w:rFonts w:ascii="Arial" w:cs="Arial" w:eastAsia="Arial" w:hAnsi="Arial"/>
                <w:sz w:val="17"/>
                <w:szCs w:val="17"/>
                <w:color w:val="auto"/>
              </w:rPr>
              <w:t>Net earnings from continuing operations attributable to Liberty Global</w:t>
            </w:r>
          </w:p>
        </w:tc>
        <w:tc>
          <w:tcPr>
            <w:tcW w:w="3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5,289.4</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12,746</w:t>
            </w: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80" w:hanging="474"/>
        <w:spacing w:after="0"/>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Commitments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the normal course of business, we enter into agreements that commit our company to make cash payments in future periods with respect to network and connectivity commitments, purchases of customer premises and other equipment and services, programming contracts and other items. The following table sets forth the U.S. dollar equivalents of such commitments as of September 30, 2022. The commitments included in this table do not reflect any liabilities that are included on our September 30, 2022 condensed consolidated balance sheet.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86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of 2022</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5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6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Network and connectivity</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Programming commitments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Network and connectivity commitments include (i) Telenet’s commitments for certain operating costs associated with its leased network and (ii) certain network capacity arrangements in Switzerland.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Purchase commitments include unconditional and legally binding obligations related to (i) certain service-related commitments, including information technology, maintenance and call center services and (ii) the purchase of customer premises, network and other equipment.</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$368.8 million and $957.9 million (including amounts related to the U.K. JV Entities through the June 1, 2021 closing of the U.K. JV Transaction) during the nine months ended September 30, 2022 and 2021, respectively.</w:t>
      </w:r>
    </w:p>
    <w:p>
      <w:pPr>
        <w:spacing w:after="0" w:line="2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nine months ended September 30, 2022 and 2021, see note 6.</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4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i w:val="1"/>
          <w:iCs w:val="1"/>
          <w:color w:val="auto"/>
        </w:rPr>
        <w:t xml:space="preserve">Interkabel Acquisition. </w:t>
      </w:r>
      <w:r>
        <w:rPr>
          <w:rFonts w:ascii="Arial" w:cs="Arial" w:eastAsia="Arial" w:hAnsi="Arial"/>
          <w:sz w:val="15"/>
          <w:szCs w:val="15"/>
          <w:color w:val="auto"/>
        </w:rPr>
        <w:t>On November 26, 2007, Telenet and four associations of municipalities in Belgium, which we refer to as the pure</w:t>
      </w:r>
      <w:r>
        <w:rPr>
          <w:rFonts w:ascii="Arial" w:cs="Arial" w:eastAsia="Arial" w:hAnsi="Arial"/>
          <w:sz w:val="15"/>
          <w:szCs w:val="15"/>
          <w:i w:val="1"/>
          <w:iCs w:val="1"/>
          <w:color w:val="auto"/>
        </w:rPr>
        <w:t xml:space="preserve"> </w:t>
      </w:r>
      <w:r>
        <w:rPr>
          <w:rFonts w:ascii="Arial" w:cs="Arial" w:eastAsia="Arial" w:hAnsi="Arial"/>
          <w:sz w:val="15"/>
          <w:szCs w:val="15"/>
          <w:color w:val="auto"/>
        </w:rPr>
        <w:t>intercommunales or the “</w:t>
      </w:r>
      <w:r>
        <w:rPr>
          <w:rFonts w:ascii="Arial" w:cs="Arial" w:eastAsia="Arial" w:hAnsi="Arial"/>
          <w:sz w:val="15"/>
          <w:szCs w:val="15"/>
          <w:b w:val="1"/>
          <w:bCs w:val="1"/>
          <w:color w:val="auto"/>
        </w:rPr>
        <w:t>PICs</w:t>
      </w:r>
      <w:r>
        <w:rPr>
          <w:rFonts w:ascii="Arial" w:cs="Arial" w:eastAsia="Arial" w:hAnsi="Arial"/>
          <w:sz w:val="15"/>
          <w:szCs w:val="15"/>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5"/>
          <w:szCs w:val="15"/>
          <w:b w:val="1"/>
          <w:bCs w:val="1"/>
          <w:color w:val="auto"/>
        </w:rPr>
        <w:t>2008 PICs Agreement</w:t>
      </w:r>
      <w:r>
        <w:rPr>
          <w:rFonts w:ascii="Arial" w:cs="Arial" w:eastAsia="Arial" w:hAnsi="Arial"/>
          <w:sz w:val="15"/>
          <w:szCs w:val="15"/>
          <w:color w:val="auto"/>
        </w:rPr>
        <w:t>), which closed effective October 1, 2008. Beginning in December 2007, Proximus NV/SA (</w:t>
      </w:r>
      <w:r>
        <w:rPr>
          <w:rFonts w:ascii="Arial" w:cs="Arial" w:eastAsia="Arial" w:hAnsi="Arial"/>
          <w:sz w:val="15"/>
          <w:szCs w:val="15"/>
          <w:b w:val="1"/>
          <w:bCs w:val="1"/>
          <w:color w:val="auto"/>
        </w:rPr>
        <w:t>Proximus</w:t>
      </w:r>
      <w:r>
        <w:rPr>
          <w:rFonts w:ascii="Arial" w:cs="Arial" w:eastAsia="Arial" w:hAnsi="Arial"/>
          <w:sz w:val="15"/>
          <w:szCs w:val="15"/>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($1.4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3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 xml:space="preserve">Telekom Deutschland Litigation. </w:t>
      </w:r>
      <w:r>
        <w:rPr>
          <w:rFonts w:ascii="Arial" w:cs="Arial" w:eastAsia="Arial" w:hAnsi="Arial"/>
          <w:sz w:val="15"/>
          <w:szCs w:val="15"/>
          <w:color w:val="auto"/>
        </w:rPr>
        <w:t>On December 28, 2012, Unitymedia filed a lawsuit against Telekom Deutschland GmbH (</w:t>
      </w:r>
      <w:r>
        <w:rPr>
          <w:rFonts w:ascii="Arial" w:cs="Arial" w:eastAsia="Arial" w:hAnsi="Arial"/>
          <w:sz w:val="15"/>
          <w:szCs w:val="15"/>
          <w:b w:val="1"/>
          <w:bCs w:val="1"/>
          <w:color w:val="auto"/>
        </w:rPr>
        <w:t>Telekom Deutschland</w:t>
      </w:r>
      <w:r>
        <w:rPr>
          <w:rFonts w:ascii="Arial" w:cs="Arial" w:eastAsia="Arial" w:hAnsi="Arial"/>
          <w:sz w:val="15"/>
          <w:szCs w:val="15"/>
          <w:color w:val="auto"/>
        </w:rPr>
        <w:t>) in</w:t>
      </w:r>
      <w:r>
        <w:rPr>
          <w:rFonts w:ascii="Arial" w:cs="Arial" w:eastAsia="Arial" w:hAnsi="Arial"/>
          <w:sz w:val="15"/>
          <w:szCs w:val="15"/>
          <w:i w:val="1"/>
          <w:iCs w:val="1"/>
          <w:color w:val="auto"/>
        </w:rPr>
        <w:t xml:space="preserve"> </w:t>
      </w:r>
      <w:r>
        <w:rPr>
          <w:rFonts w:ascii="Arial" w:cs="Arial" w:eastAsia="Arial" w:hAnsi="Arial"/>
          <w:sz w:val="15"/>
          <w:szCs w:val="15"/>
          <w:color w:val="auto"/>
        </w:rPr>
        <w:t>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the Vodafone Disposal Group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18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Belgium Regulatory Developments. </w:t>
      </w:r>
      <w:r>
        <w:rPr>
          <w:rFonts w:ascii="Arial" w:cs="Arial" w:eastAsia="Arial" w:hAnsi="Arial"/>
          <w:sz w:val="15"/>
          <w:szCs w:val="15"/>
          <w:color w:val="auto"/>
        </w:rPr>
        <w:t>In June 2018, the Belgisch Instituut voor Post en Telecommunicatie and the regional regulators for the media sectors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(together, the </w:t>
      </w:r>
      <w:r>
        <w:rPr>
          <w:rFonts w:ascii="Arial" w:cs="Arial" w:eastAsia="Arial" w:hAnsi="Arial"/>
          <w:sz w:val="15"/>
          <w:szCs w:val="15"/>
          <w:b w:val="1"/>
          <w:bCs w:val="1"/>
          <w:color w:val="auto"/>
        </w:rPr>
        <w:t>Belgium Regulatory Authorities</w:t>
      </w:r>
      <w:r>
        <w:rPr>
          <w:rFonts w:ascii="Arial" w:cs="Arial" w:eastAsia="Arial" w:hAnsi="Arial"/>
          <w:sz w:val="15"/>
          <w:szCs w:val="15"/>
          <w:color w:val="auto"/>
        </w:rPr>
        <w:t xml:space="preserve">) adopted a new decision finding that Telenet has significant market power in the wholesale broadband market (the </w:t>
      </w:r>
      <w:r>
        <w:rPr>
          <w:rFonts w:ascii="Arial" w:cs="Arial" w:eastAsia="Arial" w:hAnsi="Arial"/>
          <w:sz w:val="15"/>
          <w:szCs w:val="15"/>
          <w:b w:val="1"/>
          <w:bCs w:val="1"/>
          <w:color w:val="auto"/>
        </w:rPr>
        <w:t>2018 Decision</w:t>
      </w:r>
      <w:r>
        <w:rPr>
          <w:rFonts w:ascii="Arial" w:cs="Arial" w:eastAsia="Arial" w:hAnsi="Arial"/>
          <w:sz w:val="15"/>
          <w:szCs w:val="15"/>
          <w:color w:val="auto"/>
        </w:rPr>
        <w:t xml:space="preserve">).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imposed a 17% interim price reduction in monthly wholesale cable access prices. On July 5, 2019, the Belgium Regulatory Authorities published for consultation a draft decision regarding “reasonable access tariffs” that would replace the interim prices. On May 26, 2020, the Belgium Regulatory Authorities adopted a final decision regarding the “reasonable access tariffs” (the </w:t>
      </w:r>
      <w:r>
        <w:rPr>
          <w:rFonts w:ascii="Arial" w:cs="Arial" w:eastAsia="Arial" w:hAnsi="Arial"/>
          <w:sz w:val="15"/>
          <w:szCs w:val="15"/>
          <w:b w:val="1"/>
          <w:bCs w:val="1"/>
          <w:color w:val="auto"/>
        </w:rPr>
        <w:t>2020 Decision</w:t>
      </w:r>
      <w:r>
        <w:rPr>
          <w:rFonts w:ascii="Arial" w:cs="Arial" w:eastAsia="Arial" w:hAnsi="Arial"/>
          <w:sz w:val="15"/>
          <w:szCs w:val="15"/>
          <w:color w:val="auto"/>
        </w:rPr>
        <w:t>) that represents, for example, a decrease of 11.5% as compared to the interim rates for a 100 Mbps offer combined with television. These rates are expected to evolve over time due to, among other reasons, broadband capacity usage. The 2020 Decision became effective on July 1, 2020.</w:t>
      </w:r>
    </w:p>
    <w:p>
      <w:pPr>
        <w:spacing w:after="0" w:line="39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2020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challenged the 2018 Decision in the Court of Appeal of Brussels and also initiated an action in the European Court of Justice against the European Commission’s decision not to challenge the 2018 Decision. The proceedings before the European Court of Justice have been withdrawn by Telenet in order to avoid undue delays in the Court of Appeal case. In a decision issued on September 4, 2019, the Court of Appeal of Brussels upheld the 2018 Decision.</w:t>
      </w:r>
    </w:p>
    <w:p>
      <w:pPr>
        <w:spacing w:after="0" w:line="16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7"/>
          <w:szCs w:val="17"/>
          <w:i w:val="1"/>
          <w:iCs w:val="1"/>
          <w:color w:val="auto"/>
        </w:rPr>
        <w:t xml:space="preserve">UPC Austria Matter. </w:t>
      </w:r>
      <w:r>
        <w:rPr>
          <w:rFonts w:ascii="Arial" w:cs="Arial" w:eastAsia="Arial" w:hAnsi="Arial"/>
          <w:sz w:val="17"/>
          <w:szCs w:val="17"/>
          <w:color w:val="auto"/>
        </w:rPr>
        <w:t>On July 31 2018, we completed the sale of our Austrian operations, “UPC Austria,” to Deutsche Telekom AG (</w:t>
      </w:r>
      <w:r>
        <w:rPr>
          <w:rFonts w:ascii="Arial" w:cs="Arial" w:eastAsia="Arial" w:hAnsi="Arial"/>
          <w:sz w:val="17"/>
          <w:szCs w:val="17"/>
          <w:b w:val="1"/>
          <w:bCs w:val="1"/>
          <w:color w:val="auto"/>
        </w:rPr>
        <w:t>Deutsche Telekom</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October 2019, we received notification under the terms of the relevant acquisition agreements from Deutsche Telekom and its subsidiary, T-Mobile Austria Holding GmbH, (together, the </w:t>
      </w:r>
      <w:r>
        <w:rPr>
          <w:rFonts w:ascii="Arial" w:cs="Arial" w:eastAsia="Arial" w:hAnsi="Arial"/>
          <w:sz w:val="17"/>
          <w:szCs w:val="17"/>
          <w:b w:val="1"/>
          <w:bCs w:val="1"/>
          <w:color w:val="auto"/>
        </w:rPr>
        <w:t>UPC Austria Sale Counterparties</w:t>
      </w:r>
      <w:r>
        <w:rPr>
          <w:rFonts w:ascii="Arial" w:cs="Arial" w:eastAsia="Arial" w:hAnsi="Arial"/>
          <w:sz w:val="17"/>
          <w:szCs w:val="17"/>
          <w:color w:val="auto"/>
        </w:rPr>
        <w:t>), asserting claims that totaled €126.3 million ($123.6 million), plus interest, as of June 30, 2022. In July 2022, we agreed with the UPC Austria Sale Counterparties to resolve the matter, the terms of which were not material to us and were accrued in our condensed consolidated financial statements during the second quarter of 2022.</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Other Contingency Matters. </w:t>
      </w:r>
      <w:r>
        <w:rPr>
          <w:rFonts w:ascii="Arial" w:cs="Arial" w:eastAsia="Arial" w:hAnsi="Arial"/>
          <w:sz w:val="17"/>
          <w:szCs w:val="17"/>
          <w:color w:val="auto"/>
        </w:rPr>
        <w:t>In connection with the dispositions of certain of our operations, we provided tax indemnities to the counterparties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Video distribution, broadband internet,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19" w:lineRule="exact"/>
        <w:rPr>
          <w:sz w:val="20"/>
          <w:szCs w:val="20"/>
          <w:color w:val="auto"/>
        </w:rPr>
      </w:pPr>
    </w:p>
    <w:p>
      <w:pPr>
        <w:ind w:left="480" w:hanging="474"/>
        <w:spacing w:after="0"/>
        <w:tabs>
          <w:tab w:leader="none" w:pos="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2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5"/>
          <w:szCs w:val="15"/>
          <w:b w:val="1"/>
          <w:bCs w:val="1"/>
          <w:color w:val="auto"/>
        </w:rPr>
        <w:t>Adjusted EBITDA</w:t>
      </w:r>
      <w:r>
        <w:rPr>
          <w:rFonts w:ascii="Arial" w:cs="Arial" w:eastAsia="Arial" w:hAnsi="Arial"/>
          <w:sz w:val="15"/>
          <w:szCs w:val="15"/>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values of certain investments,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earnings or loss from continuing operations to Adjusted EBITDA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2022, our reportable segments are as follows: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w:t>
      </w:r>
    </w:p>
    <w:p>
      <w:pPr>
        <w:spacing w:after="0" w:line="117"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Belgium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Ireland</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Nonconsolidated:</w:t>
      </w:r>
    </w:p>
    <w:p>
      <w:pPr>
        <w:spacing w:after="0" w:line="117"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color w:val="auto"/>
        </w:rPr>
        <w:t>VMO2 JV</w:t>
      </w:r>
    </w:p>
    <w:p>
      <w:pPr>
        <w:spacing w:after="0" w:line="16" w:lineRule="exact"/>
        <w:rPr>
          <w:rFonts w:ascii="Arial" w:cs="Arial" w:eastAsia="Arial" w:hAnsi="Arial"/>
          <w:sz w:val="18"/>
          <w:szCs w:val="18"/>
          <w:b w:val="1"/>
          <w:bCs w:val="1"/>
          <w:i w:val="1"/>
          <w:iCs w:val="1"/>
          <w:color w:val="auto"/>
        </w:rPr>
      </w:pPr>
    </w:p>
    <w:p>
      <w:pPr>
        <w:ind w:left="640" w:hanging="316"/>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32"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201"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Our “</w:t>
      </w:r>
      <w:r>
        <w:rPr>
          <w:rFonts w:ascii="Arial" w:cs="Arial" w:eastAsia="Arial" w:hAnsi="Arial"/>
          <w:sz w:val="15"/>
          <w:szCs w:val="15"/>
          <w:b w:val="1"/>
          <w:bCs w:val="1"/>
          <w:color w:val="auto"/>
        </w:rPr>
        <w:t>Central and Other</w:t>
      </w:r>
      <w:r>
        <w:rPr>
          <w:rFonts w:ascii="Arial" w:cs="Arial" w:eastAsia="Arial" w:hAnsi="Arial"/>
          <w:sz w:val="15"/>
          <w:szCs w:val="15"/>
          <w:color w:val="auto"/>
        </w:rPr>
        <w:t>” category primarily includes (i) our operations in Slovakia, (ii) services provided to the VMO2 JV, the VodafoneZiggo JV and various third parties related to transitional service agreements, (iii) sales of customer premises equipment to the VodafoneZiggo JV and (iv) certain centralized functions, including billing systems, network operations, technology, marketing, facilities, finance and other administrative functions.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only the reportable segments of our continuing operations in the tables below.</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amounts presented below represent 100% of each of our reportable segment’s revenue and Adjusted EBITDA.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both the VMO2 JV and the VodafoneZiggo JV, we present 100% of the revenue and Adjusted EBITDA of those entities in the tables below. Our share of the operating results of the VMO2 JV and the VodafoneZiggo JV is included in share of results of affiliates, net,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6"/>
                <w:szCs w:val="16"/>
                <w:b w:val="1"/>
                <w:bCs w:val="1"/>
                <w:color w:val="auto"/>
              </w:rPr>
              <w:t>Revenue</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5"/>
          </w:tcPr>
          <w:p>
            <w:pPr>
              <w:ind w:left="300"/>
              <w:spacing w:after="0" w:line="155" w:lineRule="exact"/>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3"/>
                <w:szCs w:val="13"/>
                <w:color w:val="auto"/>
              </w:rPr>
            </w:pPr>
          </w:p>
        </w:tc>
        <w:tc>
          <w:tcPr>
            <w:tcW w:w="2180" w:type="dxa"/>
            <w:vAlign w:val="bottom"/>
            <w:gridSpan w:val="4"/>
          </w:tcPr>
          <w:p>
            <w:pPr>
              <w:jc w:val="right"/>
              <w:ind w:right="533"/>
              <w:spacing w:after="0" w:line="155" w:lineRule="exact"/>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2021</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2,497.4</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2,302.9</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U.K. (a)</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2,736.4</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 (b)</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1,041.7</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1,206.1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3,237.3</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3,638.4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amount for the 2021 nine-month period represents the revenue of the U.K. JV Entities through the June 1, 2021 closing of the U.K. JV Transaction.</w:t>
      </w:r>
    </w:p>
    <w:p>
      <w:pPr>
        <w:spacing w:after="0" w:line="278" w:lineRule="exact"/>
        <w:rPr>
          <w:rFonts w:ascii="Arial" w:cs="Arial" w:eastAsia="Arial" w:hAnsi="Arial"/>
          <w:sz w:val="15"/>
          <w:szCs w:val="15"/>
          <w:color w:val="auto"/>
        </w:rPr>
      </w:pPr>
    </w:p>
    <w:p>
      <w:pPr>
        <w:ind w:left="480" w:hanging="474"/>
        <w:spacing w:after="0"/>
        <w:tabs>
          <w:tab w:leader="none" w:pos="4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amount for the 2021 nine-month period represents the revenue of the VMO2 JV for the period from June 1, 2021 through September 30, 2021.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Adjusted EBITDA</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5"/>
          </w:tcPr>
          <w:p>
            <w:pPr>
              <w:ind w:left="300"/>
              <w:spacing w:after="0" w:line="155" w:lineRule="exact"/>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3"/>
                <w:szCs w:val="13"/>
                <w:color w:val="auto"/>
              </w:rPr>
            </w:pPr>
          </w:p>
        </w:tc>
        <w:tc>
          <w:tcPr>
            <w:tcW w:w="2180" w:type="dxa"/>
            <w:vAlign w:val="bottom"/>
            <w:gridSpan w:val="4"/>
          </w:tcPr>
          <w:p>
            <w:pPr>
              <w:jc w:val="right"/>
              <w:ind w:right="533"/>
              <w:spacing w:after="0" w:line="155" w:lineRule="exact"/>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2021</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1,130.5</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U.K. (a)</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1,085.3</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Intersegment eliminations (b)</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4"/>
        </w:trPr>
        <w:tc>
          <w:tcPr>
            <w:tcW w:w="6000" w:type="dxa"/>
            <w:vAlign w:val="bottom"/>
            <w:tcBorders>
              <w:top w:val="single" w:sz="8" w:color="CCEEFF"/>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 (c)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501.4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578.1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1,530.1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1,713.4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for the 2021 nine-month period represents the Adjusted EBITDA of the U.K. JV Entities through the June 1, 2021 closing of the U.K. JV Transaction.</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relate to transactions between our continuing and discontinued operations.</w:t>
      </w:r>
    </w:p>
    <w:p>
      <w:pPr>
        <w:spacing w:after="0" w:line="243"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for the 2021 nine-month period represents the Adjusted EBITDA of the VMO2 JV for the period from June 1, 2021 through September 30,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earnings from continuing operations to Adjusted EBITDA: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18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05"/>
        </w:trPr>
        <w:tc>
          <w:tcPr>
            <w:tcW w:w="6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4"/>
              </w:rPr>
              <w:t>2021</w:t>
            </w:r>
          </w:p>
        </w:tc>
      </w:tr>
      <w:tr>
        <w:trPr>
          <w:trHeight w:val="203"/>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63"/>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12,889.2</w:t>
            </w:r>
          </w:p>
        </w:tc>
      </w:tr>
      <w:tr>
        <w:trPr>
          <w:trHeight w:val="225"/>
        </w:trPr>
        <w:tc>
          <w:tcPr>
            <w:tcW w:w="60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444.2</w:t>
            </w:r>
          </w:p>
        </w:tc>
      </w:tr>
      <w:tr>
        <w:trPr>
          <w:trHeight w:val="22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5"/>
        </w:trPr>
        <w:tc>
          <w:tcPr>
            <w:tcW w:w="6000" w:type="dxa"/>
            <w:vAlign w:val="bottom"/>
          </w:tcPr>
          <w:p>
            <w:pPr>
              <w:ind w:left="120"/>
              <w:spacing w:after="0"/>
              <w:rPr>
                <w:sz w:val="20"/>
                <w:szCs w:val="20"/>
                <w:color w:val="auto"/>
              </w:rPr>
            </w:pPr>
            <w:r>
              <w:rPr>
                <w:rFonts w:ascii="Arial" w:cs="Arial" w:eastAsia="Arial" w:hAnsi="Arial"/>
                <w:sz w:val="18"/>
                <w:szCs w:val="18"/>
                <w:color w:val="auto"/>
              </w:rPr>
              <w:t>Gain on AtlasEdge JV Transactions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(213.7)</w:t>
            </w:r>
          </w:p>
        </w:tc>
      </w:tr>
      <w:tr>
        <w:trPr>
          <w:trHeight w:val="22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adjustment to gain on U.K. JV Transaction</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(10,790.7)</w:t>
            </w:r>
          </w:p>
        </w:tc>
      </w:tr>
      <w:tr>
        <w:trPr>
          <w:trHeight w:val="225"/>
        </w:trPr>
        <w:tc>
          <w:tcPr>
            <w:tcW w:w="6000" w:type="dxa"/>
            <w:vAlign w:val="bottom"/>
          </w:tcPr>
          <w:p>
            <w:pPr>
              <w:ind w:left="120"/>
              <w:spacing w:after="0"/>
              <w:rPr>
                <w:sz w:val="20"/>
                <w:szCs w:val="20"/>
                <w:color w:val="auto"/>
              </w:rPr>
            </w:pPr>
            <w:r>
              <w:rPr>
                <w:rFonts w:ascii="Arial" w:cs="Arial" w:eastAsia="Arial" w:hAnsi="Arial"/>
                <w:sz w:val="18"/>
                <w:szCs w:val="18"/>
                <w:color w:val="auto"/>
              </w:rPr>
              <w:t>Gain on Telenet Tower Sale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5"/>
        </w:trPr>
        <w:tc>
          <w:tcPr>
            <w:tcW w:w="6000" w:type="dxa"/>
            <w:vAlign w:val="bottom"/>
          </w:tcPr>
          <w:p>
            <w:pPr>
              <w:ind w:left="120"/>
              <w:spacing w:after="0"/>
              <w:rPr>
                <w:sz w:val="20"/>
                <w:szCs w:val="20"/>
                <w:color w:val="auto"/>
              </w:rPr>
            </w:pPr>
            <w:r>
              <w:rPr>
                <w:rFonts w:ascii="Arial" w:cs="Arial" w:eastAsia="Arial" w:hAnsi="Arial"/>
                <w:sz w:val="18"/>
                <w:szCs w:val="18"/>
                <w:color w:val="auto"/>
              </w:rPr>
              <w:t>Losses (gains) on debt extinguishment, net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174"/>
        </w:trPr>
        <w:tc>
          <w:tcPr>
            <w:tcW w:w="6000" w:type="dxa"/>
            <w:vAlign w:val="bottom"/>
            <w:shd w:val="clear" w:color="auto" w:fill="CCEEFF"/>
          </w:tcPr>
          <w:p>
            <w:pPr>
              <w:ind w:left="120"/>
              <w:spacing w:after="0" w:line="174" w:lineRule="exact"/>
              <w:rPr>
                <w:sz w:val="20"/>
                <w:szCs w:val="20"/>
                <w:color w:val="auto"/>
              </w:rPr>
            </w:pPr>
            <w:r>
              <w:rPr>
                <w:rFonts w:ascii="Arial" w:cs="Arial" w:eastAsia="Arial" w:hAnsi="Arial"/>
                <w:sz w:val="18"/>
                <w:szCs w:val="18"/>
                <w:color w:val="auto"/>
                <w:w w:val="94"/>
              </w:rPr>
              <w:t>Realized and unrealized losses (gains) due to changes in fair values of certain</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8"/>
        </w:trPr>
        <w:tc>
          <w:tcPr>
            <w:tcW w:w="6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investments, net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r>
      <w:tr>
        <w:trPr>
          <w:trHeight w:val="225"/>
        </w:trPr>
        <w:tc>
          <w:tcPr>
            <w:tcW w:w="6000" w:type="dxa"/>
            <w:vAlign w:val="bottom"/>
          </w:tcPr>
          <w:p>
            <w:pPr>
              <w:ind w:left="120"/>
              <w:spacing w:after="0"/>
              <w:rPr>
                <w:sz w:val="20"/>
                <w:szCs w:val="20"/>
                <w:color w:val="auto"/>
              </w:rPr>
            </w:pPr>
            <w:r>
              <w:rPr>
                <w:rFonts w:ascii="Arial" w:cs="Arial" w:eastAsia="Arial" w:hAnsi="Arial"/>
                <w:sz w:val="18"/>
                <w:szCs w:val="18"/>
                <w:color w:val="auto"/>
              </w:rPr>
              <w:t>Foreign currency transaction gains,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(857.6)</w:t>
            </w:r>
          </w:p>
        </w:tc>
      </w:tr>
      <w:tr>
        <w:trPr>
          <w:trHeight w:val="22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Realized and unrealized gains on derivative instruments,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r>
      <w:tr>
        <w:trPr>
          <w:trHeight w:val="225"/>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w:t>
            </w:r>
          </w:p>
        </w:tc>
      </w:tr>
      <w:tr>
        <w:trPr>
          <w:trHeight w:val="219"/>
        </w:trPr>
        <w:tc>
          <w:tcPr>
            <w:tcW w:w="600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w:t>
            </w:r>
          </w:p>
        </w:tc>
      </w:tr>
      <w:tr>
        <w:trPr>
          <w:trHeight w:val="22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r>
      <w:tr>
        <w:trPr>
          <w:trHeight w:val="243"/>
        </w:trPr>
        <w:tc>
          <w:tcPr>
            <w:tcW w:w="6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48"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Nine months ended</w:t>
      </w:r>
    </w:p>
    <w:p>
      <w:pPr>
        <w:jc w:val="center"/>
        <w:ind w:left="862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U.K. (a)</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 (b)</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8"/>
        </w:trPr>
        <w:tc>
          <w:tcPr>
            <w:tcW w:w="8640" w:type="dxa"/>
            <w:vAlign w:val="bottom"/>
          </w:tcPr>
          <w:p>
            <w:pPr>
              <w:ind w:left="180"/>
              <w:spacing w:after="0" w:line="204" w:lineRule="exact"/>
              <w:rPr>
                <w:sz w:val="20"/>
                <w:szCs w:val="20"/>
                <w:color w:val="auto"/>
              </w:rPr>
            </w:pPr>
            <w:r>
              <w:rPr>
                <w:rFonts w:ascii="Arial" w:cs="Arial" w:eastAsia="Arial" w:hAnsi="Arial"/>
                <w:sz w:val="18"/>
                <w:szCs w:val="18"/>
                <w:color w:val="auto"/>
              </w:rPr>
              <w:t>Total property and equipment additions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1,683.8</w:t>
            </w:r>
          </w:p>
        </w:tc>
        <w:tc>
          <w:tcPr>
            <w:tcW w:w="0" w:type="dxa"/>
            <w:vAlign w:val="bottom"/>
          </w:tcPr>
          <w:p>
            <w:pPr>
              <w:spacing w:after="0"/>
              <w:rPr>
                <w:sz w:val="1"/>
                <w:szCs w:val="1"/>
                <w:color w:val="auto"/>
              </w:rPr>
            </w:pP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8"/>
        </w:trPr>
        <w:tc>
          <w:tcPr>
            <w:tcW w:w="8640" w:type="dxa"/>
            <w:vAlign w:val="bottom"/>
          </w:tcPr>
          <w:p>
            <w:pPr>
              <w:ind w:left="340"/>
              <w:spacing w:after="0" w:line="204" w:lineRule="exact"/>
              <w:rPr>
                <w:sz w:val="20"/>
                <w:szCs w:val="20"/>
                <w:color w:val="auto"/>
              </w:rPr>
            </w:pPr>
            <w:r>
              <w:rPr>
                <w:rFonts w:ascii="Arial" w:cs="Arial" w:eastAsia="Arial" w:hAnsi="Arial"/>
                <w:sz w:val="18"/>
                <w:szCs w:val="18"/>
                <w:color w:val="auto"/>
              </w:rPr>
              <w:t>Total capital expenditures, net</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1,114.4</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VMO2 JV (c)</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VodafoneZiggo JV</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683.7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2021 amount represents the property and equipment additions of the U.K. JV Entities through the June 1, 2021 closing of the U.K. JV Transaction.</w:t>
      </w:r>
    </w:p>
    <w:p>
      <w:pPr>
        <w:spacing w:after="0" w:line="278" w:lineRule="exact"/>
        <w:rPr>
          <w:rFonts w:ascii="Arial" w:cs="Arial" w:eastAsia="Arial" w:hAnsi="Arial"/>
          <w:sz w:val="15"/>
          <w:szCs w:val="15"/>
          <w:color w:val="auto"/>
        </w:rPr>
      </w:pPr>
    </w:p>
    <w:p>
      <w:pPr>
        <w:jc w:val="both"/>
        <w:ind w:left="480" w:hanging="474"/>
        <w:spacing w:after="0" w:line="255" w:lineRule="auto"/>
        <w:tabs>
          <w:tab w:leader="none" w:pos="4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(ii) the net impact of certain centrally-procured network equipment that is ultimately transferred to our operating segments and (iii) property and equipment additions of our operations in Slovakia.</w:t>
      </w:r>
    </w:p>
    <w:p>
      <w:pPr>
        <w:spacing w:after="0" w:line="214" w:lineRule="exact"/>
        <w:rPr>
          <w:rFonts w:ascii="Arial" w:cs="Arial" w:eastAsia="Arial" w:hAnsi="Arial"/>
          <w:sz w:val="18"/>
          <w:szCs w:val="18"/>
          <w:color w:val="auto"/>
        </w:rPr>
      </w:pPr>
    </w:p>
    <w:p>
      <w:pPr>
        <w:ind w:left="480" w:hanging="474"/>
        <w:spacing w:after="0"/>
        <w:tabs>
          <w:tab w:leader="none" w:pos="4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2021 amount represents the property and equipment additions of the VMO2 JV for the period from June 1, 2021 through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5"/>
        </w:trPr>
        <w:tc>
          <w:tcPr>
            <w:tcW w:w="5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2021</w:t>
            </w:r>
          </w:p>
        </w:tc>
      </w:tr>
      <w:tr>
        <w:trPr>
          <w:trHeight w:val="203"/>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10"/>
        </w:trPr>
        <w:tc>
          <w:tcPr>
            <w:tcW w:w="5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594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594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336.1</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2,008.5</w:t>
            </w:r>
          </w:p>
        </w:tc>
      </w:tr>
      <w:tr>
        <w:trPr>
          <w:trHeight w:val="22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w:t>
            </w:r>
          </w:p>
        </w:tc>
      </w:tr>
      <w:tr>
        <w:trPr>
          <w:trHeight w:val="225"/>
        </w:trPr>
        <w:tc>
          <w:tcPr>
            <w:tcW w:w="5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r>
      <w:tr>
        <w:trPr>
          <w:trHeight w:val="219"/>
        </w:trPr>
        <w:tc>
          <w:tcPr>
            <w:tcW w:w="59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4,278.5</w:t>
            </w:r>
          </w:p>
        </w:tc>
      </w:tr>
      <w:tr>
        <w:trPr>
          <w:trHeight w:val="225"/>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r>
      <w:tr>
        <w:trPr>
          <w:trHeight w:val="219"/>
        </w:trPr>
        <w:tc>
          <w:tcPr>
            <w:tcW w:w="594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4,406.4</w:t>
            </w:r>
          </w:p>
        </w:tc>
      </w:tr>
      <w:tr>
        <w:trPr>
          <w:trHeight w:val="205"/>
        </w:trPr>
        <w:tc>
          <w:tcPr>
            <w:tcW w:w="594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w:t>
            </w:r>
          </w:p>
        </w:tc>
      </w:tr>
      <w:tr>
        <w:trPr>
          <w:trHeight w:val="225"/>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r>
      <w:tr>
        <w:trPr>
          <w:trHeight w:val="219"/>
        </w:trPr>
        <w:tc>
          <w:tcPr>
            <w:tcW w:w="59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1,898.5</w:t>
            </w:r>
          </w:p>
        </w:tc>
      </w:tr>
      <w:tr>
        <w:trPr>
          <w:trHeight w:val="218"/>
        </w:trPr>
        <w:tc>
          <w:tcPr>
            <w:tcW w:w="59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1,193.7</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6,304.9</w:t>
            </w:r>
          </w:p>
        </w:tc>
      </w:tr>
      <w:tr>
        <w:trPr>
          <w:trHeight w:val="206"/>
        </w:trPr>
        <w:tc>
          <w:tcPr>
            <w:tcW w:w="5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5"/>
        </w:trPr>
        <w:tc>
          <w:tcPr>
            <w:tcW w:w="594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482.1</w:t>
            </w:r>
          </w:p>
        </w:tc>
      </w:tr>
      <w:tr>
        <w:trPr>
          <w:trHeight w:val="22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1,011.3</w:t>
            </w:r>
          </w:p>
        </w:tc>
      </w:tr>
      <w:tr>
        <w:trPr>
          <w:trHeight w:val="218"/>
        </w:trPr>
        <w:tc>
          <w:tcPr>
            <w:tcW w:w="594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w:t>
            </w:r>
          </w:p>
        </w:tc>
      </w:tr>
      <w:tr>
        <w:trPr>
          <w:trHeight w:val="219"/>
        </w:trPr>
        <w:tc>
          <w:tcPr>
            <w:tcW w:w="5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w:t>
            </w:r>
          </w:p>
        </w:tc>
      </w:tr>
      <w:tr>
        <w:trPr>
          <w:trHeight w:val="218"/>
        </w:trPr>
        <w:tc>
          <w:tcPr>
            <w:tcW w:w="594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8,390.5</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4"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7" w:lineRule="exact"/>
        <w:rPr>
          <w:rFonts w:ascii="Arial" w:cs="Arial" w:eastAsia="Arial" w:hAnsi="Arial"/>
          <w:sz w:val="17"/>
          <w:szCs w:val="17"/>
          <w:color w:val="auto"/>
        </w:rPr>
      </w:pPr>
    </w:p>
    <w:p>
      <w:pPr>
        <w:ind w:left="480" w:hanging="474"/>
        <w:spacing w:after="0" w:line="264" w:lineRule="auto"/>
        <w:tabs>
          <w:tab w:leader="none" w:pos="4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201" w:lineRule="exact"/>
        <w:rPr>
          <w:rFonts w:ascii="Arial" w:cs="Arial" w:eastAsia="Arial" w:hAnsi="Arial"/>
          <w:sz w:val="18"/>
          <w:szCs w:val="18"/>
          <w:color w:val="auto"/>
        </w:rPr>
      </w:pPr>
    </w:p>
    <w:p>
      <w:pPr>
        <w:jc w:val="both"/>
        <w:ind w:left="480" w:hanging="474"/>
        <w:spacing w:after="0" w:line="321" w:lineRule="auto"/>
        <w:tabs>
          <w:tab w:leader="none" w:pos="474" w:val="left"/>
        </w:tabs>
        <w:numPr>
          <w:ilvl w:val="0"/>
          <w:numId w:val="45"/>
        </w:numPr>
        <w:rPr>
          <w:rFonts w:ascii="Arial" w:cs="Arial" w:eastAsia="Arial" w:hAnsi="Arial"/>
          <w:sz w:val="15"/>
          <w:szCs w:val="15"/>
          <w:color w:val="auto"/>
        </w:rPr>
      </w:pPr>
      <w:r>
        <w:rPr>
          <w:rFonts w:ascii="Arial" w:cs="Arial" w:eastAsia="Arial" w:hAnsi="Arial"/>
          <w:sz w:val="15"/>
          <w:szCs w:val="15"/>
          <w:color w:val="auto"/>
        </w:rPr>
        <w:t>B2B subscription revenue represents revenue from (i) services provided to certain small or home office (</w:t>
      </w:r>
      <w:r>
        <w:rPr>
          <w:rFonts w:ascii="Arial" w:cs="Arial" w:eastAsia="Arial" w:hAnsi="Arial"/>
          <w:sz w:val="15"/>
          <w:szCs w:val="15"/>
          <w:b w:val="1"/>
          <w:bCs w:val="1"/>
          <w:color w:val="auto"/>
        </w:rPr>
        <w:t>SOHO</w:t>
      </w:r>
      <w:r>
        <w:rPr>
          <w:rFonts w:ascii="Arial" w:cs="Arial" w:eastAsia="Arial" w:hAnsi="Arial"/>
          <w:sz w:val="15"/>
          <w:szCs w:val="15"/>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color w:val="auto"/>
        </w:rPr>
        <w:t>and large enterprises and, fixed-line and mobile services on a wholesale basis, to other operators and (b) revenue from long-term leases of portions of our network.</w:t>
      </w:r>
    </w:p>
    <w:p>
      <w:pPr>
        <w:spacing w:after="0" w:line="207" w:lineRule="exact"/>
        <w:rPr>
          <w:sz w:val="20"/>
          <w:szCs w:val="20"/>
          <w:color w:val="auto"/>
        </w:rPr>
      </w:pPr>
    </w:p>
    <w:p>
      <w:pPr>
        <w:jc w:val="both"/>
        <w:ind w:left="480" w:hanging="474"/>
        <w:spacing w:after="0" w:line="255" w:lineRule="auto"/>
        <w:tabs>
          <w:tab w:leader="none" w:pos="4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18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2021</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2,497.4</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2,302.9</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Slovakia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intersegment eliminations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 (U.K.) (b)</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00" w:type="dxa"/>
            <w:vAlign w:val="bottom"/>
          </w:tcPr>
          <w:p>
            <w:pPr>
              <w:ind w:left="20"/>
              <w:spacing w:after="0" w:line="199" w:lineRule="exact"/>
              <w:rPr>
                <w:sz w:val="20"/>
                <w:szCs w:val="20"/>
                <w:color w:val="auto"/>
              </w:rPr>
            </w:pPr>
            <w:r>
              <w:rPr>
                <w:rFonts w:ascii="Arial" w:cs="Arial" w:eastAsia="Arial" w:hAnsi="Arial"/>
                <w:sz w:val="18"/>
                <w:szCs w:val="18"/>
                <w:color w:val="auto"/>
              </w:rPr>
              <w:t>VodafoneZiggo JV (Netherlands)</w:t>
            </w:r>
          </w:p>
        </w:tc>
        <w:tc>
          <w:tcPr>
            <w:tcW w:w="280" w:type="dxa"/>
            <w:vAlign w:val="bottom"/>
            <w:tcBorders>
              <w:bottom w:val="single" w:sz="8" w:color="auto"/>
            </w:tcBorders>
          </w:tcPr>
          <w:p>
            <w:pPr>
              <w:jc w:val="right"/>
              <w:ind w:right="92"/>
              <w:spacing w:after="0" w:line="19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1,041.7</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1,206.1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9"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3,237.3</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9"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3,638.4</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 for the 2021 nine-month period represents the revenue of the U.K. JV Entities through the June 1, 2021 closing of the U.K. JV Transaction.</w:t>
      </w:r>
    </w:p>
    <w:p>
      <w:pPr>
        <w:spacing w:after="0" w:line="278" w:lineRule="exact"/>
        <w:rPr>
          <w:rFonts w:ascii="Arial" w:cs="Arial" w:eastAsia="Arial" w:hAnsi="Arial"/>
          <w:sz w:val="15"/>
          <w:szCs w:val="15"/>
          <w:color w:val="auto"/>
        </w:rPr>
      </w:pPr>
    </w:p>
    <w:p>
      <w:pPr>
        <w:ind w:left="480" w:hanging="474"/>
        <w:spacing w:after="0"/>
        <w:tabs>
          <w:tab w:leader="none" w:pos="4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 for the 2021 nine-month period represents the revenue of the VMO2 JV for the period from June 1, 2021 through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215" w:lineRule="exact"/>
        <w:rPr>
          <w:sz w:val="20"/>
          <w:szCs w:val="20"/>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 from</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results or events.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and 2021.</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and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w:t>
      </w:r>
    </w:p>
    <w:p>
      <w:pPr>
        <w:spacing w:after="0" w:line="20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convenience translations into U.S. dollars are calculated as of September 30, 2022.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Arial" w:cs="Arial" w:eastAsia="Arial" w:hAnsi="Arial"/>
          <w:sz w:val="15"/>
          <w:szCs w:val="15"/>
          <w:i w:val="1"/>
          <w:iCs w:val="1"/>
          <w:color w:val="auto"/>
        </w:rPr>
        <w:t>Management’s Discussion and Analysis of Financial Condition and Results of Operations,</w:t>
      </w:r>
      <w:r>
        <w:rPr>
          <w:rFonts w:ascii="Arial" w:cs="Arial" w:eastAsia="Arial" w:hAnsi="Arial"/>
          <w:sz w:val="15"/>
          <w:szCs w:val="15"/>
          <w:color w:val="auto"/>
        </w:rPr>
        <w:t xml:space="preserve"> Part I, Item 3. </w:t>
      </w:r>
      <w:r>
        <w:rPr>
          <w:rFonts w:ascii="Arial" w:cs="Arial" w:eastAsia="Arial" w:hAnsi="Arial"/>
          <w:sz w:val="15"/>
          <w:szCs w:val="15"/>
          <w:i w:val="1"/>
          <w:iCs w:val="1"/>
          <w:color w:val="auto"/>
        </w:rPr>
        <w:t>Quantitative and Qualitative Disclosures About Market Risk</w:t>
      </w:r>
      <w:r>
        <w:rPr>
          <w:rFonts w:ascii="Arial" w:cs="Arial" w:eastAsia="Arial" w:hAnsi="Arial"/>
          <w:sz w:val="15"/>
          <w:szCs w:val="15"/>
          <w:color w:val="auto"/>
        </w:rPr>
        <w:t xml:space="preserve"> and Part II, Item 2. </w:t>
      </w:r>
      <w:r>
        <w:rPr>
          <w:rFonts w:ascii="Arial" w:cs="Arial" w:eastAsia="Arial" w:hAnsi="Arial"/>
          <w:sz w:val="15"/>
          <w:szCs w:val="15"/>
          <w:i w:val="1"/>
          <w:iCs w:val="1"/>
          <w:color w:val="auto"/>
        </w:rPr>
        <w:t>Unregistered Sales of Equity Securities and Use of Proceeds</w:t>
      </w:r>
      <w:r>
        <w:rPr>
          <w:rFonts w:ascii="Arial" w:cs="Arial" w:eastAsia="Arial" w:hAnsi="Arial"/>
          <w:sz w:val="15"/>
          <w:szCs w:val="15"/>
          <w:color w:val="auto"/>
        </w:rPr>
        <w:t xml:space="preserve"> may contain forward-looking statements, including statements regarding our business, product, foreign currency and finance strategies, our property and equipment additions,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interest rate risks, target leverage levels, debt covenants, future projected contractual commitments and cash flows, our share repurchase program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of our 10-K, as well as the following list of some but not all of the factors that could cause actual results or events (including with respect to our affiliates) to differ materially from anticipated results or events:</w:t>
      </w:r>
    </w:p>
    <w:p>
      <w:pPr>
        <w:spacing w:after="0" w:line="200" w:lineRule="exact"/>
        <w:rPr>
          <w:sz w:val="20"/>
          <w:szCs w:val="20"/>
          <w:color w:val="auto"/>
        </w:rPr>
      </w:pPr>
    </w:p>
    <w:p>
      <w:pPr>
        <w:spacing w:after="0" w:line="204"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competitive environment in the industries and in the countries in which we or our affiliates operate, including competitor responses to our products and services;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 as a result of, among other things, inflationary pressures;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consumer television viewing and broadband usage preferences and habits;</w:t>
      </w:r>
    </w:p>
    <w:p>
      <w:pPr>
        <w:spacing w:after="0" w:line="11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5" w:name="page56"/>
    <w:bookmarkEnd w:id="55"/>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manage rapid technological changes and the rate at which our current technology becomes obsolete;</w:t>
      </w:r>
    </w:p>
    <w:p>
      <w:pPr>
        <w:spacing w:after="0" w:line="111"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video, fixed-line telephony and mobile service offerings and our average revenue per household;</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1"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 as a result of, among other things, inflationary pressures;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1" w:lineRule="exact"/>
        <w:rPr>
          <w:rFonts w:ascii="Arial" w:cs="Arial" w:eastAsia="Arial" w:hAnsi="Arial"/>
          <w:sz w:val="18"/>
          <w:szCs w:val="18"/>
          <w:color w:val="auto"/>
        </w:rPr>
      </w:pPr>
    </w:p>
    <w:p>
      <w:pPr>
        <w:ind w:left="320" w:right="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and legislation in the countries in which we or our affiliates operate and adverse outcomes from regulatory proceedings;</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government intervention that requires opening our broadband distribution networks to competitors, such as the obligations imposed in Belgium, as well as any changes to our accreditations or licenses;</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or our joint ventures’ ability to successfully acquire new businesses and, if acquired, to integrate, realize anticipated efficiencies from, and implement business plans with respect to, businesses acquired or expected to be acquired;</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laws, monetary policies and government regulations that may impact the availability and cost of capital and the derivative instruments that hedge certain of our financial risks;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i w:val="1"/>
          <w:iCs w:val="1"/>
          <w:color w:val="auto"/>
        </w:rPr>
      </w:pPr>
      <w:r>
        <w:rPr>
          <w:rFonts w:ascii="Arial" w:cs="Arial" w:eastAsia="Arial" w:hAnsi="Arial"/>
          <w:sz w:val="18"/>
          <w:szCs w:val="18"/>
          <w:color w:val="auto"/>
        </w:rPr>
        <w:t>our ability to navigate the potential impacts on our business resulting from the U.K.’s departure from the E.U.;</w:t>
      </w:r>
    </w:p>
    <w:p>
      <w:pPr>
        <w:spacing w:after="0" w:line="105" w:lineRule="exact"/>
        <w:rPr>
          <w:rFonts w:ascii="Arial" w:cs="Arial" w:eastAsia="Arial" w:hAnsi="Arial"/>
          <w:sz w:val="18"/>
          <w:szCs w:val="18"/>
          <w:i w:val="1"/>
          <w:iCs w:val="1"/>
          <w:color w:val="auto"/>
        </w:rPr>
      </w:pPr>
    </w:p>
    <w:p>
      <w:pPr>
        <w:ind w:left="320" w:hanging="316"/>
        <w:spacing w:after="0" w:line="271"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mobile virtual network operator (</w:t>
      </w:r>
      <w:r>
        <w:rPr>
          <w:rFonts w:ascii="Arial" w:cs="Arial" w:eastAsia="Arial" w:hAnsi="Arial"/>
          <w:sz w:val="18"/>
          <w:szCs w:val="18"/>
          <w:b w:val="1"/>
          <w:bCs w:val="1"/>
          <w:color w:val="auto"/>
        </w:rPr>
        <w:t>MVNO</w:t>
      </w:r>
      <w:r>
        <w:rPr>
          <w:rFonts w:ascii="Arial" w:cs="Arial" w:eastAsia="Arial" w:hAnsi="Arial"/>
          <w:sz w:val="18"/>
          <w:szCs w:val="18"/>
          <w:color w:val="auto"/>
        </w:rPr>
        <w:t>) arrangements) to timely deliver quality products, equipment, software, services and access;</w:t>
      </w:r>
    </w:p>
    <w:p>
      <w:pPr>
        <w:spacing w:after="0" w:line="68"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production costs, retransmission and copyright fees payable to public and private broadcasters;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cost and regulation of spectrum;</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problems we may discover post-closing with the operations, including the internal controls and financial reporting process, of businesses we acquire;</w:t>
      </w:r>
    </w:p>
    <w:p>
      <w:pPr>
        <w:spacing w:after="0" w:line="145" w:lineRule="exact"/>
        <w:rPr>
          <w:rFonts w:ascii="Arial" w:cs="Arial" w:eastAsia="Arial" w:hAnsi="Arial"/>
          <w:sz w:val="15"/>
          <w:szCs w:val="15"/>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successfully integrating businesses we acquire in the time or within the budgets estimated for such integrations;</w:t>
      </w:r>
    </w:p>
    <w:p>
      <w:pPr>
        <w:spacing w:after="0" w:line="111"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costs, customer loss and business disruption, including maintaining relationships with employees, customers, suppliers or vendors may be greater than expected in connection with our acquisitions;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realize the expected synergies from our acquisitions in the amounts anticipated or on the anticipated timelines;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profit from investments in joint ventures that we do not solely control;</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capital structure and factors related to our debt agreements; and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922" w:right="339" w:bottom="1440" w:gutter="0" w:footer="0" w:header="0"/>
        </w:sectPr>
      </w:pPr>
    </w:p>
    <w:bookmarkStart w:id="56" w:name="page57"/>
    <w:bookmarkEnd w:id="56"/>
    <w:p>
      <w:pPr>
        <w:ind w:left="640" w:hanging="316"/>
        <w:spacing w:after="0" w:line="365" w:lineRule="auto"/>
        <w:tabs>
          <w:tab w:leader="none" w:pos="635" w:val="left"/>
        </w:tabs>
        <w:numPr>
          <w:ilvl w:val="0"/>
          <w:numId w:val="51"/>
        </w:numPr>
        <w:rPr>
          <w:rFonts w:ascii="Arial" w:cs="Arial" w:eastAsia="Arial" w:hAnsi="Arial"/>
          <w:sz w:val="15"/>
          <w:szCs w:val="15"/>
          <w:color w:val="auto"/>
        </w:rPr>
      </w:pPr>
      <w:r>
        <w:rPr>
          <w:rFonts w:ascii="Arial" w:cs="Arial" w:eastAsia="Arial" w:hAnsi="Arial"/>
          <w:sz w:val="15"/>
          <w:szCs w:val="15"/>
          <w:color w:val="auto"/>
        </w:rPr>
        <w:t>events that are outside of our control, such as political unrest in international markets, terrorist attacks, armed conflicts, malicious human acts, natural disasters, epidemics, pandemics (such as COVID-19) and other similar events, including the ongoing invasion of Ukraine by Russia.</w:t>
      </w:r>
    </w:p>
    <w:p>
      <w:pPr>
        <w:spacing w:after="0" w:line="13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and Slovakia through UPC Holding, (ii) Belgium through Telenet and (iii) Ireland through VM Ireland. In addition, we own 50% noncontrolling interests in (a) the VMO2 JV, which provides residential and B2B communications services in the U.K., and (b) the VodafoneZiggo JV, which provides residential and B2B communications services in the Netherlands.</w:t>
      </w:r>
    </w:p>
    <w:p>
      <w:pPr>
        <w:spacing w:after="0" w:line="2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our operations in Poland are reflected as discontinued operations for all applicable periods. In the following discussion and analysis, the operating statistics, results of operations, cash flows and financial condition that we present and discuss are those of our continuing operations, unless otherwise indicated. For additional information regarding the sale of UPC Poland, including with respect to our use of proceeds, see note 4 to our condensed consolidated financial statements.</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May 31, 2021, our consolidated operations also provided residential and B2B communications services in the U.K. through Virgin Media. On June 1, 2021, we contributed the U.K. JV Entities to the VMO2 JV and began accounting for our 50% interest in the VMO2 JV as an equity method investment. For additional information, see note 4 to our condensed consolidated financial statements.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Operations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September 30, 2022, our continuing operations owned and operated networks that passed 7,527,000 homes and served 4,089,900 fixed-line customers and 5,830,200 mobile subscribers.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revenue impact of changes in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20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global COVID-19 pandemic continues to impact the economies of the countries in which we operate. However, during the third quarter of 2022, the impact on our company continued to be relatively minimal as demand for our products and services remained strong. It is not currently possible to estimate the duration and severity of the COVID-19 pandemic or the adverse economic impact resulting from the preventative measures taken to contain or mitigate its outbreak, therefore no assurance can be given that an extended period of global economic disruption would not have a material adverse impact on our business, financial condition and results of operations in future periods.</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subject to inflationary pressures with respect to labor, programming and other operating costs, including energy costs. In this regard, inflation rates in the countries in which we operate have recently increased, and in most countries such increases have been significant. While we attempt to increase our revenue to offset increases in costs, there is no assurance that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7" w:name="page58"/>
    <w:bookmarkEnd w:id="57"/>
    <w:p>
      <w:pPr>
        <w:jc w:val="both"/>
        <w:spacing w:after="0" w:line="271" w:lineRule="auto"/>
        <w:rPr>
          <w:sz w:val="20"/>
          <w:szCs w:val="20"/>
          <w:color w:val="auto"/>
        </w:rPr>
      </w:pPr>
      <w:r>
        <w:rPr>
          <w:rFonts w:ascii="Arial" w:cs="Arial" w:eastAsia="Arial" w:hAnsi="Arial"/>
          <w:sz w:val="17"/>
          <w:szCs w:val="17"/>
          <w:color w:val="auto"/>
        </w:rPr>
        <w:t>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further inflation. We are unable to predict the extent that price levels might be impacted in future periods by the current state of the economies in the countries in which we operate.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completed a number of transactions that impact the comparability of our results of operations, the most notable of which are (i) the U.K. JV Transaction on June 1, 2021, (ii) the sale of UPC Poland on April 1, 2022 and (iii) the Telenet Tower Sale on June 1, 2022. For further information regarding our dispositions, see note 4 to our condensed consolidated financial statements.</w:t>
      </w:r>
    </w:p>
    <w:p>
      <w:pPr>
        <w:spacing w:after="0" w:line="209"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 xml:space="preserve">In the following discussion, we quantify the estimated impact of material acquisitions (the </w:t>
      </w:r>
      <w:r>
        <w:rPr>
          <w:rFonts w:ascii="Arial" w:cs="Arial" w:eastAsia="Arial" w:hAnsi="Arial"/>
          <w:sz w:val="15"/>
          <w:szCs w:val="15"/>
          <w:b w:val="1"/>
          <w:bCs w:val="1"/>
          <w:color w:val="auto"/>
        </w:rPr>
        <w:t>Acquisition Impact</w:t>
      </w:r>
      <w:r>
        <w:rPr>
          <w:rFonts w:ascii="Arial" w:cs="Arial" w:eastAsia="Arial" w:hAnsi="Arial"/>
          <w:sz w:val="15"/>
          <w:szCs w:val="15"/>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18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5"/>
          <w:szCs w:val="15"/>
          <w:b w:val="1"/>
          <w:bCs w:val="1"/>
          <w:color w:val="auto"/>
        </w:rPr>
        <w:t>FX</w:t>
      </w:r>
      <w:r>
        <w:rPr>
          <w:rFonts w:ascii="Arial" w:cs="Arial" w:eastAsia="Arial" w:hAnsi="Arial"/>
          <w:sz w:val="15"/>
          <w:szCs w:val="15"/>
          <w:color w:val="auto"/>
        </w:rPr>
        <w:t xml:space="preserve">) risk during the three months ended September 30, 2022 was to the euro and Swiss franc, as 53.6% and 45.2%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5"/>
          <w:szCs w:val="15"/>
          <w:i w:val="1"/>
          <w:iCs w:val="1"/>
          <w:color w:val="auto"/>
        </w:rPr>
        <w:t>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our Reportable Segments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Discussion and Analysis of our Consolidated Operating Results </w:t>
      </w:r>
      <w:r>
        <w:rPr>
          <w:rFonts w:ascii="Arial" w:cs="Arial" w:eastAsia="Arial" w:hAnsi="Arial"/>
          <w:sz w:val="15"/>
          <w:szCs w:val="15"/>
          <w:color w:val="auto"/>
        </w:rPr>
        <w:t>below. For information regarding our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currency risks and the applicable foreign currency exchange rates in effect for the periods covered by this Quarterly Report, see Part I, Item 3. </w:t>
      </w:r>
      <w:r>
        <w:rPr>
          <w:rFonts w:ascii="Arial" w:cs="Arial" w:eastAsia="Arial" w:hAnsi="Arial"/>
          <w:sz w:val="15"/>
          <w:szCs w:val="15"/>
          <w:i w:val="1"/>
          <w:iCs w:val="1"/>
          <w:color w:val="auto"/>
        </w:rPr>
        <w:t>Quantitative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Qualitative Disclosures about Market Risk — Foreign Currency Risk </w:t>
      </w:r>
      <w:r>
        <w:rPr>
          <w:rFonts w:ascii="Arial" w:cs="Arial" w:eastAsia="Arial" w:hAnsi="Arial"/>
          <w:sz w:val="15"/>
          <w:szCs w:val="15"/>
          <w:color w:val="auto"/>
        </w:rPr>
        <w:t>below.</w:t>
      </w:r>
    </w:p>
    <w:p>
      <w:pPr>
        <w:spacing w:after="0" w:line="18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amounts presented and discussed below represent 100% of each of our consolidated reportable segment’s results of operations.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All of our reportable segments derive their revenue primarily from residential and B2B communications services. For detailed information regarding the composition of our reportable segments and how we define and categorize our revenue components, see note 16 to our condensed consolidated financial statements. For information regarding the results of operations of the VMO2 JV and the VodafoneZiggo JV, refer to </w:t>
      </w:r>
      <w:r>
        <w:rPr>
          <w:rFonts w:ascii="Arial" w:cs="Arial" w:eastAsia="Arial" w:hAnsi="Arial"/>
          <w:sz w:val="18"/>
          <w:szCs w:val="18"/>
          <w:i w:val="1"/>
          <w:iCs w:val="1"/>
          <w:color w:val="auto"/>
        </w:rPr>
        <w:t>Discussion and Analysis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Operating Results — Share of results of affiliates, net </w:t>
      </w:r>
      <w:r>
        <w:rPr>
          <w:rFonts w:ascii="Arial" w:cs="Arial" w:eastAsia="Arial" w:hAnsi="Arial"/>
          <w:sz w:val="18"/>
          <w:szCs w:val="18"/>
          <w:color w:val="auto"/>
        </w:rPr>
        <w:t>below.</w:t>
      </w:r>
    </w:p>
    <w:p>
      <w:pPr>
        <w:spacing w:after="0" w:line="2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tables presented below in this section provide the details of the revenue and Adjusted EBITDA of our consolidated reportable segments for the three and nine months ended September 30, 2022 and 2021.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prior-period rate during all periods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presented. We also provide a table showing the Adjusted EBITDA margins of our consolidated reportable segments for the three and nine months ended September 30, 2022 and 2021 at the end of this section.</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earnings from continuing operations to Adjusted EBITDA: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26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5"/>
        </w:trPr>
        <w:tc>
          <w:tcPr>
            <w:tcW w:w="5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2021</w:t>
            </w:r>
          </w:p>
        </w:tc>
      </w:tr>
      <w:tr>
        <w:trPr>
          <w:trHeight w:val="203"/>
        </w:trPr>
        <w:tc>
          <w:tcPr>
            <w:tcW w:w="5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12,889.2</w:t>
            </w:r>
          </w:p>
        </w:tc>
      </w:tr>
      <w:tr>
        <w:trPr>
          <w:trHeight w:val="225"/>
        </w:trPr>
        <w:tc>
          <w:tcPr>
            <w:tcW w:w="576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444.2</w:t>
            </w:r>
          </w:p>
        </w:tc>
      </w:tr>
      <w:tr>
        <w:trPr>
          <w:trHeight w:val="22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5"/>
        </w:trPr>
        <w:tc>
          <w:tcPr>
            <w:tcW w:w="5760" w:type="dxa"/>
            <w:vAlign w:val="bottom"/>
          </w:tcPr>
          <w:p>
            <w:pPr>
              <w:ind w:left="120"/>
              <w:spacing w:after="0"/>
              <w:rPr>
                <w:sz w:val="20"/>
                <w:szCs w:val="20"/>
                <w:color w:val="auto"/>
              </w:rPr>
            </w:pPr>
            <w:r>
              <w:rPr>
                <w:rFonts w:ascii="Arial" w:cs="Arial" w:eastAsia="Arial" w:hAnsi="Arial"/>
                <w:sz w:val="18"/>
                <w:szCs w:val="18"/>
                <w:color w:val="auto"/>
              </w:rPr>
              <w:t>Gain on AtlasEdge JV Transactions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(213.7)</w:t>
            </w:r>
          </w:p>
        </w:tc>
      </w:tr>
      <w:tr>
        <w:trPr>
          <w:trHeight w:val="22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adjustment to gain on U.K. JV Transaction</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(10,790.7)</w:t>
            </w:r>
          </w:p>
        </w:tc>
      </w:tr>
      <w:tr>
        <w:trPr>
          <w:trHeight w:val="225"/>
        </w:trPr>
        <w:tc>
          <w:tcPr>
            <w:tcW w:w="5760" w:type="dxa"/>
            <w:vAlign w:val="bottom"/>
          </w:tcPr>
          <w:p>
            <w:pPr>
              <w:ind w:left="120"/>
              <w:spacing w:after="0"/>
              <w:rPr>
                <w:sz w:val="20"/>
                <w:szCs w:val="20"/>
                <w:color w:val="auto"/>
              </w:rPr>
            </w:pPr>
            <w:r>
              <w:rPr>
                <w:rFonts w:ascii="Arial" w:cs="Arial" w:eastAsia="Arial" w:hAnsi="Arial"/>
                <w:sz w:val="18"/>
                <w:szCs w:val="18"/>
                <w:color w:val="auto"/>
              </w:rPr>
              <w:t>Gain on Telenet Tower Sale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of results of affiliates,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5"/>
        </w:trPr>
        <w:tc>
          <w:tcPr>
            <w:tcW w:w="5760" w:type="dxa"/>
            <w:vAlign w:val="bottom"/>
          </w:tcPr>
          <w:p>
            <w:pPr>
              <w:ind w:left="120"/>
              <w:spacing w:after="0"/>
              <w:rPr>
                <w:sz w:val="20"/>
                <w:szCs w:val="20"/>
                <w:color w:val="auto"/>
              </w:rPr>
            </w:pPr>
            <w:r>
              <w:rPr>
                <w:rFonts w:ascii="Arial" w:cs="Arial" w:eastAsia="Arial" w:hAnsi="Arial"/>
                <w:sz w:val="18"/>
                <w:szCs w:val="18"/>
                <w:color w:val="auto"/>
              </w:rPr>
              <w:t>Losses (gains) on debt extinguishment, net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174"/>
        </w:trPr>
        <w:tc>
          <w:tcPr>
            <w:tcW w:w="5760" w:type="dxa"/>
            <w:vAlign w:val="bottom"/>
            <w:shd w:val="clear" w:color="auto" w:fill="CCEEFF"/>
          </w:tcPr>
          <w:p>
            <w:pPr>
              <w:ind w:left="120"/>
              <w:spacing w:after="0" w:line="174" w:lineRule="exact"/>
              <w:rPr>
                <w:sz w:val="20"/>
                <w:szCs w:val="20"/>
                <w:color w:val="auto"/>
              </w:rPr>
            </w:pPr>
            <w:r>
              <w:rPr>
                <w:rFonts w:ascii="Arial" w:cs="Arial" w:eastAsia="Arial" w:hAnsi="Arial"/>
                <w:sz w:val="18"/>
                <w:szCs w:val="18"/>
                <w:color w:val="auto"/>
                <w:w w:val="90"/>
              </w:rPr>
              <w:t>Realized and unrealized losses (gains) due to changes in fair values of certain</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8"/>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investments, net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r>
      <w:tr>
        <w:trPr>
          <w:trHeight w:val="225"/>
        </w:trPr>
        <w:tc>
          <w:tcPr>
            <w:tcW w:w="5760" w:type="dxa"/>
            <w:vAlign w:val="bottom"/>
          </w:tcPr>
          <w:p>
            <w:pPr>
              <w:ind w:left="120"/>
              <w:spacing w:after="0"/>
              <w:rPr>
                <w:sz w:val="20"/>
                <w:szCs w:val="20"/>
                <w:color w:val="auto"/>
              </w:rPr>
            </w:pPr>
            <w:r>
              <w:rPr>
                <w:rFonts w:ascii="Arial" w:cs="Arial" w:eastAsia="Arial" w:hAnsi="Arial"/>
                <w:sz w:val="18"/>
                <w:szCs w:val="18"/>
                <w:color w:val="auto"/>
              </w:rPr>
              <w:t>Foreign currency transaction gains,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(857.6)</w:t>
            </w:r>
          </w:p>
        </w:tc>
      </w:tr>
      <w:tr>
        <w:trPr>
          <w:trHeight w:val="22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Realized and unrealized gains on derivative instruments,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r>
      <w:tr>
        <w:trPr>
          <w:trHeight w:val="225"/>
        </w:trPr>
        <w:tc>
          <w:tcPr>
            <w:tcW w:w="5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w:t>
            </w:r>
          </w:p>
        </w:tc>
      </w:tr>
      <w:tr>
        <w:trPr>
          <w:trHeight w:val="219"/>
        </w:trPr>
        <w:tc>
          <w:tcPr>
            <w:tcW w:w="5760" w:type="dxa"/>
            <w:vAlign w:val="bottom"/>
            <w:shd w:val="clear" w:color="auto" w:fill="CCEEFF"/>
          </w:tcPr>
          <w:p>
            <w:pPr>
              <w:ind w:left="260"/>
              <w:spacing w:after="0" w:line="205" w:lineRule="exact"/>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w:t>
            </w:r>
          </w:p>
        </w:tc>
      </w:tr>
      <w:tr>
        <w:trPr>
          <w:trHeight w:val="225"/>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r>
      <w:tr>
        <w:trPr>
          <w:trHeight w:val="243"/>
        </w:trPr>
        <w:tc>
          <w:tcPr>
            <w:tcW w:w="5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9" w:name="page60"/>
    <w:bookmarkEnd w:id="59"/>
    <w:p>
      <w:pPr>
        <w:ind w:left="16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competition in all of our markets. This competition has an adverse impact on our ability to increase or maintain our total number of customers and/or our ARPU.</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88"/>
              </w:rPr>
              <w:t>Three months ended September</w:t>
            </w:r>
          </w:p>
        </w:tc>
        <w:tc>
          <w:tcPr>
            <w:tcW w:w="120" w:type="dxa"/>
            <w:vAlign w:val="bottom"/>
          </w:tcPr>
          <w:p>
            <w:pPr>
              <w:spacing w:after="0"/>
              <w:rPr>
                <w:sz w:val="16"/>
                <w:szCs w:val="16"/>
                <w:color w:val="auto"/>
              </w:rPr>
            </w:pPr>
          </w:p>
        </w:tc>
        <w:tc>
          <w:tcPr>
            <w:tcW w:w="1460" w:type="dxa"/>
            <w:vAlign w:val="bottom"/>
            <w:gridSpan w:val="3"/>
            <w:vMerge w:val="restart"/>
          </w:tcPr>
          <w:p>
            <w:pPr>
              <w:jc w:val="center"/>
              <w:ind w:left="534"/>
              <w:spacing w:after="0"/>
              <w:rPr>
                <w:sz w:val="20"/>
                <w:szCs w:val="20"/>
                <w:color w:val="auto"/>
              </w:rPr>
            </w:pPr>
            <w:r>
              <w:rPr>
                <w:rFonts w:ascii="Arial" w:cs="Arial" w:eastAsia="Arial" w:hAnsi="Arial"/>
                <w:sz w:val="16"/>
                <w:szCs w:val="16"/>
                <w:b w:val="1"/>
                <w:bCs w:val="1"/>
                <w:color w:val="auto"/>
                <w:w w:val="84"/>
              </w:rPr>
              <w:t>Decrease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4120" w:type="dxa"/>
            <w:vAlign w:val="bottom"/>
          </w:tcPr>
          <w:p>
            <w:pPr>
              <w:ind w:left="180"/>
              <w:spacing w:after="0" w:line="204"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0"/>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7"/>
              </w:rPr>
              <w:t>Nine months ended</w:t>
            </w:r>
          </w:p>
        </w:tc>
        <w:tc>
          <w:tcPr>
            <w:tcW w:w="120" w:type="dxa"/>
            <w:vAlign w:val="bottom"/>
          </w:tcPr>
          <w:p>
            <w:pPr>
              <w:spacing w:after="0"/>
              <w:rPr>
                <w:sz w:val="24"/>
                <w:szCs w:val="24"/>
                <w:color w:val="auto"/>
              </w:rPr>
            </w:pPr>
          </w:p>
        </w:tc>
        <w:tc>
          <w:tcPr>
            <w:tcW w:w="2300" w:type="dxa"/>
            <w:vAlign w:val="bottom"/>
            <w:gridSpan w:val="5"/>
            <w:vMerge w:val="restart"/>
          </w:tcPr>
          <w:p>
            <w:pPr>
              <w:jc w:val="center"/>
              <w:ind w:right="240"/>
              <w:spacing w:after="0"/>
              <w:rPr>
                <w:sz w:val="20"/>
                <w:szCs w:val="20"/>
                <w:color w:val="auto"/>
              </w:rPr>
            </w:pPr>
            <w:r>
              <w:rPr>
                <w:rFonts w:ascii="Arial" w:cs="Arial" w:eastAsia="Arial" w:hAnsi="Arial"/>
                <w:sz w:val="16"/>
                <w:szCs w:val="16"/>
                <w:b w:val="1"/>
                <w:bCs w:val="1"/>
                <w:color w:val="auto"/>
                <w:w w:val="86"/>
              </w:rPr>
              <w:t>Increase (decrease)</w:t>
            </w:r>
          </w:p>
        </w:tc>
        <w:tc>
          <w:tcPr>
            <w:tcW w:w="160" w:type="dxa"/>
            <w:vAlign w:val="bottom"/>
          </w:tcPr>
          <w:p>
            <w:pPr>
              <w:spacing w:after="0"/>
              <w:rPr>
                <w:sz w:val="24"/>
                <w:szCs w:val="24"/>
                <w:color w:val="auto"/>
              </w:rPr>
            </w:pPr>
          </w:p>
        </w:tc>
        <w:tc>
          <w:tcPr>
            <w:tcW w:w="2140" w:type="dxa"/>
            <w:vAlign w:val="bottom"/>
            <w:gridSpan w:val="3"/>
            <w:vMerge w:val="restart"/>
          </w:tcPr>
          <w:p>
            <w:pPr>
              <w:jc w:val="right"/>
              <w:ind w:right="493"/>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30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2021 amount represents the revenue of the U.K. JV Entities through the June 1, 2021 closing of the U.K. JV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0" w:name="page61"/>
    <w:bookmarkEnd w:id="60"/>
    <w:p>
      <w:pPr>
        <w:ind w:firstLine="318"/>
        <w:spacing w:after="0" w:line="264"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decreases in Switzerland’s revenue during the three and nine months ended September 30, 2022</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periods in </w:t>
      </w:r>
      <w:r>
        <w:rPr>
          <w:rFonts w:ascii="Arial" w:cs="Arial" w:eastAsia="Arial" w:hAnsi="Arial"/>
          <w:sz w:val="18"/>
          <w:szCs w:val="18"/>
          <w:color w:val="2C2C2C"/>
        </w:rPr>
        <w:t>2021</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w w:val="95"/>
              </w:rPr>
              <w:t>Three-month period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6"/>
              </w:rPr>
              <w:t>Nine-month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94"/>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5"/>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subscription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93"/>
              <w:spacing w:after="0"/>
              <w:rPr>
                <w:sz w:val="20"/>
                <w:szCs w:val="20"/>
                <w:color w:val="auto"/>
              </w:rPr>
            </w:pPr>
            <w:r>
              <w:rPr>
                <w:rFonts w:ascii="Arial" w:cs="Arial" w:eastAsia="Arial" w:hAnsi="Arial"/>
                <w:sz w:val="16"/>
                <w:szCs w:val="16"/>
                <w:b w:val="1"/>
                <w:bCs w:val="1"/>
                <w:color w:val="auto"/>
                <w:w w:val="87"/>
              </w:rPr>
              <w:t>Subscription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7"/>
        </w:trPr>
        <w:tc>
          <w:tcPr>
            <w:tcW w:w="3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revenue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r>
      <w:tr>
        <w:trPr>
          <w:trHeight w:val="203"/>
        </w:trPr>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tcPr>
          <w:p>
            <w:pPr>
              <w:jc w:val="right"/>
              <w:ind w:right="773"/>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63"/>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3"/>
        </w:trPr>
        <w:tc>
          <w:tcPr>
            <w:tcW w:w="38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5"/>
              </w:rPr>
              <w:t>Decrease in residential fixed subscription revenue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8"/>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change in:</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5"/>
        </w:trPr>
        <w:tc>
          <w:tcPr>
            <w:tcW w:w="384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173"/>
        </w:trPr>
        <w:tc>
          <w:tcPr>
            <w:tcW w:w="3840" w:type="dxa"/>
            <w:vAlign w:val="bottom"/>
          </w:tcPr>
          <w:p>
            <w:pPr>
              <w:ind w:left="20"/>
              <w:spacing w:after="0" w:line="173" w:lineRule="exact"/>
              <w:rPr>
                <w:sz w:val="20"/>
                <w:szCs w:val="20"/>
                <w:color w:val="auto"/>
              </w:rPr>
            </w:pPr>
            <w:r>
              <w:rPr>
                <w:rFonts w:ascii="Arial" w:cs="Arial" w:eastAsia="Arial" w:hAnsi="Arial"/>
                <w:sz w:val="18"/>
                <w:szCs w:val="18"/>
                <w:color w:val="auto"/>
              </w:rPr>
              <w:t>Decrease in residential fixed non-subscription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9"/>
        </w:trPr>
        <w:tc>
          <w:tcPr>
            <w:tcW w:w="38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fixed revenue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Increase in residential mobile revenue (a)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(b)</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Decrease in other revenue</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9"/>
        </w:trPr>
        <w:tc>
          <w:tcPr>
            <w:tcW w:w="38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19"/>
        </w:trPr>
        <w:tc>
          <w:tcPr>
            <w:tcW w:w="384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(81.4)</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(120.1)</w:t>
            </w:r>
          </w:p>
        </w:tc>
      </w:tr>
      <w:tr>
        <w:trPr>
          <w:trHeight w:val="20"/>
        </w:trPr>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94" w:lineRule="auto"/>
        <w:tabs>
          <w:tab w:leader="none" w:pos="47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increases in residential mobile subscription revenue are primarily attributable to increases in the average number of mobile subscribers. The increases in residential mobile non-subscription revenue are primarily due to increases in revenue from handset sales.</w:t>
      </w:r>
    </w:p>
    <w:p>
      <w:pPr>
        <w:spacing w:after="0" w:line="183" w:lineRule="exact"/>
        <w:rPr>
          <w:rFonts w:ascii="Arial" w:cs="Arial" w:eastAsia="Arial" w:hAnsi="Arial"/>
          <w:sz w:val="17"/>
          <w:szCs w:val="17"/>
          <w:color w:val="auto"/>
        </w:rPr>
      </w:pPr>
    </w:p>
    <w:p>
      <w:pPr>
        <w:ind w:left="480" w:hanging="474"/>
        <w:spacing w:after="0" w:line="264" w:lineRule="auto"/>
        <w:tabs>
          <w:tab w:leader="none" w:pos="47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increases in B2B non-subscription revenue are primarily attributable to the net effect of (i) higher revenue from wholesale services and (ii) lower revenue from telephony services.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1" w:name="page62"/>
    <w:bookmarkEnd w:id="61"/>
    <w:p>
      <w:pPr>
        <w:ind w:firstLine="318"/>
        <w:spacing w:after="0" w:line="264" w:lineRule="auto"/>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decreases in Belgium’s revenue during the three and nine months ended September 30, 2022</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periods in </w:t>
      </w:r>
      <w:r>
        <w:rPr>
          <w:rFonts w:ascii="Arial" w:cs="Arial" w:eastAsia="Arial" w:hAnsi="Arial"/>
          <w:sz w:val="18"/>
          <w:szCs w:val="18"/>
          <w:color w:val="2C2C2C"/>
        </w:rPr>
        <w:t>2021</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5"/>
              </w:rPr>
              <w:t>Three-month period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w w:val="98"/>
              </w:rPr>
              <w:t>Nine-month period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94"/>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7"/>
        </w:trPr>
        <w:tc>
          <w:tcPr>
            <w:tcW w:w="3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Total</w:t>
            </w:r>
          </w:p>
        </w:tc>
      </w:tr>
      <w:tr>
        <w:trPr>
          <w:trHeight w:val="203"/>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63"/>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3"/>
        </w:trPr>
        <w:tc>
          <w:tcPr>
            <w:tcW w:w="38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2"/>
              </w:rPr>
              <w:t>Increase (decrease) in residential fixed subscription</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8"/>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5"/>
        </w:trPr>
        <w:tc>
          <w:tcPr>
            <w:tcW w:w="382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173"/>
        </w:trPr>
        <w:tc>
          <w:tcPr>
            <w:tcW w:w="3820" w:type="dxa"/>
            <w:vAlign w:val="bottom"/>
          </w:tcPr>
          <w:p>
            <w:pPr>
              <w:ind w:left="20"/>
              <w:spacing w:after="0" w:line="173" w:lineRule="exact"/>
              <w:rPr>
                <w:sz w:val="20"/>
                <w:szCs w:val="20"/>
                <w:color w:val="auto"/>
              </w:rPr>
            </w:pPr>
            <w:r>
              <w:rPr>
                <w:rFonts w:ascii="Arial" w:cs="Arial" w:eastAsia="Arial" w:hAnsi="Arial"/>
                <w:sz w:val="18"/>
                <w:szCs w:val="18"/>
                <w:color w:val="auto"/>
              </w:rPr>
              <w:t>Increase (decrease) in residential fixed non-</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7"/>
        </w:trPr>
        <w:tc>
          <w:tcPr>
            <w:tcW w:w="382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54"/>
        </w:trPr>
        <w:tc>
          <w:tcPr>
            <w:tcW w:w="3820" w:type="dxa"/>
            <w:vAlign w:val="bottom"/>
            <w:tcBorders>
              <w:top w:val="single" w:sz="8" w:color="CCEEFF"/>
            </w:tcBorders>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fixed</w:t>
            </w: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38"/>
        </w:trPr>
        <w:tc>
          <w:tcPr>
            <w:tcW w:w="3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color w:val="auto"/>
                <w:w w:val="89"/>
              </w:rPr>
              <w:t>Increase (decrease) in residential mobile revenue (a)</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(b)</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9"/>
        </w:trPr>
        <w:tc>
          <w:tcPr>
            <w:tcW w:w="38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color w:val="auto"/>
              </w:rPr>
              <w:t>Impact of dispositions</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r>
      <w:tr>
        <w:trPr>
          <w:trHeight w:val="219"/>
        </w:trPr>
        <w:tc>
          <w:tcPr>
            <w:tcW w:w="3820" w:type="dxa"/>
            <w:vAlign w:val="bottom"/>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w:t>
            </w:r>
          </w:p>
        </w:tc>
      </w:tr>
      <w:tr>
        <w:trPr>
          <w:trHeight w:val="20"/>
        </w:trPr>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increases in residential mobile subscription revenue are primarily attributable to increases in ARPU. The decreases in residential mobile non-subscription revenue are primarily due to lower interconnect revenue.</w:t>
      </w:r>
    </w:p>
    <w:p>
      <w:pPr>
        <w:spacing w:after="0" w:line="20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increases in B2B subscription revenue are primarily due to increases in ARPU. The increases in B2B non-subscription revenue are primarily attributable to increases in interconnect revenue and higher revenue from wholesale services.</w:t>
      </w:r>
    </w:p>
    <w:p>
      <w:pPr>
        <w:spacing w:after="0" w:line="207"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 xml:space="preserve">For information concerning certain regulatory developments that could have an adverse impact on our revenue in Belgium, see </w:t>
      </w:r>
      <w:r>
        <w:rPr>
          <w:rFonts w:ascii="Arial" w:cs="Arial" w:eastAsia="Arial" w:hAnsi="Arial"/>
          <w:sz w:val="15"/>
          <w:szCs w:val="15"/>
          <w:i w:val="1"/>
          <w:iCs w:val="1"/>
          <w:color w:val="auto"/>
        </w:rPr>
        <w:t>Legal and Regulatory</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Proceedings and Other Contingencies — Belgium Regulatory Developments </w:t>
      </w:r>
      <w:r>
        <w:rPr>
          <w:rFonts w:ascii="Arial" w:cs="Arial" w:eastAsia="Arial" w:hAnsi="Arial"/>
          <w:sz w:val="15"/>
          <w:szCs w:val="15"/>
          <w:color w:val="auto"/>
        </w:rPr>
        <w:t>in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2" w:name="page63"/>
    <w:bookmarkEnd w:id="62"/>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Ireland. </w:t>
      </w:r>
      <w:r>
        <w:rPr>
          <w:rFonts w:ascii="Arial" w:cs="Arial" w:eastAsia="Arial" w:hAnsi="Arial"/>
          <w:sz w:val="18"/>
          <w:szCs w:val="18"/>
          <w:color w:val="auto"/>
        </w:rPr>
        <w:t>The details of the decreases in Ireland’s revenue during the three and nine months ended September 30, 2022</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in </w:t>
      </w:r>
      <w:r>
        <w:rPr>
          <w:rFonts w:ascii="Arial" w:cs="Arial" w:eastAsia="Arial" w:hAnsi="Arial"/>
          <w:sz w:val="18"/>
          <w:szCs w:val="18"/>
          <w:color w:val="2C2C2C"/>
        </w:rPr>
        <w:t>2021</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5"/>
              </w:rPr>
              <w:t>Three-month period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w w:val="98"/>
              </w:rPr>
              <w:t>Nine-month period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94"/>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7"/>
        </w:trPr>
        <w:tc>
          <w:tcPr>
            <w:tcW w:w="3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Total</w:t>
            </w:r>
          </w:p>
        </w:tc>
      </w:tr>
      <w:tr>
        <w:trPr>
          <w:trHeight w:val="203"/>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63"/>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3"/>
        </w:trPr>
        <w:tc>
          <w:tcPr>
            <w:tcW w:w="38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2"/>
              </w:rPr>
              <w:t>Increase (decrease) in residential fixed subscription</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8"/>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5"/>
        </w:trPr>
        <w:tc>
          <w:tcPr>
            <w:tcW w:w="382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173"/>
        </w:trPr>
        <w:tc>
          <w:tcPr>
            <w:tcW w:w="3820" w:type="dxa"/>
            <w:vAlign w:val="bottom"/>
          </w:tcPr>
          <w:p>
            <w:pPr>
              <w:ind w:left="20"/>
              <w:spacing w:after="0" w:line="173" w:lineRule="exact"/>
              <w:rPr>
                <w:sz w:val="20"/>
                <w:szCs w:val="20"/>
                <w:color w:val="auto"/>
              </w:rPr>
            </w:pPr>
            <w:r>
              <w:rPr>
                <w:rFonts w:ascii="Arial" w:cs="Arial" w:eastAsia="Arial" w:hAnsi="Arial"/>
                <w:sz w:val="18"/>
                <w:szCs w:val="18"/>
                <w:color w:val="auto"/>
              </w:rPr>
              <w:t>Decrease in residential fixed non-subscription</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7"/>
        </w:trPr>
        <w:tc>
          <w:tcPr>
            <w:tcW w:w="3820" w:type="dxa"/>
            <w:vAlign w:val="bottom"/>
          </w:tcPr>
          <w:p>
            <w:pPr>
              <w:ind w:left="18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154"/>
        </w:trPr>
        <w:tc>
          <w:tcPr>
            <w:tcW w:w="3820" w:type="dxa"/>
            <w:vAlign w:val="bottom"/>
            <w:tcBorders>
              <w:top w:val="single" w:sz="8" w:color="CCEEFF"/>
            </w:tcBorders>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fixed</w:t>
            </w: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38"/>
        </w:trPr>
        <w:tc>
          <w:tcPr>
            <w:tcW w:w="3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color w:val="auto"/>
                <w:w w:val="95"/>
              </w:rPr>
              <w:t>Increase (decrease) in residential mobile revenue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5"/>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(decrease) in other revenue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19"/>
        </w:trPr>
        <w:tc>
          <w:tcPr>
            <w:tcW w:w="3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5"/>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r>
      <w:tr>
        <w:trPr>
          <w:trHeight w:val="244"/>
        </w:trPr>
        <w:tc>
          <w:tcPr>
            <w:tcW w:w="3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Programming and Other Direct Costs of Services, Other Operating Expenses and SG&amp;A Expenses of our Consolidated Reportable Segments</w:t>
      </w:r>
    </w:p>
    <w:p>
      <w:pPr>
        <w:spacing w:after="0" w:line="27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of our Consolidated Reportable Segments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consolidated reportable segments: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380" w:type="dxa"/>
            <w:vAlign w:val="bottom"/>
            <w:gridSpan w:val="7"/>
          </w:tcPr>
          <w:p>
            <w:pPr>
              <w:ind w:left="60"/>
              <w:spacing w:after="0"/>
              <w:rPr>
                <w:sz w:val="20"/>
                <w:szCs w:val="20"/>
                <w:color w:val="auto"/>
              </w:rPr>
            </w:pPr>
            <w:r>
              <w:rPr>
                <w:rFonts w:ascii="Arial" w:cs="Arial" w:eastAsia="Arial" w:hAnsi="Arial"/>
                <w:sz w:val="16"/>
                <w:szCs w:val="16"/>
                <w:b w:val="1"/>
                <w:bCs w:val="1"/>
                <w:color w:val="auto"/>
                <w:w w:val="94"/>
              </w:rPr>
              <w:t>Three months ended September</w:t>
            </w:r>
          </w:p>
        </w:tc>
        <w:tc>
          <w:tcPr>
            <w:tcW w:w="120" w:type="dxa"/>
            <w:vAlign w:val="bottom"/>
          </w:tcPr>
          <w:p>
            <w:pPr>
              <w:spacing w:after="0"/>
              <w:rPr>
                <w:sz w:val="16"/>
                <w:szCs w:val="16"/>
                <w:color w:val="auto"/>
              </w:rPr>
            </w:pPr>
          </w:p>
        </w:tc>
        <w:tc>
          <w:tcPr>
            <w:tcW w:w="2300" w:type="dxa"/>
            <w:vAlign w:val="bottom"/>
            <w:gridSpan w:val="4"/>
            <w:vMerge w:val="restart"/>
          </w:tcPr>
          <w:p>
            <w:pPr>
              <w:jc w:val="center"/>
              <w:ind w:right="240"/>
              <w:spacing w:after="0"/>
              <w:rPr>
                <w:sz w:val="20"/>
                <w:szCs w:val="20"/>
                <w:color w:val="auto"/>
              </w:rPr>
            </w:pPr>
            <w:r>
              <w:rPr>
                <w:rFonts w:ascii="Arial" w:cs="Arial" w:eastAsia="Arial" w:hAnsi="Arial"/>
                <w:sz w:val="16"/>
                <w:szCs w:val="16"/>
                <w:b w:val="1"/>
                <w:bCs w:val="1"/>
                <w:color w:val="auto"/>
                <w:w w:val="86"/>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9"/>
              </w:rPr>
              <w:t>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18"/>
        </w:trPr>
        <w:tc>
          <w:tcPr>
            <w:tcW w:w="4140" w:type="dxa"/>
            <w:vAlign w:val="bottom"/>
          </w:tcPr>
          <w:p>
            <w:pPr>
              <w:ind w:left="180"/>
              <w:spacing w:after="0" w:line="204"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664.0</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7"/>
              </w:rPr>
              <w:t>Nine months ended</w:t>
            </w:r>
          </w:p>
        </w:tc>
        <w:tc>
          <w:tcPr>
            <w:tcW w:w="120" w:type="dxa"/>
            <w:vAlign w:val="bottom"/>
          </w:tcPr>
          <w:p>
            <w:pPr>
              <w:spacing w:after="0"/>
              <w:rPr>
                <w:sz w:val="16"/>
                <w:szCs w:val="16"/>
                <w:color w:val="auto"/>
              </w:rPr>
            </w:pPr>
          </w:p>
        </w:tc>
        <w:tc>
          <w:tcPr>
            <w:tcW w:w="1460" w:type="dxa"/>
            <w:vAlign w:val="bottom"/>
            <w:gridSpan w:val="3"/>
            <w:vMerge w:val="restart"/>
          </w:tcPr>
          <w:p>
            <w:pPr>
              <w:jc w:val="center"/>
              <w:ind w:left="534"/>
              <w:spacing w:after="0"/>
              <w:rPr>
                <w:sz w:val="20"/>
                <w:szCs w:val="20"/>
                <w:color w:val="auto"/>
              </w:rPr>
            </w:pPr>
            <w:r>
              <w:rPr>
                <w:rFonts w:ascii="Arial" w:cs="Arial" w:eastAsia="Arial" w:hAnsi="Arial"/>
                <w:sz w:val="16"/>
                <w:szCs w:val="16"/>
                <w:b w:val="1"/>
                <w:bCs w:val="1"/>
                <w:color w:val="auto"/>
                <w:w w:val="84"/>
              </w:rPr>
              <w:t>Decrease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91"/>
              </w:rPr>
              <w:t>(0.4)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44"/>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2021 amount represents the Adjusted EBITDA of the U.K. JV Entities through the June 1, 2021 closing of the U.K. JV Transaction.</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Adjusted EBITDA margins (Adjusted EBITDA divided by revenue) of each of our consolidated reportable segments: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62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w w:val="93"/>
              </w:rPr>
              <w:t>Three months ended September 30,</w:t>
            </w:r>
          </w:p>
        </w:tc>
        <w:tc>
          <w:tcPr>
            <w:tcW w:w="2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2620" w:type="dxa"/>
            <w:vAlign w:val="bottom"/>
            <w:gridSpan w:val="4"/>
            <w:vMerge w:val="continue"/>
          </w:tcPr>
          <w:p>
            <w:pPr>
              <w:spacing w:after="0"/>
              <w:rPr>
                <w:sz w:val="18"/>
                <w:szCs w:val="18"/>
                <w:color w:val="auto"/>
              </w:rPr>
            </w:pPr>
          </w:p>
        </w:tc>
        <w:tc>
          <w:tcPr>
            <w:tcW w:w="1760" w:type="dxa"/>
            <w:vAlign w:val="bottom"/>
            <w:gridSpan w:val="3"/>
          </w:tcPr>
          <w:p>
            <w:pPr>
              <w:jc w:val="center"/>
              <w:ind w:left="676"/>
              <w:spacing w:after="0"/>
              <w:rPr>
                <w:sz w:val="20"/>
                <w:szCs w:val="20"/>
                <w:color w:val="auto"/>
              </w:rPr>
            </w:pPr>
            <w:r>
              <w:rPr>
                <w:rFonts w:ascii="Arial" w:cs="Arial" w:eastAsia="Arial" w:hAnsi="Arial"/>
                <w:sz w:val="16"/>
                <w:szCs w:val="16"/>
                <w:b w:val="1"/>
                <w:bCs w:val="1"/>
                <w:color w:val="auto"/>
                <w:w w:val="87"/>
              </w:rPr>
              <w:t>September 30,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w w:val="84"/>
              </w:rPr>
              <w:t>2021</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25"/>
        </w:trPr>
        <w:tc>
          <w:tcPr>
            <w:tcW w:w="6100" w:type="dxa"/>
            <w:vAlign w:val="bottom"/>
          </w:tcPr>
          <w:p>
            <w:pPr>
              <w:ind w:left="20"/>
              <w:spacing w:after="0"/>
              <w:rPr>
                <w:sz w:val="20"/>
                <w:szCs w:val="20"/>
                <w:color w:val="auto"/>
              </w:rPr>
            </w:pPr>
            <w:r>
              <w:rPr>
                <w:rFonts w:ascii="Arial" w:cs="Arial" w:eastAsia="Arial" w:hAnsi="Arial"/>
                <w:sz w:val="18"/>
                <w:szCs w:val="18"/>
                <w:color w:val="auto"/>
              </w:rPr>
              <w:t>Belgium</w:t>
            </w:r>
          </w:p>
        </w:tc>
        <w:tc>
          <w:tcPr>
            <w:tcW w:w="1200" w:type="dxa"/>
            <w:vAlign w:val="bottom"/>
          </w:tcPr>
          <w:p>
            <w:pPr>
              <w:jc w:val="right"/>
              <w:spacing w:after="0"/>
              <w:rPr>
                <w:sz w:val="20"/>
                <w:szCs w:val="20"/>
                <w:color w:val="auto"/>
              </w:rPr>
            </w:pPr>
            <w:r>
              <w:rPr>
                <w:rFonts w:ascii="Arial" w:cs="Arial" w:eastAsia="Arial" w:hAnsi="Arial"/>
                <w:sz w:val="18"/>
                <w:szCs w:val="18"/>
                <w:color w:val="auto"/>
              </w:rPr>
              <w:t>47.9 %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49.1 %</w:t>
            </w:r>
          </w:p>
        </w:tc>
        <w:tc>
          <w:tcPr>
            <w:tcW w:w="0" w:type="dxa"/>
            <w:vAlign w:val="bottom"/>
          </w:tcPr>
          <w:p>
            <w:pPr>
              <w:spacing w:after="0"/>
              <w:rPr>
                <w:sz w:val="1"/>
                <w:szCs w:val="1"/>
                <w:color w:val="auto"/>
              </w:rPr>
            </w:pPr>
          </w:p>
        </w:tc>
      </w:tr>
      <w:tr>
        <w:trPr>
          <w:trHeight w:val="22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Three months ended</w:t>
            </w:r>
          </w:p>
        </w:tc>
        <w:tc>
          <w:tcPr>
            <w:tcW w:w="300" w:type="dxa"/>
            <w:vAlign w:val="bottom"/>
          </w:tcPr>
          <w:p>
            <w:pPr>
              <w:spacing w:after="0"/>
              <w:rPr>
                <w:sz w:val="16"/>
                <w:szCs w:val="16"/>
                <w:color w:val="auto"/>
              </w:rPr>
            </w:pPr>
          </w:p>
        </w:tc>
        <w:tc>
          <w:tcPr>
            <w:tcW w:w="2080" w:type="dxa"/>
            <w:vAlign w:val="bottom"/>
            <w:gridSpan w:val="4"/>
            <w:vMerge w:val="restart"/>
          </w:tcPr>
          <w:p>
            <w:pPr>
              <w:jc w:val="center"/>
              <w:ind w:right="420"/>
              <w:spacing w:after="0"/>
              <w:rPr>
                <w:sz w:val="20"/>
                <w:szCs w:val="20"/>
                <w:color w:val="auto"/>
              </w:rPr>
            </w:pPr>
            <w:r>
              <w:rPr>
                <w:rFonts w:ascii="Arial" w:cs="Arial" w:eastAsia="Arial" w:hAnsi="Arial"/>
                <w:sz w:val="16"/>
                <w:szCs w:val="16"/>
                <w:b w:val="1"/>
                <w:bCs w:val="1"/>
                <w:color w:val="auto"/>
                <w:w w:val="86"/>
              </w:rPr>
              <w:t>Increase (decrease)</w:t>
            </w:r>
          </w:p>
        </w:tc>
        <w:tc>
          <w:tcPr>
            <w:tcW w:w="140" w:type="dxa"/>
            <w:vAlign w:val="bottom"/>
          </w:tcPr>
          <w:p>
            <w:pPr>
              <w:spacing w:after="0"/>
              <w:rPr>
                <w:sz w:val="16"/>
                <w:szCs w:val="16"/>
                <w:color w:val="auto"/>
              </w:rPr>
            </w:pPr>
          </w:p>
        </w:tc>
        <w:tc>
          <w:tcPr>
            <w:tcW w:w="2120" w:type="dxa"/>
            <w:vAlign w:val="bottom"/>
            <w:gridSpan w:val="3"/>
            <w:vMerge w:val="restart"/>
          </w:tcPr>
          <w:p>
            <w:pPr>
              <w:jc w:val="right"/>
              <w:ind w:right="112"/>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6"/>
              </w:rPr>
              <w:t>in millions, except percentages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5"/>
        </w:trPr>
        <w:tc>
          <w:tcPr>
            <w:tcW w:w="420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8"/>
        </w:trPr>
        <w:tc>
          <w:tcPr>
            <w:tcW w:w="420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Nine months ended</w:t>
            </w:r>
          </w:p>
        </w:tc>
        <w:tc>
          <w:tcPr>
            <w:tcW w:w="260" w:type="dxa"/>
            <w:vAlign w:val="bottom"/>
          </w:tcPr>
          <w:p>
            <w:pPr>
              <w:spacing w:after="0"/>
              <w:rPr>
                <w:sz w:val="16"/>
                <w:szCs w:val="16"/>
                <w:color w:val="auto"/>
              </w:rPr>
            </w:pPr>
          </w:p>
        </w:tc>
        <w:tc>
          <w:tcPr>
            <w:tcW w:w="2100" w:type="dxa"/>
            <w:vAlign w:val="bottom"/>
            <w:gridSpan w:val="4"/>
            <w:vMerge w:val="restart"/>
          </w:tcPr>
          <w:p>
            <w:pPr>
              <w:jc w:val="center"/>
              <w:ind w:right="360"/>
              <w:spacing w:after="0"/>
              <w:rPr>
                <w:sz w:val="20"/>
                <w:szCs w:val="20"/>
                <w:color w:val="auto"/>
              </w:rPr>
            </w:pPr>
            <w:r>
              <w:rPr>
                <w:rFonts w:ascii="Arial" w:cs="Arial" w:eastAsia="Arial" w:hAnsi="Arial"/>
                <w:sz w:val="16"/>
                <w:szCs w:val="16"/>
                <w:b w:val="1"/>
                <w:bCs w:val="1"/>
                <w:color w:val="auto"/>
                <w:w w:val="86"/>
              </w:rPr>
              <w:t>Increase (decrease)</w:t>
            </w:r>
          </w:p>
        </w:tc>
        <w:tc>
          <w:tcPr>
            <w:tcW w:w="140" w:type="dxa"/>
            <w:vAlign w:val="bottom"/>
          </w:tcPr>
          <w:p>
            <w:pPr>
              <w:spacing w:after="0"/>
              <w:rPr>
                <w:sz w:val="16"/>
                <w:szCs w:val="16"/>
                <w:color w:val="auto"/>
              </w:rPr>
            </w:pPr>
          </w:p>
        </w:tc>
        <w:tc>
          <w:tcPr>
            <w:tcW w:w="2120" w:type="dxa"/>
            <w:vAlign w:val="bottom"/>
            <w:gridSpan w:val="3"/>
            <w:vMerge w:val="restart"/>
          </w:tcPr>
          <w:p>
            <w:pPr>
              <w:jc w:val="right"/>
              <w:ind w:right="112"/>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September 30,</w:t>
            </w:r>
          </w:p>
        </w:tc>
        <w:tc>
          <w:tcPr>
            <w:tcW w:w="26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6"/>
              </w:rPr>
              <w:t>in millions, except percentages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(971.0)</w:t>
            </w:r>
          </w:p>
        </w:tc>
        <w:tc>
          <w:tcPr>
            <w:tcW w:w="100" w:type="dxa"/>
            <w:vAlign w:val="bottom"/>
          </w:tcPr>
          <w:p>
            <w:pPr>
              <w:spacing w:after="0"/>
              <w:rPr>
                <w:sz w:val="19"/>
                <w:szCs w:val="19"/>
                <w:color w:val="auto"/>
              </w:rPr>
            </w:pP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(48.3)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(60.3)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(42.0)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9"/>
              </w:rPr>
              <w:t>(49.6)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5"/>
        </w:trPr>
        <w:tc>
          <w:tcPr>
            <w:tcW w:w="420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(38.2)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9"/>
              </w:rPr>
              <w:t>(23.9)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(41.9)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9"/>
              </w:rPr>
              <w:t>(36.3)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(30.9)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8"/>
                <w:szCs w:val="18"/>
                <w:color w:val="auto"/>
                <w:w w:val="85"/>
              </w:rPr>
              <w:t>10.9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8"/>
        </w:trPr>
        <w:tc>
          <w:tcPr>
            <w:tcW w:w="420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(3,036.7)</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(36.2)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4"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7" w:lineRule="exact"/>
        <w:rPr>
          <w:rFonts w:ascii="Arial" w:cs="Arial" w:eastAsia="Arial" w:hAnsi="Arial"/>
          <w:sz w:val="17"/>
          <w:szCs w:val="17"/>
          <w:color w:val="auto"/>
        </w:rPr>
      </w:pPr>
    </w:p>
    <w:p>
      <w:pPr>
        <w:jc w:val="both"/>
        <w:ind w:left="480" w:hanging="474"/>
        <w:spacing w:after="0" w:line="252" w:lineRule="auto"/>
        <w:tabs>
          <w:tab w:leader="none" w:pos="4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$32.8 million and $46.3 million during the three months ended September 30, 2022 and 2021, respectively, and $106.9 million and $181.8 million during the nine months ended September 30, 2022 and 2021, respectively.</w:t>
      </w:r>
    </w:p>
    <w:p>
      <w:pPr>
        <w:spacing w:after="0" w:line="217" w:lineRule="exact"/>
        <w:rPr>
          <w:rFonts w:ascii="Arial" w:cs="Arial" w:eastAsia="Arial" w:hAnsi="Arial"/>
          <w:sz w:val="18"/>
          <w:szCs w:val="18"/>
          <w:color w:val="auto"/>
        </w:rPr>
      </w:pPr>
    </w:p>
    <w:p>
      <w:pPr>
        <w:jc w:val="both"/>
        <w:ind w:left="480" w:hanging="474"/>
        <w:spacing w:after="0" w:line="309" w:lineRule="auto"/>
        <w:tabs>
          <w:tab w:leader="none" w:pos="474" w:val="left"/>
        </w:tabs>
        <w:numPr>
          <w:ilvl w:val="0"/>
          <w:numId w:val="56"/>
        </w:numPr>
        <w:rPr>
          <w:rFonts w:ascii="Arial" w:cs="Arial" w:eastAsia="Arial" w:hAnsi="Arial"/>
          <w:sz w:val="15"/>
          <w:szCs w:val="15"/>
          <w:color w:val="auto"/>
        </w:rPr>
      </w:pPr>
      <w:r>
        <w:rPr>
          <w:rFonts w:ascii="Arial" w:cs="Arial" w:eastAsia="Arial" w:hAnsi="Arial"/>
          <w:sz w:val="15"/>
          <w:szCs w:val="15"/>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change in our B2B subscription revenue is attributable to the conversion of certain residential subscribers to SOHO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6" w:name="page67"/>
    <w:bookmarkEnd w:id="66"/>
    <w:p>
      <w:pPr>
        <w:jc w:val="both"/>
        <w:ind w:left="480" w:hanging="474"/>
        <w:spacing w:after="0" w:line="255" w:lineRule="auto"/>
        <w:tabs>
          <w:tab w:leader="none" w:pos="4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decreased $155.1 million or 8.2% and $3,036.7 million or 36.2% during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respectively, as compared to the corresponding periods in 2021. The decrease for the nine-month comparison includes a decrease of $2,736.4 million attributable to the impact of the U.K. JV Transaction. On an organic basis, our consolidated revenue increased $76.6 million or 4.1% and $114.7 million or 2.0%, respectively.</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decreases in our consolidated residential revenue during the three and nine months ended September 30, 2022,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periods in 2021,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Three-month</w:t>
            </w:r>
          </w:p>
        </w:tc>
        <w:tc>
          <w:tcPr>
            <w:tcW w:w="180" w:type="dxa"/>
            <w:vAlign w:val="bottom"/>
          </w:tcPr>
          <w:p>
            <w:pPr>
              <w:spacing w:after="0"/>
              <w:rPr>
                <w:sz w:val="16"/>
                <w:szCs w:val="16"/>
                <w:color w:val="auto"/>
              </w:rPr>
            </w:pPr>
          </w:p>
        </w:tc>
        <w:tc>
          <w:tcPr>
            <w:tcW w:w="1140" w:type="dxa"/>
            <w:vAlign w:val="bottom"/>
          </w:tcPr>
          <w:p>
            <w:pPr>
              <w:jc w:val="right"/>
              <w:ind w:right="173"/>
              <w:spacing w:after="0"/>
              <w:rPr>
                <w:sz w:val="20"/>
                <w:szCs w:val="20"/>
                <w:color w:val="auto"/>
              </w:rPr>
            </w:pPr>
            <w:r>
              <w:rPr>
                <w:rFonts w:ascii="Arial" w:cs="Arial" w:eastAsia="Arial" w:hAnsi="Arial"/>
                <w:sz w:val="16"/>
                <w:szCs w:val="16"/>
                <w:b w:val="1"/>
                <w:bCs w:val="1"/>
                <w:color w:val="auto"/>
                <w:w w:val="96"/>
              </w:rPr>
              <w:t>Nine-month</w:t>
            </w:r>
          </w:p>
        </w:tc>
      </w:tr>
      <w:tr>
        <w:trPr>
          <w:trHeight w:val="208"/>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period</w:t>
            </w:r>
          </w:p>
        </w:tc>
        <w:tc>
          <w:tcPr>
            <w:tcW w:w="180" w:type="dxa"/>
            <w:vAlign w:val="bottom"/>
          </w:tcPr>
          <w:p>
            <w:pPr>
              <w:spacing w:after="0"/>
              <w:rPr>
                <w:sz w:val="18"/>
                <w:szCs w:val="18"/>
                <w:color w:val="auto"/>
              </w:rPr>
            </w:pPr>
          </w:p>
        </w:tc>
        <w:tc>
          <w:tcPr>
            <w:tcW w:w="1140" w:type="dxa"/>
            <w:vAlign w:val="bottom"/>
          </w:tcPr>
          <w:p>
            <w:pPr>
              <w:jc w:val="right"/>
              <w:ind w:right="353"/>
              <w:spacing w:after="0"/>
              <w:rPr>
                <w:sz w:val="20"/>
                <w:szCs w:val="20"/>
                <w:color w:val="auto"/>
              </w:rPr>
            </w:pPr>
            <w:r>
              <w:rPr>
                <w:rFonts w:ascii="Arial" w:cs="Arial" w:eastAsia="Arial" w:hAnsi="Arial"/>
                <w:sz w:val="16"/>
                <w:szCs w:val="16"/>
                <w:b w:val="1"/>
                <w:bCs w:val="1"/>
                <w:color w:val="auto"/>
              </w:rPr>
              <w:t>period</w:t>
            </w:r>
          </w:p>
        </w:tc>
      </w:tr>
      <w:tr>
        <w:trPr>
          <w:trHeight w:val="32"/>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r>
      <w:tr>
        <w:trPr>
          <w:trHeight w:val="201"/>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4"/>
          </w:tcPr>
          <w:p>
            <w:pPr>
              <w:jc w:val="right"/>
              <w:ind w:right="933"/>
              <w:spacing w:after="0"/>
              <w:rPr>
                <w:sz w:val="20"/>
                <w:szCs w:val="20"/>
                <w:color w:val="auto"/>
              </w:rPr>
            </w:pPr>
            <w:r>
              <w:rPr>
                <w:rFonts w:ascii="Arial" w:cs="Arial" w:eastAsia="Arial" w:hAnsi="Arial"/>
                <w:sz w:val="16"/>
                <w:szCs w:val="16"/>
                <w:b w:val="1"/>
                <w:bCs w:val="1"/>
                <w:color w:val="auto"/>
              </w:rPr>
              <w:t>in millions</w:t>
            </w:r>
          </w:p>
        </w:tc>
      </w:tr>
      <w:tr>
        <w:trPr>
          <w:trHeight w:val="163"/>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fixed subscription revenue due to change in: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residential fixed non-subscription revenue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decrease in residential fixed revenue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mobile non-subscription revenue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8"/>
        </w:trPr>
        <w:tc>
          <w:tcPr>
            <w:tcW w:w="8440" w:type="dxa"/>
            <w:vAlign w:val="bottom"/>
          </w:tcPr>
          <w:p>
            <w:pPr>
              <w:ind w:left="260"/>
              <w:spacing w:after="0"/>
              <w:rPr>
                <w:sz w:val="20"/>
                <w:szCs w:val="20"/>
                <w:color w:val="auto"/>
              </w:rPr>
            </w:pPr>
            <w:r>
              <w:rPr>
                <w:rFonts w:ascii="Arial" w:cs="Arial" w:eastAsia="Arial" w:hAnsi="Arial"/>
                <w:sz w:val="18"/>
                <w:szCs w:val="18"/>
                <w:color w:val="auto"/>
              </w:rPr>
              <w:t>Total organic increase (decrease) in residential revenue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(2,321.8)</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r>
      <w:tr>
        <w:trPr>
          <w:trHeight w:val="244"/>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decrease in residential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On an organic basis, our consolidated residential fixed subscription revenue decreased $8.3 million or 1.1% and $46.8 million or 2.0% during the three and nine months ended September 30, 2022, respectively, as compared to the corresponding periods in 2021, primarily attributable to decreases in </w:t>
      </w:r>
      <w:r>
        <w:rPr>
          <w:rFonts w:ascii="Arial" w:cs="Arial" w:eastAsia="Arial" w:hAnsi="Arial"/>
          <w:sz w:val="18"/>
          <w:szCs w:val="18"/>
          <w:color w:val="2C2C2C"/>
        </w:rPr>
        <w:t>Switzerland</w:t>
      </w:r>
      <w:r>
        <w:rPr>
          <w:rFonts w:ascii="Arial" w:cs="Arial" w:eastAsia="Arial" w:hAnsi="Arial"/>
          <w:sz w:val="18"/>
          <w:szCs w:val="18"/>
          <w:color w:val="auto"/>
        </w:rPr>
        <w:t xml:space="preserve"> </w:t>
      </w:r>
      <w:r>
        <w:rPr>
          <w:rFonts w:ascii="Arial" w:cs="Arial" w:eastAsia="Arial" w:hAnsi="Arial"/>
          <w:sz w:val="18"/>
          <w:szCs w:val="18"/>
          <w:color w:val="2C2C2C"/>
        </w:rPr>
        <w:t>and, for the nine-month comparison, Belgium.</w:t>
      </w:r>
    </w:p>
    <w:p>
      <w:pPr>
        <w:spacing w:after="0" w:line="21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On an organic basis, our consolidated residential fixed non-subscription revenue decreased $1.1 million or 4.4% and $4.8 million or 5.7% during the three and nine months ended September 30, 2022, respectively, as compared to the corresponding periods in 2021, primarily due to decreases in Switzerland.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an organic basis, our consolidated residential mobile subscription revenue increased $12.6 million or 3.4% and $54.7 million or 5.1% during the three and nine months ended September 30, 2022, respectively, as compared to the corresponding periods in 2021, primarily attributable to increases in Switzerland and Belgium.</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On an organic basis, our consolidated residential mobile non-subscription revenue decreased $1.2 million or 0.9% and $21.3 million or 4.9% during the three and nine months ended September 30, 2022, respectively, as compared to the corresponding periods in 2021, primarily due to decreases in </w:t>
      </w:r>
      <w:r>
        <w:rPr>
          <w:rFonts w:ascii="Arial" w:cs="Arial" w:eastAsia="Arial" w:hAnsi="Arial"/>
          <w:sz w:val="18"/>
          <w:szCs w:val="18"/>
          <w:color w:val="2C2C2C"/>
        </w:rPr>
        <w:t>Belgium,</w:t>
      </w:r>
      <w:r>
        <w:rPr>
          <w:rFonts w:ascii="Arial" w:cs="Arial" w:eastAsia="Arial" w:hAnsi="Arial"/>
          <w:sz w:val="18"/>
          <w:szCs w:val="18"/>
          <w:color w:val="auto"/>
        </w:rPr>
        <w:t xml:space="preserve"> </w:t>
      </w:r>
      <w:r>
        <w:rPr>
          <w:rFonts w:ascii="Arial" w:cs="Arial" w:eastAsia="Arial" w:hAnsi="Arial"/>
          <w:sz w:val="18"/>
          <w:szCs w:val="18"/>
          <w:color w:val="2C2C2C"/>
        </w:rPr>
        <w:t>partially offset by increases in Switzerland.</w:t>
      </w:r>
    </w:p>
    <w:p>
      <w:pPr>
        <w:spacing w:after="0" w:line="21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 xml:space="preserve">B2B revenue. </w:t>
      </w:r>
      <w:r>
        <w:rPr>
          <w:rFonts w:ascii="Arial" w:cs="Arial" w:eastAsia="Arial" w:hAnsi="Arial"/>
          <w:sz w:val="15"/>
          <w:szCs w:val="15"/>
          <w:color w:val="auto"/>
        </w:rPr>
        <w:t>On an organic basis, our consolidated B2B subscription revenue increased $6.3 million or 4.5% and $15.4 million or 3.7% during the three</w:t>
      </w:r>
      <w:r>
        <w:rPr>
          <w:rFonts w:ascii="Arial" w:cs="Arial" w:eastAsia="Arial" w:hAnsi="Arial"/>
          <w:sz w:val="15"/>
          <w:szCs w:val="15"/>
          <w:i w:val="1"/>
          <w:iCs w:val="1"/>
          <w:color w:val="auto"/>
        </w:rPr>
        <w:t xml:space="preserve"> </w:t>
      </w:r>
      <w:r>
        <w:rPr>
          <w:rFonts w:ascii="Arial" w:cs="Arial" w:eastAsia="Arial" w:hAnsi="Arial"/>
          <w:sz w:val="15"/>
          <w:szCs w:val="15"/>
          <w:color w:val="auto"/>
        </w:rPr>
        <w:t>and nine months ended September 30, 2022, respectively, as compared to the corresponding periods in 2021, primarily attributable to increases in Belgium.</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an organic basis, our consolidated B2B non-subscription revenue increased $30.3 million or 14.6% and $67.5 million or 10.7% during the three and nine months ended September 30, 2022, respectively, as compared to the corresponding periods in 2021, primarily due to increases in Switzerland and Belgium.</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7" w:name="page68"/>
    <w:bookmarkEnd w:id="67"/>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On an organic basis, our consolidated other revenue increased $38.0 million or 17.0% and $50.0 million or 8.4% during the three and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2022, respectively, as compared to the corresponding periods in 2021, primarily attributable to the net effect of (i) increases in Central and Other related to (a) revenue earned from the sale of customer premises equipment to the VodafoneZiggo JV and (b) revenue associated with transitional and other services provided and (ii) decreases in revenue earned from the NL JV Services.</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additional information regarding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120" w:type="dxa"/>
            <w:vAlign w:val="bottom"/>
          </w:tcPr>
          <w:p>
            <w:pPr>
              <w:spacing w:after="0"/>
              <w:rPr>
                <w:sz w:val="16"/>
                <w:szCs w:val="16"/>
                <w:color w:val="auto"/>
              </w:rPr>
            </w:pPr>
          </w:p>
        </w:tc>
        <w:tc>
          <w:tcPr>
            <w:tcW w:w="23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7"/>
              </w:rPr>
              <w:t>September 30,</w:t>
            </w: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ind w:left="20"/>
              <w:spacing w:after="0"/>
              <w:rPr>
                <w:sz w:val="20"/>
                <w:szCs w:val="20"/>
                <w:color w:val="auto"/>
              </w:rPr>
            </w:pPr>
            <w:r>
              <w:rPr>
                <w:rFonts w:ascii="Arial" w:cs="Arial" w:eastAsia="Arial" w:hAnsi="Arial"/>
                <w:sz w:val="16"/>
                <w:szCs w:val="16"/>
                <w:b w:val="1"/>
                <w:bCs w:val="1"/>
                <w:color w:val="auto"/>
                <w:w w:val="95"/>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91"/>
              </w:rPr>
              <w:t>(2.2)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100" w:type="dxa"/>
            <w:vAlign w:val="bottom"/>
          </w:tcPr>
          <w:p>
            <w:pPr>
              <w:ind w:left="7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18"/>
        </w:trPr>
        <w:tc>
          <w:tcPr>
            <w:tcW w:w="4120" w:type="dxa"/>
            <w:vAlign w:val="bottom"/>
          </w:tcPr>
          <w:p>
            <w:pPr>
              <w:ind w:left="180"/>
              <w:spacing w:after="0" w:line="204"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7"/>
              </w:rPr>
              <w:t>Nine months ended</w:t>
            </w:r>
          </w:p>
        </w:tc>
        <w:tc>
          <w:tcPr>
            <w:tcW w:w="120" w:type="dxa"/>
            <w:vAlign w:val="bottom"/>
          </w:tcPr>
          <w:p>
            <w:pPr>
              <w:spacing w:after="0"/>
              <w:rPr>
                <w:sz w:val="24"/>
                <w:szCs w:val="24"/>
                <w:color w:val="auto"/>
              </w:rPr>
            </w:pPr>
          </w:p>
        </w:tc>
        <w:tc>
          <w:tcPr>
            <w:tcW w:w="23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24"/>
                <w:szCs w:val="24"/>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spacing w:after="0"/>
              <w:rPr>
                <w:sz w:val="20"/>
                <w:szCs w:val="20"/>
                <w:color w:val="auto"/>
              </w:rPr>
            </w:pPr>
            <w:r>
              <w:rPr>
                <w:rFonts w:ascii="Arial" w:cs="Arial" w:eastAsia="Arial" w:hAnsi="Arial"/>
                <w:sz w:val="16"/>
                <w:szCs w:val="16"/>
                <w:b w:val="1"/>
                <w:bCs w:val="1"/>
                <w:color w:val="auto"/>
                <w:w w:val="9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(0.9)</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(6.8)</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(868.1)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line="264" w:lineRule="auto"/>
        <w:tabs>
          <w:tab w:leader="none" w:pos="4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2021 amount represents the programming and other direct costs of the U.K. JV Entities through the June 1, 2021 closing of the U.K. JV Transaction.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8" w:name="page69"/>
    <w:bookmarkEnd w:id="68"/>
    <w:p>
      <w:pPr>
        <w:jc w:val="both"/>
        <w:ind w:firstLine="318"/>
        <w:spacing w:after="0" w:line="318" w:lineRule="auto"/>
        <w:rPr>
          <w:sz w:val="20"/>
          <w:szCs w:val="20"/>
          <w:color w:val="auto"/>
        </w:rPr>
      </w:pPr>
      <w:r>
        <w:rPr>
          <w:rFonts w:ascii="Arial" w:cs="Arial" w:eastAsia="Arial" w:hAnsi="Arial"/>
          <w:sz w:val="15"/>
          <w:szCs w:val="15"/>
          <w:color w:val="auto"/>
        </w:rPr>
        <w:t>Our programming and other direct costs of services decreased $38.1 million or 7.3% and $944.0 million or 38.6% during the three and nine months ended September 30, 2022, respectively, as compared to the corresponding periods in 2021. The decrease for the nine-month comparison includes a decrease of $868.1 million attributable to the impact of the U.K. JV Transaction. On an organic basis, our programming and other direct costs of services increased $28.8 million or 5.7% and $49.7 million or 3.2%, respectively. These increases are primarily due to the net effect of the following factors:</w:t>
      </w:r>
    </w:p>
    <w:p>
      <w:pPr>
        <w:spacing w:after="0" w:line="172" w:lineRule="exact"/>
        <w:rPr>
          <w:sz w:val="20"/>
          <w:szCs w:val="20"/>
          <w:color w:val="auto"/>
        </w:rPr>
      </w:pPr>
    </w:p>
    <w:p>
      <w:pPr>
        <w:ind w:left="640" w:hanging="316"/>
        <w:spacing w:after="0" w:line="264"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Increases in costs of $20.8 million and $53.5 million, respectively, in Central and Other related to the sale of customer premises equipment to the VodafoneZiggo JV;</w:t>
      </w:r>
    </w:p>
    <w:p>
      <w:pPr>
        <w:spacing w:after="0" w:line="20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Decreases in programming and copyright costs of $4.7 million or 3.7% and $21.1 million or 4.8%, respectively, attributable to lower costs for certain premium and/or basic content. The decrease for the three-month comparison is primarily due to Belgium and the decrease for the nine-month comparison is primarily due to Switzerland and Ireland;</w:t>
      </w:r>
    </w:p>
    <w:p>
      <w:pPr>
        <w:spacing w:after="0" w:line="21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(decrease) in interconnect and access costs of $5.7 million or 2.8% and ($10.9 million) or (1.8%), respectively, primarily due to the net effect of (i) higher leased tower costs in Switzerland, (ii) for the nine-month comparison, lower MVNO costs in Switzerland, and (iii) lower interconnect and mobile roaming costs in Switzerland and Belgium;</w:t>
      </w:r>
    </w:p>
    <w:p>
      <w:pPr>
        <w:spacing w:after="0" w:line="21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the nine-month comparison, an increase of $8.6 million associated with the impact of the classification of costs in connection with the U.K. JV Services provided by Central and Other, which, subsequent to the completion of the U.K. JV Transaction, are classified as direct costs of services. This increase was fully offset by a corresponding decrease in various SG&amp;A expense categories within Central and Other, most notably personnel costs; and</w:t>
      </w:r>
    </w:p>
    <w:p>
      <w:pPr>
        <w:spacing w:after="0" w:line="21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the nine-month comparison, an increase in mobile handset and other device costs of $7.8 million or 3.1%, largely due to higher sales volumes in Switzerland.</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operating expenses</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ind w:left="32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Three months ended</w:t>
            </w:r>
          </w:p>
        </w:tc>
        <w:tc>
          <w:tcPr>
            <w:tcW w:w="120" w:type="dxa"/>
            <w:vAlign w:val="bottom"/>
          </w:tcPr>
          <w:p>
            <w:pPr>
              <w:spacing w:after="0"/>
              <w:rPr>
                <w:sz w:val="16"/>
                <w:szCs w:val="16"/>
                <w:color w:val="auto"/>
              </w:rPr>
            </w:pPr>
          </w:p>
        </w:tc>
        <w:tc>
          <w:tcPr>
            <w:tcW w:w="17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w w:val="86"/>
              </w:rPr>
              <w:t>Increase (decrease)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700" w:type="dxa"/>
            <w:vAlign w:val="bottom"/>
            <w:gridSpan w:val="4"/>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right"/>
              <w:ind w:right="32"/>
              <w:spacing w:after="0"/>
              <w:rPr>
                <w:sz w:val="20"/>
                <w:szCs w:val="20"/>
                <w:color w:val="auto"/>
              </w:rPr>
            </w:pPr>
            <w:r>
              <w:rPr>
                <w:rFonts w:ascii="Arial" w:cs="Arial" w:eastAsia="Arial" w:hAnsi="Arial"/>
                <w:sz w:val="16"/>
                <w:szCs w:val="16"/>
                <w:b w:val="1"/>
                <w:bCs w:val="1"/>
                <w:color w:val="auto"/>
                <w:w w:val="85"/>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(1.7)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(8.7)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3"/>
        </w:trPr>
        <w:tc>
          <w:tcPr>
            <w:tcW w:w="4160" w:type="dxa"/>
            <w:vAlign w:val="bottom"/>
          </w:tcPr>
          <w:p>
            <w:pPr>
              <w:ind w:left="140"/>
              <w:spacing w:after="0" w:line="154" w:lineRule="exact"/>
              <w:rPr>
                <w:sz w:val="20"/>
                <w:szCs w:val="20"/>
                <w:color w:val="auto"/>
              </w:rPr>
            </w:pPr>
            <w:r>
              <w:rPr>
                <w:rFonts w:ascii="Arial" w:cs="Arial" w:eastAsia="Arial" w:hAnsi="Arial"/>
                <w:sz w:val="17"/>
                <w:szCs w:val="17"/>
                <w:color w:val="auto"/>
                <w:w w:val="97"/>
              </w:rPr>
              <w:t>Total other operating expenses excluding share-based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1"/>
        </w:trPr>
        <w:tc>
          <w:tcPr>
            <w:tcW w:w="4160" w:type="dxa"/>
            <w:vAlign w:val="bottom"/>
          </w:tcPr>
          <w:p>
            <w:pPr>
              <w:ind w:left="300"/>
              <w:spacing w:after="0"/>
              <w:rPr>
                <w:sz w:val="20"/>
                <w:szCs w:val="20"/>
                <w:color w:val="auto"/>
              </w:rPr>
            </w:pPr>
            <w:r>
              <w:rPr>
                <w:rFonts w:ascii="Arial" w:cs="Arial" w:eastAsia="Arial" w:hAnsi="Arial"/>
                <w:sz w:val="18"/>
                <w:szCs w:val="18"/>
                <w:color w:val="auto"/>
              </w:rPr>
              <w:t>compensation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(3.3)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91"/>
              </w:rPr>
              <w:t>(0.6)</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89"/>
              </w:rPr>
              <w:t>(37.5)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6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(3.9)</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Nine months ended</w:t>
            </w:r>
          </w:p>
        </w:tc>
        <w:tc>
          <w:tcPr>
            <w:tcW w:w="120" w:type="dxa"/>
            <w:vAlign w:val="bottom"/>
          </w:tcPr>
          <w:p>
            <w:pPr>
              <w:spacing w:after="0"/>
              <w:rPr>
                <w:sz w:val="16"/>
                <w:szCs w:val="16"/>
                <w:color w:val="auto"/>
              </w:rPr>
            </w:pPr>
          </w:p>
        </w:tc>
        <w:tc>
          <w:tcPr>
            <w:tcW w:w="2200" w:type="dxa"/>
            <w:vAlign w:val="bottom"/>
            <w:gridSpan w:val="3"/>
            <w:vMerge w:val="restart"/>
          </w:tcPr>
          <w:p>
            <w:pPr>
              <w:jc w:val="right"/>
              <w:ind w:right="433"/>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2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4"/>
        </w:trPr>
        <w:tc>
          <w:tcPr>
            <w:tcW w:w="4120" w:type="dxa"/>
            <w:vAlign w:val="bottom"/>
            <w:shd w:val="clear" w:color="auto" w:fill="CCEEFF"/>
          </w:tcPr>
          <w:p>
            <w:pPr>
              <w:ind w:left="140"/>
              <w:spacing w:after="0" w:line="154" w:lineRule="exact"/>
              <w:rPr>
                <w:sz w:val="20"/>
                <w:szCs w:val="20"/>
                <w:color w:val="auto"/>
              </w:rPr>
            </w:pPr>
            <w:r>
              <w:rPr>
                <w:rFonts w:ascii="Arial" w:cs="Arial" w:eastAsia="Arial" w:hAnsi="Arial"/>
                <w:sz w:val="17"/>
                <w:szCs w:val="17"/>
                <w:color w:val="auto"/>
                <w:w w:val="96"/>
              </w:rPr>
              <w:t>Total other operating expenses excluding share-based</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1"/>
        </w:trPr>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compensation expense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6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2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2021 amount represents the other operating expenses of the U.K. JV Entities through the June 1, 2021 closing of the U.K. JV Transaction.</w:t>
      </w:r>
    </w:p>
    <w:p>
      <w:pPr>
        <w:spacing w:after="0" w:line="25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other operating expenses (exclusive of share-based compensation expense) decreased $3.3 million or 1.2% and $402.5 million or 33.1% during the three and nine months ended September 30, 2022, respectively, as compared to the corresponding periods in 2021. The decrease for the nine-month comparison includes a decrease of $405.9 million attributable to the impact of the U.K. JV Transaction. On an organic basis, our other operating expenses increased $22.0 million or 7.7% and $64.3 million or 7.9%, respectively. These increases are primarily due to the net effect of the following factors:</w:t>
      </w:r>
    </w:p>
    <w:p>
      <w:pPr>
        <w:spacing w:after="0" w:line="172" w:lineRule="exact"/>
        <w:rPr>
          <w:sz w:val="20"/>
          <w:szCs w:val="20"/>
          <w:color w:val="auto"/>
        </w:rPr>
      </w:pPr>
    </w:p>
    <w:p>
      <w:pPr>
        <w:ind w:left="640" w:hanging="316"/>
        <w:spacing w:after="0" w:line="264"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Increases in business service costs of $18.6 million or 59.2% and $35.9 million or 37.7%, respectively, primarily due to (i) increases in energy costs, primarily in Belgium, and (ii) higher consulting costs, primarily in Central and Other;</w:t>
      </w:r>
    </w:p>
    <w:p>
      <w:pPr>
        <w:spacing w:after="0" w:line="20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the nine-month comparison, a decrease in customer service costs of $6.7 million or 5.7%, primarily due to (i) lower customer premises equipment refurbishment costs in Switzerland and Belgium and (ii) lower call center costs, as a decrease in Belgium was only partially offset by an increase in Switzerland;</w:t>
      </w:r>
    </w:p>
    <w:p>
      <w:pPr>
        <w:spacing w:after="0" w:line="214" w:lineRule="exact"/>
        <w:rPr>
          <w:rFonts w:ascii="Arial" w:cs="Arial" w:eastAsia="Arial" w:hAnsi="Arial"/>
          <w:sz w:val="18"/>
          <w:szCs w:val="18"/>
          <w:color w:val="auto"/>
        </w:rPr>
      </w:pPr>
    </w:p>
    <w:p>
      <w:pPr>
        <w:jc w:val="both"/>
        <w:ind w:left="640" w:hanging="316"/>
        <w:spacing w:after="0" w:line="271" w:lineRule="auto"/>
        <w:tabs>
          <w:tab w:leader="none" w:pos="63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 increase (decrease) in personnel costs of ($3.0 million) or (3.5%) and $5.0 million or 2.0%, respectively, primarily due to the net effect of (i) higher average costs per employee, primarily in Ireland, Belgium and, for the nine-month comparison, Switzerland, (ii) lower staffing levels, as decreases in Switzerland and Ireland were only partially offset by increases in Belgium, (iii) lower costs due to higher capitalizable activities, primarily in Switzerland, and (iv) increases in incentive compensation costs, primarily in Switzerland and Belgium; and</w:t>
      </w:r>
    </w:p>
    <w:p>
      <w:pPr>
        <w:spacing w:after="0" w:line="203" w:lineRule="exact"/>
        <w:rPr>
          <w:rFonts w:ascii="Arial" w:cs="Arial" w:eastAsia="Arial" w:hAnsi="Arial"/>
          <w:sz w:val="17"/>
          <w:szCs w:val="17"/>
          <w:color w:val="auto"/>
        </w:rPr>
      </w:pPr>
    </w:p>
    <w:p>
      <w:pPr>
        <w:jc w:val="both"/>
        <w:ind w:left="640" w:hanging="316"/>
        <w:spacing w:after="0" w:line="252"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for the nine-month comparison in other operating expenses due to $4.5 million recognized in Switzerland associated with the sale of CHF 115.0 million ($113.7 million at the applicable rate) of certain handset receivables, the proceeds for which were received on July 1, 2022. The expense recognized during the second quarter of 2022 represents the difference between the carrying amount of the associated receivables and the amount received pursuant to the sale.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70" w:name="page71"/>
    <w:bookmarkEnd w:id="70"/>
    <w:p>
      <w:pPr>
        <w:ind w:left="160"/>
        <w:spacing w:after="0"/>
        <w:rPr>
          <w:sz w:val="20"/>
          <w:szCs w:val="20"/>
          <w:color w:val="auto"/>
        </w:rPr>
      </w:pPr>
      <w:r>
        <w:rPr>
          <w:rFonts w:ascii="Arial" w:cs="Arial" w:eastAsia="Arial" w:hAnsi="Arial"/>
          <w:sz w:val="18"/>
          <w:szCs w:val="18"/>
          <w:i w:val="1"/>
          <w:iCs w:val="1"/>
          <w:color w:val="auto"/>
        </w:rPr>
        <w:t>SG&amp;A expenses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SG&amp;A expenses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9"/>
          </w:tcPr>
          <w:p>
            <w:pPr>
              <w:jc w:val="center"/>
              <w:ind w:right="340"/>
              <w:spacing w:after="0"/>
              <w:rPr>
                <w:sz w:val="20"/>
                <w:szCs w:val="20"/>
                <w:color w:val="auto"/>
              </w:rPr>
            </w:pPr>
            <w:r>
              <w:rPr>
                <w:rFonts w:ascii="Arial" w:cs="Arial" w:eastAsia="Arial" w:hAnsi="Arial"/>
                <w:sz w:val="16"/>
                <w:szCs w:val="16"/>
                <w:b w:val="1"/>
                <w:bCs w:val="1"/>
                <w:color w:val="auto"/>
                <w:w w:val="87"/>
              </w:rPr>
              <w:t>Three months ended</w:t>
            </w:r>
          </w:p>
        </w:tc>
        <w:tc>
          <w:tcPr>
            <w:tcW w:w="100" w:type="dxa"/>
            <w:vAlign w:val="bottom"/>
          </w:tcPr>
          <w:p>
            <w:pPr>
              <w:spacing w:after="0"/>
              <w:rPr>
                <w:sz w:val="16"/>
                <w:szCs w:val="16"/>
                <w:color w:val="auto"/>
              </w:rPr>
            </w:pPr>
          </w:p>
        </w:tc>
        <w:tc>
          <w:tcPr>
            <w:tcW w:w="1720" w:type="dxa"/>
            <w:vAlign w:val="bottom"/>
            <w:gridSpan w:val="3"/>
            <w:vMerge w:val="restart"/>
          </w:tcPr>
          <w:p>
            <w:pPr>
              <w:ind w:left="400"/>
              <w:spacing w:after="0"/>
              <w:rPr>
                <w:sz w:val="20"/>
                <w:szCs w:val="20"/>
                <w:color w:val="auto"/>
              </w:rPr>
            </w:pPr>
            <w:r>
              <w:rPr>
                <w:rFonts w:ascii="Arial" w:cs="Arial" w:eastAsia="Arial" w:hAnsi="Arial"/>
                <w:sz w:val="16"/>
                <w:szCs w:val="16"/>
                <w:b w:val="1"/>
                <w:bCs w:val="1"/>
                <w:color w:val="auto"/>
                <w:w w:val="86"/>
              </w:rPr>
              <w:t>Increase (decrease)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9"/>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jc w:val="right"/>
              <w:ind w:right="32"/>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(6.6)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153"/>
        </w:trPr>
        <w:tc>
          <w:tcPr>
            <w:tcW w:w="4120" w:type="dxa"/>
            <w:vAlign w:val="bottom"/>
          </w:tcPr>
          <w:p>
            <w:pPr>
              <w:ind w:left="14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1"/>
        </w:trPr>
        <w:tc>
          <w:tcPr>
            <w:tcW w:w="4120" w:type="dxa"/>
            <w:vAlign w:val="bottom"/>
          </w:tcPr>
          <w:p>
            <w:pPr>
              <w:ind w:left="300"/>
              <w:spacing w:after="0"/>
              <w:rPr>
                <w:sz w:val="20"/>
                <w:szCs w:val="20"/>
                <w:color w:val="auto"/>
              </w:rPr>
            </w:pPr>
            <w:r>
              <w:rPr>
                <w:rFonts w:ascii="Arial" w:cs="Arial" w:eastAsia="Arial" w:hAnsi="Arial"/>
                <w:sz w:val="18"/>
                <w:szCs w:val="18"/>
                <w:color w:val="auto"/>
              </w:rPr>
              <w:t>compensation expense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Share-based compensation expense</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41.7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56.4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89"/>
              </w:rPr>
              <w:t>(26.1)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2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9"/>
          </w:tcPr>
          <w:p>
            <w:pPr>
              <w:jc w:val="center"/>
              <w:ind w:right="380"/>
              <w:spacing w:after="0"/>
              <w:rPr>
                <w:sz w:val="20"/>
                <w:szCs w:val="20"/>
                <w:color w:val="auto"/>
              </w:rPr>
            </w:pPr>
            <w:r>
              <w:rPr>
                <w:rFonts w:ascii="Arial" w:cs="Arial" w:eastAsia="Arial" w:hAnsi="Arial"/>
                <w:sz w:val="16"/>
                <w:szCs w:val="16"/>
                <w:b w:val="1"/>
                <w:bCs w:val="1"/>
                <w:color w:val="auto"/>
                <w:w w:val="87"/>
              </w:rPr>
              <w:t>Nine months ended</w:t>
            </w:r>
          </w:p>
        </w:tc>
        <w:tc>
          <w:tcPr>
            <w:tcW w:w="100" w:type="dxa"/>
            <w:vAlign w:val="bottom"/>
          </w:tcPr>
          <w:p>
            <w:pPr>
              <w:spacing w:after="0"/>
              <w:rPr>
                <w:sz w:val="24"/>
                <w:szCs w:val="24"/>
                <w:color w:val="auto"/>
              </w:rPr>
            </w:pPr>
          </w:p>
        </w:tc>
        <w:tc>
          <w:tcPr>
            <w:tcW w:w="1720" w:type="dxa"/>
            <w:vAlign w:val="bottom"/>
            <w:gridSpan w:val="3"/>
            <w:vMerge w:val="restart"/>
          </w:tcPr>
          <w:p>
            <w:pPr>
              <w:ind w:left="380"/>
              <w:spacing w:after="0"/>
              <w:rPr>
                <w:sz w:val="20"/>
                <w:szCs w:val="20"/>
                <w:color w:val="auto"/>
              </w:rPr>
            </w:pPr>
            <w:r>
              <w:rPr>
                <w:rFonts w:ascii="Arial" w:cs="Arial" w:eastAsia="Arial" w:hAnsi="Arial"/>
                <w:sz w:val="16"/>
                <w:szCs w:val="16"/>
                <w:b w:val="1"/>
                <w:bCs w:val="1"/>
                <w:color w:val="auto"/>
                <w:w w:val="88"/>
              </w:rPr>
              <w:t>Increase (decrease)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9"/>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jc w:val="right"/>
              <w:ind w:right="32"/>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154"/>
        </w:trPr>
        <w:tc>
          <w:tcPr>
            <w:tcW w:w="4120" w:type="dxa"/>
            <w:vAlign w:val="bottom"/>
            <w:shd w:val="clear" w:color="auto" w:fill="CCEEFF"/>
          </w:tcPr>
          <w:p>
            <w:pPr>
              <w:ind w:left="14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1"/>
        </w:trPr>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compensation expense</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(28.5)</w:t>
            </w:r>
          </w:p>
        </w:tc>
        <w:tc>
          <w:tcPr>
            <w:tcW w:w="26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210.2</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9"/>
              </w:rPr>
              <w:t>(33.4)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2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1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2021 amount represents the SG&amp;A expenses of the U.K. JV Entities through the June 1, 2021 closing of the U.K. JV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1" w:name="page72"/>
    <w:bookmarkEnd w:id="71"/>
    <w:p>
      <w:pPr>
        <w:ind w:left="16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Three months ended</w:t>
            </w:r>
          </w:p>
        </w:tc>
        <w:tc>
          <w:tcPr>
            <w:tcW w:w="100" w:type="dxa"/>
            <w:vAlign w:val="bottom"/>
          </w:tcPr>
          <w:p>
            <w:pPr>
              <w:spacing w:after="0"/>
              <w:rPr>
                <w:sz w:val="16"/>
                <w:szCs w:val="16"/>
                <w:color w:val="auto"/>
              </w:rPr>
            </w:pPr>
          </w:p>
        </w:tc>
        <w:tc>
          <w:tcPr>
            <w:tcW w:w="2300" w:type="dxa"/>
            <w:vAlign w:val="bottom"/>
            <w:gridSpan w:val="5"/>
            <w:vMerge w:val="restart"/>
          </w:tcPr>
          <w:p>
            <w:pPr>
              <w:jc w:val="center"/>
              <w:ind w:right="200"/>
              <w:spacing w:after="0"/>
              <w:rPr>
                <w:sz w:val="20"/>
                <w:szCs w:val="20"/>
                <w:color w:val="auto"/>
              </w:rPr>
            </w:pPr>
            <w:r>
              <w:rPr>
                <w:rFonts w:ascii="Arial" w:cs="Arial" w:eastAsia="Arial" w:hAnsi="Arial"/>
                <w:sz w:val="16"/>
                <w:szCs w:val="16"/>
                <w:b w:val="1"/>
                <w:bCs w:val="1"/>
                <w:color w:val="auto"/>
                <w:w w:val="86"/>
              </w:rPr>
              <w:t>Increase (decrease)</w:t>
            </w:r>
          </w:p>
        </w:tc>
        <w:tc>
          <w:tcPr>
            <w:tcW w:w="300" w:type="dxa"/>
            <w:vAlign w:val="bottom"/>
          </w:tcPr>
          <w:p>
            <w:pPr>
              <w:spacing w:after="0"/>
              <w:rPr>
                <w:sz w:val="16"/>
                <w:szCs w:val="16"/>
                <w:color w:val="auto"/>
              </w:rPr>
            </w:pPr>
          </w:p>
        </w:tc>
        <w:tc>
          <w:tcPr>
            <w:tcW w:w="2000" w:type="dxa"/>
            <w:vAlign w:val="bottom"/>
            <w:gridSpan w:val="3"/>
            <w:vMerge w:val="restart"/>
          </w:tcPr>
          <w:p>
            <w:pPr>
              <w:jc w:val="right"/>
              <w:ind w:right="494"/>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8"/>
                <w:szCs w:val="18"/>
                <w:color w:val="auto"/>
              </w:rPr>
            </w:pPr>
          </w:p>
        </w:tc>
        <w:tc>
          <w:tcPr>
            <w:tcW w:w="230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Nine months ended</w:t>
            </w:r>
          </w:p>
        </w:tc>
        <w:tc>
          <w:tcPr>
            <w:tcW w:w="100" w:type="dxa"/>
            <w:vAlign w:val="bottom"/>
          </w:tcPr>
          <w:p>
            <w:pPr>
              <w:spacing w:after="0"/>
              <w:rPr>
                <w:sz w:val="24"/>
                <w:szCs w:val="24"/>
                <w:color w:val="auto"/>
              </w:rPr>
            </w:pPr>
          </w:p>
        </w:tc>
        <w:tc>
          <w:tcPr>
            <w:tcW w:w="1460" w:type="dxa"/>
            <w:vAlign w:val="bottom"/>
            <w:gridSpan w:val="3"/>
            <w:vMerge w:val="restart"/>
          </w:tcPr>
          <w:p>
            <w:pPr>
              <w:jc w:val="center"/>
              <w:ind w:left="536"/>
              <w:spacing w:after="0"/>
              <w:rPr>
                <w:sz w:val="20"/>
                <w:szCs w:val="20"/>
                <w:color w:val="auto"/>
              </w:rPr>
            </w:pPr>
            <w:r>
              <w:rPr>
                <w:rFonts w:ascii="Arial" w:cs="Arial" w:eastAsia="Arial" w:hAnsi="Arial"/>
                <w:sz w:val="16"/>
                <w:szCs w:val="16"/>
                <w:b w:val="1"/>
                <w:bCs w:val="1"/>
                <w:color w:val="auto"/>
                <w:w w:val="84"/>
              </w:rPr>
              <w:t>Decrease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3"/>
            <w:vMerge w:val="restart"/>
          </w:tcPr>
          <w:p>
            <w:pPr>
              <w:jc w:val="right"/>
              <w:ind w:right="494"/>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September 30,</w:t>
            </w:r>
          </w:p>
        </w:tc>
        <w:tc>
          <w:tcPr>
            <w:tcW w:w="10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9"/>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SG&amp;A expenses (exclusive of share-based compensation expense) decreased $19.2 million or 5.6% and $415.1 million or 28.5% during the three and nine months ended September 30, 2022, respectively, as compared to the corresponding periods in 2021. The decrease for the nine-month comparison includes a decrease of $377.1 million attributable to the impact of the U.K. JV Transaction. On an organic basis, our SG&amp;A expenses increased $10.3 million or 3.0% and $24.9 million or 2.3%, respectively. These increases are primarily attributable to increases in (i) business service costs, primarily due to higher (a) travel and entertainment costs in Central and Other and (b) energy costs in Central and Other and Belgium, and (ii) external sales and marketing costs in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2" w:name="page73"/>
    <w:bookmarkEnd w:id="72"/>
    <w:p>
      <w:pPr>
        <w:ind w:left="160"/>
        <w:spacing w:after="0"/>
        <w:rPr>
          <w:sz w:val="20"/>
          <w:szCs w:val="20"/>
          <w:color w:val="auto"/>
        </w:rPr>
      </w:pPr>
      <w:r>
        <w:rPr>
          <w:rFonts w:ascii="Arial" w:cs="Arial" w:eastAsia="Arial" w:hAnsi="Arial"/>
          <w:sz w:val="18"/>
          <w:szCs w:val="18"/>
          <w:i w:val="1"/>
          <w:iCs w:val="1"/>
          <w:color w:val="auto"/>
        </w:rPr>
        <w:t>Share-based compensation expense</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14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6"/>
                <w:szCs w:val="16"/>
                <w:b w:val="1"/>
                <w:bCs w:val="1"/>
                <w:color w:val="auto"/>
                <w:w w:val="87"/>
              </w:rPr>
              <w:t>September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2021</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6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tcPr>
          <w:p>
            <w:pPr>
              <w:ind w:left="140"/>
              <w:spacing w:after="0"/>
              <w:rPr>
                <w:sz w:val="20"/>
                <w:szCs w:val="20"/>
                <w:color w:val="auto"/>
              </w:rPr>
            </w:pPr>
            <w:r>
              <w:rPr>
                <w:rFonts w:ascii="Arial" w:cs="Arial" w:eastAsia="Arial" w:hAnsi="Arial"/>
                <w:sz w:val="18"/>
                <w:szCs w:val="18"/>
                <w:color w:val="auto"/>
              </w:rPr>
              <w:t>Non-performance based incentive awards (a)</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31.4</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incentive awards (b)</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Liberty Global</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56.4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2" w:lineRule="auto"/>
        <w:tabs>
          <w:tab w:leader="none" w:pos="4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April 2021, with respect to 2014 and 2015 grants, the compensation committee of our board of directors approved the extension of the expiration dates of outstanding SARs and director options from a seven-year term to a ten-year term. Accordingly, the Black-Scholes fair values of the respective outstanding awards increased, resulting in the recognition of aggregate incremental share-based compensation expense of $22.7 million during the second quarter of 2021.</w:t>
      </w:r>
    </w:p>
    <w:p>
      <w:pPr>
        <w:spacing w:after="0" w:line="21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our 2019 Challenge Performance Awards and (ii) in the 2021 periods, PSUs and our 2019 CEO Performance Award.</w:t>
      </w:r>
    </w:p>
    <w:p>
      <w:pPr>
        <w:spacing w:after="0" w:line="207" w:lineRule="exact"/>
        <w:rPr>
          <w:rFonts w:ascii="Arial" w:cs="Arial" w:eastAsia="Arial" w:hAnsi="Arial"/>
          <w:sz w:val="18"/>
          <w:szCs w:val="18"/>
          <w:color w:val="auto"/>
        </w:rPr>
      </w:pPr>
    </w:p>
    <w:p>
      <w:pPr>
        <w:jc w:val="both"/>
        <w:ind w:left="480" w:hanging="474"/>
        <w:spacing w:after="0" w:line="250" w:lineRule="auto"/>
        <w:tabs>
          <w:tab w:leader="none" w:pos="4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 In addition, amounts include compensation expense related to the Ventures Incentive Plans.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depreciation and amortization expense was $506.0 million and $1,588.4 million for the three and nine months ended September 30, 2022, respectively, and $582.3 million and $1,744.8 million for the three and nine months ended September 30, 2021, respectively. Excluding the effects of FX, depreciation and amortization expense decreased $19.9 million or 3.4% and $25.4 million or 1.5% during the three and nine months ended September 30, 2022, respectively, as compared to the corresponding periods in 2021. These decreases are primarily due to the net effect of (i) decreases associated with certain assets becoming fully depreciated, primarily in Central and Other, Switzerland and Belgium, and (ii) increases associated with property and equipment additions, the expansion and upgrade of our networks and other capital initiatives, primarily in Central and Other, Switzerland and Belgium.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3" w:name="page74"/>
    <w:bookmarkEnd w:id="73"/>
    <w:p>
      <w:pPr>
        <w:ind w:left="16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recognized impairment, restructuring and other operating items, net, of $6.4 million and $74.1 million during the three and nine months ended September 30, 2022, respectively, and $17.2 million and $68.4 million during the three and nine months ended September 30, 2021, respectively.</w:t>
      </w:r>
    </w:p>
    <w:p>
      <w:pPr>
        <w:spacing w:after="0" w:line="1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amounts for the 2022 periods include (i) a $39.6 million provision in Central and Other during the second quarter of 2022 related to a legal contingency, (ii) direct acquisition and disposition costs of $2.8 million and $16.5 million, respectively, primarily in Belgium, and (iii) abandoned lease expense of $0.6 million and $14.2 million, respectively, primarily in Switzerland.</w:t>
      </w:r>
    </w:p>
    <w:p>
      <w:pPr>
        <w:spacing w:after="0" w:line="21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amounts for the 2021 periods include (i) restructuring charges of $2.4 million and $55.0 million, respectively, including $50.4 million of employee severance and termination costs during the nine-month period related to certain reorganization activities, primarily in Switzerland, (ii) direct acquisition and disposition costs of $12.3 million and $41.7 million, respectively, related to the formation of the VMO2 JV and (iii) a $38.0 million gain in Central and Other during the second quarter of 2021 associated with a provision release related to a legal contingency.</w:t>
      </w:r>
    </w:p>
    <w:p>
      <w:pPr>
        <w:spacing w:after="0" w:line="20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expense</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recognized interest expense of $149.7 million and $416.8 million during the three and nine months ended September 30, 2022, respectively, and $140.9 million and $748.1 million during the three and nine months ended September 30, 2021, respectively. Excluding the effects of FX, interest expense increased (decreased) $33.6 million or 23.8% and ($279.4 million) or (37.3%) during the three and nine months ended September 30, 2022, respectively, as compared to the corresponding periods in 2021. The increase for the three-month period is primarily attributable to higher weighted average interest rates, while the decrease for the nine-month period is primarily attributable to lower average outstanding debt balances, largely due to the impact of the U.K. JV Transaction. For additional information regarding our outstanding indebtedness, see note 9 to our condensed consolidated financial statements.</w:t>
      </w:r>
    </w:p>
    <w:p>
      <w:pPr>
        <w:spacing w:after="0" w:line="19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below, we use derivative instruments to manage our interest rate risks.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4" w:name="page75"/>
    <w:bookmarkEnd w:id="74"/>
    <w:p>
      <w:pPr>
        <w:ind w:left="160"/>
        <w:spacing w:after="0"/>
        <w:rPr>
          <w:sz w:val="20"/>
          <w:szCs w:val="20"/>
          <w:color w:val="auto"/>
        </w:rPr>
      </w:pPr>
      <w:r>
        <w:rPr>
          <w:rFonts w:ascii="Arial" w:cs="Arial" w:eastAsia="Arial" w:hAnsi="Arial"/>
          <w:sz w:val="18"/>
          <w:szCs w:val="18"/>
          <w:i w:val="1"/>
          <w:iCs w:val="1"/>
          <w:color w:val="auto"/>
        </w:rPr>
        <w:t>Realized and unrealized gains on derivative instruments, net</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on derivative instruments, net,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240" w:type="dxa"/>
            <w:vAlign w:val="bottom"/>
            <w:gridSpan w:val="4"/>
          </w:tcPr>
          <w:p>
            <w:pPr>
              <w:jc w:val="right"/>
              <w:ind w:right="95"/>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gridSpan w:val="4"/>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7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6"/>
                <w:szCs w:val="16"/>
                <w:b w:val="1"/>
                <w:bCs w:val="1"/>
                <w:color w:val="auto"/>
                <w:w w:val="89"/>
              </w:rPr>
              <w:t>September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5"/>
        </w:trPr>
        <w:tc>
          <w:tcPr>
            <w:tcW w:w="57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w w:val="89"/>
              </w:rPr>
              <w:t>2021</w:t>
            </w:r>
          </w:p>
        </w:tc>
      </w:tr>
      <w:tr>
        <w:trPr>
          <w:trHeight w:val="203"/>
        </w:trPr>
        <w:tc>
          <w:tcPr>
            <w:tcW w:w="5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63"/>
        </w:trPr>
        <w:tc>
          <w:tcPr>
            <w:tcW w:w="5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 (a)</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549.3</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r>
      <w:tr>
        <w:trPr>
          <w:trHeight w:val="218"/>
        </w:trPr>
        <w:tc>
          <w:tcPr>
            <w:tcW w:w="570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06"/>
        </w:trPr>
        <w:tc>
          <w:tcPr>
            <w:tcW w:w="5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Equity-related derivative instruments: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5"/>
        </w:trPr>
        <w:tc>
          <w:tcPr>
            <w:tcW w:w="5700" w:type="dxa"/>
            <w:vAlign w:val="bottom"/>
          </w:tcPr>
          <w:p>
            <w:pPr>
              <w:ind w:left="140"/>
              <w:spacing w:after="0"/>
              <w:rPr>
                <w:sz w:val="20"/>
                <w:szCs w:val="20"/>
                <w:color w:val="auto"/>
              </w:rPr>
            </w:pPr>
            <w:r>
              <w:rPr>
                <w:rFonts w:ascii="Arial" w:cs="Arial" w:eastAsia="Arial" w:hAnsi="Arial"/>
                <w:sz w:val="18"/>
                <w:szCs w:val="18"/>
                <w:color w:val="auto"/>
              </w:rPr>
              <w:t>ITV Collar</w:t>
            </w:r>
          </w:p>
        </w:tc>
        <w:tc>
          <w:tcPr>
            <w:tcW w:w="8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6"/>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18"/>
        </w:trPr>
        <w:tc>
          <w:tcPr>
            <w:tcW w:w="570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equity-related derivative instruments (b)</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r>
      <w:tr>
        <w:trPr>
          <w:trHeight w:val="219"/>
        </w:trPr>
        <w:tc>
          <w:tcPr>
            <w:tcW w:w="5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8"/>
        </w:trPr>
        <w:tc>
          <w:tcPr>
            <w:tcW w:w="57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546.9</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199.3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w:t>
            </w:r>
          </w:p>
        </w:tc>
      </w:tr>
      <w:tr>
        <w:trPr>
          <w:trHeight w:val="20"/>
        </w:trPr>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68" w:lineRule="auto"/>
        <w:tabs>
          <w:tab w:leader="none" w:pos="477"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gains for the 2022 periods are attributable to net gains associated with changes in (i) certain market interest rates and (ii) the relative value of certain currencies. In addition, the results for the 2022 periods include net losses of $16.3 million and $7.0 million, respectively, resulting from changes in our credit risk valuation adjustments. The gains for the 2021 periods are attributable to net gains associated with changes in (a) certain market interest rates and (b) the relative value of certain currencies. In addition, the gains for the 2021 periods include net losses of $34.0 million and $34.8 million, respectively, resulting from changes in our credit risk valuation adjustments.</w:t>
      </w:r>
    </w:p>
    <w:p>
      <w:pPr>
        <w:spacing w:after="0" w:line="207" w:lineRule="exact"/>
        <w:rPr>
          <w:rFonts w:ascii="Arial" w:cs="Arial" w:eastAsia="Arial" w:hAnsi="Arial"/>
          <w:sz w:val="17"/>
          <w:szCs w:val="17"/>
          <w:color w:val="auto"/>
        </w:rPr>
      </w:pPr>
    </w:p>
    <w:p>
      <w:pPr>
        <w:ind w:left="480" w:hanging="474"/>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additional information concerning our derivative instruments, see notes 6 and 7 to our condensed consolidated financial statements and Part I, Item 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5" w:name="page76"/>
    <w:bookmarkEnd w:id="75"/>
    <w:p>
      <w:pPr>
        <w:ind w:left="160"/>
        <w:spacing w:after="0"/>
        <w:rPr>
          <w:sz w:val="20"/>
          <w:szCs w:val="20"/>
          <w:color w:val="auto"/>
        </w:rPr>
      </w:pPr>
      <w:r>
        <w:rPr>
          <w:rFonts w:ascii="Arial" w:cs="Arial" w:eastAsia="Arial" w:hAnsi="Arial"/>
          <w:sz w:val="18"/>
          <w:szCs w:val="18"/>
          <w:i w:val="1"/>
          <w:iCs w:val="1"/>
          <w:color w:val="auto"/>
        </w:rPr>
        <w:t>Foreign currency transaction gains, net</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net,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00" w:type="dxa"/>
            <w:vAlign w:val="bottom"/>
            <w:gridSpan w:val="4"/>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5"/>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95"/>
              </w:rPr>
              <w:t>2021</w:t>
            </w:r>
          </w:p>
        </w:tc>
      </w:tr>
      <w:tr>
        <w:trPr>
          <w:trHeight w:val="203"/>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63"/>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3"/>
        </w:trPr>
        <w:tc>
          <w:tcPr>
            <w:tcW w:w="57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8"/>
              </w:rPr>
              <w:t>Intercompany payables and receivables denominated in a currency other than the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8"/>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entity’s functional currency (a)</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w:t>
            </w:r>
          </w:p>
        </w:tc>
      </w:tr>
      <w:tr>
        <w:trPr>
          <w:trHeight w:val="225"/>
        </w:trPr>
        <w:tc>
          <w:tcPr>
            <w:tcW w:w="5780" w:type="dxa"/>
            <w:vAlign w:val="bottom"/>
          </w:tcPr>
          <w:p>
            <w:pPr>
              <w:ind w:left="20"/>
              <w:spacing w:after="0"/>
              <w:rPr>
                <w:sz w:val="20"/>
                <w:szCs w:val="20"/>
                <w:color w:val="auto"/>
              </w:rPr>
            </w:pPr>
            <w:r>
              <w:rPr>
                <w:rFonts w:ascii="Arial" w:cs="Arial" w:eastAsia="Arial" w:hAnsi="Arial"/>
                <w:sz w:val="18"/>
                <w:szCs w:val="18"/>
                <w:color w:val="auto"/>
                <w:w w:val="99"/>
              </w:rPr>
              <w:t>U.S. dollar-denominated debt issued by euro functional currency entities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(275.5)</w:t>
            </w:r>
          </w:p>
        </w:tc>
      </w:tr>
      <w:tr>
        <w:trPr>
          <w:trHeight w:val="174"/>
        </w:trPr>
        <w:tc>
          <w:tcPr>
            <w:tcW w:w="5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Cash and restricted cash denominated in a currency other than the entity’s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8"/>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functional currency</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173"/>
        </w:trPr>
        <w:tc>
          <w:tcPr>
            <w:tcW w:w="5780" w:type="dxa"/>
            <w:vAlign w:val="bottom"/>
          </w:tcPr>
          <w:p>
            <w:pPr>
              <w:ind w:left="20"/>
              <w:spacing w:after="0" w:line="173" w:lineRule="exact"/>
              <w:rPr>
                <w:sz w:val="20"/>
                <w:szCs w:val="20"/>
                <w:color w:val="auto"/>
              </w:rPr>
            </w:pPr>
            <w:r>
              <w:rPr>
                <w:rFonts w:ascii="Arial" w:cs="Arial" w:eastAsia="Arial" w:hAnsi="Arial"/>
                <w:sz w:val="18"/>
                <w:szCs w:val="18"/>
                <w:color w:val="auto"/>
              </w:rPr>
              <w:t>U.S. dollar-denominated debt issued by British pound sterling functional</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7"/>
        </w:trPr>
        <w:tc>
          <w:tcPr>
            <w:tcW w:w="5780" w:type="dxa"/>
            <w:vAlign w:val="bottom"/>
          </w:tcPr>
          <w:p>
            <w:pPr>
              <w:ind w:left="180"/>
              <w:spacing w:after="0"/>
              <w:rPr>
                <w:sz w:val="20"/>
                <w:szCs w:val="20"/>
                <w:color w:val="auto"/>
              </w:rPr>
            </w:pPr>
            <w:r>
              <w:rPr>
                <w:rFonts w:ascii="Arial" w:cs="Arial" w:eastAsia="Arial" w:hAnsi="Arial"/>
                <w:sz w:val="18"/>
                <w:szCs w:val="18"/>
                <w:color w:val="auto"/>
              </w:rPr>
              <w:t>currency entities</w:t>
            </w:r>
          </w:p>
        </w:tc>
        <w:tc>
          <w:tcPr>
            <w:tcW w:w="3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174"/>
        </w:trPr>
        <w:tc>
          <w:tcPr>
            <w:tcW w:w="5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Euro-denominated debt issued by British pound sterling functional currency</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8"/>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44"/>
        </w:trPr>
        <w:tc>
          <w:tcPr>
            <w:tcW w:w="5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365" w:lineRule="auto"/>
        <w:tabs>
          <w:tab w:leader="none" w:pos="47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6" w:name="page77"/>
    <w:bookmarkEnd w:id="76"/>
    <w:p>
      <w:pPr>
        <w:ind w:left="16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net</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gains (losses) due to changes in fair values of certain investments, net,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2740" w:type="dxa"/>
            <w:vAlign w:val="bottom"/>
            <w:gridSpan w:val="6"/>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4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8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September 30,</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5"/>
        </w:trPr>
        <w:tc>
          <w:tcPr>
            <w:tcW w:w="58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2021</w:t>
            </w: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2021</w:t>
            </w:r>
          </w:p>
        </w:tc>
      </w:tr>
      <w:tr>
        <w:trPr>
          <w:trHeight w:val="203"/>
        </w:trPr>
        <w:tc>
          <w:tcPr>
            <w:tcW w:w="5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63"/>
        </w:trPr>
        <w:tc>
          <w:tcPr>
            <w:tcW w:w="5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5"/>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Pax8</w:t>
            </w:r>
          </w:p>
        </w:tc>
        <w:tc>
          <w:tcPr>
            <w:tcW w:w="7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Lionsgate</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Televisa Univision</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Skillz</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Plume</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Aviatrix</w:t>
            </w:r>
          </w:p>
        </w:tc>
        <w:tc>
          <w:tcPr>
            <w:tcW w:w="7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Lacework</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25"/>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(a)</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5880" w:type="dxa"/>
            <w:vAlign w:val="bottom"/>
            <w:tcBorders>
              <w:bottom w:val="single" w:sz="8" w:color="CCEEFF"/>
            </w:tcBorders>
            <w:shd w:val="clear" w:color="auto" w:fill="CCEEFF"/>
          </w:tcPr>
          <w:p>
            <w:pPr>
              <w:ind w:left="280"/>
              <w:spacing w:after="0" w:line="205"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amount for the 2022 nine-month period includes a gain of $12.0 million related to investments that were sold during the second quarter.</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Gains (losses) on debt extinguishment, net</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recognized a net gain on debt extinguishment of $2.8 million during the nine months ended September 30, 2022 as compared to a net loss of $90.6 million during the nine months ended September 30, 2021.</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gain during the nine months ended September 30, 2022 is primarily attributable to (i) a net gain associated with settlement discounts of $9.8 million,</w:t>
      </w:r>
    </w:p>
    <w:p>
      <w:pPr>
        <w:spacing w:after="0" w:line="51" w:lineRule="exact"/>
        <w:rPr>
          <w:sz w:val="20"/>
          <w:szCs w:val="20"/>
          <w:color w:val="auto"/>
        </w:rPr>
      </w:pPr>
    </w:p>
    <w:p>
      <w:pPr>
        <w:ind w:right="20" w:firstLine="6"/>
        <w:spacing w:after="0" w:line="251" w:lineRule="auto"/>
        <w:tabs>
          <w:tab w:leader="none" w:pos="26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write-off of $5.5 million of unamortized deferred financing costs and discounts and (iii) the payment of $1.5 million of third-party costs, all of which occurred during the second quarter.</w:t>
      </w:r>
    </w:p>
    <w:p>
      <w:pPr>
        <w:spacing w:after="0" w:line="21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loss during the nine months ended September 30, 2021 is attributable to (i) the write-off of $77.7 million of unamortized deferred financing costs and discounts and (ii) the payment of $12.9 million of redemption premiums, all of which occurred during the second quarter.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7" w:name="page78"/>
    <w:bookmarkEnd w:id="77"/>
    <w:p>
      <w:pPr>
        <w:ind w:left="160"/>
        <w:spacing w:after="0"/>
        <w:rPr>
          <w:sz w:val="20"/>
          <w:szCs w:val="20"/>
          <w:color w:val="auto"/>
        </w:rPr>
      </w:pPr>
      <w:r>
        <w:rPr>
          <w:rFonts w:ascii="Arial" w:cs="Arial" w:eastAsia="Arial" w:hAnsi="Arial"/>
          <w:sz w:val="18"/>
          <w:szCs w:val="18"/>
          <w:i w:val="1"/>
          <w:iCs w:val="1"/>
          <w:color w:val="auto"/>
        </w:rPr>
        <w:t>Share of results of affiliates,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ind w:right="55"/>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4"/>
          </w:tcPr>
          <w:p>
            <w:pPr>
              <w:jc w:val="right"/>
              <w:ind w:right="55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5"/>
        </w:trPr>
        <w:tc>
          <w:tcPr>
            <w:tcW w:w="5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9"/>
              </w:rPr>
              <w:t>2021</w:t>
            </w:r>
          </w:p>
        </w:tc>
      </w:tr>
      <w:tr>
        <w:trPr>
          <w:trHeight w:val="203"/>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63"/>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Formula 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AtlasEdge JV</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594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77" w:lineRule="auto"/>
        <w:tabs>
          <w:tab w:leader="none" w:pos="477"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spacing w:after="0" w:line="13"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18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2021 (1)</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1,060.5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1,180.3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3,515.2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(loss) (2)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1,158.4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1,306.8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880" w:hanging="397"/>
        <w:spacing w:after="0"/>
        <w:tabs>
          <w:tab w:leader="none" w:pos="8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Includes the operating results of the VMO2 JV for the period from June 1, 2021 through September 30, 2022.</w:t>
      </w:r>
    </w:p>
    <w:p>
      <w:pPr>
        <w:spacing w:after="0" w:line="243" w:lineRule="exact"/>
        <w:rPr>
          <w:rFonts w:ascii="Arial" w:cs="Arial" w:eastAsia="Arial" w:hAnsi="Arial"/>
          <w:sz w:val="18"/>
          <w:szCs w:val="18"/>
          <w:color w:val="auto"/>
        </w:rPr>
      </w:pPr>
    </w:p>
    <w:p>
      <w:pPr>
        <w:ind w:left="880" w:hanging="397"/>
        <w:spacing w:after="0"/>
        <w:tabs>
          <w:tab w:leader="none" w:pos="8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Includes interest expense of $260.0 million, $246.2 million, $732.3 million and $325.7 million, respectively.</w:t>
      </w:r>
    </w:p>
    <w:p>
      <w:pPr>
        <w:spacing w:after="0" w:line="243" w:lineRule="exact"/>
        <w:rPr>
          <w:rFonts w:ascii="Arial" w:cs="Arial" w:eastAsia="Arial" w:hAnsi="Arial"/>
          <w:sz w:val="18"/>
          <w:szCs w:val="18"/>
          <w:color w:val="auto"/>
        </w:rPr>
      </w:pPr>
    </w:p>
    <w:p>
      <w:pPr>
        <w:jc w:val="both"/>
        <w:ind w:left="480" w:hanging="474"/>
        <w:spacing w:after="0" w:line="255" w:lineRule="auto"/>
        <w:tabs>
          <w:tab w:leader="none" w:pos="474"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interest income of $12.9 million, $14.7 million, $40.7 million and $41.7 million, respectively, representing 100% of the interest earned on the VodafoneZiggo JV Receivables. The summarized results of operations of the VodafoneZiggo JV are set forth below:</w:t>
      </w:r>
    </w:p>
    <w:p>
      <w:pPr>
        <w:spacing w:after="0" w:line="70"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16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2021</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501.4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578.1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1,530.1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1,713.4</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118.9</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(117.1)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280.4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880" w:hanging="39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interest expense of $148.8 million, $151.5 million, $436.0 million and $456.2 million, respectively.</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78" w:name="page79"/>
    <w:bookmarkEnd w:id="78"/>
    <w:p>
      <w:pPr>
        <w:ind w:left="160"/>
        <w:spacing w:after="0"/>
        <w:rPr>
          <w:sz w:val="20"/>
          <w:szCs w:val="20"/>
          <w:color w:val="auto"/>
        </w:rPr>
      </w:pPr>
      <w:r>
        <w:rPr>
          <w:rFonts w:ascii="Arial" w:cs="Arial" w:eastAsia="Arial" w:hAnsi="Arial"/>
          <w:sz w:val="18"/>
          <w:szCs w:val="18"/>
          <w:i w:val="1"/>
          <w:iCs w:val="1"/>
          <w:color w:val="auto"/>
        </w:rPr>
        <w:t>Gain on Telenet Tower Sale</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Telenet Tower Sale, we recognized a pre-tax gain of $700.4 million during the nine months ended September 30, 2022. For additional information, see note 4 to our condensed consolidated financial statements.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Gain on U.K. JV Transaction</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U.K. JV Transaction, we recognized a pre-tax gain of $10,790.7 million during the nine months ended September 30, 2021, net of the recognition of a cumulative foreign currency translation loss of $1,198.6 million. For additional information, see note 4 to our condensed consolidated financial statements.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Gain on AtlasEdge JV Transactions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AtlasEdge JV Transactions, we recognized a pre-tax gain of $213.7 million during the nine months ended September 30, 2021, net of the recognition of a cumulative foreign currency translation loss of $1.8 million. For additional information, see note 4 to our condensed consolidated financial statements.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income, net</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recognized other income, net, of $21.7 million and $8.2 million for the three months ended September 30, 2022 and 2021, respectively, and $60.2 million and $25.6 million during the nine months ended September 30, 2022 and 2021, respectively. These amounts include (i) dividend and interest income of $16.3 million and $2.4 million during the three-month periods, respectively, and $41.7 million and $9.4 million during the nine-month periods, respectively, and (ii) credits related to the non-service component of our net periodic pension costs of $8.5 million and $5.7 million during the three-month periods, respectively, and $25.8 million and $21.9 million during the nine-month periods, respectively.</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recognized income tax expense of $64.8 million and $2.2 million during the three months ended September 30, 2022 and 2021, respectively.</w:t>
      </w:r>
    </w:p>
    <w:p>
      <w:pPr>
        <w:spacing w:after="0" w:line="25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income tax expense during the three months ended September 30, 2022 differs from the expected income tax expense of $474.3 million (based on the U.K. statutory income tax rate of 19.0%), primarily due to the positive impact of (i) non-deductible or non-taxable foreign currency exchange results and (ii) certain permanent differences between the financial and tax accounting treatment of items associated with investments in subsidiaries. The positive impact of these items was partially offset by the net negative impact of statutory rates in certain jurisdictions in which we operate that are different than the U.K. statutory income tax rate.</w:t>
      </w:r>
    </w:p>
    <w:p>
      <w:pPr>
        <w:spacing w:after="0" w:line="22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income tax expense during the three months ended September 30, 2021 differs from the expected income tax expense of $60.4 million (based on the U.K. statutory income tax rate of 19.0%), primarily due to the positive impact of (i) certain permanent differences between the financial and tax accounting treatment of items associated with investments in subsidiaries, including a non-taxable gain associated with the AtlasEdge JV Transactions and (ii) non-deductible or non-taxable foreign currency exchange results. The positive impact of these items was partially offset by the negative impact of the measurement period adjustment to the non-taxable gain associated with the U.K. JV Transaction.</w:t>
      </w:r>
    </w:p>
    <w:p>
      <w:pPr>
        <w:ind w:left="320"/>
        <w:spacing w:after="0"/>
        <w:rPr>
          <w:sz w:val="20"/>
          <w:szCs w:val="20"/>
          <w:color w:val="auto"/>
        </w:rPr>
      </w:pPr>
      <w:r>
        <w:rPr>
          <w:rFonts w:ascii="Arial" w:cs="Arial" w:eastAsia="Arial" w:hAnsi="Arial"/>
          <w:sz w:val="15"/>
          <w:szCs w:val="15"/>
          <w:color w:val="auto"/>
        </w:rPr>
        <w:t>We recognized income tax expense of $209.6 million and $444.2 million during the nine months ended September 30, 2022 and 2021, respectively.</w:t>
      </w:r>
    </w:p>
    <w:p>
      <w:pPr>
        <w:spacing w:after="0" w:line="26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income tax expense during the nine months ended September 30, 2022 differs from the expected income tax expense of $1,139.8 million (based on the U.K. statutory income tax rate of 19.0%), primarily due to the positive impact of (i) non-deductible or non-taxable foreign currency exchange results and</w:t>
      </w:r>
    </w:p>
    <w:p>
      <w:pPr>
        <w:spacing w:after="0" w:line="1" w:lineRule="exact"/>
        <w:rPr>
          <w:sz w:val="20"/>
          <w:szCs w:val="20"/>
          <w:color w:val="auto"/>
        </w:rPr>
      </w:pPr>
    </w:p>
    <w:p>
      <w:pPr>
        <w:jc w:val="both"/>
        <w:ind w:firstLine="6"/>
        <w:spacing w:after="0" w:line="248" w:lineRule="auto"/>
        <w:tabs>
          <w:tab w:leader="none" w:pos="2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permanent differences between the financial and tax accounting treatment of items associated with investments in subsidiaries. The positive impact of these items was partially offset by the net negative impact of statutory rates in certain jurisdictions in which we operate that are different than the U.K. statutory income tax rate.</w:t>
      </w:r>
    </w:p>
    <w:p>
      <w:pPr>
        <w:spacing w:after="0" w:line="221"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The income tax expense during the nine months ended September 30, 2021 differs from the expected income tax expense of $2,533.3 million (based on the U.K. statutory income tax rate of 19.0%), primarily due to the positive impact of the non-taxable gain associated with the U.K. JV Transaction.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9" w:name="page80"/>
    <w:bookmarkEnd w:id="79"/>
    <w:p>
      <w:pPr>
        <w:ind w:left="32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Earnings from continuing operations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months ended September 30, 2022 and 2021, we reported earnings from continuing operations of $2,431.7 million and $315.6 million, respectively, consisting of (i) operating income of $108.9 million and $101.0 million, respectively, (ii) net non-operating income of $2,387.6 million and $216.8 million, respectively, and (iii) income tax expense of $64.8 million and $2.2 million, respectively.</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nine months ended September 30, 2022 and 2021, we reported earnings from continuing operations of $5,789.6 million and $12,889.2 million, respectively, consisting of (i) operating income of $192.2 million and $1,239.4 million, respectively, (ii) net non-operating income of $5,807.0 million and $12,094.0 million, respectively, and (iii) income tax expense of $209.6 million and $444.2 million, respectively.</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2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Due largely to the fact that we seek to maintain our debt at levels that provide for attractive equity returns, as discussed below under </w:t>
      </w:r>
      <w:r>
        <w:rPr>
          <w:rFonts w:ascii="Arial" w:cs="Arial" w:eastAsia="Arial" w:hAnsi="Arial"/>
          <w:sz w:val="15"/>
          <w:szCs w:val="15"/>
          <w:i w:val="1"/>
          <w:iCs w:val="1"/>
          <w:color w:val="auto"/>
        </w:rPr>
        <w:t>Material Changes 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Condition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Capitalization</w:t>
      </w:r>
      <w:r>
        <w:rPr>
          <w:rFonts w:ascii="Arial" w:cs="Arial" w:eastAsia="Arial" w:hAnsi="Arial"/>
          <w:sz w:val="15"/>
          <w:szCs w:val="15"/>
          <w:color w:val="auto"/>
        </w:rPr>
        <w:t>, we expect we will continue to report significant levels of interest expense for the foreseeable future. For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concerning our expectations with respect to trends that may affect certain aspects of our operating results in future periods, see the discussion under </w:t>
      </w:r>
      <w:r>
        <w:rPr>
          <w:rFonts w:ascii="Arial" w:cs="Arial" w:eastAsia="Arial" w:hAnsi="Arial"/>
          <w:sz w:val="15"/>
          <w:szCs w:val="15"/>
          <w:i w:val="1"/>
          <w:iCs w:val="1"/>
          <w:color w:val="auto"/>
        </w:rPr>
        <w:t>Overview</w:t>
      </w:r>
      <w:r>
        <w:rPr>
          <w:rFonts w:ascii="Arial" w:cs="Arial" w:eastAsia="Arial" w:hAnsi="Arial"/>
          <w:sz w:val="15"/>
          <w:szCs w:val="15"/>
          <w:color w:val="auto"/>
        </w:rPr>
        <w:t xml:space="preserve"> above. For information concerning the reasons for changes in specific line items in our condensed consolidated statements of operations, see </w:t>
      </w:r>
      <w:r>
        <w:rPr>
          <w:rFonts w:ascii="Arial" w:cs="Arial" w:eastAsia="Arial" w:hAnsi="Arial"/>
          <w:sz w:val="15"/>
          <w:szCs w:val="15"/>
          <w:i w:val="1"/>
          <w:iCs w:val="1"/>
          <w:color w:val="auto"/>
        </w:rPr>
        <w:t>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our Reportable Segments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Discussion and Analysis of our Consolidated Operating Results </w:t>
      </w:r>
      <w:r>
        <w:rPr>
          <w:rFonts w:ascii="Arial" w:cs="Arial" w:eastAsia="Arial" w:hAnsi="Arial"/>
          <w:sz w:val="15"/>
          <w:szCs w:val="15"/>
          <w:color w:val="auto"/>
        </w:rPr>
        <w:t>above.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reported earnings from discontinued operations, net of taxes, of $3.1 million during the three months ended September 30, 2021 and $34.6 million and $44.3 million during the nine months ended September 30, 2022 and 2021, respectively, related to the results of UPC Poland. In addition, we recognized a gain on the sale of UPC Poland of $848.9 million during the second quarter of 2022, which includes a cumulative foreign currency translation gain of $10.9 million. For additional information, see note 4 to our condensed consolidated financial statements.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Net earnings attributable to noncontrolling interests increased $42.1 million and $357.4 million during the three and nine months ended September 30, 2022, respectively, as compared to the corresponding periods in 2021, primarily attributable to the results of operations of Telenet.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UPC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and cash equivalents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details of the U.S. dollar equivalent balances of our consolidated cash and cash equivalents at September 30, 2022 are set forth in the following table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988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Liberty Global (a)</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5"/>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Unrestricted subsidiaries (b)</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639.1</w:t>
            </w:r>
          </w:p>
        </w:tc>
      </w:tr>
      <w:tr>
        <w:trPr>
          <w:trHeight w:val="219"/>
        </w:trPr>
        <w:tc>
          <w:tcPr>
            <w:tcW w:w="98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Liberty Global and unrestricted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w:t>
            </w:r>
          </w:p>
        </w:tc>
      </w:tr>
      <w:tr>
        <w:trPr>
          <w:trHeight w:val="205"/>
        </w:trPr>
        <w:tc>
          <w:tcPr>
            <w:tcW w:w="9880" w:type="dxa"/>
            <w:vAlign w:val="bottom"/>
          </w:tcPr>
          <w:p>
            <w:pPr>
              <w:ind w:left="140"/>
              <w:spacing w:after="0" w:line="204" w:lineRule="exact"/>
              <w:rPr>
                <w:sz w:val="20"/>
                <w:szCs w:val="20"/>
                <w:color w:val="auto"/>
              </w:rPr>
            </w:pPr>
            <w:r>
              <w:rPr>
                <w:rFonts w:ascii="Arial" w:cs="Arial" w:eastAsia="Arial" w:hAnsi="Arial"/>
                <w:sz w:val="18"/>
                <w:szCs w:val="18"/>
                <w:color w:val="auto"/>
              </w:rPr>
              <w:t>Borrowing groups (c):</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Telenet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925.7</w:t>
            </w:r>
          </w:p>
        </w:tc>
      </w:tr>
      <w:tr>
        <w:trPr>
          <w:trHeight w:val="225"/>
        </w:trPr>
        <w:tc>
          <w:tcPr>
            <w:tcW w:w="9880" w:type="dxa"/>
            <w:vAlign w:val="bottom"/>
          </w:tcPr>
          <w:p>
            <w:pPr>
              <w:ind w:left="220"/>
              <w:spacing w:after="0"/>
              <w:rPr>
                <w:sz w:val="20"/>
                <w:szCs w:val="20"/>
                <w:color w:val="auto"/>
              </w:rPr>
            </w:pPr>
            <w:r>
              <w:rPr>
                <w:rFonts w:ascii="Arial" w:cs="Arial" w:eastAsia="Arial" w:hAnsi="Arial"/>
                <w:sz w:val="18"/>
                <w:szCs w:val="18"/>
                <w:color w:val="auto"/>
              </w:rPr>
              <w:t>UPC Holding</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VM Ireland</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8"/>
        </w:trPr>
        <w:tc>
          <w:tcPr>
            <w:tcW w:w="9880" w:type="dxa"/>
            <w:vAlign w:val="bottom"/>
            <w:tcBorders>
              <w:bottom w:val="single" w:sz="8" w:color="CCEEFF"/>
            </w:tcBorders>
          </w:tcPr>
          <w:p>
            <w:pPr>
              <w:ind w:left="380"/>
              <w:spacing w:after="0" w:line="204" w:lineRule="exact"/>
              <w:rPr>
                <w:sz w:val="20"/>
                <w:szCs w:val="20"/>
                <w:color w:val="auto"/>
              </w:rPr>
            </w:pPr>
            <w:r>
              <w:rPr>
                <w:rFonts w:ascii="Arial" w:cs="Arial" w:eastAsia="Arial" w:hAnsi="Arial"/>
                <w:sz w:val="18"/>
                <w:szCs w:val="18"/>
                <w:color w:val="auto"/>
              </w:rPr>
              <w:t>Total borrowing groups</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w:t>
            </w:r>
          </w:p>
        </w:tc>
      </w:tr>
      <w:tr>
        <w:trPr>
          <w:trHeight w:val="243"/>
        </w:trPr>
        <w:tc>
          <w:tcPr>
            <w:tcW w:w="9880" w:type="dxa"/>
            <w:vAlign w:val="bottom"/>
            <w:tcBorders>
              <w:bottom w:val="single" w:sz="8" w:color="CCEEFF"/>
            </w:tcBorders>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cash and cash equivalents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1,594.1</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43" w:lineRule="exact"/>
        <w:rPr>
          <w:rFonts w:ascii="Arial" w:cs="Arial" w:eastAsia="Arial" w:hAnsi="Arial"/>
          <w:sz w:val="18"/>
          <w:szCs w:val="18"/>
          <w:color w:val="auto"/>
        </w:rPr>
      </w:pPr>
    </w:p>
    <w:p>
      <w:pPr>
        <w:ind w:left="160" w:right="2900" w:hanging="154"/>
        <w:spacing w:after="0" w:line="264" w:lineRule="auto"/>
        <w:tabs>
          <w:tab w:leader="none" w:pos="4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Represents the aggregate amounts held by the parent entity and restricted subsidiaries of our borrowing groups. </w:t>
      </w:r>
      <w:r>
        <w:rPr>
          <w:rFonts w:ascii="Arial" w:cs="Arial" w:eastAsia="Arial" w:hAnsi="Arial"/>
          <w:sz w:val="18"/>
          <w:szCs w:val="18"/>
          <w:i w:val="1"/>
          <w:iCs w:val="1"/>
          <w:color w:val="auto"/>
        </w:rPr>
        <w:t>Liquidity of Liberty Global and its unrestricted subsidiaries</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$17.8 million of cash and cash equivalents held by Liberty Global and, subject to certain tax and legal considerations, the $639.1 million of aggregate cash and cash equivalents held by unrestricted subsidiaries, together with the $2,374.8 million of investments held under SMAs, represented available liquidity at the corporate level at September 30, 2022. Our remaining cash and cash equivalents of $937.2 million at September 30, 2022 were held by our borrowing groups, as set forth in the table above. As noted above, various factors may limit our ability to access the cash of our borrowing groups. For information regarding certain limitations imposed by our subsidiaries’ debt instruments at September 30, 2022, see note 9 to our condensed consolidated financial statements.</w:t>
      </w:r>
    </w:p>
    <w:p>
      <w:pPr>
        <w:spacing w:after="0" w:line="22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 distributions received from the VodafoneZiggo JV or the VMO2 JV, (iv) cash received with respect to transitional and other services provided to various third parties and (v) interest payments received with respect to the VodafoneZiggo JV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1" w:name="page82"/>
    <w:bookmarkEnd w:id="81"/>
    <w:p>
      <w:pPr>
        <w:jc w:val="both"/>
        <w:ind w:firstLine="318"/>
        <w:spacing w:after="0" w:line="265" w:lineRule="auto"/>
        <w:rPr>
          <w:sz w:val="20"/>
          <w:szCs w:val="20"/>
          <w:color w:val="auto"/>
        </w:rPr>
      </w:pPr>
      <w:r>
        <w:rPr>
          <w:rFonts w:ascii="Arial" w:cs="Arial" w:eastAsia="Arial" w:hAnsi="Arial"/>
          <w:sz w:val="17"/>
          <w:szCs w:val="17"/>
          <w:color w:val="auto"/>
        </w:rPr>
        <w:t>From time to time, Liberty Global and its unrestricted subsidiaries may also receive (i) proceeds in the form of dividend distributions or loan repayments from Liberty Global’s borrowing groups or affiliates (including amounts from the VodafoneZiggo JV or the VMO2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such as the sale of UPC Poland,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1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 September 30, 2022, our consolidated cash and cash equivalents balance included $1,119.8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euros and Swiss francs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short- and long-term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 In addition, our parent entity uses available liquidity to make interest and principal payments on notes payable to certain of our unrestricted subsidiaries (aggregate outstanding principal of $13.4 billion at September 30, 2022 with varying maturity dates).</w:t>
      </w:r>
    </w:p>
    <w:p>
      <w:pPr>
        <w:spacing w:after="0" w:line="20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the nine months ended September 30, 2022, the aggregate amount of our share repurchases, including direct acquisition costs, was $1,587.3 million. Under our current repurchase program, we are authorized during 2022 to repurchase 10% of our total outstanding shares as of the beginning of the year. In July 2022, our board of directors authorized an additional $400.0 million for 2022 share repurchases. For additional information regarding our share repurchase programs, see note 12 to our condensed consolidated financial statements.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Liquidity of borrowing groups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September 30, 2022, see note 9 to our condensed consolidated financial statements. The aforementioned sources of liquidity may be supplemented in certain cases by contributions and/or loans from Liberty Global and its unrestricted subsidiaries.</w:t>
      </w:r>
    </w:p>
    <w:p>
      <w:pPr>
        <w:spacing w:after="0" w:line="17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liquidity of our borrowing groups generally is used to fund (i) property and equipment additions, (ii) debt service requirements and (iii) income tax payments, as well as to settle certain obligations that are not included on our September 30, 2022 condensed consolidated balance sheet. In this regard, we have significant commitments related to (a) certain operating costs associated with our networks, (b) purchase obligations associated with customer premises equipment and certain service-related commitments and (c) programming, studio output and sports rights contracts. These obligations are expected to represent a significant liquidity requirement of our borrowing groups, a significant portion of which is due over the next 12 to 24 months. For additional information regarding our commitments, see note 15 to our condensed consolidated financial statements.</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For additional information regarding our consolidated cash flows, see the discussion under </w:t>
      </w:r>
      <w:r>
        <w:rPr>
          <w:rFonts w:ascii="Arial" w:cs="Arial" w:eastAsia="Arial" w:hAnsi="Arial"/>
          <w:sz w:val="15"/>
          <w:szCs w:val="15"/>
          <w:i w:val="1"/>
          <w:iCs w:val="1"/>
          <w:color w:val="auto"/>
        </w:rPr>
        <w:t>Condensed Consolidated Statements of Cash Flows</w:t>
      </w:r>
      <w:r>
        <w:rPr>
          <w:rFonts w:ascii="Arial" w:cs="Arial" w:eastAsia="Arial" w:hAnsi="Arial"/>
          <w:sz w:val="15"/>
          <w:szCs w:val="15"/>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2" w:name="page83"/>
    <w:bookmarkEnd w:id="82"/>
    <w:p>
      <w:pPr>
        <w:ind w:left="160"/>
        <w:spacing w:after="0"/>
        <w:rPr>
          <w:sz w:val="20"/>
          <w:szCs w:val="20"/>
          <w:color w:val="auto"/>
        </w:rPr>
      </w:pPr>
      <w:r>
        <w:rPr>
          <w:rFonts w:ascii="Arial" w:cs="Arial" w:eastAsia="Arial" w:hAnsi="Arial"/>
          <w:sz w:val="18"/>
          <w:szCs w:val="18"/>
          <w:b w:val="1"/>
          <w:bCs w:val="1"/>
          <w:i w:val="1"/>
          <w:iCs w:val="1"/>
          <w:color w:val="auto"/>
        </w:rPr>
        <w:t>Capitalization</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20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September 30, 2022,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39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At September 30, 2022, the outstanding principal amount of our consolidated debt, together with our finance lease obligations, aggregated $13.3 billion, including $0.7 billion that is classified as current on our condensed consolidated balance sheet and $12.2 billion that is not due until 2028 or thereafter. All of our consolidated debt and finance lease obligations have been borrowed or incurred by our subsidiaries at September 30, 2022.</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additional information concerning our debt and finance lease obligations, see notes 9 and 10, respectively,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3" w:name="page84"/>
    <w:bookmarkEnd w:id="83"/>
    <w:p>
      <w:pPr>
        <w:ind w:left="16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condensed consolidated statements of cash flows of our continuing operations for the nine months ended September 30, 2022 and 2021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8"/>
              </w:rPr>
              <w:t>Nine months ended</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7"/>
              </w:rPr>
              <w:t>September 30,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7"/>
        </w:trPr>
        <w:tc>
          <w:tcPr>
            <w:tcW w:w="74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Change</w:t>
            </w:r>
          </w:p>
        </w:tc>
      </w:tr>
      <w:tr>
        <w:trPr>
          <w:trHeight w:val="203"/>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3"/>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Net cash provided (used) by investing activities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7,652.1</w:t>
            </w: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financing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(2,325.7)</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r>
      <w:tr>
        <w:trPr>
          <w:trHeight w:val="244"/>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decrease in net cash provided by operating activities is primarily attributable to the net effect of (i) a decrease in cash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by our Adjusted EBITDA and related working capital items, which includes (a) the impact of the U.K. JV Transaction and (b) an increase in cash of $113.7 million (at the applicable rate) in connection with the sale of certain handset receivables in Switzerland, (ii) an increase in cash provided due to lower payments of interest, including the impact of the U.K. JV Transaction, (iii) an increase in cash provided due to higher dividend distributions received from the VMO2 JV, (iv) a decrease due to FX and (v) an increase in cash provided due to higher net cash receipts related to derivative instruments</w:t>
      </w:r>
      <w:r>
        <w:rPr>
          <w:rFonts w:ascii="Arial" w:cs="Arial" w:eastAsia="Arial" w:hAnsi="Arial"/>
          <w:sz w:val="17"/>
          <w:szCs w:val="17"/>
          <w:b w:val="1"/>
          <w:bCs w:val="1"/>
          <w:color w:val="auto"/>
        </w:rPr>
        <w:t>.</w:t>
      </w:r>
      <w:r>
        <w:rPr>
          <w:rFonts w:ascii="Arial" w:cs="Arial" w:eastAsia="Arial" w:hAnsi="Arial"/>
          <w:sz w:val="17"/>
          <w:szCs w:val="17"/>
          <w:color w:val="auto"/>
        </w:rPr>
        <w:t xml:space="preserve"> Consolidated Adjusted EBITDA is a non-GAAP measure, which investors should view as a supplement to, and not a substitute for, GAAP measures of performance included in our condensed consolidated statements of operations.</w:t>
      </w:r>
    </w:p>
    <w:p>
      <w:pPr>
        <w:spacing w:after="0" w:line="21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The change in net cash provided (used) by investing activities is primarily attributable to (i) an increase in cash of $3,424.0 million as</w:t>
      </w:r>
      <w:r>
        <w:rPr>
          <w:rFonts w:ascii="Arial" w:cs="Arial" w:eastAsia="Arial" w:hAnsi="Arial"/>
          <w:sz w:val="15"/>
          <w:szCs w:val="15"/>
          <w:i w:val="1"/>
          <w:iCs w:val="1"/>
          <w:color w:val="auto"/>
        </w:rPr>
        <w:t xml:space="preserve"> </w:t>
      </w:r>
      <w:r>
        <w:rPr>
          <w:rFonts w:ascii="Arial" w:cs="Arial" w:eastAsia="Arial" w:hAnsi="Arial"/>
          <w:sz w:val="15"/>
          <w:szCs w:val="15"/>
          <w:color w:val="auto"/>
        </w:rPr>
        <w:t>a result of the restricted cash contributed to the VMO2 JV in connection with the U.K. JV Transaction during the first six months of 2021, (ii) an increase in cash of $1,563.0 million in connection with the sale of UPC Poland, (iii) an increase in cash of $1,389.4 million associated with higher net cash received from the sale of investments, primarily related to our investments held under SMAs, (iv) an increase in cash of $779.9 million in connection with the Telenet Tower Sale, (v) an increase in cash of $266.9 million due to higher dividend distributions received from the VMO2 JV and (vi) an increase in cash of $185.1 million due to lower capital expenditures. Capital expenditures decreased from $1,114.4 million during the first nine months of 2021 to $929.3 million during the first nine months of 2022, primarily due to the net effect of (a) a decrease due to the impact of the U.K. JV Transaction, (b) a decrease due to FX and (c) an increase in our net local currency capital expenditures and related working capital movements, including the impact of lower capital-related vendor financing.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4" w:name="page85"/>
    <w:bookmarkEnd w:id="84"/>
    <w:p>
      <w:pPr>
        <w:jc w:val="both"/>
        <w:ind w:firstLine="318"/>
        <w:spacing w:after="0" w:line="298" w:lineRule="auto"/>
        <w:rPr>
          <w:sz w:val="20"/>
          <w:szCs w:val="20"/>
          <w:color w:val="auto"/>
        </w:rPr>
      </w:pPr>
      <w:r>
        <w:rPr>
          <w:rFonts w:ascii="Arial" w:cs="Arial" w:eastAsia="Arial" w:hAnsi="Arial"/>
          <w:sz w:val="15"/>
          <w:szCs w:val="15"/>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w:t>
      </w:r>
    </w:p>
    <w:p>
      <w:pPr>
        <w:spacing w:after="0" w:line="3" w:lineRule="exact"/>
        <w:rPr>
          <w:sz w:val="20"/>
          <w:szCs w:val="20"/>
          <w:color w:val="auto"/>
        </w:rPr>
      </w:pPr>
    </w:p>
    <w:p>
      <w:pPr>
        <w:jc w:val="both"/>
        <w:ind w:firstLine="6"/>
        <w:spacing w:after="0" w:line="247" w:lineRule="auto"/>
        <w:tabs>
          <w:tab w:leader="none" w:pos="266"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total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09"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Nine months ended</w:t>
      </w:r>
    </w:p>
    <w:p>
      <w:pPr>
        <w:jc w:val="center"/>
        <w:ind w:left="842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r>
      <w:tr>
        <w:trPr>
          <w:trHeight w:val="202"/>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r>
      <w:tr>
        <w:trPr>
          <w:trHeight w:val="163"/>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(599.6)</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r>
      <w:tr>
        <w:trPr>
          <w:trHeight w:val="244"/>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decrease in our property and equipment additions during the nine months ended September 30, 2022, as compared to the corresponding period in 2021, is primarily due to the net effect of (i) a decrease due to the impact of the U.K. JV Transaction, (ii) a decrease due to FX and (iii) an increase in local currency expenditures of our subsidiaries due to the net effect of (a) an increase in expenditures for the purchase and installation of customer premises equipment, (b) a decrease in baseline expenditures, including network improvements and expenditures for property and facilities and information technology systems, (c) an increase in expenditures for new build and upgrade projects and (d) a decrease in expenditures to support new customer products and operational efficiency initiatives.</w:t>
      </w:r>
    </w:p>
    <w:p>
      <w:pPr>
        <w:spacing w:after="0" w:line="22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The increase in net cash used by financing activities is primarily attributable to the net effect of (i) an increase in cash used of</w:t>
      </w:r>
      <w:r>
        <w:rPr>
          <w:rFonts w:ascii="Arial" w:cs="Arial" w:eastAsia="Arial" w:hAnsi="Arial"/>
          <w:sz w:val="15"/>
          <w:szCs w:val="15"/>
          <w:i w:val="1"/>
          <w:iCs w:val="1"/>
          <w:color w:val="auto"/>
        </w:rPr>
        <w:t xml:space="preserve"> </w:t>
      </w:r>
      <w:r>
        <w:rPr>
          <w:rFonts w:ascii="Arial" w:cs="Arial" w:eastAsia="Arial" w:hAnsi="Arial"/>
          <w:sz w:val="15"/>
          <w:szCs w:val="15"/>
          <w:color w:val="auto"/>
        </w:rPr>
        <w:t>$1,822.9 million due to higher net repayments of debt, (ii) an increase in cash used of $557.2 million due to higher repurchases of Liberty Global ordinary shares and (iii) a decrease in cash used of $114.2 million due to lower net repayments of vendor financing, including the impact of the U.K. JV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5" w:name="page86"/>
    <w:bookmarkEnd w:id="85"/>
    <w:p>
      <w:pPr>
        <w:ind w:left="16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define adjusted free cash flow as net cash provided by the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with each item excluding any cash provided or used by our discontinued operations. Prior to the fourth quarter of 2021, our definition of adjusted free cash flow excluded cash payments for third-party costs directly associated with successful and unsuccessful acquisitions and dispositions. During the fourth quarter of 2021, we changed our definition of adjusted free cash flow to include these cash payments. Cash paid for third-party costs directly associated with successful and unsuccessful acquisitions and dispositions was $32.0 million and $54.6 million during the nine months ended September 30, 2022 and 2021, respectively. We believe our presentation of adjusted free cash flow, which is a non-GAAP measure, provides useful information to our investors because this measure can be used to gauge our ability to (a) service debt and (b)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29"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Nine months ended</w:t>
      </w:r>
    </w:p>
    <w:p>
      <w:pPr>
        <w:jc w:val="center"/>
        <w:ind w:left="862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03"/>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our continuing operations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2,414.0</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Operating-related vendor financing additions (a)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1,657.5</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capital expenditures,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(1,279.6)</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r>
      <w:tr>
        <w:trPr>
          <w:trHeight w:val="22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Principal payments on finance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864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Adjusted free cash flow</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4" w:lineRule="exact"/>
        <w:rPr>
          <w:sz w:val="20"/>
          <w:szCs w:val="20"/>
          <w:color w:val="auto"/>
        </w:rPr>
      </w:pPr>
    </w:p>
    <w:p>
      <w:pPr>
        <w:jc w:val="both"/>
        <w:ind w:left="480" w:hanging="474"/>
        <w:spacing w:after="0" w:line="309" w:lineRule="auto"/>
        <w:tabs>
          <w:tab w:leader="none" w:pos="477" w:val="left"/>
        </w:tabs>
        <w:numPr>
          <w:ilvl w:val="0"/>
          <w:numId w:val="76"/>
        </w:numPr>
        <w:rPr>
          <w:rFonts w:ascii="Arial" w:cs="Arial" w:eastAsia="Arial" w:hAnsi="Arial"/>
          <w:sz w:val="15"/>
          <w:szCs w:val="15"/>
          <w:color w:val="auto"/>
        </w:rPr>
      </w:pPr>
      <w:r>
        <w:rPr>
          <w:rFonts w:ascii="Arial" w:cs="Arial" w:eastAsia="Arial" w:hAnsi="Arial"/>
          <w:sz w:val="15"/>
          <w:szCs w:val="15"/>
          <w:color w:val="auto"/>
        </w:rPr>
        <w:t>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6" w:name="page87"/>
    <w:bookmarkEnd w:id="86"/>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2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Part II,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our 10-K. The following discussion updates selected numerical information to September 30, 2022.</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convenience translations into U.S. dollars are calculated as of September 30, 2022.</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September 30, 2022, $1,101.3 million or 69.1% and $465.6 million or 29.2% of our consolidated cash balances were denominated in euros and U.S. dollars, respectively.</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3"/>
          </w:tcPr>
          <w:p>
            <w:pPr>
              <w:ind w:left="18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6"/>
                <w:szCs w:val="16"/>
                <w:color w:val="auto"/>
              </w:rPr>
            </w:pPr>
          </w:p>
        </w:tc>
        <w:tc>
          <w:tcPr>
            <w:tcW w:w="1360" w:type="dxa"/>
            <w:vAlign w:val="bottom"/>
          </w:tcPr>
          <w:p>
            <w:pPr>
              <w:jc w:val="right"/>
              <w:ind w:right="141"/>
              <w:spacing w:after="0"/>
              <w:rPr>
                <w:sz w:val="20"/>
                <w:szCs w:val="20"/>
                <w:color w:val="auto"/>
              </w:rPr>
            </w:pPr>
            <w:r>
              <w:rPr>
                <w:rFonts w:ascii="Arial" w:cs="Arial" w:eastAsia="Arial" w:hAnsi="Arial"/>
                <w:sz w:val="16"/>
                <w:szCs w:val="16"/>
                <w:b w:val="1"/>
                <w:bCs w:val="1"/>
                <w:color w:val="auto"/>
              </w:rPr>
              <w:t>December 31,</w:t>
            </w:r>
          </w:p>
        </w:tc>
      </w:tr>
      <w:tr>
        <w:trPr>
          <w:trHeight w:val="208"/>
        </w:trPr>
        <w:tc>
          <w:tcPr>
            <w:tcW w:w="3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194"/>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Spot rates:</w:t>
            </w:r>
          </w:p>
        </w:tc>
        <w:tc>
          <w:tcPr>
            <w:tcW w:w="2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8"/>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Euro</w:t>
            </w:r>
          </w:p>
        </w:tc>
        <w:tc>
          <w:tcPr>
            <w:tcW w:w="20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1.0215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0.8782</w:t>
            </w:r>
          </w:p>
        </w:tc>
      </w:tr>
      <w:tr>
        <w:trPr>
          <w:trHeight w:val="225"/>
        </w:trPr>
        <w:tc>
          <w:tcPr>
            <w:tcW w:w="358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1"/>
              <w:spacing w:after="0"/>
              <w:rPr>
                <w:sz w:val="20"/>
                <w:szCs w:val="20"/>
                <w:color w:val="auto"/>
              </w:rPr>
            </w:pPr>
            <w:r>
              <w:rPr>
                <w:rFonts w:ascii="Arial" w:cs="Arial" w:eastAsia="Arial" w:hAnsi="Arial"/>
                <w:sz w:val="18"/>
                <w:szCs w:val="18"/>
                <w:color w:val="auto"/>
              </w:rPr>
              <w:t>0.8985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0.7388</w:t>
            </w:r>
          </w:p>
        </w:tc>
      </w:tr>
      <w:tr>
        <w:trPr>
          <w:trHeight w:val="226"/>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20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0.9838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0.9114</w:t>
            </w:r>
          </w:p>
        </w:tc>
      </w:tr>
      <w:tr>
        <w:trPr>
          <w:trHeight w:val="224"/>
        </w:trPr>
        <w:tc>
          <w:tcPr>
            <w:tcW w:w="3580" w:type="dxa"/>
            <w:vAlign w:val="bottom"/>
          </w:tcPr>
          <w:p>
            <w:pPr>
              <w:ind w:left="100"/>
              <w:spacing w:after="0"/>
              <w:rPr>
                <w:sz w:val="20"/>
                <w:szCs w:val="20"/>
                <w:color w:val="auto"/>
              </w:rPr>
            </w:pPr>
            <w:r>
              <w:rPr>
                <w:rFonts w:ascii="Arial" w:cs="Arial" w:eastAsia="Arial" w:hAnsi="Arial"/>
                <w:sz w:val="18"/>
                <w:szCs w:val="18"/>
                <w:color w:val="auto"/>
              </w:rPr>
              <w:t>Polish zloty</w:t>
            </w: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1"/>
              <w:spacing w:after="0"/>
              <w:rPr>
                <w:sz w:val="20"/>
                <w:szCs w:val="20"/>
                <w:color w:val="auto"/>
              </w:rPr>
            </w:pPr>
            <w:r>
              <w:rPr>
                <w:rFonts w:ascii="Arial" w:cs="Arial" w:eastAsia="Arial" w:hAnsi="Arial"/>
                <w:sz w:val="18"/>
                <w:szCs w:val="18"/>
                <w:color w:val="auto"/>
              </w:rPr>
              <w:t>4.9601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4.0285</w:t>
            </w:r>
          </w:p>
        </w:tc>
      </w:tr>
      <w:tr>
        <w:trPr>
          <w:trHeight w:val="460"/>
        </w:trPr>
        <w:tc>
          <w:tcPr>
            <w:tcW w:w="3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8"/>
              </w:rPr>
              <w:t>Three months ended</w:t>
            </w:r>
          </w:p>
        </w:tc>
        <w:tc>
          <w:tcPr>
            <w:tcW w:w="20" w:type="dxa"/>
            <w:vAlign w:val="bottom"/>
          </w:tcPr>
          <w:p>
            <w:pPr>
              <w:spacing w:after="0"/>
              <w:rPr>
                <w:sz w:val="24"/>
                <w:szCs w:val="24"/>
                <w:color w:val="auto"/>
              </w:rPr>
            </w:pPr>
          </w:p>
        </w:tc>
        <w:tc>
          <w:tcPr>
            <w:tcW w:w="2840" w:type="dxa"/>
            <w:vAlign w:val="bottom"/>
            <w:gridSpan w:val="5"/>
          </w:tcPr>
          <w:p>
            <w:pPr>
              <w:jc w:val="right"/>
              <w:ind w:right="681"/>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3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6"/>
                <w:szCs w:val="16"/>
                <w:b w:val="1"/>
                <w:bCs w:val="1"/>
                <w:color w:val="auto"/>
                <w:w w:val="89"/>
              </w:rPr>
              <w:t>September 30,</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841"/>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3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60" w:type="dxa"/>
            <w:vAlign w:val="bottom"/>
          </w:tcPr>
          <w:p>
            <w:pPr>
              <w:jc w:val="right"/>
              <w:ind w:right="40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393"/>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194"/>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Average rates:</w:t>
            </w:r>
          </w:p>
        </w:tc>
        <w:tc>
          <w:tcPr>
            <w:tcW w:w="208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r>
        <w:trPr>
          <w:trHeight w:val="228"/>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Euro</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0.8484</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0.9412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0.8359</w:t>
            </w:r>
          </w:p>
        </w:tc>
      </w:tr>
      <w:tr>
        <w:trPr>
          <w:trHeight w:val="225"/>
        </w:trPr>
        <w:tc>
          <w:tcPr>
            <w:tcW w:w="358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0.8508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0.7257</w:t>
            </w:r>
          </w:p>
        </w:tc>
        <w:tc>
          <w:tcPr>
            <w:tcW w:w="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0.7974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0.7220</w:t>
            </w:r>
          </w:p>
        </w:tc>
      </w:tr>
      <w:tr>
        <w:trPr>
          <w:trHeight w:val="226"/>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0.9183</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0.9518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0.9113</w:t>
            </w:r>
          </w:p>
        </w:tc>
      </w:tr>
      <w:tr>
        <w:trPr>
          <w:trHeight w:val="224"/>
        </w:trPr>
        <w:tc>
          <w:tcPr>
            <w:tcW w:w="3580" w:type="dxa"/>
            <w:vAlign w:val="bottom"/>
          </w:tcPr>
          <w:p>
            <w:pPr>
              <w:ind w:left="100"/>
              <w:spacing w:after="0"/>
              <w:rPr>
                <w:sz w:val="20"/>
                <w:szCs w:val="20"/>
                <w:color w:val="auto"/>
              </w:rPr>
            </w:pPr>
            <w:r>
              <w:rPr>
                <w:rFonts w:ascii="Arial" w:cs="Arial" w:eastAsia="Arial" w:hAnsi="Arial"/>
                <w:sz w:val="18"/>
                <w:szCs w:val="18"/>
                <w:color w:val="auto"/>
              </w:rPr>
              <w:t>Polish zloty</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4.7124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3.8738</w:t>
            </w:r>
          </w:p>
        </w:tc>
        <w:tc>
          <w:tcPr>
            <w:tcW w:w="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4.3972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3.8001</w:t>
            </w:r>
          </w:p>
        </w:tc>
      </w:tr>
      <w:tr>
        <w:trPr>
          <w:trHeight w:val="888"/>
        </w:trPr>
        <w:tc>
          <w:tcPr>
            <w:tcW w:w="3580" w:type="dxa"/>
            <w:vAlign w:val="bottom"/>
          </w:tcPr>
          <w:p>
            <w:pPr>
              <w:spacing w:after="0"/>
              <w:rPr>
                <w:sz w:val="24"/>
                <w:szCs w:val="24"/>
                <w:color w:val="auto"/>
              </w:rPr>
            </w:pPr>
          </w:p>
        </w:tc>
        <w:tc>
          <w:tcPr>
            <w:tcW w:w="3340" w:type="dxa"/>
            <w:vAlign w:val="bottom"/>
            <w:gridSpan w:val="2"/>
          </w:tcPr>
          <w:p>
            <w:pPr>
              <w:jc w:val="right"/>
              <w:ind w:right="112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3"/>
        </w:trPr>
        <w:tc>
          <w:tcPr>
            <w:tcW w:w="35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7" w:name="page88"/>
    <w:bookmarkEnd w:id="87"/>
    <w:p>
      <w:pPr>
        <w:ind w:left="16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From time to time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announced that measures would need to be undertaken by the end of 2021 to reform EURIBOR to ensure compliance with the E.U. Benchmarks Regulation. In November 2020, ICE Benchmark Administration (the entity that administers LIBOR) announced its intention to continue publishing USD LIBOR rates until June 30, 2023, with the exception of the one-week and two-month rates which, along with all CHF and GBP LIBOR rates, it ceased to publish after December 31, 2021.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there is no consensus amongst loan borrowers and investors for what rate(s) should replace USD LIBOR.</w:t>
      </w:r>
    </w:p>
    <w:p>
      <w:pPr>
        <w:spacing w:after="0" w:line="20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In October 2020, the International Swaps and Derivatives Association (the </w:t>
      </w:r>
      <w:r>
        <w:rPr>
          <w:rFonts w:ascii="Arial" w:cs="Arial" w:eastAsia="Arial" w:hAnsi="Arial"/>
          <w:sz w:val="17"/>
          <w:szCs w:val="17"/>
          <w:b w:val="1"/>
          <w:bCs w:val="1"/>
          <w:color w:val="auto"/>
        </w:rPr>
        <w:t>ISDA</w:t>
      </w:r>
      <w:r>
        <w:rPr>
          <w:rFonts w:ascii="Arial" w:cs="Arial" w:eastAsia="Arial" w:hAnsi="Arial"/>
          <w:sz w:val="17"/>
          <w:szCs w:val="17"/>
          <w:color w:val="auto"/>
        </w:rPr>
        <w:t>) launched the Fallback Supplement, which, as of January 25, 2021, amended the standard definitions for interest rate derivatives to incorporate fallbacks for derivatives linked to certain key interbank offered rates (</w:t>
      </w:r>
      <w:r>
        <w:rPr>
          <w:rFonts w:ascii="Arial" w:cs="Arial" w:eastAsia="Arial" w:hAnsi="Arial"/>
          <w:sz w:val="17"/>
          <w:szCs w:val="17"/>
          <w:b w:val="1"/>
          <w:bCs w:val="1"/>
          <w:color w:val="auto"/>
        </w:rPr>
        <w:t>IBORs</w:t>
      </w:r>
      <w:r>
        <w:rPr>
          <w:rFonts w:ascii="Arial" w:cs="Arial" w:eastAsia="Arial" w:hAnsi="Arial"/>
          <w:sz w:val="17"/>
          <w:szCs w:val="17"/>
          <w:color w:val="auto"/>
        </w:rPr>
        <w:t>). The ISDA also launched the Fallback Protocol, a protocol that enables market participants to incorporate these revisions into their legacy non-cleared derivatives with other counterparties that choose to adhere to the protocol. The fallbacks for a particular currency apply following a permanent cessation of the IBOR in that currency, or in the case of a LIBOR setting, that LIBOR setting becoming permanently unrepresentative, and are adjusted versions of the risk-free rates identified in each currency. Our credit agreements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credit agreements in the event that either the LIBOR rate or the EURIBOR rate is not available. It is possible, however, that any new reference rate that applies to our LIBOR-indexed or EURIBOR-indexed debt could be different from any new reference rate that applies to our LIBOR-indexed or EURIBOR-indexed derivative instruments. For discontinued currencies and tenors, we expect to continue taking steps to mitigate the changes in these benchmark rates, including by amending existing credit agreements and adhering to the Fallback Protocol, where appropriate. We plan to continue to manage this difference and any resulting increased variable-rate exposure through modifications to our debt and/or derivative instruments, however, future market conditions may not allow immediate implementation of desired modifications and our subsidiaries may incur significant associated costs.</w:t>
      </w:r>
    </w:p>
    <w:p>
      <w:pPr>
        <w:spacing w:after="0" w:line="2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Weighted Average Variable Interest Rate. </w:t>
      </w:r>
      <w:r>
        <w:rPr>
          <w:rFonts w:ascii="Arial" w:cs="Arial" w:eastAsia="Arial" w:hAnsi="Arial"/>
          <w:sz w:val="17"/>
          <w:szCs w:val="17"/>
          <w:color w:val="auto"/>
        </w:rPr>
        <w:t>At September 30, 2022, the outstanding principal amount of our variable-rate indebtedness aggregated $8.9</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and the weighted average interest rate (including margin) on such variable-rate indebtedness was approximately 4.9%,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$44.5 million. As discussed above and in note 6 to our condensed consolidated financial statements, we use interest rate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8" w:name="page89"/>
    <w:bookmarkEnd w:id="88"/>
    <w:p>
      <w:pPr>
        <w:jc w:val="both"/>
        <w:spacing w:after="0" w:line="255" w:lineRule="auto"/>
        <w:rPr>
          <w:sz w:val="20"/>
          <w:szCs w:val="20"/>
          <w:color w:val="auto"/>
        </w:rPr>
      </w:pPr>
      <w:r>
        <w:rPr>
          <w:rFonts w:ascii="Arial" w:cs="Arial" w:eastAsia="Arial" w:hAnsi="Arial"/>
          <w:sz w:val="18"/>
          <w:szCs w:val="18"/>
          <w:color w:val="auto"/>
        </w:rPr>
        <w:t>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September 30, 2022:</w:t>
      </w:r>
    </w:p>
    <w:p>
      <w:pPr>
        <w:spacing w:after="0" w:line="244" w:lineRule="exact"/>
        <w:rPr>
          <w:sz w:val="20"/>
          <w:szCs w:val="20"/>
          <w:color w:val="auto"/>
        </w:rPr>
      </w:pPr>
    </w:p>
    <w:p>
      <w:pPr>
        <w:ind w:left="800" w:hanging="476"/>
        <w:spacing w:after="0" w:line="365" w:lineRule="auto"/>
        <w:tabs>
          <w:tab w:leader="none" w:pos="794" w:val="left"/>
        </w:tabs>
        <w:numPr>
          <w:ilvl w:val="0"/>
          <w:numId w:val="77"/>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relative to the U.S. dollar would have decreased (increased) the aggregate fair value of the UPC Holding cross-currency and interest rate derivative contracts by approximately €429 million ($420 million);</w:t>
      </w:r>
    </w:p>
    <w:p>
      <w:pPr>
        <w:spacing w:after="0" w:line="137" w:lineRule="exact"/>
        <w:rPr>
          <w:rFonts w:ascii="Arial" w:cs="Arial" w:eastAsia="Arial" w:hAnsi="Arial"/>
          <w:sz w:val="15"/>
          <w:szCs w:val="15"/>
          <w:color w:val="auto"/>
        </w:rPr>
      </w:pPr>
    </w:p>
    <w:p>
      <w:pPr>
        <w:ind w:left="800" w:hanging="476"/>
        <w:spacing w:after="0" w:line="365" w:lineRule="auto"/>
        <w:tabs>
          <w:tab w:leader="none" w:pos="79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relative to the euro would have decreased (increased) the aggregate fair value of the UPC Holding cross-currency and interest rate derivative contracts by approximately €336 million ($329 million); and</w:t>
      </w:r>
    </w:p>
    <w:p>
      <w:pPr>
        <w:spacing w:after="0" w:line="137" w:lineRule="exact"/>
        <w:rPr>
          <w:rFonts w:ascii="Arial" w:cs="Arial" w:eastAsia="Arial" w:hAnsi="Arial"/>
          <w:sz w:val="15"/>
          <w:szCs w:val="15"/>
          <w:color w:val="auto"/>
        </w:rPr>
      </w:pPr>
    </w:p>
    <w:p>
      <w:pPr>
        <w:ind w:left="800" w:hanging="476"/>
        <w:spacing w:after="0" w:line="294" w:lineRule="auto"/>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decreased (increased) the aggregate fair value of the UPC Holding cross-currency and interest rate derivative contracts by approximately €107 million ($105 million).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September 30, 2022:</w:t>
      </w:r>
    </w:p>
    <w:p>
      <w:pPr>
        <w:spacing w:after="0" w:line="244" w:lineRule="exact"/>
        <w:rPr>
          <w:sz w:val="20"/>
          <w:szCs w:val="20"/>
          <w:color w:val="auto"/>
        </w:rPr>
      </w:pPr>
    </w:p>
    <w:p>
      <w:pPr>
        <w:ind w:left="800" w:right="20" w:hanging="476"/>
        <w:spacing w:after="0" w:line="294" w:lineRule="auto"/>
        <w:tabs>
          <w:tab w:leader="none" w:pos="794"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€300 million ($294 million); and</w:t>
      </w:r>
    </w:p>
    <w:p>
      <w:pPr>
        <w:spacing w:after="0" w:line="183" w:lineRule="exact"/>
        <w:rPr>
          <w:rFonts w:ascii="Arial" w:cs="Arial" w:eastAsia="Arial" w:hAnsi="Arial"/>
          <w:sz w:val="17"/>
          <w:szCs w:val="17"/>
          <w:color w:val="auto"/>
        </w:rPr>
      </w:pPr>
    </w:p>
    <w:p>
      <w:pPr>
        <w:ind w:left="800" w:hanging="476"/>
        <w:spacing w:after="0" w:line="264" w:lineRule="auto"/>
        <w:tabs>
          <w:tab w:leader="none" w:pos="7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decreased (increased) the aggregate fair value of the Telenet cross-currency and interest rate derivative contracts by approximately €76 million ($74 million).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9" w:name="page90"/>
    <w:bookmarkEnd w:id="89"/>
    <w:p>
      <w:pPr>
        <w:ind w:left="16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 projections and exchange rates as of September 30, 2022.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ind w:left="180"/>
              <w:spacing w:after="0"/>
              <w:rPr>
                <w:sz w:val="20"/>
                <w:szCs w:val="20"/>
                <w:color w:val="auto"/>
              </w:rPr>
            </w:pPr>
            <w:r>
              <w:rPr>
                <w:rFonts w:ascii="Arial" w:cs="Arial" w:eastAsia="Arial" w:hAnsi="Arial"/>
                <w:sz w:val="16"/>
                <w:szCs w:val="16"/>
                <w:b w:val="1"/>
                <w:bCs w:val="1"/>
                <w:color w:val="auto"/>
              </w:rPr>
              <w:t>Payments (receipts) due during:</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19"/>
                <w:szCs w:val="19"/>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9"/>
                <w:szCs w:val="19"/>
                <w:color w:val="auto"/>
              </w:rPr>
            </w:pPr>
          </w:p>
        </w:tc>
        <w:tc>
          <w:tcPr>
            <w:tcW w:w="84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of 2022</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7" w:lineRule="exact"/>
              <w:rPr>
                <w:sz w:val="20"/>
                <w:szCs w:val="20"/>
                <w:color w:val="auto"/>
              </w:rPr>
            </w:pPr>
            <w:r>
              <w:rPr>
                <w:rFonts w:ascii="Arial" w:cs="Arial" w:eastAsia="Arial" w:hAnsi="Arial"/>
                <w:sz w:val="18"/>
                <w:szCs w:val="18"/>
                <w:color w:val="auto"/>
                <w:w w:val="93"/>
              </w:rPr>
              <w:t>Projected derivative cash payments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Interest-related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(1,820.2)</w:t>
            </w:r>
          </w:p>
        </w:tc>
        <w:tc>
          <w:tcPr>
            <w:tcW w:w="0" w:type="dxa"/>
            <w:vAlign w:val="bottom"/>
          </w:tcPr>
          <w:p>
            <w:pPr>
              <w:spacing w:after="0"/>
              <w:rPr>
                <w:sz w:val="1"/>
                <w:szCs w:val="1"/>
                <w:color w:val="auto"/>
              </w:rPr>
            </w:pPr>
          </w:p>
        </w:tc>
      </w:tr>
      <w:tr>
        <w:trPr>
          <w:trHeight w:val="225"/>
        </w:trPr>
        <w:tc>
          <w:tcPr>
            <w:tcW w:w="2700" w:type="dxa"/>
            <w:vAlign w:val="bottom"/>
          </w:tcPr>
          <w:p>
            <w:pPr>
              <w:ind w:left="220"/>
              <w:spacing w:after="0"/>
              <w:rPr>
                <w:sz w:val="20"/>
                <w:szCs w:val="20"/>
                <w:color w:val="auto"/>
              </w:rPr>
            </w:pPr>
            <w:r>
              <w:rPr>
                <w:rFonts w:ascii="Arial" w:cs="Arial" w:eastAsia="Arial" w:hAnsi="Arial"/>
                <w:sz w:val="18"/>
                <w:szCs w:val="18"/>
                <w:color w:val="auto"/>
              </w:rPr>
              <w:t>Principal-related (b)</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25"/>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27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amounts related to foreign currency forward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accordance with Rule 13a-15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xml:space="preserve">), we carried out an evaluation, under the supervision and with the participation of management, including our chief executive officer and chief financial officer (the </w:t>
      </w:r>
      <w:r>
        <w:rPr>
          <w:rFonts w:ascii="Arial" w:cs="Arial" w:eastAsia="Arial" w:hAnsi="Arial"/>
          <w:sz w:val="15"/>
          <w:szCs w:val="15"/>
          <w:b w:val="1"/>
          <w:bCs w:val="1"/>
          <w:color w:val="auto"/>
        </w:rPr>
        <w:t>Executives</w:t>
      </w:r>
      <w:r>
        <w:rPr>
          <w:rFonts w:ascii="Arial" w:cs="Arial" w:eastAsia="Arial" w:hAnsi="Arial"/>
          <w:sz w:val="15"/>
          <w:szCs w:val="15"/>
          <w:color w:val="auto"/>
        </w:rPr>
        <w:t>), of the effectiveness of our disclosure controls and procedures as of September 30, 2022.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September 30, 2022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4" w:lineRule="exact"/>
        <w:rPr>
          <w:sz w:val="20"/>
          <w:szCs w:val="20"/>
          <w:color w:val="auto"/>
        </w:rPr>
      </w:pPr>
    </w:p>
    <w:p>
      <w:pPr>
        <w:ind w:left="320"/>
        <w:spacing w:after="0"/>
        <w:tabs>
          <w:tab w:leader="none" w:pos="6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i w:val="1"/>
          <w:iCs w:val="1"/>
          <w:color w:val="auto"/>
        </w:rPr>
        <w:t>Issuer Purchases of Equity Securities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8"/>
              </w:rPr>
              <w:t>Total number of shares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 dollar</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6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value of shares that</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Total number</w:t>
            </w:r>
          </w:p>
        </w:tc>
        <w:tc>
          <w:tcPr>
            <w:tcW w:w="120" w:type="dxa"/>
            <w:vAlign w:val="bottom"/>
          </w:tcPr>
          <w:p>
            <w:pPr>
              <w:spacing w:after="0"/>
              <w:rPr>
                <w:sz w:val="13"/>
                <w:szCs w:val="13"/>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Average price</w:t>
            </w:r>
          </w:p>
        </w:tc>
        <w:tc>
          <w:tcPr>
            <w:tcW w:w="17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7"/>
              </w:rPr>
              <w:t>purchased as part of</w:t>
            </w:r>
          </w:p>
        </w:tc>
        <w:tc>
          <w:tcPr>
            <w:tcW w:w="16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may yet be purchased</w:t>
            </w:r>
          </w:p>
        </w:tc>
        <w:tc>
          <w:tcPr>
            <w:tcW w:w="0" w:type="dxa"/>
            <w:vAlign w:val="bottom"/>
          </w:tcPr>
          <w:p>
            <w:pPr>
              <w:spacing w:after="0"/>
              <w:rPr>
                <w:sz w:val="1"/>
                <w:szCs w:val="1"/>
                <w:color w:val="auto"/>
              </w:rPr>
            </w:pPr>
          </w:p>
        </w:tc>
      </w:tr>
      <w:tr>
        <w:trPr>
          <w:trHeight w:val="159"/>
        </w:trPr>
        <w:tc>
          <w:tcPr>
            <w:tcW w:w="4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7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7"/>
              </w:rPr>
              <w:t>publicly announced</w:t>
            </w:r>
          </w:p>
        </w:tc>
        <w:tc>
          <w:tcPr>
            <w:tcW w:w="16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under the plans or</w:t>
            </w:r>
          </w:p>
        </w:tc>
        <w:tc>
          <w:tcPr>
            <w:tcW w:w="0" w:type="dxa"/>
            <w:vAlign w:val="bottom"/>
          </w:tcPr>
          <w:p>
            <w:pPr>
              <w:spacing w:after="0"/>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of shares purchased</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paid per share (a)</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plans or programs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128"/>
        </w:trPr>
        <w:tc>
          <w:tcPr>
            <w:tcW w:w="4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2022 through July 31, 2022:</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tcPr>
          <w:p>
            <w:pPr>
              <w:jc w:val="right"/>
              <w:spacing w:after="0"/>
              <w:rPr>
                <w:sz w:val="20"/>
                <w:szCs w:val="20"/>
                <w:color w:val="auto"/>
              </w:rPr>
            </w:pPr>
            <w:r>
              <w:rPr>
                <w:rFonts w:ascii="Arial" w:cs="Arial" w:eastAsia="Arial" w:hAnsi="Arial"/>
                <w:sz w:val="18"/>
                <w:szCs w:val="18"/>
                <w:color w:val="auto"/>
              </w:rPr>
              <w:t>2,366,900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2,366,900</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7,633,100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August 1, 2022 through August 31, 2022:</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6,985,813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6,985,813</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2022 through September 30, 2022:</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7,071,500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0"/>
              <w:spacing w:after="0"/>
              <w:rPr>
                <w:sz w:val="20"/>
                <w:szCs w:val="20"/>
                <w:color w:val="auto"/>
              </w:rPr>
            </w:pPr>
            <w:r>
              <w:rPr>
                <w:rFonts w:ascii="Arial" w:cs="Arial" w:eastAsia="Arial" w:hAnsi="Arial"/>
                <w:sz w:val="17"/>
                <w:szCs w:val="17"/>
                <w:color w:val="auto"/>
              </w:rPr>
              <w:t>Total — July 1, 2022 through September 30, 2022:</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2,982,500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4"/>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21,690,413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21,690,413</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w:t>
      </w:r>
    </w:p>
    <w:p>
      <w:pPr>
        <w:spacing w:after="0" w:line="244" w:lineRule="exact"/>
        <w:rPr>
          <w:sz w:val="20"/>
          <w:szCs w:val="20"/>
          <w:color w:val="auto"/>
        </w:rPr>
      </w:pPr>
    </w:p>
    <w:p>
      <w:pPr>
        <w:ind w:left="480" w:hanging="474"/>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43" w:lineRule="exact"/>
        <w:rPr>
          <w:rFonts w:ascii="Arial" w:cs="Arial" w:eastAsia="Arial" w:hAnsi="Arial"/>
          <w:sz w:val="18"/>
          <w:szCs w:val="18"/>
          <w:color w:val="auto"/>
        </w:rPr>
      </w:pPr>
    </w:p>
    <w:p>
      <w:pPr>
        <w:jc w:val="both"/>
        <w:ind w:left="480" w:hanging="474"/>
        <w:spacing w:after="0" w:line="252" w:lineRule="auto"/>
        <w:tabs>
          <w:tab w:leader="none" w:pos="4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September 30, 2022, we have repurchased all of the shares authorized under the original share buyback plan for 2022. In July 2022, our board of directors authorized an additional $400.0 million for 2022 share repurchases and we have $114.6 million of that additional authorized amount remaining as of September 30, 2022. For additional information, see note 12 to our condensed consolidated financial statements in Part I of this Quarterly Report on Form 10-Q.</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6. EXHIBITS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Listed below are the exhibits filed as part of this Quarterly Report (according to the number assigned to them in Item 601 of Regulation S-K):</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6300" w:type="dxa"/>
            <w:vAlign w:val="bottom"/>
            <w:gridSpan w:val="4"/>
          </w:tcPr>
          <w:p>
            <w:pPr>
              <w:ind w:left="20"/>
              <w:spacing w:after="0"/>
              <w:rPr>
                <w:sz w:val="20"/>
                <w:szCs w:val="20"/>
                <w:color w:val="auto"/>
              </w:rPr>
            </w:pPr>
            <w:r>
              <w:rPr>
                <w:rFonts w:ascii="Arial" w:cs="Arial" w:eastAsia="Arial" w:hAnsi="Arial"/>
                <w:sz w:val="18"/>
                <w:szCs w:val="18"/>
                <w:color w:val="auto"/>
              </w:rPr>
              <w:t>— Rule 13a-14(a)/15d-14(a) Certification:</w:t>
            </w:r>
          </w:p>
        </w:tc>
      </w:tr>
      <w:tr>
        <w:trPr>
          <w:trHeight w:val="240"/>
        </w:trPr>
        <w:tc>
          <w:tcPr>
            <w:tcW w:w="200" w:type="dxa"/>
            <w:vAlign w:val="bottom"/>
          </w:tcPr>
          <w:p>
            <w:pPr>
              <w:spacing w:after="0"/>
              <w:rPr>
                <w:sz w:val="20"/>
                <w:szCs w:val="20"/>
                <w:color w:val="auto"/>
              </w:rPr>
            </w:pPr>
          </w:p>
        </w:tc>
        <w:tc>
          <w:tcPr>
            <w:tcW w:w="1320" w:type="dxa"/>
            <w:vAlign w:val="bottom"/>
          </w:tcPr>
          <w:p>
            <w:pPr>
              <w:jc w:val="right"/>
              <w:ind w:right="692"/>
              <w:spacing w:after="0"/>
              <w:rPr>
                <w:sz w:val="20"/>
                <w:szCs w:val="20"/>
                <w:color w:val="auto"/>
              </w:rPr>
            </w:pPr>
            <w:r>
              <w:rPr>
                <w:rFonts w:ascii="Arial" w:cs="Arial" w:eastAsia="Arial" w:hAnsi="Arial"/>
                <w:sz w:val="18"/>
                <w:szCs w:val="18"/>
                <w:color w:val="auto"/>
              </w:rPr>
              <w:t>31.1</w:t>
            </w:r>
          </w:p>
        </w:tc>
        <w:tc>
          <w:tcPr>
            <w:tcW w:w="39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of President and Chief Executive Officer*</w:t>
            </w:r>
          </w:p>
        </w:tc>
        <w:tc>
          <w:tcPr>
            <w:tcW w:w="1060" w:type="dxa"/>
            <w:vAlign w:val="bottom"/>
          </w:tcPr>
          <w:p>
            <w:pPr>
              <w:spacing w:after="0"/>
              <w:rPr>
                <w:sz w:val="20"/>
                <w:szCs w:val="20"/>
                <w:color w:val="auto"/>
              </w:rPr>
            </w:pPr>
          </w:p>
        </w:tc>
      </w:tr>
      <w:tr>
        <w:trPr>
          <w:trHeight w:val="258"/>
        </w:trPr>
        <w:tc>
          <w:tcPr>
            <w:tcW w:w="200" w:type="dxa"/>
            <w:vAlign w:val="bottom"/>
          </w:tcPr>
          <w:p>
            <w:pPr>
              <w:spacing w:after="0"/>
              <w:rPr>
                <w:sz w:val="22"/>
                <w:szCs w:val="22"/>
                <w:color w:val="auto"/>
              </w:rPr>
            </w:pPr>
          </w:p>
        </w:tc>
        <w:tc>
          <w:tcPr>
            <w:tcW w:w="1320" w:type="dxa"/>
            <w:vAlign w:val="bottom"/>
          </w:tcPr>
          <w:p>
            <w:pPr>
              <w:jc w:val="right"/>
              <w:ind w:right="692"/>
              <w:spacing w:after="0"/>
              <w:rPr>
                <w:sz w:val="20"/>
                <w:szCs w:val="20"/>
                <w:color w:val="auto"/>
              </w:rPr>
            </w:pPr>
            <w:r>
              <w:rPr>
                <w:rFonts w:ascii="Arial" w:cs="Arial" w:eastAsia="Arial" w:hAnsi="Arial"/>
                <w:sz w:val="18"/>
                <w:szCs w:val="18"/>
                <w:color w:val="auto"/>
              </w:rPr>
              <w:t>31.2</w:t>
            </w:r>
          </w:p>
        </w:tc>
        <w:tc>
          <w:tcPr>
            <w:tcW w:w="49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Executive Vice President and Chief Financial Officer*</w:t>
            </w:r>
          </w:p>
        </w:tc>
      </w:tr>
      <w:tr>
        <w:trPr>
          <w:trHeight w:val="258"/>
        </w:trPr>
        <w:tc>
          <w:tcPr>
            <w:tcW w:w="200" w:type="dxa"/>
            <w:vAlign w:val="bottom"/>
          </w:tcPr>
          <w:p>
            <w:pPr>
              <w:spacing w:after="0"/>
              <w:rPr>
                <w:sz w:val="20"/>
                <w:szCs w:val="20"/>
                <w:color w:val="auto"/>
              </w:rPr>
            </w:pPr>
            <w:r>
              <w:rPr>
                <w:rFonts w:ascii="Arial" w:cs="Arial" w:eastAsia="Arial" w:hAnsi="Arial"/>
                <w:sz w:val="18"/>
                <w:szCs w:val="18"/>
                <w:color w:val="0000FF"/>
                <w:w w:val="89"/>
              </w:rPr>
              <w:t>32</w:t>
            </w:r>
          </w:p>
        </w:tc>
        <w:tc>
          <w:tcPr>
            <w:tcW w:w="6300" w:type="dxa"/>
            <w:vAlign w:val="bottom"/>
            <w:gridSpan w:val="4"/>
          </w:tcPr>
          <w:p>
            <w:pPr>
              <w:ind w:left="20"/>
              <w:spacing w:after="0"/>
              <w:rPr>
                <w:sz w:val="20"/>
                <w:szCs w:val="20"/>
                <w:color w:val="auto"/>
              </w:rPr>
            </w:pPr>
            <w:r>
              <w:rPr>
                <w:rFonts w:ascii="Arial" w:cs="Arial" w:eastAsia="Arial" w:hAnsi="Arial"/>
                <w:sz w:val="18"/>
                <w:szCs w:val="18"/>
                <w:color w:val="0000FF"/>
              </w:rPr>
              <w:t>— Section 1350 Certification**</w:t>
            </w:r>
          </w:p>
        </w:tc>
      </w:tr>
      <w:tr>
        <w:trPr>
          <w:trHeight w:val="20"/>
        </w:trPr>
        <w:tc>
          <w:tcPr>
            <w:tcW w:w="15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r>
      <w:tr>
        <w:trPr>
          <w:trHeight w:val="297"/>
        </w:trPr>
        <w:tc>
          <w:tcPr>
            <w:tcW w:w="15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8"/>
        </w:trPr>
        <w:tc>
          <w:tcPr>
            <w:tcW w:w="15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980" w:type="dxa"/>
            <w:vAlign w:val="bottom"/>
            <w:gridSpan w:val="3"/>
          </w:tcPr>
          <w:p>
            <w:pPr>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78"/>
        </w:trPr>
        <w:tc>
          <w:tcPr>
            <w:tcW w:w="15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78"/>
        </w:trPr>
        <w:tc>
          <w:tcPr>
            <w:tcW w:w="15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8"/>
        </w:trPr>
        <w:tc>
          <w:tcPr>
            <w:tcW w:w="15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980" w:type="dxa"/>
            <w:vAlign w:val="bottom"/>
            <w:gridSpan w:val="3"/>
          </w:tcPr>
          <w:p>
            <w:pPr>
              <w:spacing w:after="0"/>
              <w:rPr>
                <w:sz w:val="20"/>
                <w:szCs w:val="20"/>
                <w:color w:val="auto"/>
              </w:rPr>
            </w:pPr>
            <w:r>
              <w:rPr>
                <w:rFonts w:ascii="Arial" w:cs="Arial" w:eastAsia="Arial" w:hAnsi="Arial"/>
                <w:sz w:val="18"/>
                <w:szCs w:val="18"/>
                <w:color w:val="auto"/>
                <w:w w:val="90"/>
              </w:rPr>
              <w:t>Inline XBRL Taxonomy Extension Presentation Linkbase Document*</w:t>
            </w:r>
          </w:p>
        </w:tc>
      </w:tr>
    </w:tbl>
    <w:p>
      <w:pPr>
        <w:spacing w:after="0" w:line="55" w:lineRule="exact"/>
        <w:rPr>
          <w:sz w:val="20"/>
          <w:szCs w:val="20"/>
          <w:color w:val="auto"/>
        </w:rPr>
      </w:pPr>
    </w:p>
    <w:p>
      <w:pPr>
        <w:ind w:left="1540" w:hanging="1516"/>
        <w:spacing w:after="0"/>
        <w:tabs>
          <w:tab w:leader="none" w:pos="1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204" w:lineRule="exact"/>
        <w:rPr>
          <w:sz w:val="20"/>
          <w:szCs w:val="20"/>
          <w:color w:val="auto"/>
        </w:rPr>
      </w:pPr>
    </w:p>
    <w:p>
      <w:pPr>
        <w:ind w:left="680" w:hanging="656"/>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 w:lineRule="exact"/>
        <w:rPr>
          <w:sz w:val="20"/>
          <w:szCs w:val="20"/>
          <w:color w:val="auto"/>
        </w:rPr>
      </w:pPr>
    </w:p>
    <w:p>
      <w:pPr>
        <w:ind w:left="680" w:hanging="656"/>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340"/>
          </w:cols>
          <w:pgMar w:left="320" w:top="916" w:right="1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LIBERTY GLOBAL PLC</w:t>
      </w:r>
    </w:p>
    <w:p>
      <w:pPr>
        <w:spacing w:after="0" w:line="283" w:lineRule="exact"/>
        <w:rPr>
          <w:sz w:val="20"/>
          <w:szCs w:val="20"/>
          <w:color w:val="auto"/>
        </w:rPr>
      </w:pPr>
    </w:p>
    <w:p>
      <w:pPr>
        <w:ind w:left="20"/>
        <w:spacing w:after="0"/>
        <w:tabs>
          <w:tab w:leader="none" w:pos="900" w:val="left"/>
          <w:tab w:leader="none" w:pos="7080" w:val="left"/>
          <w:tab w:leader="none" w:pos="7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1, 2022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27940</wp:posOffset>
            </wp:positionV>
            <wp:extent cx="40303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30345" cy="8255"/>
                    </a:xfrm>
                    <a:prstGeom prst="rect">
                      <a:avLst/>
                    </a:prstGeom>
                    <a:noFill/>
                  </pic:spPr>
                </pic:pic>
              </a:graphicData>
            </a:graphic>
          </wp:anchor>
        </w:drawing>
      </w:r>
    </w:p>
    <w:p>
      <w:pPr>
        <w:spacing w:after="0" w:line="17"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Michael T. Fries</w:t>
      </w:r>
    </w:p>
    <w:p>
      <w:pPr>
        <w:jc w:val="center"/>
        <w:ind w:left="48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96" w:lineRule="exact"/>
        <w:rPr>
          <w:sz w:val="20"/>
          <w:szCs w:val="20"/>
          <w:color w:val="auto"/>
        </w:rPr>
      </w:pPr>
    </w:p>
    <w:p>
      <w:pPr>
        <w:ind w:left="20"/>
        <w:spacing w:after="0"/>
        <w:tabs>
          <w:tab w:leader="none" w:pos="900" w:val="left"/>
          <w:tab w:leader="none" w:pos="6840" w:val="left"/>
          <w:tab w:leader="none" w:pos="7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1, 2022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27940</wp:posOffset>
            </wp:positionV>
            <wp:extent cx="40303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30345" cy="8255"/>
                    </a:xfrm>
                    <a:prstGeom prst="rect">
                      <a:avLst/>
                    </a:prstGeom>
                    <a:noFill/>
                  </pic:spPr>
                </pic:pic>
              </a:graphicData>
            </a:graphic>
          </wp:anchor>
        </w:drawing>
      </w:r>
    </w:p>
    <w:p>
      <w:pPr>
        <w:spacing w:after="0" w:line="17"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Charles H.R. Bracken</w:t>
      </w:r>
    </w:p>
    <w:p>
      <w:pPr>
        <w:jc w:val="center"/>
        <w:ind w:left="4880"/>
        <w:spacing w:after="0" w:line="199" w:lineRule="auto"/>
        <w:rPr>
          <w:sz w:val="20"/>
          <w:szCs w:val="20"/>
          <w:color w:val="auto"/>
        </w:rPr>
      </w:pPr>
      <w:r>
        <w:rPr>
          <w:rFonts w:ascii="Arial" w:cs="Arial" w:eastAsia="Arial" w:hAnsi="Arial"/>
          <w:sz w:val="18"/>
          <w:szCs w:val="18"/>
          <w:i w:val="1"/>
          <w:iCs w:val="1"/>
          <w:color w:val="auto"/>
        </w:rPr>
        <w:t>Executive Vice President and Chief</w:t>
      </w:r>
    </w:p>
    <w:p>
      <w:pPr>
        <w:spacing w:after="0" w:line="1" w:lineRule="exact"/>
        <w:rPr>
          <w:sz w:val="20"/>
          <w:szCs w:val="20"/>
          <w:color w:val="auto"/>
        </w:rPr>
      </w:pPr>
    </w:p>
    <w:p>
      <w:pPr>
        <w:jc w:val="center"/>
        <w:ind w:left="488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916"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85" w:lineRule="exact"/>
        <w:rPr>
          <w:sz w:val="20"/>
          <w:szCs w:val="20"/>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Arial" w:cs="Arial" w:eastAsia="Arial" w:hAnsi="Arial"/>
          <w:sz w:val="18"/>
          <w:szCs w:val="18"/>
          <w:color w:val="auto"/>
        </w:rPr>
      </w:pPr>
    </w:p>
    <w:p>
      <w:pPr>
        <w:ind w:left="640" w:hanging="316"/>
        <w:spacing w:after="0" w:line="350" w:lineRule="auto"/>
        <w:tabs>
          <w:tab w:leader="none" w:pos="6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40" w:hanging="316"/>
        <w:spacing w:after="0" w:line="255"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0"/>
        <w:spacing w:after="0" w:line="294" w:lineRule="auto"/>
        <w:tabs>
          <w:tab w:leader="none" w:pos="1271"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0"/>
        <w:spacing w:after="0" w:line="264" w:lineRule="auto"/>
        <w:tabs>
          <w:tab w:leader="none" w:pos="126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1, 2022</w:t>
      </w:r>
    </w:p>
    <w:p>
      <w:pPr>
        <w:spacing w:after="0" w:line="177"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10795</wp:posOffset>
            </wp:positionV>
            <wp:extent cx="26924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85" w:lineRule="exact"/>
        <w:rPr>
          <w:sz w:val="20"/>
          <w:szCs w:val="20"/>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Arial" w:cs="Arial" w:eastAsia="Arial" w:hAnsi="Arial"/>
          <w:sz w:val="18"/>
          <w:szCs w:val="18"/>
          <w:color w:val="auto"/>
        </w:rPr>
      </w:pPr>
    </w:p>
    <w:p>
      <w:pPr>
        <w:ind w:left="640" w:hanging="316"/>
        <w:spacing w:after="0" w:line="350" w:lineRule="auto"/>
        <w:tabs>
          <w:tab w:leader="none" w:pos="6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40" w:hanging="316"/>
        <w:spacing w:after="0" w:line="255"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0"/>
        <w:spacing w:after="0" w:line="294" w:lineRule="auto"/>
        <w:tabs>
          <w:tab w:leader="none" w:pos="1271"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0"/>
        <w:spacing w:after="0" w:line="264" w:lineRule="auto"/>
        <w:tabs>
          <w:tab w:leader="none" w:pos="12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17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10795</wp:posOffset>
            </wp:positionV>
            <wp:extent cx="26924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Quarterly Report on Form 10-Q for the period ended September 30, 2022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September 30, 2022 and December 31, 2021, and for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80"/>
        <w:spacing w:after="0"/>
        <w:tabs>
          <w:tab w:leader="none" w:pos="6200" w:val="left"/>
        </w:tabs>
        <w:rPr>
          <w:sz w:val="20"/>
          <w:szCs w:val="20"/>
          <w:color w:val="auto"/>
        </w:rPr>
      </w:pPr>
      <w:r>
        <w:rPr>
          <w:rFonts w:ascii="Arial" w:cs="Arial" w:eastAsia="Arial" w:hAnsi="Arial"/>
          <w:sz w:val="18"/>
          <w:szCs w:val="18"/>
          <w:color w:val="auto"/>
        </w:rPr>
        <w:t>Dated: November 1, 2022</w:t>
      </w:r>
      <w:r>
        <w:rPr>
          <w:sz w:val="20"/>
          <w:szCs w:val="20"/>
          <w:color w:val="auto"/>
        </w:rPr>
        <w:tab/>
      </w:r>
      <w:r>
        <w:rPr>
          <w:rFonts w:ascii="Arial" w:cs="Arial" w:eastAsia="Arial" w:hAnsi="Arial"/>
          <w:sz w:val="15"/>
          <w:szCs w:val="15"/>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30454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8"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88" w:lineRule="exact"/>
        <w:rPr>
          <w:sz w:val="20"/>
          <w:szCs w:val="20"/>
          <w:color w:val="auto"/>
        </w:rPr>
      </w:pPr>
    </w:p>
    <w:p>
      <w:pPr>
        <w:ind w:left="1980"/>
        <w:spacing w:after="0"/>
        <w:tabs>
          <w:tab w:leader="none" w:pos="6000" w:val="left"/>
        </w:tabs>
        <w:rPr>
          <w:sz w:val="20"/>
          <w:szCs w:val="20"/>
          <w:color w:val="auto"/>
        </w:rPr>
      </w:pPr>
      <w:r>
        <w:rPr>
          <w:rFonts w:ascii="Arial" w:cs="Arial" w:eastAsia="Arial" w:hAnsi="Arial"/>
          <w:sz w:val="18"/>
          <w:szCs w:val="18"/>
          <w:color w:val="auto"/>
        </w:rPr>
        <w:t>Dated: November 1, 2022</w:t>
      </w:r>
      <w:r>
        <w:rPr>
          <w:sz w:val="20"/>
          <w:szCs w:val="20"/>
          <w:color w:val="auto"/>
        </w:rPr>
        <w:tab/>
      </w:r>
      <w:r>
        <w:rPr>
          <w:rFonts w:ascii="Arial" w:cs="Arial" w:eastAsia="Arial" w:hAnsi="Arial"/>
          <w:sz w:val="15"/>
          <w:szCs w:val="15"/>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30454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Executive Vice President and Chief Financial Officer</w:t>
      </w:r>
    </w:p>
    <w:p>
      <w:pPr>
        <w:spacing w:after="0" w:line="336"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2"/>
    </w:lvl>
  </w:abstractNum>
  <w:abstractNum w:abstractNumId="4">
    <w:nsid w:val="57E4CCAF"/>
    <w:multiLevelType w:val="hybridMultilevel"/>
    <w:lvl w:ilvl="0">
      <w:lvlJc w:val="left"/>
      <w:lvlText w:val="(%1)"/>
      <w:numFmt w:val="decimal"/>
      <w:start w:val="3"/>
    </w:lvl>
  </w:abstractNum>
  <w:abstractNum w:abstractNumId="5">
    <w:nsid w:val="7A6D8D3C"/>
    <w:multiLevelType w:val="hybridMultilevel"/>
    <w:lvl w:ilvl="0">
      <w:lvlJc w:val="left"/>
      <w:lvlText w:val="(%1)"/>
      <w:numFmt w:val="decimal"/>
      <w:start w:val="4"/>
    </w:lvl>
  </w:abstractNum>
  <w:abstractNum w:abstractNumId="6">
    <w:nsid w:val="4B588F54"/>
    <w:multiLevelType w:val="hybridMultilevel"/>
    <w:lvl w:ilvl="0">
      <w:lvlJc w:val="left"/>
      <w:lvlText w:val="(%1)"/>
      <w:numFmt w:val="lowerLetter"/>
      <w:start w:val="1"/>
    </w:lvl>
  </w:abstractNum>
  <w:abstractNum w:abstractNumId="7">
    <w:nsid w:val="542289EC"/>
    <w:multiLevelType w:val="hybridMultilevel"/>
    <w:lvl w:ilvl="0">
      <w:lvlJc w:val="left"/>
      <w:lvlText w:val="(%1)"/>
      <w:numFmt w:val="lowerLetter"/>
      <w:start w:val="1"/>
    </w:lvl>
  </w:abstractNum>
  <w:abstractNum w:abstractNumId="8">
    <w:nsid w:val="6DE91B18"/>
    <w:multiLevelType w:val="hybridMultilevel"/>
    <w:lvl w:ilvl="0">
      <w:lvlJc w:val="left"/>
      <w:lvlText w:val="(%1)"/>
      <w:numFmt w:val="lowerLetter"/>
      <w:start w:val="3"/>
    </w:lvl>
  </w:abstractNum>
  <w:abstractNum w:abstractNumId="9">
    <w:nsid w:val="38437FDB"/>
    <w:multiLevelType w:val="hybridMultilevel"/>
    <w:lvl w:ilvl="0">
      <w:lvlJc w:val="left"/>
      <w:lvlText w:val="(%1)"/>
      <w:numFmt w:val="lowerLetter"/>
      <w:start w:val="1"/>
    </w:lvl>
  </w:abstractNum>
  <w:abstractNum w:abstractNumId="10">
    <w:nsid w:val="7644A45C"/>
    <w:multiLevelType w:val="hybridMultilevel"/>
    <w:lvl w:ilvl="0">
      <w:lvlJc w:val="left"/>
      <w:lvlText w:val="(%1)"/>
      <w:numFmt w:val="lowerLetter"/>
      <w:start w:val="1"/>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decimal"/>
      <w:start w:val="6"/>
    </w:lvl>
  </w:abstractNum>
  <w:abstractNum w:abstractNumId="13">
    <w:nsid w:val="579478FE"/>
    <w:multiLevelType w:val="hybridMultilevel"/>
    <w:lvl w:ilvl="0">
      <w:lvlJc w:val="left"/>
      <w:lvlText w:val="(%1)"/>
      <w:numFmt w:val="lowerLetter"/>
      <w:start w:val="1"/>
    </w:lvl>
  </w:abstractNum>
  <w:abstractNum w:abstractNumId="14">
    <w:nsid w:val="749ABB43"/>
    <w:multiLevelType w:val="hybridMultilevel"/>
    <w:lvl w:ilvl="0">
      <w:lvlJc w:val="left"/>
      <w:lvlText w:val="(%1)"/>
      <w:numFmt w:val="lowerLetter"/>
      <w:start w:val="1"/>
    </w:lvl>
  </w:abstractNum>
  <w:abstractNum w:abstractNumId="15">
    <w:nsid w:val="3DC240FB"/>
    <w:multiLevelType w:val="hybridMultilevel"/>
    <w:lvl w:ilvl="0">
      <w:lvlJc w:val="left"/>
      <w:lvlText w:val="(%1)"/>
      <w:numFmt w:val="lowerLetter"/>
      <w:start w:val="1"/>
    </w:lvl>
  </w:abstractNum>
  <w:abstractNum w:abstractNumId="16">
    <w:nsid w:val="1BA026FA"/>
    <w:multiLevelType w:val="hybridMultilevel"/>
    <w:lvl w:ilvl="0">
      <w:lvlJc w:val="left"/>
      <w:lvlText w:val="(%1)"/>
      <w:numFmt w:val="lowerLetter"/>
      <w:start w:val="1"/>
    </w:lvl>
  </w:abstractNum>
  <w:abstractNum w:abstractNumId="17">
    <w:nsid w:val="79A1DEAA"/>
    <w:multiLevelType w:val="hybridMultilevel"/>
    <w:lvl w:ilvl="0">
      <w:lvlJc w:val="left"/>
      <w:lvlText w:val="(%1)"/>
      <w:numFmt w:val="decimal"/>
      <w:start w:val="7"/>
    </w:lvl>
  </w:abstractNum>
  <w:abstractNum w:abstractNumId="18">
    <w:nsid w:val="75C6C33A"/>
    <w:multiLevelType w:val="hybridMultilevel"/>
    <w:lvl w:ilvl="0">
      <w:lvlJc w:val="left"/>
      <w:lvlText w:val="(%1)"/>
      <w:numFmt w:val="lowerLetter"/>
      <w:start w:val="1"/>
    </w:lvl>
  </w:abstractNum>
  <w:abstractNum w:abstractNumId="19">
    <w:nsid w:val="12E685FB"/>
    <w:multiLevelType w:val="hybridMultilevel"/>
    <w:lvl w:ilvl="0">
      <w:lvlJc w:val="left"/>
      <w:lvlText w:val="(%1)"/>
      <w:numFmt w:val="decimal"/>
      <w:start w:val="9"/>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Letter"/>
      <w:start w:val="3"/>
    </w:lvl>
  </w:abstractNum>
  <w:abstractNum w:abstractNumId="22">
    <w:nsid w:val="374A3FE6"/>
    <w:multiLevelType w:val="hybridMultilevel"/>
    <w:lvl w:ilvl="0">
      <w:lvlJc w:val="left"/>
      <w:lvlText w:val="(%1)"/>
      <w:numFmt w:val="lowerLetter"/>
      <w:start w:val="8"/>
    </w:lvl>
  </w:abstractNum>
  <w:abstractNum w:abstractNumId="23">
    <w:nsid w:val="4F4EF005"/>
    <w:multiLevelType w:val="hybridMultilevel"/>
    <w:lvl w:ilvl="0">
      <w:lvlJc w:val="left"/>
      <w:lvlText w:val="(%1)"/>
      <w:numFmt w:val="lowerLetter"/>
      <w:start w:val="1"/>
    </w:lvl>
  </w:abstractNum>
  <w:abstractNum w:abstractNumId="24">
    <w:nsid w:val="23F9C13C"/>
    <w:multiLevelType w:val="hybridMultilevel"/>
    <w:lvl w:ilvl="0">
      <w:lvlJc w:val="left"/>
      <w:lvlText w:val="(%1)"/>
      <w:numFmt w:val="decimal"/>
      <w:start w:val="10"/>
    </w:lvl>
  </w:abstractNum>
  <w:abstractNum w:abstractNumId="25">
    <w:nsid w:val="649BB77C"/>
    <w:multiLevelType w:val="hybridMultilevel"/>
    <w:lvl w:ilvl="0">
      <w:lvlJc w:val="left"/>
      <w:lvlText w:val="(%1)"/>
      <w:numFmt w:val="lowerLetter"/>
      <w:start w:val="1"/>
    </w:lvl>
  </w:abstractNum>
  <w:abstractNum w:abstractNumId="26">
    <w:nsid w:val="275AC794"/>
    <w:multiLevelType w:val="hybridMultilevel"/>
    <w:lvl w:ilvl="0">
      <w:lvlJc w:val="left"/>
      <w:lvlText w:val="(%1)"/>
      <w:numFmt w:val="lowerLetter"/>
      <w:start w:val="2"/>
    </w:lvl>
  </w:abstractNum>
  <w:abstractNum w:abstractNumId="27">
    <w:nsid w:val="39386575"/>
    <w:multiLevelType w:val="hybridMultilevel"/>
    <w:lvl w:ilvl="0">
      <w:lvlJc w:val="left"/>
      <w:lvlText w:val="(%1)"/>
      <w:numFmt w:val="lowerLetter"/>
      <w:start w:val="1"/>
    </w:lvl>
  </w:abstractNum>
  <w:abstractNum w:abstractNumId="28">
    <w:nsid w:val="1CF10FD8"/>
    <w:multiLevelType w:val="hybridMultilevel"/>
    <w:lvl w:ilvl="0">
      <w:lvlJc w:val="left"/>
      <w:lvlText w:val="(%1)"/>
      <w:numFmt w:val="decimal"/>
      <w:start w:val="11"/>
    </w:lvl>
  </w:abstractNum>
  <w:abstractNum w:abstractNumId="29">
    <w:nsid w:val="180115BE"/>
    <w:multiLevelType w:val="hybridMultilevel"/>
    <w:lvl w:ilvl="0">
      <w:lvlJc w:val="left"/>
      <w:lvlText w:val="(%1)"/>
      <w:numFmt w:val="lowerLetter"/>
      <w:start w:val="1"/>
    </w:lvl>
  </w:abstractNum>
  <w:abstractNum w:abstractNumId="30">
    <w:nsid w:val="235BA861"/>
    <w:multiLevelType w:val="hybridMultilevel"/>
    <w:lvl w:ilvl="0">
      <w:lvlJc w:val="left"/>
      <w:lvlText w:val="(%1)"/>
      <w:numFmt w:val="decimal"/>
      <w:start w:val="12"/>
    </w:lvl>
  </w:abstractNum>
  <w:abstractNum w:abstractNumId="31">
    <w:nsid w:val="47398C89"/>
    <w:multiLevelType w:val="hybridMultilevel"/>
    <w:lvl w:ilvl="0">
      <w:lvlJc w:val="left"/>
      <w:lvlText w:val="(%1)"/>
      <w:numFmt w:val="decimal"/>
      <w:start w:val="13"/>
    </w:lvl>
  </w:abstractNum>
  <w:abstractNum w:abstractNumId="32">
    <w:nsid w:val="354FE9F9"/>
    <w:multiLevelType w:val="hybridMultilevel"/>
    <w:lvl w:ilvl="0">
      <w:lvlJc w:val="left"/>
      <w:lvlText w:val="(%1)"/>
      <w:numFmt w:val="lowerLetter"/>
      <w:start w:val="1"/>
    </w:lvl>
  </w:abstractNum>
  <w:abstractNum w:abstractNumId="33">
    <w:nsid w:val="15B5AF5C"/>
    <w:multiLevelType w:val="hybridMultilevel"/>
    <w:lvl w:ilvl="0">
      <w:lvlJc w:val="left"/>
      <w:lvlText w:val="(%1)"/>
      <w:numFmt w:val="lowerLetter"/>
      <w:start w:val="2"/>
    </w:lvl>
  </w:abstractNum>
  <w:abstractNum w:abstractNumId="34">
    <w:nsid w:val="741226BB"/>
    <w:multiLevelType w:val="hybridMultilevel"/>
    <w:lvl w:ilvl="0">
      <w:lvlJc w:val="left"/>
      <w:lvlText w:val="(%1)"/>
      <w:numFmt w:val="lowerLetter"/>
      <w:start w:val="1"/>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1)"/>
      <w:numFmt w:val="decimal"/>
      <w:start w:val="14"/>
    </w:lvl>
  </w:abstractNum>
  <w:abstractNum w:abstractNumId="37">
    <w:nsid w:val="3F6AB60F"/>
    <w:multiLevelType w:val="hybridMultilevel"/>
    <w:lvl w:ilvl="0">
      <w:lvlJc w:val="left"/>
      <w:lvlText w:val="(%1)"/>
      <w:numFmt w:val="decimal"/>
      <w:start w:val="15"/>
    </w:lvl>
  </w:abstractNum>
  <w:abstractNum w:abstractNumId="38">
    <w:nsid w:val="61574095"/>
    <w:multiLevelType w:val="hybridMultilevel"/>
    <w:lvl w:ilvl="0">
      <w:lvlJc w:val="left"/>
      <w:lvlText w:val="(%1)"/>
      <w:numFmt w:val="decimal"/>
      <w:start w:val="16"/>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1)"/>
      <w:numFmt w:val="lowerLetter"/>
      <w:start w:val="1"/>
    </w:lvl>
  </w:abstractNum>
  <w:abstractNum w:abstractNumId="44">
    <w:nsid w:val="2F305DEF"/>
    <w:multiLevelType w:val="hybridMultilevel"/>
    <w:lvl w:ilvl="0">
      <w:lvlJc w:val="left"/>
      <w:lvlText w:val="(%1)"/>
      <w:numFmt w:val="lowerLetter"/>
      <w:start w:val="1"/>
    </w:lvl>
  </w:abstractNum>
  <w:abstractNum w:abstractNumId="45">
    <w:nsid w:val="25A70BF7"/>
    <w:multiLevelType w:val="hybridMultilevel"/>
    <w:lvl w:ilvl="0">
      <w:lvlJc w:val="left"/>
      <w:lvlText w:val="(%1)"/>
      <w:numFmt w:val="lowerLetter"/>
      <w:start w:val="5"/>
    </w:lvl>
  </w:abstractNum>
  <w:abstractNum w:abstractNumId="46">
    <w:nsid w:val="1DBABF00"/>
    <w:multiLevelType w:val="hybridMultilevel"/>
    <w:lvl w:ilvl="0">
      <w:lvlJc w:val="left"/>
      <w:lvlText w:val="(%1)"/>
      <w:numFmt w:val="lowerLetter"/>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lowerLetter"/>
      <w:start w:val="1"/>
    </w:lvl>
  </w:abstractNum>
  <w:abstractNum w:abstractNumId="53">
    <w:nsid w:val="15014ACB"/>
    <w:multiLevelType w:val="hybridMultilevel"/>
    <w:lvl w:ilvl="0">
      <w:lvlJc w:val="left"/>
      <w:lvlText w:val="(%1)"/>
      <w:numFmt w:val="lowerLetter"/>
      <w:start w:val="1"/>
    </w:lvl>
  </w:abstractNum>
  <w:abstractNum w:abstractNumId="54">
    <w:nsid w:val="5F5E7FD0"/>
    <w:multiLevelType w:val="hybridMultilevel"/>
    <w:lvl w:ilvl="0">
      <w:lvlJc w:val="left"/>
      <w:lvlText w:val="(%1)"/>
      <w:numFmt w:val="lowerLetter"/>
      <w:start w:val="1"/>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1)"/>
      <w:numFmt w:val="lowerLetter"/>
      <w:start w:val="5"/>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1)"/>
      <w:numFmt w:val="lowerLetter"/>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1)"/>
      <w:numFmt w:val="lowerLetter"/>
      <w:start w:val="1"/>
    </w:lvl>
  </w:abstractNum>
  <w:abstractNum w:abstractNumId="62">
    <w:nsid w:val="5DC79EA8"/>
    <w:multiLevelType w:val="hybridMultilevel"/>
    <w:lvl w:ilvl="0">
      <w:lvlJc w:val="left"/>
      <w:lvlText w:val="(%1)"/>
      <w:numFmt w:val="lowerLetter"/>
      <w:start w:val="1"/>
    </w:lvl>
  </w:abstractNum>
  <w:abstractNum w:abstractNumId="63">
    <w:nsid w:val="540A471C"/>
    <w:multiLevelType w:val="hybridMultilevel"/>
    <w:lvl w:ilvl="0">
      <w:lvlJc w:val="left"/>
      <w:lvlText w:val="(%1)"/>
      <w:numFmt w:val="lowerLetter"/>
      <w:start w:val="1"/>
    </w:lvl>
  </w:abstractNum>
  <w:abstractNum w:abstractNumId="64">
    <w:nsid w:val="7BD3EE7B"/>
    <w:multiLevelType w:val="hybridMultilevel"/>
    <w:lvl w:ilvl="0">
      <w:lvlJc w:val="left"/>
      <w:lvlText w:val="(%1)"/>
      <w:numFmt w:val="lowerLetter"/>
      <w:start w:val="1"/>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1)"/>
      <w:numFmt w:val="lowerRoman"/>
      <w:start w:val="2"/>
    </w:lvl>
  </w:abstractNum>
  <w:abstractNum w:abstractNumId="68">
    <w:nsid w:val="11447B73"/>
    <w:multiLevelType w:val="hybridMultilevel"/>
    <w:lvl w:ilvl="0">
      <w:lvlJc w:val="left"/>
      <w:lvlText w:val="(%1)"/>
      <w:numFmt w:val="lowerLetter"/>
      <w:start w:val="1"/>
    </w:lvl>
  </w:abstractNum>
  <w:abstractNum w:abstractNumId="69">
    <w:nsid w:val="42963E5A"/>
    <w:multiLevelType w:val="hybridMultilevel"/>
    <w:lvl w:ilvl="0">
      <w:lvlJc w:val="left"/>
      <w:lvlText w:val="%1"/>
      <w:numFmt w:val="lowerLetter"/>
      <w:start w:val="1"/>
    </w:lvl>
    <w:lvl w:ilvl="1">
      <w:lvlJc w:val="left"/>
      <w:lvlText w:val="(%2)"/>
      <w:numFmt w:val="decimal"/>
      <w:start w:val="1"/>
    </w:lvl>
  </w:abstractNum>
  <w:abstractNum w:abstractNumId="70">
    <w:nsid w:val="A0382C5"/>
    <w:multiLevelType w:val="hybridMultilevel"/>
    <w:lvl w:ilvl="0">
      <w:lvlJc w:val="left"/>
      <w:lvlText w:val="(%1)"/>
      <w:numFmt w:val="lowerLetter"/>
      <w:start w:val="2"/>
    </w:lvl>
    <w:lvl w:ilvl="1">
      <w:lvlJc w:val="left"/>
      <w:lvlText w:val="%2"/>
      <w:numFmt w:val="decimal"/>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lowerRoman"/>
      <w:start w:val="2"/>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lowerRoman"/>
      <w:start w:val="2"/>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lowerRoman"/>
      <w:start w:val="1"/>
    </w:lvl>
  </w:abstractNum>
  <w:abstractNum w:abstractNumId="77">
    <w:nsid w:val="6A5EE64"/>
    <w:multiLevelType w:val="hybridMultilevel"/>
    <w:lvl w:ilvl="0">
      <w:lvlJc w:val="left"/>
      <w:lvlText w:val="(%1)"/>
      <w:numFmt w:val="lowerRoman"/>
      <w:start w:val="1"/>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1"/>
      <w:numFmt w:val="decimal"/>
      <w:start w:val="104"/>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2022-11-01T16:03:36Z</dcterms:created>
  <dcterms:modified xsi:type="dcterms:W3CDTF">2022-11-01T16:03:36Z</dcterms:modified>
</cp:coreProperties>
</file>