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1464310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1423035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37" w:lineRule="exact"/>
        <w:rPr>
          <w:sz w:val="24"/>
          <w:szCs w:val="24"/>
          <w:color w:val="auto"/>
        </w:rPr>
      </w:pPr>
    </w:p>
    <w:p>
      <w:pPr>
        <w:ind w:left="880" w:hanging="860"/>
        <w:spacing w:after="0"/>
        <w:tabs>
          <w:tab w:leader="none" w:pos="880" w:val="left"/>
        </w:tabs>
        <w:numPr>
          <w:ilvl w:val="0"/>
          <w:numId w:val="1"/>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4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2025</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89" w:lineRule="exact"/>
        <w:rPr>
          <w:sz w:val="24"/>
          <w:szCs w:val="24"/>
          <w:color w:val="auto"/>
        </w:rPr>
      </w:pPr>
    </w:p>
    <w:p>
      <w:pPr>
        <w:ind w:left="880" w:hanging="860"/>
        <w:spacing w:after="0"/>
        <w:tabs>
          <w:tab w:leader="none" w:pos="880" w:val="left"/>
        </w:tabs>
        <w:numPr>
          <w:ilvl w:val="0"/>
          <w:numId w:val="2"/>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48" w:lineRule="exact"/>
        <w:rPr>
          <w:sz w:val="24"/>
          <w:szCs w:val="24"/>
          <w:color w:val="auto"/>
        </w:rPr>
      </w:pPr>
    </w:p>
    <w:p>
      <w:pPr>
        <w:ind w:left="880"/>
        <w:spacing w:after="0"/>
        <w:tabs>
          <w:tab w:leader="none" w:pos="36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3243580</wp:posOffset>
            </wp:positionH>
            <wp:positionV relativeFrom="paragraph">
              <wp:posOffset>48260</wp:posOffset>
            </wp:positionV>
            <wp:extent cx="66294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940" cy="662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Liberty Global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45" w:lineRule="exact"/>
        <w:rPr>
          <w:sz w:val="24"/>
          <w:szCs w:val="24"/>
          <w:color w:val="auto"/>
        </w:rPr>
      </w:pPr>
    </w:p>
    <w:tbl>
      <w:tblPr>
        <w:tblLayout w:type="fixed"/>
        <w:tblInd w:w="3060" w:type="dxa"/>
        <w:tblCellMar>
          <w:top w:w="0" w:type="dxa"/>
          <w:left w:w="0" w:type="dxa"/>
          <w:bottom w:w="0" w:type="dxa"/>
          <w:right w:w="0" w:type="dxa"/>
        </w:tblCellMar>
      </w:tblPr>
      <w:tr>
        <w:trPr>
          <w:trHeight w:val="169"/>
        </w:trPr>
        <w:tc>
          <w:tcPr>
            <w:tcW w:w="2720" w:type="dxa"/>
            <w:vAlign w:val="bottom"/>
          </w:tcPr>
          <w:p>
            <w:pPr>
              <w:jc w:val="center"/>
              <w:ind w:right="1076"/>
              <w:spacing w:after="0"/>
              <w:rPr>
                <w:sz w:val="20"/>
                <w:szCs w:val="20"/>
                <w:color w:val="auto"/>
              </w:rPr>
            </w:pPr>
            <w:r>
              <w:rPr>
                <w:rFonts w:ascii="Times New Roman" w:cs="Times New Roman" w:eastAsia="Times New Roman" w:hAnsi="Times New Roman"/>
                <w:sz w:val="13"/>
                <w:szCs w:val="13"/>
                <w:b w:val="1"/>
                <w:bCs w:val="1"/>
                <w:color w:val="auto"/>
                <w:w w:val="96"/>
              </w:rPr>
              <w:t>Bermuda</w:t>
            </w:r>
          </w:p>
        </w:tc>
        <w:tc>
          <w:tcPr>
            <w:tcW w:w="2080" w:type="dxa"/>
            <w:vAlign w:val="bottom"/>
          </w:tcPr>
          <w:p>
            <w:pPr>
              <w:jc w:val="center"/>
              <w:ind w:left="1076"/>
              <w:spacing w:after="0"/>
              <w:rPr>
                <w:sz w:val="20"/>
                <w:szCs w:val="20"/>
                <w:color w:val="auto"/>
              </w:rPr>
            </w:pPr>
            <w:r>
              <w:rPr>
                <w:rFonts w:ascii="Times New Roman" w:cs="Times New Roman" w:eastAsia="Times New Roman" w:hAnsi="Times New Roman"/>
                <w:sz w:val="13"/>
                <w:szCs w:val="13"/>
                <w:b w:val="1"/>
                <w:bCs w:val="1"/>
                <w:color w:val="auto"/>
                <w:w w:val="98"/>
              </w:rPr>
              <w:t>98-1750381</w:t>
            </w:r>
          </w:p>
        </w:tc>
      </w:tr>
      <w:tr>
        <w:trPr>
          <w:trHeight w:val="142"/>
        </w:trPr>
        <w:tc>
          <w:tcPr>
            <w:tcW w:w="2720" w:type="dxa"/>
            <w:vAlign w:val="bottom"/>
          </w:tcPr>
          <w:p>
            <w:pPr>
              <w:jc w:val="center"/>
              <w:ind w:right="1076"/>
              <w:spacing w:after="0" w:line="143" w:lineRule="exact"/>
              <w:rPr>
                <w:sz w:val="20"/>
                <w:szCs w:val="20"/>
                <w:color w:val="auto"/>
              </w:rPr>
            </w:pPr>
            <w:r>
              <w:rPr>
                <w:rFonts w:ascii="Times New Roman" w:cs="Times New Roman" w:eastAsia="Times New Roman" w:hAnsi="Times New Roman"/>
                <w:sz w:val="13"/>
                <w:szCs w:val="13"/>
                <w:i w:val="1"/>
                <w:iCs w:val="1"/>
                <w:color w:val="auto"/>
                <w:w w:val="98"/>
              </w:rPr>
              <w:t>(State or other jurisdiction of</w:t>
            </w:r>
          </w:p>
        </w:tc>
        <w:tc>
          <w:tcPr>
            <w:tcW w:w="2080" w:type="dxa"/>
            <w:vAlign w:val="bottom"/>
          </w:tcPr>
          <w:p>
            <w:pPr>
              <w:jc w:val="center"/>
              <w:ind w:left="1076"/>
              <w:spacing w:after="0" w:line="143" w:lineRule="exact"/>
              <w:rPr>
                <w:sz w:val="20"/>
                <w:szCs w:val="20"/>
                <w:color w:val="auto"/>
              </w:rPr>
            </w:pPr>
            <w:r>
              <w:rPr>
                <w:rFonts w:ascii="Times New Roman" w:cs="Times New Roman" w:eastAsia="Times New Roman" w:hAnsi="Times New Roman"/>
                <w:sz w:val="13"/>
                <w:szCs w:val="13"/>
                <w:i w:val="1"/>
                <w:iCs w:val="1"/>
                <w:color w:val="auto"/>
                <w:w w:val="99"/>
              </w:rPr>
              <w:t>(I.R.S. Employer</w:t>
            </w:r>
          </w:p>
        </w:tc>
      </w:tr>
      <w:tr>
        <w:trPr>
          <w:trHeight w:val="169"/>
        </w:trPr>
        <w:tc>
          <w:tcPr>
            <w:tcW w:w="2720" w:type="dxa"/>
            <w:vAlign w:val="bottom"/>
          </w:tcPr>
          <w:p>
            <w:pPr>
              <w:jc w:val="center"/>
              <w:ind w:right="1076"/>
              <w:spacing w:after="0"/>
              <w:rPr>
                <w:sz w:val="20"/>
                <w:szCs w:val="20"/>
                <w:color w:val="auto"/>
              </w:rPr>
            </w:pPr>
            <w:r>
              <w:rPr>
                <w:rFonts w:ascii="Times New Roman" w:cs="Times New Roman" w:eastAsia="Times New Roman" w:hAnsi="Times New Roman"/>
                <w:sz w:val="13"/>
                <w:szCs w:val="13"/>
                <w:i w:val="1"/>
                <w:iCs w:val="1"/>
                <w:color w:val="auto"/>
                <w:w w:val="98"/>
              </w:rPr>
              <w:t>incorporation or organization)</w:t>
            </w:r>
          </w:p>
        </w:tc>
        <w:tc>
          <w:tcPr>
            <w:tcW w:w="2080" w:type="dxa"/>
            <w:vAlign w:val="bottom"/>
          </w:tcPr>
          <w:p>
            <w:pPr>
              <w:jc w:val="center"/>
              <w:ind w:left="1056"/>
              <w:spacing w:after="0"/>
              <w:rPr>
                <w:sz w:val="20"/>
                <w:szCs w:val="20"/>
                <w:color w:val="auto"/>
              </w:rPr>
            </w:pPr>
            <w:r>
              <w:rPr>
                <w:rFonts w:ascii="Times New Roman" w:cs="Times New Roman" w:eastAsia="Times New Roman" w:hAnsi="Times New Roman"/>
                <w:sz w:val="13"/>
                <w:szCs w:val="13"/>
                <w:i w:val="1"/>
                <w:iCs w:val="1"/>
                <w:color w:val="auto"/>
                <w:w w:val="99"/>
              </w:rPr>
              <w:t>Identification No.)</w:t>
            </w: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Clarendon House, 2 Church Street, Hamilton HM 11, Bermuda</w:t>
      </w:r>
    </w:p>
    <w:p>
      <w:pPr>
        <w:spacing w:after="0" w:line="90"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w:t>
      </w:r>
    </w:p>
    <w:p>
      <w:pPr>
        <w:spacing w:after="0" w:line="9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+1.303.220.6600</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40" w:lineRule="exact"/>
        <w:rPr>
          <w:sz w:val="24"/>
          <w:szCs w:val="24"/>
          <w:color w:val="auto"/>
        </w:rPr>
      </w:pPr>
    </w:p>
    <w:tbl>
      <w:tblPr>
        <w:tblLayout w:type="fixed"/>
        <w:tblInd w:w="1780" w:type="dxa"/>
        <w:tblCellMar>
          <w:top w:w="0" w:type="dxa"/>
          <w:left w:w="0" w:type="dxa"/>
          <w:bottom w:w="0" w:type="dxa"/>
          <w:right w:w="0" w:type="dxa"/>
        </w:tblCellMar>
      </w:tblPr>
      <w:tr>
        <w:trPr>
          <w:trHeight w:val="204"/>
        </w:trPr>
        <w:tc>
          <w:tcPr>
            <w:tcW w:w="2180" w:type="dxa"/>
            <w:vAlign w:val="bottom"/>
          </w:tcPr>
          <w:p>
            <w:pPr>
              <w:jc w:val="center"/>
              <w:ind w:right="62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44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400" w:type="dxa"/>
            <w:vAlign w:val="bottom"/>
          </w:tcPr>
          <w:p>
            <w:pPr>
              <w:jc w:val="center"/>
              <w:ind w:left="443"/>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58"/>
        </w:trPr>
        <w:tc>
          <w:tcPr>
            <w:tcW w:w="2180" w:type="dxa"/>
            <w:vAlign w:val="bottom"/>
          </w:tcPr>
          <w:p>
            <w:pPr>
              <w:jc w:val="center"/>
              <w:ind w:right="623"/>
              <w:spacing w:after="0"/>
              <w:rPr>
                <w:sz w:val="20"/>
                <w:szCs w:val="20"/>
                <w:color w:val="auto"/>
              </w:rPr>
            </w:pPr>
            <w:r>
              <w:rPr>
                <w:rFonts w:ascii="Times New Roman" w:cs="Times New Roman" w:eastAsia="Times New Roman" w:hAnsi="Times New Roman"/>
                <w:sz w:val="15"/>
                <w:szCs w:val="15"/>
                <w:color w:val="auto"/>
              </w:rPr>
              <w:t>Class A common shares</w:t>
            </w:r>
          </w:p>
        </w:tc>
        <w:tc>
          <w:tcPr>
            <w:tcW w:w="244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9"/>
              </w:rPr>
              <w:t>LBTYA</w:t>
            </w:r>
          </w:p>
        </w:tc>
        <w:tc>
          <w:tcPr>
            <w:tcW w:w="340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206"/>
        </w:trPr>
        <w:tc>
          <w:tcPr>
            <w:tcW w:w="2180" w:type="dxa"/>
            <w:vAlign w:val="bottom"/>
          </w:tcPr>
          <w:p>
            <w:pPr>
              <w:jc w:val="center"/>
              <w:ind w:right="623"/>
              <w:spacing w:after="0"/>
              <w:rPr>
                <w:sz w:val="20"/>
                <w:szCs w:val="20"/>
                <w:color w:val="auto"/>
              </w:rPr>
            </w:pPr>
            <w:r>
              <w:rPr>
                <w:rFonts w:ascii="Times New Roman" w:cs="Times New Roman" w:eastAsia="Times New Roman" w:hAnsi="Times New Roman"/>
                <w:sz w:val="15"/>
                <w:szCs w:val="15"/>
                <w:color w:val="auto"/>
              </w:rPr>
              <w:t>Class B common shares</w:t>
            </w:r>
          </w:p>
        </w:tc>
        <w:tc>
          <w:tcPr>
            <w:tcW w:w="244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rPr>
              <w:t>LBTYB</w:t>
            </w:r>
          </w:p>
        </w:tc>
        <w:tc>
          <w:tcPr>
            <w:tcW w:w="340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206"/>
        </w:trPr>
        <w:tc>
          <w:tcPr>
            <w:tcW w:w="2180" w:type="dxa"/>
            <w:vAlign w:val="bottom"/>
          </w:tcPr>
          <w:p>
            <w:pPr>
              <w:jc w:val="center"/>
              <w:ind w:right="623"/>
              <w:spacing w:after="0"/>
              <w:rPr>
                <w:sz w:val="20"/>
                <w:szCs w:val="20"/>
                <w:color w:val="auto"/>
              </w:rPr>
            </w:pPr>
            <w:r>
              <w:rPr>
                <w:rFonts w:ascii="Times New Roman" w:cs="Times New Roman" w:eastAsia="Times New Roman" w:hAnsi="Times New Roman"/>
                <w:sz w:val="15"/>
                <w:szCs w:val="15"/>
                <w:color w:val="auto"/>
              </w:rPr>
              <w:t>Class C common shares</w:t>
            </w:r>
          </w:p>
        </w:tc>
        <w:tc>
          <w:tcPr>
            <w:tcW w:w="244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rPr>
              <w:t>LBTYK</w:t>
            </w:r>
          </w:p>
        </w:tc>
        <w:tc>
          <w:tcPr>
            <w:tcW w:w="340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Nasdaq Global Select Market</w:t>
            </w:r>
          </w:p>
        </w:tc>
      </w:tr>
    </w:tbl>
    <w:p>
      <w:pPr>
        <w:spacing w:after="0" w:line="238" w:lineRule="exact"/>
        <w:rPr>
          <w:sz w:val="24"/>
          <w:szCs w:val="24"/>
          <w:color w:val="auto"/>
        </w:rPr>
      </w:pPr>
    </w:p>
    <w:p>
      <w:pPr>
        <w:ind w:right="4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60"/>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369" w:lineRule="exact"/>
        <w:rPr>
          <w:sz w:val="24"/>
          <w:szCs w:val="24"/>
          <w:color w:val="auto"/>
        </w:rPr>
      </w:pPr>
    </w:p>
    <w:p>
      <w:pPr>
        <w:ind w:left="328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Non-Accelerated Filer </w:t>
      </w:r>
      <w:r>
        <w:rPr>
          <w:rFonts w:ascii="MS PGothic" w:cs="MS PGothic" w:eastAsia="MS PGothic" w:hAnsi="MS PGothic"/>
          <w:sz w:val="15"/>
          <w:szCs w:val="15"/>
          <w:color w:val="auto"/>
        </w:rPr>
        <w:t>☐</w:t>
      </w:r>
    </w:p>
    <w:p>
      <w:pPr>
        <w:spacing w:after="0" w:line="87" w:lineRule="exact"/>
        <w:rPr>
          <w:sz w:val="24"/>
          <w:szCs w:val="24"/>
          <w:color w:val="auto"/>
        </w:rPr>
      </w:pPr>
    </w:p>
    <w:p>
      <w:pPr>
        <w:ind w:left="3560"/>
        <w:spacing w:after="0" w:line="207" w:lineRule="exact"/>
        <w:tabs>
          <w:tab w:leader="none" w:pos="5680" w:val="left"/>
        </w:tabs>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ab/>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2" w:lineRule="exact"/>
        <w:rPr>
          <w:sz w:val="24"/>
          <w:szCs w:val="24"/>
          <w:color w:val="auto"/>
        </w:rPr>
      </w:pPr>
    </w:p>
    <w:p>
      <w:pPr>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04" w:lineRule="exact"/>
        <w:rPr>
          <w:sz w:val="24"/>
          <w:szCs w:val="24"/>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The number of outstanding common shares of Liberty Global Ltd. as of July 25, 2025 was: 174,354,669 class A common shares, 12,968,658 class B common shares and 153,409,396 class C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590550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71120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46990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20" w:type="dxa"/>
            <w:vAlign w:val="bottom"/>
            <w:gridSpan w:val="9"/>
            <w:vMerge w:val="restart"/>
          </w:tcPr>
          <w:p>
            <w:pPr>
              <w:jc w:val="center"/>
              <w:ind w:right="248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20" w:type="dxa"/>
            <w:vAlign w:val="bottom"/>
            <w:gridSpan w:val="9"/>
            <w:vMerge w:val="continue"/>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7880" w:type="dxa"/>
            <w:vAlign w:val="bottom"/>
            <w:gridSpan w:val="11"/>
          </w:tcPr>
          <w:p>
            <w:pPr>
              <w:spacing w:after="0" w:line="184" w:lineRule="exact"/>
              <w:rPr>
                <w:sz w:val="20"/>
                <w:szCs w:val="20"/>
                <w:color w:val="auto"/>
              </w:rPr>
            </w:pPr>
            <w:r>
              <w:rPr>
                <w:rFonts w:ascii="Times New Roman" w:cs="Times New Roman" w:eastAsia="Times New Roman" w:hAnsi="Times New Roman"/>
                <w:sz w:val="17"/>
                <w:szCs w:val="17"/>
                <w:color w:val="0000FF"/>
              </w:rPr>
              <w:t>Condensed Consolidated Balance Sheets as of June 30, 2025 and December 31, 2024 (unaudited)</w:t>
            </w:r>
          </w:p>
        </w:tc>
        <w:tc>
          <w:tcPr>
            <w:tcW w:w="1420" w:type="dxa"/>
            <w:vAlign w:val="bottom"/>
            <w:gridSpan w:val="4"/>
          </w:tcPr>
          <w:p>
            <w:pPr>
              <w:spacing w:after="0"/>
              <w:rPr>
                <w:sz w:val="16"/>
                <w:szCs w:val="16"/>
                <w:color w:val="auto"/>
              </w:rPr>
            </w:pPr>
          </w:p>
        </w:tc>
        <w:tc>
          <w:tcPr>
            <w:tcW w:w="520" w:type="dxa"/>
            <w:vAlign w:val="bottom"/>
            <w:gridSpan w:val="4"/>
          </w:tcPr>
          <w:p>
            <w:pPr>
              <w:jc w:val="center"/>
              <w:ind w:left="276"/>
              <w:spacing w:after="0" w:line="184" w:lineRule="exact"/>
              <w:rPr>
                <w:sz w:val="20"/>
                <w:szCs w:val="20"/>
                <w:color w:val="auto"/>
              </w:rPr>
            </w:pPr>
            <w:r>
              <w:rPr>
                <w:rFonts w:ascii="Times New Roman" w:cs="Times New Roman" w:eastAsia="Times New Roman" w:hAnsi="Times New Roman"/>
                <w:sz w:val="17"/>
                <w:szCs w:val="17"/>
                <w:color w:val="0000FF"/>
                <w:w w:val="93"/>
              </w:rPr>
              <w:t>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80" w:type="dxa"/>
            <w:vAlign w:val="bottom"/>
          </w:tcPr>
          <w:p>
            <w:pPr>
              <w:spacing w:after="0"/>
              <w:rPr>
                <w:sz w:val="17"/>
                <w:szCs w:val="17"/>
                <w:color w:val="auto"/>
              </w:rPr>
            </w:pPr>
          </w:p>
        </w:tc>
        <w:tc>
          <w:tcPr>
            <w:tcW w:w="85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and Six Months Ended June 30, 2025 and 2024 (unaudited)</w:t>
            </w:r>
          </w:p>
        </w:tc>
        <w:tc>
          <w:tcPr>
            <w:tcW w:w="740" w:type="dxa"/>
            <w:vAlign w:val="bottom"/>
            <w:gridSpan w:val="2"/>
          </w:tcPr>
          <w:p>
            <w:pPr>
              <w:spacing w:after="0"/>
              <w:rPr>
                <w:sz w:val="17"/>
                <w:szCs w:val="17"/>
                <w:color w:val="auto"/>
              </w:rPr>
            </w:pPr>
          </w:p>
        </w:tc>
        <w:tc>
          <w:tcPr>
            <w:tcW w:w="520" w:type="dxa"/>
            <w:vAlign w:val="bottom"/>
            <w:gridSpan w:val="4"/>
          </w:tcPr>
          <w:p>
            <w:pPr>
              <w:jc w:val="center"/>
              <w:ind w:left="276"/>
              <w:spacing w:after="0"/>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80" w:type="dxa"/>
            <w:vAlign w:val="bottom"/>
          </w:tcPr>
          <w:p>
            <w:pPr>
              <w:spacing w:after="0"/>
              <w:rPr>
                <w:sz w:val="17"/>
                <w:szCs w:val="17"/>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Earnings (Loss) for the Three and Six Months Ended June 30, 2025 and 2024</w:t>
            </w:r>
          </w:p>
        </w:tc>
        <w:tc>
          <w:tcPr>
            <w:tcW w:w="520" w:type="dxa"/>
            <w:vAlign w:val="bottom"/>
            <w:gridSpan w:val="4"/>
            <w:vMerge w:val="restart"/>
          </w:tcPr>
          <w:p>
            <w:pPr>
              <w:jc w:val="center"/>
              <w:ind w:left="276"/>
              <w:spacing w:after="0"/>
              <w:rPr>
                <w:sz w:val="20"/>
                <w:szCs w:val="20"/>
                <w:color w:val="auto"/>
              </w:rPr>
            </w:pPr>
            <w:r>
              <w:rPr>
                <w:rFonts w:ascii="Times New Roman" w:cs="Times New Roman" w:eastAsia="Times New Roman" w:hAnsi="Times New Roman"/>
                <w:sz w:val="17"/>
                <w:szCs w:val="17"/>
                <w:color w:val="0000FF"/>
                <w:w w:val="93"/>
              </w:rPr>
              <w:t>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9020" w:type="dxa"/>
            <w:vAlign w:val="bottom"/>
            <w:tcBorders>
              <w:top w:val="single" w:sz="8" w:color="0000FF"/>
            </w:tcBorders>
            <w:gridSpan w:val="13"/>
          </w:tcPr>
          <w:p>
            <w:pPr>
              <w:spacing w:after="0" w:line="135" w:lineRule="exact"/>
              <w:rPr>
                <w:sz w:val="20"/>
                <w:szCs w:val="20"/>
                <w:color w:val="auto"/>
              </w:rPr>
            </w:pPr>
            <w:r>
              <w:rPr>
                <w:rFonts w:ascii="Times New Roman" w:cs="Times New Roman" w:eastAsia="Times New Roman" w:hAnsi="Times New Roman"/>
                <w:sz w:val="15"/>
                <w:szCs w:val="15"/>
                <w:color w:val="0000FF"/>
              </w:rPr>
              <w:t>(unaudited)</w:t>
            </w:r>
          </w:p>
        </w:tc>
        <w:tc>
          <w:tcPr>
            <w:tcW w:w="12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080" w:type="dxa"/>
            <w:vAlign w:val="bottom"/>
          </w:tcPr>
          <w:p>
            <w:pPr>
              <w:spacing w:after="0"/>
              <w:rPr>
                <w:sz w:val="17"/>
                <w:szCs w:val="17"/>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Equity for the Three and Six Months Ended June 30, 2025 and 2024 (unaudited)</w:t>
            </w:r>
          </w:p>
        </w:tc>
        <w:tc>
          <w:tcPr>
            <w:tcW w:w="520" w:type="dxa"/>
            <w:vAlign w:val="bottom"/>
            <w:gridSpan w:val="4"/>
          </w:tcPr>
          <w:p>
            <w:pPr>
              <w:jc w:val="center"/>
              <w:ind w:left="276"/>
              <w:spacing w:after="0"/>
              <w:rPr>
                <w:sz w:val="20"/>
                <w:szCs w:val="20"/>
                <w:color w:val="auto"/>
              </w:rPr>
            </w:pPr>
            <w:r>
              <w:rPr>
                <w:rFonts w:ascii="Times New Roman" w:cs="Times New Roman" w:eastAsia="Times New Roman" w:hAnsi="Times New Roman"/>
                <w:sz w:val="17"/>
                <w:szCs w:val="17"/>
                <w:color w:val="0000FF"/>
                <w:w w:val="93"/>
              </w:rPr>
              <w:t>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80" w:type="dxa"/>
            <w:vAlign w:val="bottom"/>
          </w:tcPr>
          <w:p>
            <w:pPr>
              <w:spacing w:after="0"/>
              <w:rPr>
                <w:sz w:val="17"/>
                <w:szCs w:val="17"/>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June 30, 2025 and 2024 (unaudited)</w:t>
            </w:r>
          </w:p>
        </w:tc>
        <w:tc>
          <w:tcPr>
            <w:tcW w:w="380" w:type="dxa"/>
            <w:vAlign w:val="bottom"/>
          </w:tcPr>
          <w:p>
            <w:pPr>
              <w:spacing w:after="0"/>
              <w:rPr>
                <w:sz w:val="17"/>
                <w:szCs w:val="17"/>
                <w:color w:val="auto"/>
              </w:rPr>
            </w:pPr>
          </w:p>
        </w:tc>
        <w:tc>
          <w:tcPr>
            <w:tcW w:w="1040" w:type="dxa"/>
            <w:vAlign w:val="bottom"/>
            <w:gridSpan w:val="3"/>
          </w:tcPr>
          <w:p>
            <w:pPr>
              <w:spacing w:after="0"/>
              <w:rPr>
                <w:sz w:val="17"/>
                <w:szCs w:val="17"/>
                <w:color w:val="auto"/>
              </w:rPr>
            </w:pPr>
          </w:p>
        </w:tc>
        <w:tc>
          <w:tcPr>
            <w:tcW w:w="520" w:type="dxa"/>
            <w:vAlign w:val="bottom"/>
            <w:gridSpan w:val="4"/>
          </w:tcPr>
          <w:p>
            <w:pPr>
              <w:jc w:val="center"/>
              <w:ind w:left="276"/>
              <w:spacing w:after="0"/>
              <w:rPr>
                <w:sz w:val="20"/>
                <w:szCs w:val="20"/>
                <w:color w:val="auto"/>
              </w:rPr>
            </w:pPr>
            <w:r>
              <w:rPr>
                <w:rFonts w:ascii="Times New Roman" w:cs="Times New Roman" w:eastAsia="Times New Roman" w:hAnsi="Times New Roman"/>
                <w:sz w:val="17"/>
                <w:szCs w:val="17"/>
                <w:color w:val="0000FF"/>
                <w:w w:val="93"/>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80" w:type="dxa"/>
            <w:vAlign w:val="bottom"/>
          </w:tcPr>
          <w:p>
            <w:pPr>
              <w:spacing w:after="0"/>
              <w:rPr>
                <w:sz w:val="17"/>
                <w:szCs w:val="17"/>
                <w:color w:val="auto"/>
              </w:rPr>
            </w:pPr>
          </w:p>
        </w:tc>
        <w:tc>
          <w:tcPr>
            <w:tcW w:w="58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2080" w:type="dxa"/>
            <w:vAlign w:val="bottom"/>
            <w:gridSpan w:val="3"/>
          </w:tcPr>
          <w:p>
            <w:pPr>
              <w:spacing w:after="0"/>
              <w:rPr>
                <w:sz w:val="17"/>
                <w:szCs w:val="17"/>
                <w:color w:val="auto"/>
              </w:rPr>
            </w:pPr>
          </w:p>
        </w:tc>
        <w:tc>
          <w:tcPr>
            <w:tcW w:w="142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3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51</w:t>
            </w: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58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9"/>
              </w:rPr>
              <w:t>QUANTITATIVE AND QUALITATIVE DISCLOSURES ABOUT MARKET RISK</w:t>
            </w:r>
          </w:p>
        </w:tc>
        <w:tc>
          <w:tcPr>
            <w:tcW w:w="2700" w:type="dxa"/>
            <w:vAlign w:val="bottom"/>
            <w:tcBorders>
              <w:top w:val="single" w:sz="8" w:color="0000FF"/>
            </w:tcBorders>
            <w:gridSpan w:val="4"/>
          </w:tcPr>
          <w:p>
            <w:pPr>
              <w:spacing w:after="0"/>
              <w:rPr>
                <w:sz w:val="17"/>
                <w:szCs w:val="17"/>
                <w:color w:val="auto"/>
              </w:rPr>
            </w:pPr>
          </w:p>
        </w:tc>
        <w:tc>
          <w:tcPr>
            <w:tcW w:w="7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3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82</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6820" w:type="dxa"/>
            <w:vAlign w:val="bottom"/>
            <w:gridSpan w:val="9"/>
          </w:tcPr>
          <w:p>
            <w:pPr>
              <w:jc w:val="center"/>
              <w:ind w:right="2500"/>
              <w:spacing w:after="0"/>
              <w:rPr>
                <w:sz w:val="20"/>
                <w:szCs w:val="20"/>
                <w:color w:val="auto"/>
              </w:rPr>
            </w:pPr>
            <w:r>
              <w:rPr>
                <w:rFonts w:ascii="Times New Roman" w:cs="Times New Roman" w:eastAsia="Times New Roman" w:hAnsi="Times New Roman"/>
                <w:sz w:val="17"/>
                <w:szCs w:val="17"/>
                <w:b w:val="1"/>
                <w:bCs w:val="1"/>
                <w:color w:val="auto"/>
                <w:w w:val="99"/>
              </w:rPr>
              <w:t>PART II — OTHER INFORMATION</w:t>
            </w:r>
          </w:p>
        </w:tc>
        <w:tc>
          <w:tcPr>
            <w:tcW w:w="3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ITEM 1.</w:t>
            </w:r>
          </w:p>
        </w:tc>
        <w:tc>
          <w:tcPr>
            <w:tcW w:w="9300" w:type="dxa"/>
            <w:vAlign w:val="bottom"/>
            <w:gridSpan w:val="15"/>
          </w:tcPr>
          <w:p>
            <w:pPr>
              <w:spacing w:after="0" w:line="184" w:lineRule="exact"/>
              <w:rPr>
                <w:sz w:val="20"/>
                <w:szCs w:val="20"/>
                <w:color w:val="auto"/>
              </w:rPr>
            </w:pPr>
            <w:r>
              <w:rPr>
                <w:rFonts w:ascii="Times New Roman" w:cs="Times New Roman" w:eastAsia="Times New Roman" w:hAnsi="Times New Roman"/>
                <w:sz w:val="17"/>
                <w:szCs w:val="17"/>
                <w:color w:val="0000FF"/>
              </w:rPr>
              <w:t>LEGAL PROCEEDINGS</w:t>
            </w:r>
          </w:p>
        </w:tc>
        <w:tc>
          <w:tcPr>
            <w:tcW w:w="860" w:type="dxa"/>
            <w:vAlign w:val="bottom"/>
            <w:gridSpan w:val="5"/>
          </w:tcPr>
          <w:p>
            <w:pPr>
              <w:jc w:val="center"/>
              <w:spacing w:after="0" w:line="184" w:lineRule="exact"/>
              <w:rPr>
                <w:sz w:val="20"/>
                <w:szCs w:val="20"/>
                <w:color w:val="auto"/>
              </w:rPr>
            </w:pPr>
            <w:r>
              <w:rPr>
                <w:rFonts w:ascii="Times New Roman" w:cs="Times New Roman" w:eastAsia="Times New Roman" w:hAnsi="Times New Roman"/>
                <w:sz w:val="17"/>
                <w:szCs w:val="17"/>
                <w:color w:val="0000FF"/>
              </w:rPr>
              <w:t>83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3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1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750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93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EXHIBITS</w:t>
            </w: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84</w:t>
            </w:r>
          </w:p>
        </w:tc>
        <w:tc>
          <w:tcPr>
            <w:tcW w:w="0" w:type="dxa"/>
            <w:vAlign w:val="bottom"/>
          </w:tcPr>
          <w:p>
            <w:pPr>
              <w:spacing w:after="0"/>
              <w:rPr>
                <w:sz w:val="1"/>
                <w:szCs w:val="1"/>
                <w:color w:val="auto"/>
              </w:rPr>
            </w:pPr>
          </w:p>
        </w:tc>
      </w:tr>
      <w:tr>
        <w:trPr>
          <w:trHeight w:val="1172"/>
        </w:trPr>
        <w:tc>
          <w:tcPr>
            <w:tcW w:w="108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3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6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Pr>
          <w:p>
            <w:pPr>
              <w:spacing w:after="0"/>
              <w:rPr>
                <w:sz w:val="15"/>
                <w:szCs w:val="15"/>
                <w:color w:val="auto"/>
              </w:rPr>
            </w:pP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5"/>
        </w:trPr>
        <w:tc>
          <w:tcPr>
            <w:tcW w:w="8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7"/>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4"/>
          </w:tcPr>
          <w:p>
            <w:pPr>
              <w:jc w:val="right"/>
              <w:ind w:right="975"/>
              <w:spacing w:after="0"/>
              <w:rPr>
                <w:sz w:val="20"/>
                <w:szCs w:val="20"/>
                <w:color w:val="auto"/>
              </w:rPr>
            </w:pPr>
            <w:r>
              <w:rPr>
                <w:rFonts w:ascii="Times New Roman" w:cs="Times New Roman" w:eastAsia="Times New Roman" w:hAnsi="Times New Roman"/>
                <w:sz w:val="15"/>
                <w:szCs w:val="15"/>
                <w:b w:val="1"/>
                <w:bCs w:val="1"/>
                <w:color w:val="auto"/>
              </w:rPr>
              <w:t>in millions</w:t>
            </w:r>
          </w:p>
        </w:tc>
      </w:tr>
      <w:tr>
        <w:trPr>
          <w:trHeight w:val="207"/>
        </w:trPr>
        <w:tc>
          <w:tcPr>
            <w:tcW w:w="8440" w:type="dxa"/>
            <w:vAlign w:val="bottom"/>
          </w:tcPr>
          <w:p>
            <w:pPr>
              <w:ind w:left="39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1,816.3</w:t>
            </w: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 receivables, net (note 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w:t>
            </w:r>
          </w:p>
        </w:tc>
      </w:tr>
      <w:tr>
        <w:trPr>
          <w:trHeight w:val="219"/>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 (measured at fair value on a recurring basis) (note 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w:t>
            </w: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instruments (note 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287.0</w:t>
            </w:r>
          </w:p>
        </w:tc>
      </w:tr>
      <w:tr>
        <w:trPr>
          <w:trHeight w:val="21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assets (notes 3 and 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411.6</w:t>
            </w:r>
          </w:p>
        </w:tc>
      </w:tr>
      <w:tr>
        <w:trPr>
          <w:trHeight w:val="212"/>
        </w:trPr>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3,300.3</w:t>
            </w:r>
          </w:p>
        </w:tc>
      </w:tr>
      <w:tr>
        <w:trPr>
          <w:trHeight w:val="168"/>
        </w:trPr>
        <w:tc>
          <w:tcPr>
            <w:tcW w:w="84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Investments and related notes receivable (including $1,930.0 million and $2,907.7 million, respectively, measured at fair</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2"/>
        </w:trPr>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value on a recurring basis) (note 5)</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11,688.0</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 (notes 8 and 10)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4,326.0</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(note 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3,152.6</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subject to amortization, net (note 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1,290.4</w:t>
            </w:r>
          </w:p>
        </w:tc>
      </w:tr>
      <w:tr>
        <w:trPr>
          <w:trHeight w:val="21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 net (notes 3, 6 and 10)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1,682.4</w:t>
            </w:r>
          </w:p>
        </w:tc>
      </w:tr>
      <w:tr>
        <w:trPr>
          <w:trHeight w:val="237"/>
        </w:trPr>
        <w:tc>
          <w:tcPr>
            <w:tcW w:w="8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25,439.7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3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6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Pr>
          <w:p>
            <w:pPr>
              <w:spacing w:after="0"/>
              <w:rPr>
                <w:sz w:val="15"/>
                <w:szCs w:val="15"/>
                <w:color w:val="auto"/>
              </w:rPr>
            </w:pP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5"/>
        </w:trPr>
        <w:tc>
          <w:tcPr>
            <w:tcW w:w="8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7"/>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4"/>
          </w:tcPr>
          <w:p>
            <w:pPr>
              <w:jc w:val="right"/>
              <w:ind w:right="975"/>
              <w:spacing w:after="0"/>
              <w:rPr>
                <w:sz w:val="20"/>
                <w:szCs w:val="20"/>
                <w:color w:val="auto"/>
              </w:rPr>
            </w:pPr>
            <w:r>
              <w:rPr>
                <w:rFonts w:ascii="Times New Roman" w:cs="Times New Roman" w:eastAsia="Times New Roman" w:hAnsi="Times New Roman"/>
                <w:sz w:val="15"/>
                <w:szCs w:val="15"/>
                <w:b w:val="1"/>
                <w:bCs w:val="1"/>
                <w:color w:val="auto"/>
              </w:rPr>
              <w:t>in millions</w:t>
            </w:r>
          </w:p>
        </w:tc>
      </w:tr>
      <w:tr>
        <w:trPr>
          <w:trHeight w:val="207"/>
        </w:trPr>
        <w:tc>
          <w:tcPr>
            <w:tcW w:w="8440" w:type="dxa"/>
            <w:vAlign w:val="bottom"/>
          </w:tcPr>
          <w:p>
            <w:pPr>
              <w:ind w:left="324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371.2</w:t>
            </w: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 (note 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w:t>
            </w:r>
          </w:p>
        </w:tc>
      </w:tr>
      <w:tr>
        <w:trPr>
          <w:trHeight w:val="219"/>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debt and finance lease obligations (notes 9 and 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898.5</w:t>
            </w: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w:t>
            </w:r>
          </w:p>
        </w:tc>
      </w:tr>
      <w:tr>
        <w:trPr>
          <w:trHeight w:val="219"/>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income taxes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accrued and current liabilities (notes 6 and 10)</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1,079.9</w:t>
            </w:r>
          </w:p>
        </w:tc>
      </w:tr>
      <w:tr>
        <w:trPr>
          <w:trHeight w:val="212"/>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3,133.9</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and finance lease obligations (notes 9 and 10)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8,202.5</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 (note 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677.5</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(notes 3 and 6)</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881.5</w:t>
            </w:r>
          </w:p>
        </w:tc>
      </w:tr>
      <w:tr>
        <w:trPr>
          <w:trHeight w:val="212"/>
        </w:trPr>
        <w:tc>
          <w:tcPr>
            <w:tcW w:w="84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13,962.1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12,895.4</w:t>
            </w:r>
          </w:p>
        </w:tc>
      </w:tr>
      <w:tr>
        <w:trPr>
          <w:trHeight w:val="186"/>
        </w:trPr>
        <w:tc>
          <w:tcPr>
            <w:tcW w:w="8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(notes 6, 9, 10, 11 and 15)</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8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(note 12):</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Liberty Global shareholders: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68"/>
        </w:trPr>
        <w:tc>
          <w:tcPr>
            <w:tcW w:w="84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A common shares, $0.01 nominal value. Issued and outstanding 174,353,470 and 173,046,371 shares,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2"/>
        </w:trPr>
        <w:tc>
          <w:tcPr>
            <w:tcW w:w="8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respectively</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Class B common shares, $0.01 nominal value. Issued and outstanding 12,968,658 and 12,968,658 shares, respectively</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168"/>
        </w:trPr>
        <w:tc>
          <w:tcPr>
            <w:tcW w:w="84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C common shares, $0.01 nominal value. Issued and outstanding 155,157,101 and 162,710,787 shares,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2"/>
        </w:trPr>
        <w:tc>
          <w:tcPr>
            <w:tcW w:w="8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respectively</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777.0</w:t>
            </w:r>
          </w:p>
        </w:tc>
      </w:tr>
      <w:tr>
        <w:trPr>
          <w:trHeight w:val="219"/>
        </w:trPr>
        <w:tc>
          <w:tcPr>
            <w:tcW w:w="8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earnings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12,242.6</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earnings (loss), net of taxes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(657.0)</w:t>
            </w:r>
          </w:p>
        </w:tc>
      </w:tr>
      <w:tr>
        <w:trPr>
          <w:trHeight w:val="219"/>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Treasury shares, at cost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2"/>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Liberty Global shareholders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12,365.9</w:t>
            </w:r>
          </w:p>
        </w:tc>
      </w:tr>
      <w:tr>
        <w:trPr>
          <w:trHeight w:val="21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178.4</w:t>
            </w:r>
          </w:p>
        </w:tc>
      </w:tr>
      <w:tr>
        <w:trPr>
          <w:trHeight w:val="212"/>
        </w:trPr>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12,544.3</w:t>
            </w:r>
          </w:p>
        </w:tc>
      </w:tr>
      <w:tr>
        <w:trPr>
          <w:trHeight w:val="212"/>
        </w:trPr>
        <w:tc>
          <w:tcPr>
            <w:tcW w:w="84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27,167.1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25,439.7</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3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6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40" w:type="dxa"/>
            <w:vAlign w:val="bottom"/>
          </w:tcPr>
          <w:p>
            <w:pPr>
              <w:spacing w:after="0"/>
              <w:rPr>
                <w:sz w:val="15"/>
                <w:szCs w:val="15"/>
                <w:color w:val="auto"/>
              </w:rPr>
            </w:pPr>
          </w:p>
        </w:tc>
        <w:tc>
          <w:tcPr>
            <w:tcW w:w="1980" w:type="dxa"/>
            <w:vAlign w:val="bottom"/>
            <w:gridSpan w:val="4"/>
          </w:tcPr>
          <w:p>
            <w:pPr>
              <w:jc w:val="right"/>
              <w:ind w:right="43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5"/>
        </w:trPr>
        <w:tc>
          <w:tcPr>
            <w:tcW w:w="6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8"/>
        </w:trPr>
        <w:tc>
          <w:tcPr>
            <w:tcW w:w="6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9"/>
          </w:tcPr>
          <w:p>
            <w:pPr>
              <w:jc w:val="right"/>
              <w:ind w:right="154"/>
              <w:spacing w:after="0"/>
              <w:rPr>
                <w:sz w:val="20"/>
                <w:szCs w:val="20"/>
                <w:color w:val="auto"/>
              </w:rPr>
            </w:pPr>
            <w:r>
              <w:rPr>
                <w:rFonts w:ascii="Times New Roman" w:cs="Times New Roman" w:eastAsia="Times New Roman" w:hAnsi="Times New Roman"/>
                <w:sz w:val="15"/>
                <w:szCs w:val="15"/>
                <w:b w:val="1"/>
                <w:bCs w:val="1"/>
                <w:color w:val="auto"/>
              </w:rPr>
              <w:t>in millions, except per share amounts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(notes 3, 4, 5 and 16)</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2,149.2</w:t>
            </w:r>
          </w:p>
        </w:tc>
        <w:tc>
          <w:tcPr>
            <w:tcW w:w="0" w:type="dxa"/>
            <w:vAlign w:val="bottom"/>
          </w:tcPr>
          <w:p>
            <w:pPr>
              <w:spacing w:after="0"/>
              <w:rPr>
                <w:sz w:val="1"/>
                <w:szCs w:val="1"/>
                <w:color w:val="auto"/>
              </w:rPr>
            </w:pPr>
          </w:p>
        </w:tc>
      </w:tr>
      <w:tr>
        <w:trPr>
          <w:trHeight w:val="148"/>
        </w:trPr>
        <w:tc>
          <w:tcPr>
            <w:tcW w:w="678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Operating costs and expenses (exclusive of depreciation and amortization, shown separately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below):</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Programming and other direct costs of services (note 10)</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730.9</w:t>
            </w:r>
          </w:p>
        </w:tc>
        <w:tc>
          <w:tcPr>
            <w:tcW w:w="0" w:type="dxa"/>
            <w:vAlign w:val="bottom"/>
          </w:tcPr>
          <w:p>
            <w:pPr>
              <w:spacing w:after="0"/>
              <w:rPr>
                <w:sz w:val="1"/>
                <w:szCs w:val="1"/>
                <w:color w:val="auto"/>
              </w:rPr>
            </w:pPr>
          </w:p>
        </w:tc>
      </w:tr>
      <w:tr>
        <w:trPr>
          <w:trHeight w:val="219"/>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operating (notes 10 and 13)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 (</w:t>
            </w:r>
            <w:r>
              <w:rPr>
                <w:rFonts w:ascii="Times New Roman" w:cs="Times New Roman" w:eastAsia="Times New Roman" w:hAnsi="Times New Roman"/>
                <w:sz w:val="17"/>
                <w:szCs w:val="17"/>
                <w:b w:val="1"/>
                <w:bCs w:val="1"/>
                <w:color w:val="auto"/>
              </w:rPr>
              <w:t>SG&amp;A</w:t>
            </w:r>
            <w:r>
              <w:rPr>
                <w:rFonts w:ascii="Times New Roman" w:cs="Times New Roman" w:eastAsia="Times New Roman" w:hAnsi="Times New Roman"/>
                <w:sz w:val="17"/>
                <w:szCs w:val="17"/>
                <w:color w:val="auto"/>
              </w:rPr>
              <w:t>) (notes 10 and 13)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548.2</w:t>
            </w:r>
          </w:p>
        </w:tc>
        <w:tc>
          <w:tcPr>
            <w:tcW w:w="0" w:type="dxa"/>
            <w:vAlign w:val="bottom"/>
          </w:tcPr>
          <w:p>
            <w:pPr>
              <w:spacing w:after="0"/>
              <w:rPr>
                <w:sz w:val="1"/>
                <w:szCs w:val="1"/>
                <w:color w:val="auto"/>
              </w:rPr>
            </w:pPr>
          </w:p>
        </w:tc>
      </w:tr>
      <w:tr>
        <w:trPr>
          <w:trHeight w:val="219"/>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Impairment, restructuring and other operating items, net (note 10)</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0" w:type="dxa"/>
            <w:vAlign w:val="bottom"/>
          </w:tcPr>
          <w:p>
            <w:pPr>
              <w:spacing w:after="0"/>
              <w:rPr>
                <w:sz w:val="1"/>
                <w:szCs w:val="1"/>
                <w:color w:val="auto"/>
              </w:rPr>
            </w:pPr>
          </w:p>
        </w:tc>
      </w:tr>
      <w:tr>
        <w:trPr>
          <w:trHeight w:val="212"/>
        </w:trPr>
        <w:tc>
          <w:tcPr>
            <w:tcW w:w="6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2,350.0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2,194.5</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19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Non-operating income (expense):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0" w:type="dxa"/>
            <w:vAlign w:val="bottom"/>
          </w:tcPr>
          <w:p>
            <w:pPr>
              <w:spacing w:after="0"/>
              <w:rPr>
                <w:sz w:val="1"/>
                <w:szCs w:val="1"/>
                <w:color w:val="auto"/>
              </w:rPr>
            </w:pPr>
          </w:p>
        </w:tc>
      </w:tr>
      <w:tr>
        <w:trPr>
          <w:trHeight w:val="219"/>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Realized and unrealized gains (losses) on derivative instruments, net (note 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transaction gains (losses),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732.8</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Realized and unrealized gains (losses) due to changes in fair values of certain investments, net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(notes 5 and 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Losses on debt extinguishment, net (note 9)</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 of results of affiliates, net (note 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sale of All3Media (note 5)</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(4,256.5)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1,074.9</w:t>
            </w:r>
          </w:p>
        </w:tc>
        <w:tc>
          <w:tcPr>
            <w:tcW w:w="0" w:type="dxa"/>
            <w:vAlign w:val="bottom"/>
          </w:tcPr>
          <w:p>
            <w:pPr>
              <w:spacing w:after="0"/>
              <w:rPr>
                <w:sz w:val="1"/>
                <w:szCs w:val="1"/>
                <w:color w:val="auto"/>
              </w:rPr>
            </w:pPr>
          </w:p>
        </w:tc>
      </w:tr>
      <w:tr>
        <w:trPr>
          <w:trHeight w:val="212"/>
        </w:trPr>
        <w:tc>
          <w:tcPr>
            <w:tcW w:w="6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Earnings (loss) from continuing operations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 (note 11)</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0" w:type="dxa"/>
            <w:vAlign w:val="bottom"/>
          </w:tcPr>
          <w:p>
            <w:pPr>
              <w:spacing w:after="0"/>
              <w:rPr>
                <w:sz w:val="1"/>
                <w:szCs w:val="1"/>
                <w:color w:val="auto"/>
              </w:rPr>
            </w:pPr>
          </w:p>
        </w:tc>
      </w:tr>
      <w:tr>
        <w:trPr>
          <w:trHeight w:val="212"/>
        </w:trPr>
        <w:tc>
          <w:tcPr>
            <w:tcW w:w="6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Earnings (loss) from continuing operations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net of taxes (note 4)</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0" w:type="dxa"/>
            <w:vAlign w:val="bottom"/>
          </w:tcPr>
          <w:p>
            <w:pPr>
              <w:spacing w:after="0"/>
              <w:rPr>
                <w:sz w:val="1"/>
                <w:szCs w:val="1"/>
                <w:color w:val="auto"/>
              </w:rPr>
            </w:pPr>
          </w:p>
        </w:tc>
      </w:tr>
      <w:tr>
        <w:trPr>
          <w:trHeight w:val="212"/>
        </w:trPr>
        <w:tc>
          <w:tcPr>
            <w:tcW w:w="6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earnings (loss)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(2,773.8)</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(4,097.1)</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12"/>
        </w:trPr>
        <w:tc>
          <w:tcPr>
            <w:tcW w:w="6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earnings (loss) attributable to Liberty Global shareholders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(2,792.9)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(4,130.2)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778.1</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6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Basic earnings (loss) attributable to Liberty Global shareholders per share (note 14):</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Continuing operations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19"/>
        </w:trPr>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Discontinued operations (note 4)</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37"/>
        </w:trPr>
        <w:tc>
          <w:tcPr>
            <w:tcW w:w="67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Diluted earnings (loss) attributable to Liberty Global shareholders per share (note 14):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Continuing operations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19"/>
        </w:trPr>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Discontinued operations (note 4)</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237"/>
        </w:trPr>
        <w:tc>
          <w:tcPr>
            <w:tcW w:w="67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3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6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EARNINGS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Pr>
          <w:p>
            <w:pPr>
              <w:spacing w:after="0"/>
              <w:rPr>
                <w:sz w:val="15"/>
                <w:szCs w:val="15"/>
                <w:color w:val="auto"/>
              </w:rPr>
            </w:pPr>
          </w:p>
        </w:tc>
        <w:tc>
          <w:tcPr>
            <w:tcW w:w="1980" w:type="dxa"/>
            <w:vAlign w:val="bottom"/>
            <w:gridSpan w:val="4"/>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6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9"/>
        </w:trPr>
        <w:tc>
          <w:tcPr>
            <w:tcW w:w="6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 (loss)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802.2</w:t>
            </w:r>
          </w:p>
        </w:tc>
      </w:tr>
      <w:tr>
        <w:trPr>
          <w:trHeight w:val="199"/>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earnings (loss), net of taxes: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Continuing operations: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6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(1,455.7)</w:t>
            </w:r>
          </w:p>
        </w:tc>
      </w:tr>
      <w:tr>
        <w:trPr>
          <w:trHeight w:val="219"/>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Reclassification adjustment included in net earnings (loss)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9"/>
        </w:trPr>
        <w:tc>
          <w:tcPr>
            <w:tcW w:w="6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Pension-related adjustments and other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comprehensive earnings (loss) from continuing operations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(1,454.8)</w:t>
            </w:r>
          </w:p>
        </w:tc>
      </w:tr>
      <w:tr>
        <w:trPr>
          <w:trHeight w:val="219"/>
        </w:trPr>
        <w:tc>
          <w:tcPr>
            <w:tcW w:w="6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earnings from discontinued operations (note 4)</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229.9</w:t>
            </w:r>
          </w:p>
        </w:tc>
      </w:tr>
      <w:tr>
        <w:trPr>
          <w:trHeight w:val="212"/>
        </w:trPr>
        <w:tc>
          <w:tcPr>
            <w:tcW w:w="64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comprehensive earnings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(1,224.9)</w:t>
            </w:r>
          </w:p>
        </w:tc>
      </w:tr>
      <w:tr>
        <w:trPr>
          <w:trHeight w:val="212"/>
        </w:trPr>
        <w:tc>
          <w:tcPr>
            <w:tcW w:w="64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Comprehensive earnings (loss)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(422.7)</w:t>
            </w:r>
          </w:p>
        </w:tc>
      </w:tr>
      <w:tr>
        <w:trPr>
          <w:trHeight w:val="219"/>
        </w:trPr>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12"/>
        </w:trPr>
        <w:tc>
          <w:tcPr>
            <w:tcW w:w="64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Comprehensive earnings (loss) attributable to Liberty Global shareholders</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(447.3)</w:t>
            </w: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3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6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5"/>
                <w:szCs w:val="15"/>
                <w:b w:val="1"/>
                <w:bCs w:val="1"/>
                <w:color w:val="auto"/>
              </w:rPr>
              <w:t>Liberty Global shareholders</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Non-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shares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Liberty</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2"/>
                <w:szCs w:val="12"/>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5"/>
                <w:szCs w:val="15"/>
                <w:b w:val="1"/>
                <w:bCs w:val="1"/>
                <w:color w:val="auto"/>
              </w:rPr>
              <w:t>earnings, net</w:t>
            </w:r>
          </w:p>
        </w:tc>
        <w:tc>
          <w:tcPr>
            <w:tcW w:w="76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5"/>
                <w:szCs w:val="15"/>
                <w:b w:val="1"/>
                <w:bCs w:val="1"/>
                <w:color w:val="auto"/>
              </w:rPr>
              <w:t>shares, at</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Global</w:t>
            </w: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720" w:type="dxa"/>
            <w:vAlign w:val="bottom"/>
          </w:tcPr>
          <w:p>
            <w:pPr>
              <w:jc w:val="right"/>
              <w:ind w:right="123"/>
              <w:spacing w:after="0" w:line="135"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Class C</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of taxes</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January 1, 2024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15,566.0</w:t>
            </w:r>
          </w:p>
        </w:tc>
        <w:tc>
          <w:tcPr>
            <w:tcW w:w="2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$ 19,007.4</w:t>
            </w:r>
          </w:p>
        </w:tc>
        <w:tc>
          <w:tcPr>
            <w:tcW w:w="0" w:type="dxa"/>
            <w:vAlign w:val="bottom"/>
          </w:tcPr>
          <w:p>
            <w:pPr>
              <w:spacing w:after="0"/>
              <w:rPr>
                <w:sz w:val="1"/>
                <w:szCs w:val="1"/>
                <w:color w:val="auto"/>
              </w:rPr>
            </w:pPr>
          </w:p>
        </w:tc>
      </w:tr>
      <w:tr>
        <w:trPr>
          <w:trHeight w:val="203"/>
        </w:trPr>
        <w:tc>
          <w:tcPr>
            <w:tcW w:w="2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earnings</w:t>
            </w:r>
          </w:p>
        </w:tc>
        <w:tc>
          <w:tcPr>
            <w:tcW w:w="20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527.0</w:t>
            </w: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comprehensive loss, net of taxes</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(1,026.4)</w:t>
            </w:r>
          </w:p>
        </w:tc>
        <w:tc>
          <w:tcPr>
            <w:tcW w:w="0" w:type="dxa"/>
            <w:vAlign w:val="bottom"/>
          </w:tcPr>
          <w:p>
            <w:pPr>
              <w:spacing w:after="0"/>
              <w:rPr>
                <w:sz w:val="1"/>
                <w:szCs w:val="1"/>
                <w:color w:val="auto"/>
              </w:rPr>
            </w:pPr>
          </w:p>
        </w:tc>
      </w:tr>
      <w:tr>
        <w:trPr>
          <w:trHeight w:val="156"/>
        </w:trPr>
        <w:tc>
          <w:tcPr>
            <w:tcW w:w="290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Repurchases and cancellations of Liberty</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(170.5)</w:t>
            </w:r>
          </w:p>
        </w:tc>
        <w:tc>
          <w:tcPr>
            <w:tcW w:w="0" w:type="dxa"/>
            <w:vAlign w:val="bottom"/>
          </w:tcPr>
          <w:p>
            <w:pPr>
              <w:spacing w:after="0"/>
              <w:rPr>
                <w:sz w:val="1"/>
                <w:szCs w:val="1"/>
                <w:color w:val="auto"/>
              </w:rPr>
            </w:pPr>
          </w:p>
        </w:tc>
      </w:tr>
      <w:tr>
        <w:trPr>
          <w:trHeight w:val="203"/>
        </w:trPr>
        <w:tc>
          <w:tcPr>
            <w:tcW w:w="29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Global common shares (note 12)</w:t>
            </w: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Share-based compensation (note 13)</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0" w:type="dxa"/>
            <w:vAlign w:val="bottom"/>
          </w:tcPr>
          <w:p>
            <w:pPr>
              <w:spacing w:after="0"/>
              <w:rPr>
                <w:sz w:val="1"/>
                <w:szCs w:val="1"/>
                <w:color w:val="auto"/>
              </w:rPr>
            </w:pPr>
          </w:p>
        </w:tc>
      </w:tr>
      <w:tr>
        <w:trPr>
          <w:trHeight w:val="156"/>
        </w:trPr>
        <w:tc>
          <w:tcPr>
            <w:tcW w:w="290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Adjustments due to changes in subsidiaries’</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03"/>
        </w:trPr>
        <w:tc>
          <w:tcPr>
            <w:tcW w:w="29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equity and other, net</w:t>
            </w: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March 31, 2024</w:t>
            </w: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16,076.0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18,429.1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18,391.4</w:t>
            </w:r>
          </w:p>
        </w:tc>
        <w:tc>
          <w:tcPr>
            <w:tcW w:w="0" w:type="dxa"/>
            <w:vAlign w:val="bottom"/>
          </w:tcPr>
          <w:p>
            <w:pPr>
              <w:spacing w:after="0"/>
              <w:rPr>
                <w:sz w:val="1"/>
                <w:szCs w:val="1"/>
                <w:color w:val="auto"/>
              </w:rPr>
            </w:pPr>
          </w:p>
        </w:tc>
      </w:tr>
      <w:tr>
        <w:trPr>
          <w:trHeight w:val="205"/>
        </w:trPr>
        <w:tc>
          <w:tcPr>
            <w:tcW w:w="2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earnings</w:t>
            </w:r>
          </w:p>
        </w:tc>
        <w:tc>
          <w:tcPr>
            <w:tcW w:w="20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275.2</w:t>
            </w:r>
          </w:p>
        </w:tc>
        <w:tc>
          <w:tcPr>
            <w:tcW w:w="0" w:type="dxa"/>
            <w:vAlign w:val="bottom"/>
          </w:tcPr>
          <w:p>
            <w:pPr>
              <w:spacing w:after="0"/>
              <w:rPr>
                <w:sz w:val="1"/>
                <w:szCs w:val="1"/>
                <w:color w:val="auto"/>
              </w:rPr>
            </w:pPr>
          </w:p>
        </w:tc>
      </w:tr>
      <w:tr>
        <w:trPr>
          <w:trHeight w:val="207"/>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comprehensive loss, net of taxes</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(198.5)</w:t>
            </w:r>
          </w:p>
        </w:tc>
        <w:tc>
          <w:tcPr>
            <w:tcW w:w="0" w:type="dxa"/>
            <w:vAlign w:val="bottom"/>
          </w:tcPr>
          <w:p>
            <w:pPr>
              <w:spacing w:after="0"/>
              <w:rPr>
                <w:sz w:val="1"/>
                <w:szCs w:val="1"/>
                <w:color w:val="auto"/>
              </w:rPr>
            </w:pPr>
          </w:p>
        </w:tc>
      </w:tr>
      <w:tr>
        <w:trPr>
          <w:trHeight w:val="156"/>
        </w:trPr>
        <w:tc>
          <w:tcPr>
            <w:tcW w:w="290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Repurchases and cancellations of Liberty</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(167.4)</w:t>
            </w:r>
          </w:p>
        </w:tc>
        <w:tc>
          <w:tcPr>
            <w:tcW w:w="0" w:type="dxa"/>
            <w:vAlign w:val="bottom"/>
          </w:tcPr>
          <w:p>
            <w:pPr>
              <w:spacing w:after="0"/>
              <w:rPr>
                <w:sz w:val="1"/>
                <w:szCs w:val="1"/>
                <w:color w:val="auto"/>
              </w:rPr>
            </w:pPr>
          </w:p>
        </w:tc>
      </w:tr>
      <w:tr>
        <w:trPr>
          <w:trHeight w:val="203"/>
        </w:trPr>
        <w:tc>
          <w:tcPr>
            <w:tcW w:w="29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Global common shares (note 12)</w:t>
            </w: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Share-based compensation (note 13)</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0" w:type="dxa"/>
            <w:vAlign w:val="bottom"/>
          </w:tcPr>
          <w:p>
            <w:pPr>
              <w:spacing w:after="0"/>
              <w:rPr>
                <w:sz w:val="1"/>
                <w:szCs w:val="1"/>
                <w:color w:val="auto"/>
              </w:rPr>
            </w:pPr>
          </w:p>
        </w:tc>
      </w:tr>
      <w:tr>
        <w:trPr>
          <w:trHeight w:val="156"/>
        </w:trPr>
        <w:tc>
          <w:tcPr>
            <w:tcW w:w="290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Adjustments due to changes in subsidiaries’</w:t>
            </w:r>
          </w:p>
        </w:tc>
        <w:tc>
          <w:tcPr>
            <w:tcW w:w="20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203"/>
        </w:trPr>
        <w:tc>
          <w:tcPr>
            <w:tcW w:w="29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5"/>
                <w:szCs w:val="15"/>
                <w:color w:val="auto"/>
              </w:rPr>
              <w:t>equity and other, net</w:t>
            </w: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 2024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16,344.1</w:t>
            </w:r>
          </w:p>
        </w:tc>
        <w:tc>
          <w:tcPr>
            <w:tcW w:w="2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18,347.5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$ 18,316.8</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6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 —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5"/>
                <w:szCs w:val="15"/>
                <w:b w:val="1"/>
                <w:bCs w:val="1"/>
                <w:color w:val="auto"/>
              </w:rPr>
              <w:t>Liberty Global shareholders</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Non-</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6"/>
            <w:vMerge w:val="restart"/>
          </w:tcPr>
          <w:p>
            <w:pPr>
              <w:jc w:val="center"/>
              <w:ind w:left="103"/>
              <w:spacing w:after="0"/>
              <w:rPr>
                <w:sz w:val="20"/>
                <w:szCs w:val="20"/>
                <w:color w:val="auto"/>
              </w:rPr>
            </w:pPr>
            <w:r>
              <w:rPr>
                <w:rFonts w:ascii="Times New Roman" w:cs="Times New Roman" w:eastAsia="Times New Roman" w:hAnsi="Times New Roman"/>
                <w:sz w:val="15"/>
                <w:szCs w:val="15"/>
                <w:b w:val="1"/>
                <w:bCs w:val="1"/>
                <w:color w:val="auto"/>
              </w:rPr>
              <w:t>Common shares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Liberty</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2"/>
                <w:szCs w:val="12"/>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5"/>
                <w:szCs w:val="15"/>
                <w:b w:val="1"/>
                <w:bCs w:val="1"/>
                <w:color w:val="auto"/>
              </w:rPr>
              <w:t>earnings (loss),</w:t>
            </w:r>
          </w:p>
        </w:tc>
        <w:tc>
          <w:tcPr>
            <w:tcW w:w="76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5"/>
                <w:szCs w:val="15"/>
                <w:b w:val="1"/>
                <w:bCs w:val="1"/>
                <w:color w:val="auto"/>
              </w:rPr>
              <w:t>shares, at</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Global</w:t>
            </w: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120" w:type="dxa"/>
            <w:vAlign w:val="bottom"/>
          </w:tcPr>
          <w:p>
            <w:pPr>
              <w:spacing w:after="0"/>
              <w:rPr>
                <w:sz w:val="12"/>
                <w:szCs w:val="12"/>
                <w:color w:val="auto"/>
              </w:rPr>
            </w:pPr>
          </w:p>
        </w:tc>
        <w:tc>
          <w:tcPr>
            <w:tcW w:w="640" w:type="dxa"/>
            <w:vAlign w:val="bottom"/>
          </w:tcPr>
          <w:p>
            <w:pPr>
              <w:jc w:val="right"/>
              <w:ind w:right="143"/>
              <w:spacing w:after="0" w:line="135"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6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Class C</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 of taxes</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January 1, 2025</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12,242.6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12,365.9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12,544.3</w:t>
            </w:r>
          </w:p>
        </w:tc>
        <w:tc>
          <w:tcPr>
            <w:tcW w:w="0" w:type="dxa"/>
            <w:vAlign w:val="bottom"/>
          </w:tcPr>
          <w:p>
            <w:pPr>
              <w:spacing w:after="0"/>
              <w:rPr>
                <w:sz w:val="1"/>
                <w:szCs w:val="1"/>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2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(1,323.3)</w:t>
            </w: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comprehensive earnings, net of taxes</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1,621.9</w:t>
            </w:r>
          </w:p>
        </w:tc>
        <w:tc>
          <w:tcPr>
            <w:tcW w:w="0" w:type="dxa"/>
            <w:vAlign w:val="bottom"/>
          </w:tcPr>
          <w:p>
            <w:pPr>
              <w:spacing w:after="0"/>
              <w:rPr>
                <w:sz w:val="1"/>
                <w:szCs w:val="1"/>
                <w:color w:val="auto"/>
              </w:rPr>
            </w:pPr>
          </w:p>
        </w:tc>
      </w:tr>
      <w:tr>
        <w:trPr>
          <w:trHeight w:val="156"/>
        </w:trPr>
        <w:tc>
          <w:tcPr>
            <w:tcW w:w="28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Repurchases and cancellations of Liberty</w:t>
            </w:r>
          </w:p>
        </w:tc>
        <w:tc>
          <w:tcPr>
            <w:tcW w:w="200" w:type="dxa"/>
            <w:vAlign w:val="bottom"/>
          </w:tcPr>
          <w:p>
            <w:pPr>
              <w:spacing w:after="0"/>
              <w:rPr>
                <w:sz w:val="13"/>
                <w:szCs w:val="13"/>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0" w:type="dxa"/>
            <w:vAlign w:val="bottom"/>
          </w:tcPr>
          <w:p>
            <w:pPr>
              <w:spacing w:after="0"/>
              <w:rPr>
                <w:sz w:val="1"/>
                <w:szCs w:val="1"/>
                <w:color w:val="auto"/>
              </w:rPr>
            </w:pPr>
          </w:p>
        </w:tc>
      </w:tr>
      <w:tr>
        <w:trPr>
          <w:trHeight w:val="203"/>
        </w:trPr>
        <w:tc>
          <w:tcPr>
            <w:tcW w:w="2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Global common shares (note 12)</w:t>
            </w: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Share-based compensation (note 13)</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0" w:type="dxa"/>
            <w:vAlign w:val="bottom"/>
          </w:tcPr>
          <w:p>
            <w:pPr>
              <w:spacing w:after="0"/>
              <w:rPr>
                <w:sz w:val="1"/>
                <w:szCs w:val="1"/>
                <w:color w:val="auto"/>
              </w:rPr>
            </w:pPr>
          </w:p>
        </w:tc>
      </w:tr>
      <w:tr>
        <w:trPr>
          <w:trHeight w:val="156"/>
        </w:trPr>
        <w:tc>
          <w:tcPr>
            <w:tcW w:w="28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Adjustments due to changes in</w:t>
            </w:r>
          </w:p>
        </w:tc>
        <w:tc>
          <w:tcPr>
            <w:tcW w:w="200" w:type="dxa"/>
            <w:vAlign w:val="bottom"/>
          </w:tcPr>
          <w:p>
            <w:pPr>
              <w:spacing w:after="0"/>
              <w:rPr>
                <w:sz w:val="13"/>
                <w:szCs w:val="13"/>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0" w:type="dxa"/>
            <w:vAlign w:val="bottom"/>
          </w:tcPr>
          <w:p>
            <w:pPr>
              <w:spacing w:after="0"/>
              <w:rPr>
                <w:sz w:val="1"/>
                <w:szCs w:val="1"/>
                <w:color w:val="auto"/>
              </w:rPr>
            </w:pPr>
          </w:p>
        </w:tc>
      </w:tr>
      <w:tr>
        <w:trPr>
          <w:trHeight w:val="203"/>
        </w:trPr>
        <w:tc>
          <w:tcPr>
            <w:tcW w:w="2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subsidiaries’ equity and other, net</w:t>
            </w: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March 31, 2025</w:t>
            </w: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12,648.8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12,841.3</w:t>
            </w:r>
          </w:p>
        </w:tc>
        <w:tc>
          <w:tcPr>
            <w:tcW w:w="0" w:type="dxa"/>
            <w:vAlign w:val="bottom"/>
          </w:tcPr>
          <w:p>
            <w:pPr>
              <w:spacing w:after="0"/>
              <w:rPr>
                <w:sz w:val="1"/>
                <w:szCs w:val="1"/>
                <w:color w:val="auto"/>
              </w:rPr>
            </w:pPr>
          </w:p>
        </w:tc>
      </w:tr>
      <w:tr>
        <w:trPr>
          <w:trHeight w:val="205"/>
        </w:trPr>
        <w:tc>
          <w:tcPr>
            <w:tcW w:w="2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2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(2,773.8)</w:t>
            </w: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comprehensive earnings, net of taxes</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3,179.0</w:t>
            </w:r>
          </w:p>
        </w:tc>
        <w:tc>
          <w:tcPr>
            <w:tcW w:w="0" w:type="dxa"/>
            <w:vAlign w:val="bottom"/>
          </w:tcPr>
          <w:p>
            <w:pPr>
              <w:spacing w:after="0"/>
              <w:rPr>
                <w:sz w:val="1"/>
                <w:szCs w:val="1"/>
                <w:color w:val="auto"/>
              </w:rPr>
            </w:pPr>
          </w:p>
        </w:tc>
      </w:tr>
      <w:tr>
        <w:trPr>
          <w:trHeight w:val="156"/>
        </w:trPr>
        <w:tc>
          <w:tcPr>
            <w:tcW w:w="28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Repurchases and cancellations of Liberty</w:t>
            </w:r>
          </w:p>
        </w:tc>
        <w:tc>
          <w:tcPr>
            <w:tcW w:w="200" w:type="dxa"/>
            <w:vAlign w:val="bottom"/>
          </w:tcPr>
          <w:p>
            <w:pPr>
              <w:spacing w:after="0"/>
              <w:rPr>
                <w:sz w:val="13"/>
                <w:szCs w:val="13"/>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3"/>
                <w:szCs w:val="13"/>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0" w:type="dxa"/>
            <w:vAlign w:val="bottom"/>
          </w:tcPr>
          <w:p>
            <w:pPr>
              <w:spacing w:after="0"/>
              <w:rPr>
                <w:sz w:val="1"/>
                <w:szCs w:val="1"/>
                <w:color w:val="auto"/>
              </w:rPr>
            </w:pPr>
          </w:p>
        </w:tc>
      </w:tr>
      <w:tr>
        <w:trPr>
          <w:trHeight w:val="203"/>
        </w:trPr>
        <w:tc>
          <w:tcPr>
            <w:tcW w:w="2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Global common shares (note 12)</w:t>
            </w: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Share-based compensation (note 13)</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0" w:type="dxa"/>
            <w:vAlign w:val="bottom"/>
          </w:tcPr>
          <w:p>
            <w:pPr>
              <w:spacing w:after="0"/>
              <w:rPr>
                <w:sz w:val="1"/>
                <w:szCs w:val="1"/>
                <w:color w:val="auto"/>
              </w:rPr>
            </w:pPr>
          </w:p>
        </w:tc>
      </w:tr>
      <w:tr>
        <w:trPr>
          <w:trHeight w:val="156"/>
        </w:trPr>
        <w:tc>
          <w:tcPr>
            <w:tcW w:w="28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Adjustments due to changes in</w:t>
            </w:r>
          </w:p>
        </w:tc>
        <w:tc>
          <w:tcPr>
            <w:tcW w:w="20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5"/>
                <w:szCs w:val="15"/>
                <w:color w:val="auto"/>
              </w:rPr>
              <w:t>subsidiaries’ equity and other, net</w:t>
            </w: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 2025</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13,205.0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3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6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7"/>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00" w:type="dxa"/>
            <w:vAlign w:val="bottom"/>
          </w:tcPr>
          <w:p>
            <w:pPr>
              <w:spacing w:after="0"/>
              <w:rPr>
                <w:sz w:val="17"/>
                <w:szCs w:val="17"/>
                <w:color w:val="auto"/>
              </w:rPr>
            </w:pPr>
          </w:p>
        </w:tc>
      </w:tr>
      <w:tr>
        <w:trPr>
          <w:trHeight w:val="157"/>
        </w:trPr>
        <w:tc>
          <w:tcPr>
            <w:tcW w:w="8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8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(loss)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(4,097.1)</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802.2</w:t>
            </w: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from discontinued operations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w:t>
            </w:r>
          </w:p>
        </w:tc>
      </w:tr>
      <w:tr>
        <w:trPr>
          <w:trHeight w:val="212"/>
        </w:trPr>
        <w:tc>
          <w:tcPr>
            <w:tcW w:w="8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Earnings (loss) from continuing operations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(4,097.1)</w:t>
            </w: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958.6</w:t>
            </w:r>
          </w:p>
        </w:tc>
      </w:tr>
      <w:tr>
        <w:trPr>
          <w:trHeight w:val="168"/>
        </w:trPr>
        <w:tc>
          <w:tcPr>
            <w:tcW w:w="8560" w:type="dxa"/>
            <w:vAlign w:val="bottom"/>
            <w:shd w:val="clear" w:color="auto" w:fill="CCEEFF"/>
          </w:tcPr>
          <w:p>
            <w:pPr>
              <w:ind w:left="240"/>
              <w:spacing w:after="0" w:line="167" w:lineRule="exact"/>
              <w:rPr>
                <w:sz w:val="20"/>
                <w:szCs w:val="20"/>
                <w:color w:val="auto"/>
              </w:rPr>
            </w:pPr>
            <w:r>
              <w:rPr>
                <w:rFonts w:ascii="Times New Roman" w:cs="Times New Roman" w:eastAsia="Times New Roman" w:hAnsi="Times New Roman"/>
                <w:sz w:val="17"/>
                <w:szCs w:val="17"/>
                <w:color w:val="auto"/>
              </w:rPr>
              <w:t>Adjustments to reconcile earnings (loss) from continuing operations to net cash provided by operating activities of</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2"/>
        </w:trPr>
        <w:tc>
          <w:tcPr>
            <w:tcW w:w="8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continuing operations: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9"/>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1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505.4</w:t>
            </w:r>
          </w:p>
        </w:tc>
      </w:tr>
      <w:tr>
        <w:trPr>
          <w:trHeight w:val="219"/>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Impairment, restructuring and other operating items,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1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deferred financing costs and non-cash interest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19"/>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Realized and unrealized losses (gains) on derivative instruments,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w:t>
            </w:r>
          </w:p>
        </w:tc>
      </w:tr>
      <w:tr>
        <w:trPr>
          <w:trHeight w:val="21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currency transaction losses (gains),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(732.8)</w:t>
            </w:r>
          </w:p>
        </w:tc>
      </w:tr>
      <w:tr>
        <w:trPr>
          <w:trHeight w:val="219"/>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Realized and unrealized gains due to changes in fair values of certain investments,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r>
      <w:tr>
        <w:trPr>
          <w:trHeight w:val="21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Losses on debt extinguishment,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Share of results of affiliates,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1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19"/>
        </w:trPr>
        <w:tc>
          <w:tcPr>
            <w:tcW w:w="8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on sale of All3Media</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w:t>
            </w:r>
          </w:p>
        </w:tc>
      </w:tr>
      <w:tr>
        <w:trPr>
          <w:trHeight w:val="219"/>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effects of acquisitions and dispositions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12"/>
        </w:trPr>
        <w:tc>
          <w:tcPr>
            <w:tcW w:w="8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cash provided by operating activities of continuing operations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w:t>
            </w:r>
          </w:p>
        </w:tc>
      </w:tr>
      <w:tr>
        <w:trPr>
          <w:trHeight w:val="219"/>
        </w:trPr>
        <w:tc>
          <w:tcPr>
            <w:tcW w:w="8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cash provided by operating activities of discontinued operations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446.8</w:t>
            </w:r>
          </w:p>
        </w:tc>
      </w:tr>
      <w:tr>
        <w:trPr>
          <w:trHeight w:val="212"/>
        </w:trPr>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3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6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7"/>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00" w:type="dxa"/>
            <w:vAlign w:val="bottom"/>
          </w:tcPr>
          <w:p>
            <w:pPr>
              <w:spacing w:after="0"/>
              <w:rPr>
                <w:sz w:val="17"/>
                <w:szCs w:val="17"/>
                <w:color w:val="auto"/>
              </w:rPr>
            </w:pPr>
          </w:p>
        </w:tc>
      </w:tr>
      <w:tr>
        <w:trPr>
          <w:trHeight w:val="157"/>
        </w:trPr>
        <w:tc>
          <w:tcPr>
            <w:tcW w:w="8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received from the sale of investments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2,319.0</w:t>
            </w:r>
          </w:p>
        </w:tc>
      </w:tr>
      <w:tr>
        <w:trPr>
          <w:trHeight w:val="21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investments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(1,755.6)</w:t>
            </w:r>
          </w:p>
        </w:tc>
      </w:tr>
      <w:tr>
        <w:trPr>
          <w:trHeight w:val="21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received in connection with the sale of All3Media</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w:t>
            </w:r>
          </w:p>
        </w:tc>
      </w:tr>
      <w:tr>
        <w:trPr>
          <w:trHeight w:val="21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12"/>
        </w:trPr>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cash provided (used) by investing activities of continuing operations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567.8</w:t>
            </w:r>
          </w:p>
        </w:tc>
      </w:tr>
      <w:tr>
        <w:trPr>
          <w:trHeight w:val="219"/>
        </w:trPr>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cash used by investing activities of discontinued operations</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(257.1)</w:t>
            </w:r>
          </w:p>
        </w:tc>
      </w:tr>
      <w:tr>
        <w:trPr>
          <w:trHeight w:val="212"/>
        </w:trPr>
        <w:tc>
          <w:tcPr>
            <w:tcW w:w="854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Net cash provided (used) by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310.7</w:t>
            </w:r>
          </w:p>
        </w:tc>
      </w:tr>
      <w:tr>
        <w:trPr>
          <w:trHeight w:val="238"/>
        </w:trPr>
        <w:tc>
          <w:tcPr>
            <w:tcW w:w="8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of debt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Operating-related vendor financing additions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w:t>
            </w: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and repurchases of debt and finance lease obligations: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Debt (excluding vendor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Principal payments on operating-related vendor financing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w:t>
            </w:r>
          </w:p>
        </w:tc>
      </w:tr>
      <w:tr>
        <w:trPr>
          <w:trHeight w:val="219"/>
        </w:trPr>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9"/>
        </w:trPr>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Principal payments on finance leases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Repurchases of Liberty Global common shares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w:t>
            </w: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cash received (paid) related to derivative instruments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12"/>
        </w:trPr>
        <w:tc>
          <w:tcPr>
            <w:tcW w:w="85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cash used by financing activities of continuing operations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w:t>
            </w:r>
          </w:p>
        </w:tc>
      </w:tr>
      <w:tr>
        <w:trPr>
          <w:trHeight w:val="219"/>
        </w:trPr>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cash used by financing activities of discontinued operations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212"/>
        </w:trPr>
        <w:tc>
          <w:tcPr>
            <w:tcW w:w="85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Net cash used by financing activities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1440" w:right="3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6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7"/>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 and 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Continuing operations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Discontinued operations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2"/>
        </w:trPr>
        <w:tc>
          <w:tcPr>
            <w:tcW w:w="8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58"/>
        </w:trPr>
        <w:tc>
          <w:tcPr>
            <w:tcW w:w="85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and restricted cash:</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Continuing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441.4</w:t>
            </w:r>
          </w:p>
        </w:tc>
        <w:tc>
          <w:tcPr>
            <w:tcW w:w="0" w:type="dxa"/>
            <w:vAlign w:val="bottom"/>
          </w:tcPr>
          <w:p>
            <w:pPr>
              <w:spacing w:after="0"/>
              <w:rPr>
                <w:sz w:val="1"/>
                <w:szCs w:val="1"/>
                <w:color w:val="auto"/>
              </w:rPr>
            </w:pPr>
          </w:p>
        </w:tc>
      </w:tr>
      <w:tr>
        <w:trPr>
          <w:trHeight w:val="219"/>
        </w:trPr>
        <w:tc>
          <w:tcPr>
            <w:tcW w:w="8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Discontinued operations</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0" w:type="dxa"/>
            <w:vAlign w:val="bottom"/>
          </w:tcPr>
          <w:p>
            <w:pPr>
              <w:spacing w:after="0"/>
              <w:rPr>
                <w:sz w:val="1"/>
                <w:szCs w:val="1"/>
                <w:color w:val="auto"/>
              </w:rPr>
            </w:pPr>
          </w:p>
        </w:tc>
      </w:tr>
      <w:tr>
        <w:trPr>
          <w:trHeight w:val="212"/>
        </w:trPr>
        <w:tc>
          <w:tcPr>
            <w:tcW w:w="85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0" w:type="dxa"/>
            <w:vAlign w:val="bottom"/>
          </w:tcPr>
          <w:p>
            <w:pPr>
              <w:spacing w:after="0"/>
              <w:rPr>
                <w:sz w:val="1"/>
                <w:szCs w:val="1"/>
                <w:color w:val="auto"/>
              </w:rPr>
            </w:pPr>
          </w:p>
        </w:tc>
      </w:tr>
      <w:tr>
        <w:trPr>
          <w:trHeight w:val="193"/>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of period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1,422.9</w:t>
            </w: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increase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0" w:type="dxa"/>
            <w:vAlign w:val="bottom"/>
          </w:tcPr>
          <w:p>
            <w:pPr>
              <w:spacing w:after="0"/>
              <w:rPr>
                <w:sz w:val="1"/>
                <w:szCs w:val="1"/>
                <w:color w:val="auto"/>
              </w:rPr>
            </w:pPr>
          </w:p>
        </w:tc>
      </w:tr>
      <w:tr>
        <w:trPr>
          <w:trHeight w:val="212"/>
        </w:trPr>
        <w:tc>
          <w:tcPr>
            <w:tcW w:w="8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End of period</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1,822.5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2,019.1</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Continuing operations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w:t>
            </w:r>
          </w:p>
        </w:tc>
        <w:tc>
          <w:tcPr>
            <w:tcW w:w="0" w:type="dxa"/>
            <w:vAlign w:val="bottom"/>
          </w:tcPr>
          <w:p>
            <w:pPr>
              <w:spacing w:after="0"/>
              <w:rPr>
                <w:sz w:val="1"/>
                <w:szCs w:val="1"/>
                <w:color w:val="auto"/>
              </w:rPr>
            </w:pP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Discontinued operations</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w:t>
            </w:r>
          </w:p>
        </w:tc>
        <w:tc>
          <w:tcPr>
            <w:tcW w:w="0" w:type="dxa"/>
            <w:vAlign w:val="bottom"/>
          </w:tcPr>
          <w:p>
            <w:pPr>
              <w:spacing w:after="0"/>
              <w:rPr>
                <w:sz w:val="1"/>
                <w:szCs w:val="1"/>
                <w:color w:val="auto"/>
              </w:rPr>
            </w:pPr>
          </w:p>
        </w:tc>
      </w:tr>
      <w:tr>
        <w:trPr>
          <w:trHeight w:val="237"/>
        </w:trPr>
        <w:tc>
          <w:tcPr>
            <w:tcW w:w="8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cash paid for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Continuing operations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w:t>
            </w:r>
          </w:p>
        </w:tc>
        <w:tc>
          <w:tcPr>
            <w:tcW w:w="0" w:type="dxa"/>
            <w:vAlign w:val="bottom"/>
          </w:tcPr>
          <w:p>
            <w:pPr>
              <w:spacing w:after="0"/>
              <w:rPr>
                <w:sz w:val="1"/>
                <w:szCs w:val="1"/>
                <w:color w:val="auto"/>
              </w:rPr>
            </w:pPr>
          </w:p>
        </w:tc>
      </w:tr>
      <w:tr>
        <w:trPr>
          <w:trHeight w:val="219"/>
        </w:trPr>
        <w:tc>
          <w:tcPr>
            <w:tcW w:w="8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Discontinued operations</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7"/>
        </w:trPr>
        <w:tc>
          <w:tcPr>
            <w:tcW w:w="8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Details of end of period cash and cash equivalents and 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2,001.3</w:t>
            </w: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 included in other current assets and other assets,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8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 and restricted cash included in current and long-term assets of discontinued operations</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37"/>
        </w:trPr>
        <w:tc>
          <w:tcPr>
            <w:tcW w:w="8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cash and cash equivalents and restricted cash</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hanging="337"/>
        <w:spacing w:after="0"/>
        <w:tabs>
          <w:tab w:leader="none" w:pos="3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Basis of Presentation</w:t>
      </w:r>
    </w:p>
    <w:p>
      <w:pPr>
        <w:spacing w:after="0" w:line="243"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7"/>
          <w:szCs w:val="17"/>
          <w:color w:val="auto"/>
        </w:rPr>
        <w:t>Liberty Global Ltd. (</w:t>
      </w:r>
      <w:r>
        <w:rPr>
          <w:rFonts w:ascii="Times New Roman" w:cs="Times New Roman" w:eastAsia="Times New Roman" w:hAnsi="Times New Roman"/>
          <w:sz w:val="17"/>
          <w:szCs w:val="17"/>
          <w:b w:val="1"/>
          <w:bCs w:val="1"/>
          <w:color w:val="auto"/>
        </w:rPr>
        <w:t>Liberty Global</w:t>
      </w:r>
      <w:r>
        <w:rPr>
          <w:rFonts w:ascii="Times New Roman" w:cs="Times New Roman" w:eastAsia="Times New Roman" w:hAnsi="Times New Roman"/>
          <w:sz w:val="17"/>
          <w:szCs w:val="17"/>
          <w:color w:val="auto"/>
        </w:rPr>
        <w:t>) is a Bermuda exempted company limited by shares.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 and are an active investor across the infrastructure, content and technology industries. We also provide innovative technology solutions and finance services.</w:t>
      </w:r>
    </w:p>
    <w:p>
      <w:pPr>
        <w:spacing w:after="0" w:line="190"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Our continuing operations comprise businesses that provide residential and business-to-business (</w:t>
      </w:r>
      <w:r>
        <w:rPr>
          <w:rFonts w:ascii="Times New Roman" w:cs="Times New Roman" w:eastAsia="Times New Roman" w:hAnsi="Times New Roman"/>
          <w:sz w:val="17"/>
          <w:szCs w:val="17"/>
          <w:b w:val="1"/>
          <w:bCs w:val="1"/>
          <w:color w:val="auto"/>
        </w:rPr>
        <w:t>B2B</w:t>
      </w:r>
      <w:r>
        <w:rPr>
          <w:rFonts w:ascii="Times New Roman" w:cs="Times New Roman" w:eastAsia="Times New Roman" w:hAnsi="Times New Roman"/>
          <w:sz w:val="17"/>
          <w:szCs w:val="17"/>
          <w:color w:val="auto"/>
        </w:rPr>
        <w:t>) communications services in (i) Belgium and Luxembourg through certain wholly-owned subsidiaries that we collectively refer to as “</w:t>
      </w:r>
      <w:r>
        <w:rPr>
          <w:rFonts w:ascii="Times New Roman" w:cs="Times New Roman" w:eastAsia="Times New Roman" w:hAnsi="Times New Roman"/>
          <w:sz w:val="17"/>
          <w:szCs w:val="17"/>
          <w:b w:val="1"/>
          <w:bCs w:val="1"/>
          <w:color w:val="auto"/>
        </w:rPr>
        <w:t>Telenet</w:t>
      </w:r>
      <w:r>
        <w:rPr>
          <w:rFonts w:ascii="Times New Roman" w:cs="Times New Roman" w:eastAsia="Times New Roman" w:hAnsi="Times New Roman"/>
          <w:sz w:val="17"/>
          <w:szCs w:val="17"/>
          <w:color w:val="auto"/>
        </w:rPr>
        <w:t>” and (ii) Ireland through another wholly-owned subsidiary (</w:t>
      </w:r>
      <w:r>
        <w:rPr>
          <w:rFonts w:ascii="Times New Roman" w:cs="Times New Roman" w:eastAsia="Times New Roman" w:hAnsi="Times New Roman"/>
          <w:sz w:val="17"/>
          <w:szCs w:val="17"/>
          <w:b w:val="1"/>
          <w:bCs w:val="1"/>
          <w:color w:val="auto"/>
        </w:rPr>
        <w:t>VM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Ireland</w:t>
      </w:r>
      <w:r>
        <w:rPr>
          <w:rFonts w:ascii="Times New Roman" w:cs="Times New Roman" w:eastAsia="Times New Roman" w:hAnsi="Times New Roman"/>
          <w:sz w:val="17"/>
          <w:szCs w:val="17"/>
          <w:color w:val="auto"/>
        </w:rPr>
        <w:t>). In addition, we own 50% noncontrolling interests in (a) a 50:50 joint venture (the</w:t>
      </w:r>
      <w:r>
        <w:rPr>
          <w:rFonts w:ascii="Times New Roman" w:cs="Times New Roman" w:eastAsia="Times New Roman" w:hAnsi="Times New Roman"/>
          <w:sz w:val="17"/>
          <w:szCs w:val="17"/>
          <w:b w:val="1"/>
          <w:bCs w:val="1"/>
          <w:color w:val="auto"/>
        </w:rPr>
        <w:t xml:space="preserve"> VMO2 JV</w:t>
      </w:r>
      <w:r>
        <w:rPr>
          <w:rFonts w:ascii="Times New Roman" w:cs="Times New Roman" w:eastAsia="Times New Roman" w:hAnsi="Times New Roman"/>
          <w:sz w:val="17"/>
          <w:szCs w:val="17"/>
          <w:color w:val="auto"/>
        </w:rPr>
        <w:t>) with Telefónica SA (</w:t>
      </w:r>
      <w:r>
        <w:rPr>
          <w:rFonts w:ascii="Times New Roman" w:cs="Times New Roman" w:eastAsia="Times New Roman" w:hAnsi="Times New Roman"/>
          <w:sz w:val="17"/>
          <w:szCs w:val="17"/>
          <w:b w:val="1"/>
          <w:bCs w:val="1"/>
          <w:color w:val="auto"/>
        </w:rPr>
        <w:t>Telefónica</w:t>
      </w:r>
      <w:r>
        <w:rPr>
          <w:rFonts w:ascii="Times New Roman" w:cs="Times New Roman" w:eastAsia="Times New Roman" w:hAnsi="Times New Roman"/>
          <w:sz w:val="17"/>
          <w:szCs w:val="17"/>
          <w:color w:val="auto"/>
        </w:rPr>
        <w:t>), which provides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residential and B2B communications services in the United Kingdom (</w:t>
      </w:r>
      <w:r>
        <w:rPr>
          <w:rFonts w:ascii="Times New Roman" w:cs="Times New Roman" w:eastAsia="Times New Roman" w:hAnsi="Times New Roman"/>
          <w:sz w:val="17"/>
          <w:szCs w:val="17"/>
          <w:b w:val="1"/>
          <w:bCs w:val="1"/>
          <w:color w:val="auto"/>
        </w:rPr>
        <w:t>U.K.</w:t>
      </w:r>
      <w:r>
        <w:rPr>
          <w:rFonts w:ascii="Times New Roman" w:cs="Times New Roman" w:eastAsia="Times New Roman" w:hAnsi="Times New Roman"/>
          <w:sz w:val="17"/>
          <w:szCs w:val="17"/>
          <w:color w:val="auto"/>
        </w:rPr>
        <w:t xml:space="preserve">), and (b) a 50:50 joint venture (the </w:t>
      </w:r>
      <w:r>
        <w:rPr>
          <w:rFonts w:ascii="Times New Roman" w:cs="Times New Roman" w:eastAsia="Times New Roman" w:hAnsi="Times New Roman"/>
          <w:sz w:val="17"/>
          <w:szCs w:val="17"/>
          <w:b w:val="1"/>
          <w:bCs w:val="1"/>
          <w:color w:val="auto"/>
        </w:rPr>
        <w:t>VodafoneZiggo JV</w:t>
      </w:r>
      <w:r>
        <w:rPr>
          <w:rFonts w:ascii="Times New Roman" w:cs="Times New Roman" w:eastAsia="Times New Roman" w:hAnsi="Times New Roman"/>
          <w:sz w:val="17"/>
          <w:szCs w:val="17"/>
          <w:color w:val="auto"/>
        </w:rPr>
        <w:t>) with Vodafone Group plc (</w:t>
      </w:r>
      <w:r>
        <w:rPr>
          <w:rFonts w:ascii="Times New Roman" w:cs="Times New Roman" w:eastAsia="Times New Roman" w:hAnsi="Times New Roman"/>
          <w:sz w:val="17"/>
          <w:szCs w:val="17"/>
          <w:b w:val="1"/>
          <w:bCs w:val="1"/>
          <w:color w:val="auto"/>
        </w:rPr>
        <w:t>Vodafone</w:t>
      </w:r>
      <w:r>
        <w:rPr>
          <w:rFonts w:ascii="Times New Roman" w:cs="Times New Roman" w:eastAsia="Times New Roman" w:hAnsi="Times New Roman"/>
          <w:sz w:val="17"/>
          <w:szCs w:val="17"/>
          <w:color w:val="auto"/>
        </w:rPr>
        <w:t>), which provides residential and B2B communications services in the Netherlands.</w:t>
      </w:r>
    </w:p>
    <w:p>
      <w:pPr>
        <w:spacing w:after="0" w:line="20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Prior to the completion of the Spin-off on November 8, 2024 (as defined and described in note 4), we also provided residential and B2B communications services in Switzerland through operations referred to as “</w:t>
      </w:r>
      <w:r>
        <w:rPr>
          <w:rFonts w:ascii="Times New Roman" w:cs="Times New Roman" w:eastAsia="Times New Roman" w:hAnsi="Times New Roman"/>
          <w:sz w:val="17"/>
          <w:szCs w:val="17"/>
          <w:b w:val="1"/>
          <w:bCs w:val="1"/>
          <w:color w:val="auto"/>
        </w:rPr>
        <w:t>Sunrise</w:t>
      </w:r>
      <w:r>
        <w:rPr>
          <w:rFonts w:ascii="Times New Roman" w:cs="Times New Roman" w:eastAsia="Times New Roman" w:hAnsi="Times New Roman"/>
          <w:sz w:val="17"/>
          <w:szCs w:val="17"/>
          <w:color w:val="auto"/>
        </w:rPr>
        <w:t>.” Sunrise, together with certain other Liberty Global subsidiaries connected to our Swiss business, are collectively referred to as the “</w:t>
      </w:r>
      <w:r>
        <w:rPr>
          <w:rFonts w:ascii="Times New Roman" w:cs="Times New Roman" w:eastAsia="Times New Roman" w:hAnsi="Times New Roman"/>
          <w:sz w:val="17"/>
          <w:szCs w:val="17"/>
          <w:b w:val="1"/>
          <w:bCs w:val="1"/>
          <w:color w:val="auto"/>
        </w:rPr>
        <w:t>Sunrise Entities</w:t>
      </w:r>
      <w:r>
        <w:rPr>
          <w:rFonts w:ascii="Times New Roman" w:cs="Times New Roman" w:eastAsia="Times New Roman" w:hAnsi="Times New Roman"/>
          <w:sz w:val="17"/>
          <w:szCs w:val="17"/>
          <w:color w:val="auto"/>
        </w:rPr>
        <w:t>” and are reflected as discontinued operations for all applicable periods.</w:t>
      </w:r>
    </w:p>
    <w:p>
      <w:pPr>
        <w:spacing w:after="0" w:line="19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On October 2, 2024, we completed the Formula E Acquisition (as defined and described in note 4), pursuant to which we acquired a controlling interest in Formula E Holdings Ltd. (</w:t>
      </w:r>
      <w:r>
        <w:rPr>
          <w:rFonts w:ascii="Times New Roman" w:cs="Times New Roman" w:eastAsia="Times New Roman" w:hAnsi="Times New Roman"/>
          <w:sz w:val="17"/>
          <w:szCs w:val="17"/>
          <w:b w:val="1"/>
          <w:bCs w:val="1"/>
          <w:color w:val="auto"/>
        </w:rPr>
        <w:t>Formula E</w:t>
      </w:r>
      <w:r>
        <w:rPr>
          <w:rFonts w:ascii="Times New Roman" w:cs="Times New Roman" w:eastAsia="Times New Roman" w:hAnsi="Times New Roman"/>
          <w:sz w:val="17"/>
          <w:szCs w:val="17"/>
          <w:color w:val="auto"/>
        </w:rPr>
        <w:t>) and began consolidating 100% of Formula E’s results from that date.</w:t>
      </w:r>
    </w:p>
    <w:p>
      <w:pPr>
        <w:spacing w:after="0" w:line="177"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Our unaudited condensed consolidated financial statements have been prepared in accordance with accounting principles generally accepted in the United States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2024 consolidated financial statements and notes thereto included in our 2024 Annual Report on Form 10-K, as amended (our </w:t>
      </w:r>
      <w:r>
        <w:rPr>
          <w:rFonts w:ascii="Times New Roman" w:cs="Times New Roman" w:eastAsia="Times New Roman" w:hAnsi="Times New Roman"/>
          <w:sz w:val="17"/>
          <w:szCs w:val="17"/>
          <w:b w:val="1"/>
          <w:bCs w:val="1"/>
          <w:color w:val="auto"/>
        </w:rPr>
        <w:t>2024 10-K</w:t>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Unless otherwise indicated, ownership percentages and convenience translations into United States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dollars are calculated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ind w:left="340" w:hanging="337"/>
        <w:spacing w:after="0"/>
        <w:tabs>
          <w:tab w:leader="none" w:pos="3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Accounting Changes and Recent Accounting Pronouncements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Accounting Changes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ASU 2023-09</w:t>
      </w:r>
    </w:p>
    <w:p>
      <w:pPr>
        <w:spacing w:after="0" w:line="24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(the </w:t>
      </w:r>
      <w:r>
        <w:rPr>
          <w:rFonts w:ascii="Times New Roman" w:cs="Times New Roman" w:eastAsia="Times New Roman" w:hAnsi="Times New Roman"/>
          <w:sz w:val="17"/>
          <w:szCs w:val="17"/>
          <w:b w:val="1"/>
          <w:bCs w:val="1"/>
          <w:color w:val="auto"/>
        </w:rPr>
        <w:t>FASB</w:t>
      </w:r>
      <w:r>
        <w:rPr>
          <w:rFonts w:ascii="Times New Roman" w:cs="Times New Roman" w:eastAsia="Times New Roman" w:hAnsi="Times New Roman"/>
          <w:sz w:val="17"/>
          <w:szCs w:val="17"/>
          <w:color w:val="auto"/>
        </w:rPr>
        <w:t>) issued Accounting Standards Update (</w:t>
      </w:r>
      <w:r>
        <w:rPr>
          <w:rFonts w:ascii="Times New Roman" w:cs="Times New Roman" w:eastAsia="Times New Roman" w:hAnsi="Times New Roman"/>
          <w:sz w:val="17"/>
          <w:szCs w:val="17"/>
          <w:b w:val="1"/>
          <w:bCs w:val="1"/>
          <w:color w:val="auto"/>
        </w:rPr>
        <w:t>ASU</w:t>
      </w:r>
      <w:r>
        <w:rPr>
          <w:rFonts w:ascii="Times New Roman" w:cs="Times New Roman" w:eastAsia="Times New Roman" w:hAnsi="Times New Roman"/>
          <w:sz w:val="17"/>
          <w:szCs w:val="17"/>
          <w:color w:val="auto"/>
        </w:rPr>
        <w:t xml:space="preserve">) No. 2023-09, </w:t>
      </w:r>
      <w:r>
        <w:rPr>
          <w:rFonts w:ascii="Times New Roman" w:cs="Times New Roman" w:eastAsia="Times New Roman" w:hAnsi="Times New Roman"/>
          <w:sz w:val="17"/>
          <w:szCs w:val="17"/>
          <w:i w:val="1"/>
          <w:iCs w:val="1"/>
          <w:color w:val="auto"/>
        </w:rPr>
        <w:t>Improvements to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Tax Disclosures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ASU 2023-09</w:t>
      </w:r>
      <w:r>
        <w:rPr>
          <w:rFonts w:ascii="Times New Roman" w:cs="Times New Roman" w:eastAsia="Times New Roman" w:hAnsi="Times New Roman"/>
          <w:sz w:val="17"/>
          <w:szCs w:val="17"/>
          <w:color w:val="auto"/>
        </w:rPr>
        <w:t>), which is intended to enhance the transparency of income tax matters within financial statements, providing stakeholders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We adopted ASU 2023-09 on January 1, 2025 on a retrospective basis, and will provide revised disclosures for all periods presented in our 2025 Form 10-K. For additional information concerning our income taxes, see note 11.</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ASU 2023-07</w:t>
      </w:r>
    </w:p>
    <w:p>
      <w:pPr>
        <w:spacing w:after="0" w:line="24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ASU 2023-07</w:t>
      </w:r>
      <w:r>
        <w:rPr>
          <w:rFonts w:ascii="Times New Roman" w:cs="Times New Roman" w:eastAsia="Times New Roman" w:hAnsi="Times New Roman"/>
          <w:sz w:val="17"/>
          <w:szCs w:val="17"/>
          <w:color w:val="auto"/>
        </w:rPr>
        <w:t>),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is required to be applied on a retrospective basis. We adopted ASU 2023-07 on January 1, 2024, and the information presented in note 16 reflects the enhanced disclosures.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ASU 2023-05</w:t>
      </w:r>
    </w:p>
    <w:p>
      <w:pPr>
        <w:spacing w:after="0" w:line="243"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In August 2023, the FASB issued ASU No. 2023-05</w:t>
      </w:r>
      <w:r>
        <w:rPr>
          <w:rFonts w:ascii="Times New Roman" w:cs="Times New Roman" w:eastAsia="Times New Roman" w:hAnsi="Times New Roman"/>
          <w:sz w:val="17"/>
          <w:szCs w:val="17"/>
          <w:i w:val="1"/>
          <w:iCs w:val="1"/>
          <w:color w:val="auto"/>
        </w:rPr>
        <w:t>, Business Combinations — Joint Venture Formations: Recognition and Initial Measurement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ASU 2023-05</w:t>
      </w:r>
      <w:r>
        <w:rPr>
          <w:rFonts w:ascii="Times New Roman" w:cs="Times New Roman" w:eastAsia="Times New Roman" w:hAnsi="Times New Roman"/>
          <w:sz w:val="17"/>
          <w:szCs w:val="17"/>
          <w:color w:val="auto"/>
        </w:rPr>
        <w:t>), which outlines updates to the formation of entities that meet the definition of a joint venture as defined by the FASB. ASU 2023-05 requires a joint venture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 its assets and liabilities at fair value upon formation. We adopted ASU 2023-05 on January 1, 2025.</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ASU 2025-03</w:t>
      </w:r>
    </w:p>
    <w:p>
      <w:pPr>
        <w:spacing w:after="0" w:line="24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In May 2025, the FASB issued ASU No. 2025-03, </w:t>
      </w:r>
      <w:r>
        <w:rPr>
          <w:rFonts w:ascii="Times New Roman" w:cs="Times New Roman" w:eastAsia="Times New Roman" w:hAnsi="Times New Roman"/>
          <w:sz w:val="17"/>
          <w:szCs w:val="17"/>
          <w:i w:val="1"/>
          <w:iCs w:val="1"/>
          <w:color w:val="auto"/>
        </w:rPr>
        <w:t>Business Combinations (Topic 805) and Consolidation (Topic 810): Determining the Accounting Acquirer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 the Acquistion of a Variable Interest Entity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ASU 2025-03</w:t>
      </w:r>
      <w:r>
        <w:rPr>
          <w:rFonts w:ascii="Times New Roman" w:cs="Times New Roman" w:eastAsia="Times New Roman" w:hAnsi="Times New Roman"/>
          <w:sz w:val="17"/>
          <w:szCs w:val="17"/>
          <w:color w:val="auto"/>
        </w:rPr>
        <w:t>), which clarifies the requirements for identifying the accounting acquirer when a variable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entity (</w:t>
      </w:r>
      <w:r>
        <w:rPr>
          <w:rFonts w:ascii="Times New Roman" w:cs="Times New Roman" w:eastAsia="Times New Roman" w:hAnsi="Times New Roman"/>
          <w:sz w:val="17"/>
          <w:szCs w:val="17"/>
          <w:b w:val="1"/>
          <w:bCs w:val="1"/>
          <w:color w:val="auto"/>
        </w:rPr>
        <w:t>VIE</w:t>
      </w:r>
      <w:r>
        <w:rPr>
          <w:rFonts w:ascii="Times New Roman" w:cs="Times New Roman" w:eastAsia="Times New Roman" w:hAnsi="Times New Roman"/>
          <w:sz w:val="17"/>
          <w:szCs w:val="17"/>
          <w:color w:val="auto"/>
        </w:rPr>
        <w:t>) that qualifies as a business is acquired primarily through an exchange of equity interests. This amendment does not change the existing guidance for acquisitions of VIEs that are not considered businesses. ASU 2025-03 is effective for annual and interim periods beginning after December 15, 2026, with early adoption permitted. ASU 2025-03 should be applied prospectively to all business combinations with acquisition dates occurring on or after the date of initial application. We do not expect ASU 2025-03 to have a significant impact on our consolidated financial statements.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ASU 2024-03</w:t>
      </w:r>
    </w:p>
    <w:p>
      <w:pPr>
        <w:spacing w:after="0" w:line="243"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Disaggregation of Income Statement Expenses (DISE)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ASU 2024-03</w:t>
      </w:r>
      <w:r>
        <w:rPr>
          <w:rFonts w:ascii="Times New Roman" w:cs="Times New Roman" w:eastAsia="Times New Roman" w:hAnsi="Times New Roman"/>
          <w:sz w:val="17"/>
          <w:szCs w:val="17"/>
          <w:color w:val="auto"/>
        </w:rPr>
        <w:t>), which requires disclosure of certain categories of expenses such as the purchase of inventory, employee compensation, depreciation and intangible asset amortization that are components of existing expense captions presented on the face of the income statement. ASU 2024-03 is effective for annual periods beginning after December 15, 2026 and interim periods beginning after December 15, 2027, with early adoption permitted. ASU 2024-03 should be applied prospectively, however, retrospective application is permitted. We are currently evaluating the impact of ASU 2024-03 on our disclosures.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ind w:left="380" w:hanging="377"/>
        <w:spacing w:after="0"/>
        <w:tabs>
          <w:tab w:leader="none" w:pos="3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Revenue Recognition and Related Costs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249"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$33.2 million and $20.5 million at June 30, 2025 and December 31, 2024, respectively.</w:t>
      </w:r>
    </w:p>
    <w:p>
      <w:pPr>
        <w:jc w:val="both"/>
        <w:ind w:firstLine="309"/>
        <w:spacing w:after="0" w:line="253" w:lineRule="auto"/>
        <w:rPr>
          <w:sz w:val="20"/>
          <w:szCs w:val="20"/>
          <w:color w:val="auto"/>
        </w:rPr>
      </w:pPr>
      <w:r>
        <w:rPr>
          <w:rFonts w:ascii="Times New Roman" w:cs="Times New Roman" w:eastAsia="Times New Roman" w:hAnsi="Times New Roman"/>
          <w:sz w:val="17"/>
          <w:szCs w:val="17"/>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$11.7 million and $9.4 million as of June 30, 2025 and December 31, 2024, respectively. The current and long-term portions of our contract asset balances are included within other current assets and other assets, net, respectively, on our condensed consolidated balance sheets.</w:t>
      </w:r>
    </w:p>
    <w:p>
      <w:pPr>
        <w:spacing w:after="0" w:line="1"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$257.9 million and $289.5 million as of June 30, 2025 and December 31, 2024, respectively. The decrease in deferred revenue for the six months ended June 30, 2025 is primarily due to the net effect of (a) the recognition of $262.7 million of revenue that was included in our deferred revenue balance at December 31, 2024 and (b) the impact of additions during the period. The long-term portions of our deferred revenue balances are included within other long-term liabilities on our condensed consolidated balance sheets.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Unsatisfied Performance Obligations</w:t>
      </w:r>
    </w:p>
    <w:p>
      <w:pPr>
        <w:spacing w:after="0" w:line="24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 significant portion of our revenue is derived from subscription service contracts with an initial duration of less than 12 months. As such, the amount of revenue related to unsatisfied performance obligations is not necessarily indicative of future revenue to be recognized from our existing customers.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 The average remaining contractual term for B2B non-subscription services is approximately three years.</w:t>
      </w:r>
    </w:p>
    <w:p>
      <w:pPr>
        <w:spacing w:after="0" w:line="196" w:lineRule="exact"/>
        <w:rPr>
          <w:sz w:val="20"/>
          <w:szCs w:val="20"/>
          <w:color w:val="auto"/>
        </w:rPr>
      </w:pPr>
    </w:p>
    <w:p>
      <w:pPr>
        <w:ind w:left="380" w:hanging="377"/>
        <w:spacing w:after="0"/>
        <w:tabs>
          <w:tab w:leader="none" w:pos="3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Acquisitions and Dispositions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Formula E Acquisition</w:t>
      </w:r>
    </w:p>
    <w:p>
      <w:pPr>
        <w:spacing w:after="0" w:line="245"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 xml:space="preserve">On October 2, 2024 (the </w:t>
      </w:r>
      <w:r>
        <w:rPr>
          <w:rFonts w:ascii="Times New Roman" w:cs="Times New Roman" w:eastAsia="Times New Roman" w:hAnsi="Times New Roman"/>
          <w:sz w:val="17"/>
          <w:szCs w:val="17"/>
          <w:b w:val="1"/>
          <w:bCs w:val="1"/>
          <w:color w:val="auto"/>
        </w:rPr>
        <w:t>Formula E Acquisition Date</w:t>
      </w:r>
      <w:r>
        <w:rPr>
          <w:rFonts w:ascii="Times New Roman" w:cs="Times New Roman" w:eastAsia="Times New Roman" w:hAnsi="Times New Roman"/>
          <w:sz w:val="17"/>
          <w:szCs w:val="17"/>
          <w:color w:val="auto"/>
        </w:rPr>
        <w:t>), we gained control of Formula E through the acquisition of the Formula E shares held by Warner Bros. Discovery, Inc. (</w:t>
      </w:r>
      <w:r>
        <w:rPr>
          <w:rFonts w:ascii="Times New Roman" w:cs="Times New Roman" w:eastAsia="Times New Roman" w:hAnsi="Times New Roman"/>
          <w:sz w:val="17"/>
          <w:szCs w:val="17"/>
          <w:b w:val="1"/>
          <w:bCs w:val="1"/>
          <w:color w:val="auto"/>
        </w:rPr>
        <w:t>Warner Bros. Discovery</w:t>
      </w:r>
      <w:r>
        <w:rPr>
          <w:rFonts w:ascii="Times New Roman" w:cs="Times New Roman" w:eastAsia="Times New Roman" w:hAnsi="Times New Roman"/>
          <w:sz w:val="17"/>
          <w:szCs w:val="17"/>
          <w:color w:val="auto"/>
        </w:rPr>
        <w:t xml:space="preserve">) and certain other minority shareholders, which increased our ownership interest in Formula E from 38.2% to 65.6% (the </w:t>
      </w:r>
      <w:r>
        <w:rPr>
          <w:rFonts w:ascii="Times New Roman" w:cs="Times New Roman" w:eastAsia="Times New Roman" w:hAnsi="Times New Roman"/>
          <w:sz w:val="17"/>
          <w:szCs w:val="17"/>
          <w:b w:val="1"/>
          <w:bCs w:val="1"/>
          <w:color w:val="auto"/>
        </w:rPr>
        <w:t>Formula E Acquisition</w:t>
      </w:r>
      <w:r>
        <w:rPr>
          <w:rFonts w:ascii="Times New Roman" w:cs="Times New Roman" w:eastAsia="Times New Roman" w:hAnsi="Times New Roman"/>
          <w:sz w:val="17"/>
          <w:szCs w:val="17"/>
          <w:color w:val="auto"/>
        </w:rPr>
        <w:t>). The purchase price for these additional shares totaled €150.0 million ($165.7 million at the transaction date). We also acquired Warner Bros. Discovery’s €50.0 million ($55.6 million at the transaction date) shareholder loan to Formula E upon closing of the transaction. Liberty Global began consolidating 100% of Formula E’s results from the Formula E Acquisition Date.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Pro Forma Information</w:t>
      </w:r>
    </w:p>
    <w:p>
      <w:pPr>
        <w:spacing w:after="0" w:line="2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following unaudited pro forma consolidated operating results for the three and six months ended June 30, 2024 give effect to the Formula E Acquisition as if it had been completed as of January 1, 2023. These pro forma amounts are not necessarily indicative of the operating results that would have occurred if the Formula E Acquisition had occurred on such date, and are based on certain assumptions that we believe are reasonable.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00" w:type="dxa"/>
            <w:vAlign w:val="bottom"/>
          </w:tcPr>
          <w:p>
            <w:pPr>
              <w:spacing w:after="0"/>
              <w:rPr>
                <w:sz w:val="15"/>
                <w:szCs w:val="15"/>
                <w:color w:val="auto"/>
              </w:rPr>
            </w:pP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 June</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5"/>
        </w:trPr>
        <w:tc>
          <w:tcPr>
            <w:tcW w:w="7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7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3"/>
          </w:tcPr>
          <w:p>
            <w:pPr>
              <w:ind w:left="11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260" w:type="dxa"/>
            <w:vAlign w:val="bottom"/>
          </w:tcPr>
          <w:p>
            <w:pPr>
              <w:spacing w:after="0"/>
              <w:rPr>
                <w:sz w:val="17"/>
                <w:szCs w:val="17"/>
                <w:color w:val="auto"/>
              </w:rPr>
            </w:pPr>
          </w:p>
        </w:tc>
      </w:tr>
      <w:tr>
        <w:trPr>
          <w:trHeight w:val="157"/>
        </w:trPr>
        <w:tc>
          <w:tcPr>
            <w:tcW w:w="7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millions)</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5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Net earnings from continuing operations attributable to Liberty Global shareholders (in millions)</w:t>
            </w:r>
          </w:p>
        </w:tc>
        <w:tc>
          <w:tcPr>
            <w:tcW w:w="380" w:type="dxa"/>
            <w:vAlign w:val="bottom"/>
            <w:tcBorders>
              <w:bottom w:val="single" w:sz="8" w:color="auto"/>
            </w:tcBorders>
          </w:tcPr>
          <w:p>
            <w:pPr>
              <w:jc w:val="right"/>
              <w:ind w:right="196"/>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310.3</w:t>
            </w:r>
          </w:p>
        </w:tc>
        <w:tc>
          <w:tcPr>
            <w:tcW w:w="100" w:type="dxa"/>
            <w:vAlign w:val="bottom"/>
          </w:tcPr>
          <w:p>
            <w:pPr>
              <w:spacing w:after="0"/>
              <w:rPr>
                <w:sz w:val="16"/>
                <w:szCs w:val="16"/>
                <w:color w:val="auto"/>
              </w:rPr>
            </w:pPr>
          </w:p>
        </w:tc>
        <w:tc>
          <w:tcPr>
            <w:tcW w:w="560" w:type="dxa"/>
            <w:vAlign w:val="bottom"/>
            <w:tcBorders>
              <w:bottom w:val="single" w:sz="8" w:color="auto"/>
            </w:tcBorders>
          </w:tcPr>
          <w:p>
            <w:pPr>
              <w:ind w:left="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937.2</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7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earnings from continuing operations attributable to Liberty Global shareholders per share</w:t>
            </w: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10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from continuing operations attributable to Liberty Global shareholders per share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Spin-off</w:t>
      </w:r>
    </w:p>
    <w:p>
      <w:pPr>
        <w:spacing w:after="0" w:line="249"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 xml:space="preserve">On November 8, 2024, we completed the Spin-off, following a series of transactions that resulted in the transfer of the Sunrise Entities to an independent, separate publicly-traded Swiss company, Sunrise Communications AG (the </w:t>
      </w:r>
      <w:r>
        <w:rPr>
          <w:rFonts w:ascii="Times New Roman" w:cs="Times New Roman" w:eastAsia="Times New Roman" w:hAnsi="Times New Roman"/>
          <w:sz w:val="17"/>
          <w:szCs w:val="17"/>
          <w:b w:val="1"/>
          <w:bCs w:val="1"/>
          <w:color w:val="auto"/>
        </w:rPr>
        <w:t>Spin-off</w:t>
      </w:r>
      <w:r>
        <w:rPr>
          <w:rFonts w:ascii="Times New Roman" w:cs="Times New Roman" w:eastAsia="Times New Roman" w:hAnsi="Times New Roman"/>
          <w:sz w:val="17"/>
          <w:szCs w:val="17"/>
          <w:color w:val="auto"/>
        </w:rPr>
        <w:t>). No gain or loss was recognized in connection with the Spin-off.</w:t>
      </w:r>
    </w:p>
    <w:p>
      <w:pPr>
        <w:spacing w:after="0" w:line="173"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The Spin-off was accomplished through the distribution of Sunrise common shares, in the form of Sunrise American depository shares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to Liberty Global shareholders. Liberty Global shareholders received one Sunrise Class A ADS for every five Liberty Global Class A or Class C common shares and two Sunrise Class B ADSs for each Liberty Global Class B common share.</w:t>
      </w:r>
    </w:p>
    <w:p>
      <w:pPr>
        <w:spacing w:after="0" w:line="186"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7"/>
          <w:szCs w:val="17"/>
          <w:color w:val="auto"/>
        </w:rPr>
        <w:t xml:space="preserve">In connection with the Spin-off, we agreed to provide certain services to Sunrise on a transitional or ongoing basis (collectively, the </w:t>
      </w:r>
      <w:r>
        <w:rPr>
          <w:rFonts w:ascii="Times New Roman" w:cs="Times New Roman" w:eastAsia="Times New Roman" w:hAnsi="Times New Roman"/>
          <w:sz w:val="17"/>
          <w:szCs w:val="17"/>
          <w:b w:val="1"/>
          <w:bCs w:val="1"/>
          <w:color w:val="auto"/>
        </w:rPr>
        <w:t>Sunrise Services</w:t>
      </w:r>
      <w:r>
        <w:rPr>
          <w:rFonts w:ascii="Times New Roman" w:cs="Times New Roman" w:eastAsia="Times New Roman" w:hAnsi="Times New Roman"/>
          <w:sz w:val="17"/>
          <w:szCs w:val="17"/>
          <w:color w:val="auto"/>
        </w:rPr>
        <w:t>). The agreements underlying the Sunrise Services expire between 2027 and 2029. During the six months ended June 30, 2025, we recorded revenue of $101.3 million associated with the Sunrise Services, including $64.2 million related to fixed fees for the Sunrise Services and $37.1 million related to the sale of customer premises equipment (</w:t>
      </w:r>
      <w:r>
        <w:rPr>
          <w:rFonts w:ascii="Times New Roman" w:cs="Times New Roman" w:eastAsia="Times New Roman" w:hAnsi="Times New Roman"/>
          <w:sz w:val="17"/>
          <w:szCs w:val="17"/>
          <w:b w:val="1"/>
          <w:bCs w:val="1"/>
          <w:color w:val="auto"/>
        </w:rPr>
        <w:t>CPE</w:t>
      </w:r>
      <w:r>
        <w:rPr>
          <w:rFonts w:ascii="Times New Roman" w:cs="Times New Roman" w:eastAsia="Times New Roman" w:hAnsi="Times New Roman"/>
          <w:sz w:val="17"/>
          <w:szCs w:val="17"/>
          <w:color w:val="auto"/>
        </w:rPr>
        <w:t>) and other variable charges.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Presentation of Discontinued Operations</w:t>
      </w:r>
    </w:p>
    <w:p>
      <w:pPr>
        <w:spacing w:after="0" w:line="2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operations of the Sunrise Entities are presented as discontinued operations in our condensed consolidated financial statements for the three and six months ended June 30, 2024. The operating results of the Sunrise Entities for these periods are summarized in the following table. These amounts exclude intercompany revenue and expenses that are eliminated within our condensed consolidated statement of operations.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00" w:type="dxa"/>
            <w:vAlign w:val="bottom"/>
          </w:tcPr>
          <w:p>
            <w:pPr>
              <w:spacing w:after="0"/>
              <w:rPr>
                <w:sz w:val="15"/>
                <w:szCs w:val="15"/>
                <w:color w:val="auto"/>
              </w:rPr>
            </w:pP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 June</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5"/>
        </w:trPr>
        <w:tc>
          <w:tcPr>
            <w:tcW w:w="7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7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3"/>
          </w:tcPr>
          <w:p>
            <w:pPr>
              <w:ind w:left="114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280" w:type="dxa"/>
            <w:vAlign w:val="bottom"/>
          </w:tcPr>
          <w:p>
            <w:pPr>
              <w:spacing w:after="0"/>
              <w:rPr>
                <w:sz w:val="17"/>
                <w:szCs w:val="17"/>
                <w:color w:val="auto"/>
              </w:rPr>
            </w:pPr>
          </w:p>
        </w:tc>
      </w:tr>
      <w:tr>
        <w:trPr>
          <w:trHeight w:val="157"/>
        </w:trPr>
        <w:tc>
          <w:tcPr>
            <w:tcW w:w="7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5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tcPr>
          <w:p>
            <w:pPr>
              <w:jc w:val="right"/>
              <w:ind w:right="196"/>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52.1</w:t>
            </w:r>
          </w:p>
        </w:tc>
        <w:tc>
          <w:tcPr>
            <w:tcW w:w="100" w:type="dxa"/>
            <w:vAlign w:val="bottom"/>
          </w:tcPr>
          <w:p>
            <w:pPr>
              <w:spacing w:after="0"/>
              <w:rPr>
                <w:sz w:val="16"/>
                <w:szCs w:val="16"/>
                <w:color w:val="auto"/>
              </w:rPr>
            </w:pPr>
          </w:p>
        </w:tc>
        <w:tc>
          <w:tcPr>
            <w:tcW w:w="540" w:type="dxa"/>
            <w:vAlign w:val="bottom"/>
            <w:tcBorders>
              <w:bottom w:val="single" w:sz="8" w:color="auto"/>
            </w:tcBorders>
          </w:tcPr>
          <w:p>
            <w:pPr>
              <w:ind w:left="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87.0</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w:t>
            </w:r>
          </w:p>
        </w:tc>
      </w:tr>
      <w:tr>
        <w:trPr>
          <w:trHeight w:val="21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Liberty Global shareholders</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(5)</w:t>
      </w:r>
      <w:r>
        <w:rPr>
          <w:sz w:val="20"/>
          <w:szCs w:val="20"/>
          <w:color w:val="auto"/>
        </w:rPr>
        <w:tab/>
      </w:r>
      <w:r>
        <w:rPr>
          <w:rFonts w:ascii="Times New Roman" w:cs="Times New Roman" w:eastAsia="Times New Roman" w:hAnsi="Times New Roman"/>
          <w:sz w:val="17"/>
          <w:szCs w:val="17"/>
          <w:b w:val="1"/>
          <w:bCs w:val="1"/>
          <w:u w:val="single" w:color="auto"/>
          <w:color w:val="auto"/>
        </w:rPr>
        <w:t>Investments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details of our investments are set forth below:</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Accounting Method</w:t>
            </w:r>
          </w:p>
        </w:tc>
        <w:tc>
          <w:tcPr>
            <w:tcW w:w="2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tcPr>
          <w:p>
            <w:pPr>
              <w:spacing w:after="0"/>
              <w:rPr>
                <w:sz w:val="15"/>
                <w:szCs w:val="15"/>
                <w:color w:val="auto"/>
              </w:rPr>
            </w:pPr>
          </w:p>
        </w:tc>
        <w:tc>
          <w:tcPr>
            <w:tcW w:w="134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Ownership (a)</w:t>
            </w:r>
          </w:p>
        </w:tc>
        <w:tc>
          <w:tcPr>
            <w:tcW w:w="0" w:type="dxa"/>
            <w:vAlign w:val="bottom"/>
          </w:tcPr>
          <w:p>
            <w:pPr>
              <w:spacing w:after="0"/>
              <w:rPr>
                <w:sz w:val="1"/>
                <w:szCs w:val="1"/>
                <w:color w:val="auto"/>
              </w:rPr>
            </w:pPr>
          </w:p>
        </w:tc>
      </w:tr>
      <w:tr>
        <w:trPr>
          <w:trHeight w:val="205"/>
        </w:trPr>
        <w:tc>
          <w:tcPr>
            <w:tcW w:w="7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0" w:type="dxa"/>
            <w:vAlign w:val="bottom"/>
          </w:tcPr>
          <w:p>
            <w:pPr>
              <w:spacing w:after="0"/>
              <w:rPr>
                <w:sz w:val="1"/>
                <w:szCs w:val="1"/>
                <w:color w:val="auto"/>
              </w:rPr>
            </w:pPr>
          </w:p>
        </w:tc>
      </w:tr>
      <w:tr>
        <w:trPr>
          <w:trHeight w:val="22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(b):</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Long-term:</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VMO2 JV</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6,501.4</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19"/>
        </w:trPr>
        <w:tc>
          <w:tcPr>
            <w:tcW w:w="7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VodafoneZiggo JV (c)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1,738.4</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58"/>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AE Group Sàrl (</w:t>
            </w:r>
            <w:r>
              <w:rPr>
                <w:rFonts w:ascii="Times New Roman" w:cs="Times New Roman" w:eastAsia="Times New Roman" w:hAnsi="Times New Roman"/>
                <w:sz w:val="17"/>
                <w:szCs w:val="17"/>
                <w:b w:val="1"/>
                <w:bCs w:val="1"/>
                <w:color w:val="auto"/>
              </w:rPr>
              <w:t>AtlasEdge JV</w:t>
            </w:r>
            <w:r>
              <w:rPr>
                <w:rFonts w:ascii="Times New Roman" w:cs="Times New Roman" w:eastAsia="Times New Roman" w:hAnsi="Times New Roman"/>
                <w:sz w:val="17"/>
                <w:szCs w:val="17"/>
                <w:color w:val="auto"/>
              </w:rPr>
              <w:t>) (d)</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48.7</w:t>
            </w:r>
          </w:p>
        </w:tc>
        <w:tc>
          <w:tcPr>
            <w:tcW w:w="0" w:type="dxa"/>
            <w:vAlign w:val="bottom"/>
          </w:tcPr>
          <w:p>
            <w:pPr>
              <w:spacing w:after="0"/>
              <w:rPr>
                <w:sz w:val="1"/>
                <w:szCs w:val="1"/>
                <w:color w:val="auto"/>
              </w:rPr>
            </w:pPr>
          </w:p>
        </w:tc>
      </w:tr>
      <w:tr>
        <w:trPr>
          <w:trHeight w:val="219"/>
        </w:trPr>
        <w:tc>
          <w:tcPr>
            <w:tcW w:w="7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Nexfibre Networks Limited (</w:t>
            </w:r>
            <w:r>
              <w:rPr>
                <w:rFonts w:ascii="Times New Roman" w:cs="Times New Roman" w:eastAsia="Times New Roman" w:hAnsi="Times New Roman"/>
                <w:sz w:val="17"/>
                <w:szCs w:val="17"/>
                <w:b w:val="1"/>
                <w:bCs w:val="1"/>
                <w:color w:val="auto"/>
              </w:rPr>
              <w:t>nexfibre JV</w:t>
            </w:r>
            <w:r>
              <w:rPr>
                <w:rFonts w:ascii="Times New Roman" w:cs="Times New Roman" w:eastAsia="Times New Roman" w:hAnsi="Times New Roman"/>
                <w:sz w:val="17"/>
                <w:szCs w:val="17"/>
                <w:color w:val="auto"/>
              </w:rPr>
              <w:t>) (e)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Total — equity</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8,780.3</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Short-term:</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Vodafone - subject to re-use rights (f)</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7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Separately-managed accounts (</w:t>
            </w:r>
            <w:r>
              <w:rPr>
                <w:rFonts w:ascii="Times New Roman" w:cs="Times New Roman" w:eastAsia="Times New Roman" w:hAnsi="Times New Roman"/>
                <w:sz w:val="17"/>
                <w:szCs w:val="17"/>
                <w:b w:val="1"/>
                <w:bCs w:val="1"/>
                <w:color w:val="auto"/>
              </w:rPr>
              <w:t>SMAs</w:t>
            </w:r>
            <w:r>
              <w:rPr>
                <w:rFonts w:ascii="Times New Roman" w:cs="Times New Roman" w:eastAsia="Times New Roman" w:hAnsi="Times New Roman"/>
                <w:sz w:val="17"/>
                <w:szCs w:val="17"/>
                <w:color w:val="auto"/>
              </w:rPr>
              <w:t>) (g)</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Long-term:</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EdgeConneX, Inc. (</w:t>
            </w:r>
            <w:r>
              <w:rPr>
                <w:rFonts w:ascii="Times New Roman" w:cs="Times New Roman" w:eastAsia="Times New Roman" w:hAnsi="Times New Roman"/>
                <w:sz w:val="17"/>
                <w:szCs w:val="17"/>
                <w:b w:val="1"/>
                <w:bCs w:val="1"/>
                <w:color w:val="auto"/>
              </w:rPr>
              <w:t>EdgeConneX</w:t>
            </w:r>
            <w:r>
              <w:rPr>
                <w:rFonts w:ascii="Times New Roman" w:cs="Times New Roman" w:eastAsia="Times New Roman" w:hAnsi="Times New Roman"/>
                <w:sz w:val="17"/>
                <w:szCs w:val="17"/>
                <w:color w:val="auto"/>
              </w:rPr>
              <w:t>) (h)</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414.5</w:t>
            </w:r>
          </w:p>
        </w:tc>
        <w:tc>
          <w:tcPr>
            <w:tcW w:w="1420" w:type="dxa"/>
            <w:vAlign w:val="bottom"/>
            <w:gridSpan w:val="2"/>
          </w:tcPr>
          <w:p>
            <w:pPr>
              <w:jc w:val="right"/>
              <w:ind w:right="563"/>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ITV plc (</w:t>
            </w:r>
            <w:r>
              <w:rPr>
                <w:rFonts w:ascii="Times New Roman" w:cs="Times New Roman" w:eastAsia="Times New Roman" w:hAnsi="Times New Roman"/>
                <w:sz w:val="17"/>
                <w:szCs w:val="17"/>
                <w:b w:val="1"/>
                <w:bCs w:val="1"/>
                <w:color w:val="auto"/>
              </w:rPr>
              <w:t>ITV</w:t>
            </w: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9"/>
        </w:trPr>
        <w:tc>
          <w:tcPr>
            <w:tcW w:w="7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Televisa Univision, Inc. (</w:t>
            </w:r>
            <w:r>
              <w:rPr>
                <w:rFonts w:ascii="Times New Roman" w:cs="Times New Roman" w:eastAsia="Times New Roman" w:hAnsi="Times New Roman"/>
                <w:sz w:val="17"/>
                <w:szCs w:val="17"/>
                <w:b w:val="1"/>
                <w:bCs w:val="1"/>
                <w:color w:val="auto"/>
              </w:rPr>
              <w:t>Televisa Univision</w:t>
            </w: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314.8</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CANAL+ Polska S.A (</w:t>
            </w:r>
            <w:r>
              <w:rPr>
                <w:rFonts w:ascii="Times New Roman" w:cs="Times New Roman" w:eastAsia="Times New Roman" w:hAnsi="Times New Roman"/>
                <w:sz w:val="17"/>
                <w:szCs w:val="17"/>
                <w:b w:val="1"/>
                <w:bCs w:val="1"/>
                <w:color w:val="auto"/>
              </w:rPr>
              <w:t>CANAL+ Polska</w:t>
            </w: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19"/>
        </w:trPr>
        <w:tc>
          <w:tcPr>
            <w:tcW w:w="7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SMAs (g)</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Plume Design, Inc. (</w:t>
            </w:r>
            <w:r>
              <w:rPr>
                <w:rFonts w:ascii="Times New Roman" w:cs="Times New Roman" w:eastAsia="Times New Roman" w:hAnsi="Times New Roman"/>
                <w:sz w:val="17"/>
                <w:szCs w:val="17"/>
                <w:b w:val="1"/>
                <w:bCs w:val="1"/>
                <w:color w:val="auto"/>
              </w:rPr>
              <w:t>Plume</w:t>
            </w:r>
            <w:r>
              <w:rPr>
                <w:rFonts w:ascii="Times New Roman" w:cs="Times New Roman" w:eastAsia="Times New Roman" w:hAnsi="Times New Roman"/>
                <w:sz w:val="17"/>
                <w:szCs w:val="17"/>
                <w:color w:val="auto"/>
              </w:rPr>
              <w:t>) (i)</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9"/>
        </w:trPr>
        <w:tc>
          <w:tcPr>
            <w:tcW w:w="7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Lionsgate (j)</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Aviatrix Systems, Inc. (</w:t>
            </w:r>
            <w:r>
              <w:rPr>
                <w:rFonts w:ascii="Times New Roman" w:cs="Times New Roman" w:eastAsia="Times New Roman" w:hAnsi="Times New Roman"/>
                <w:sz w:val="17"/>
                <w:szCs w:val="17"/>
                <w:b w:val="1"/>
                <w:bCs w:val="1"/>
                <w:color w:val="auto"/>
              </w:rPr>
              <w:t>Aviatrix</w:t>
            </w: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9"/>
        </w:trPr>
        <w:tc>
          <w:tcPr>
            <w:tcW w:w="7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Vodafone - subject to re-use rights (f)</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1,141.5</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(j)</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Total — fair value</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3,258.1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3,243.3</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investments (k)</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12,023.6</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6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1,328.1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6"/>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335.6</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11,688.0</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our economic ownership based on total shares owned as a percentage of total shares outstanding as of the most recent balance sheet date or the most recent publicly-available information.</w:t>
      </w:r>
    </w:p>
    <w:p>
      <w:pPr>
        <w:spacing w:after="0" w:line="177" w:lineRule="exact"/>
        <w:rPr>
          <w:rFonts w:ascii="Times New Roman" w:cs="Times New Roman" w:eastAsia="Times New Roman" w:hAnsi="Times New Roman"/>
          <w:sz w:val="17"/>
          <w:szCs w:val="17"/>
          <w:color w:val="auto"/>
        </w:rPr>
      </w:pPr>
    </w:p>
    <w:p>
      <w:pPr>
        <w:jc w:val="both"/>
        <w:ind w:left="460" w:hanging="457"/>
        <w:spacing w:after="0" w:line="260" w:lineRule="auto"/>
        <w:tabs>
          <w:tab w:leader="none" w:pos="4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their respective fair values. At June 30, 2025 and December 31, 2024, the aggregate carrying amounts of our equity method investments exceeded our proportionate share of the respective investee’s net assets by $1,024.0 million and $901.2 million, respectively, related to amounts associated with the VodafoneZiggo JV Receivables,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jc w:val="both"/>
        <w:ind w:left="460" w:hanging="457"/>
        <w:spacing w:after="0" w:line="260" w:lineRule="auto"/>
        <w:tabs>
          <w:tab w:leader="none" w:pos="45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Amounts include certain notes receivable due from a subsidiary of the VodafoneZiggo JV to a subsidiary of Liberty Global, comprising (i) a €700.0 million note receivable ($823.4 million and $724.4 million equivalent at June 30, 2025 and December 31, 2024, respectively) (the </w:t>
      </w:r>
      <w:r>
        <w:rPr>
          <w:rFonts w:ascii="Times New Roman" w:cs="Times New Roman" w:eastAsia="Times New Roman" w:hAnsi="Times New Roman"/>
          <w:sz w:val="17"/>
          <w:szCs w:val="17"/>
          <w:b w:val="1"/>
          <w:bCs w:val="1"/>
          <w:color w:val="auto"/>
        </w:rPr>
        <w:t>VodafoneZiggo JV Receivable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and (ii) a €207.9 million note receivable ($244.5 million and $215.1 million equivalent at June 30, 2025 and December 31, 2024, respectively) (the</w:t>
      </w:r>
      <w:r>
        <w:rPr>
          <w:rFonts w:ascii="Times New Roman" w:cs="Times New Roman" w:eastAsia="Times New Roman" w:hAnsi="Times New Roman"/>
          <w:sz w:val="17"/>
          <w:szCs w:val="17"/>
          <w:b w:val="1"/>
          <w:bCs w:val="1"/>
          <w:color w:val="auto"/>
        </w:rPr>
        <w:t xml:space="preserve"> VodafoneZiggo JV Receivable II </w:t>
      </w:r>
      <w:r>
        <w:rPr>
          <w:rFonts w:ascii="Times New Roman" w:cs="Times New Roman" w:eastAsia="Times New Roman" w:hAnsi="Times New Roman"/>
          <w:sz w:val="17"/>
          <w:szCs w:val="17"/>
          <w:color w:val="auto"/>
        </w:rPr>
        <w:t>and, together with the VodafoneZiggo JV Receivable I, the</w:t>
      </w:r>
      <w:r>
        <w:rPr>
          <w:rFonts w:ascii="Times New Roman" w:cs="Times New Roman" w:eastAsia="Times New Roman" w:hAnsi="Times New Roman"/>
          <w:sz w:val="17"/>
          <w:szCs w:val="17"/>
          <w:b w:val="1"/>
          <w:bCs w:val="1"/>
          <w:color w:val="auto"/>
        </w:rPr>
        <w:t xml:space="preserve"> VodafoneZiggo JV Receivables</w:t>
      </w:r>
      <w:r>
        <w:rPr>
          <w:rFonts w:ascii="Times New Roman" w:cs="Times New Roman" w:eastAsia="Times New Roman" w:hAnsi="Times New Roman"/>
          <w:sz w:val="17"/>
          <w:szCs w:val="17"/>
          <w:color w:val="auto"/>
        </w:rPr>
        <w:t>). The VodafoneZiggo JV</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Receivables bear interest at a rate of 5.55% and have a final maturity date of December 31, 2030. During the six months ended June 30, 2025, interest accrued on the VodafoneZiggo JV Receivables was €23.5 million ($27.7 million), all of which has been cash settled.</w:t>
      </w:r>
    </w:p>
    <w:p>
      <w:pPr>
        <w:spacing w:after="0" w:line="199"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Liberty Global owns a 50% noncontrolling voting interest in the AtlasEdge JV.</w:t>
      </w:r>
    </w:p>
    <w:p>
      <w:pPr>
        <w:spacing w:after="0" w:line="242"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Liberty Global owns a 25% noncontrolling voting interest in the nexfibre JV.</w:t>
      </w:r>
    </w:p>
    <w:p>
      <w:pPr>
        <w:spacing w:after="0" w:line="238" w:lineRule="exact"/>
        <w:rPr>
          <w:rFonts w:ascii="Times New Roman" w:cs="Times New Roman" w:eastAsia="Times New Roman" w:hAnsi="Times New Roman"/>
          <w:sz w:val="17"/>
          <w:szCs w:val="17"/>
          <w:color w:val="auto"/>
        </w:rPr>
      </w:pPr>
    </w:p>
    <w:p>
      <w:pPr>
        <w:jc w:val="both"/>
        <w:ind w:left="460" w:hanging="457"/>
        <w:spacing w:after="0" w:line="248" w:lineRule="auto"/>
        <w:tabs>
          <w:tab w:leader="none" w:pos="45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our investment in Vodafone, we entered into a share collar (the </w:t>
      </w:r>
      <w:r>
        <w:rPr>
          <w:rFonts w:ascii="Times New Roman" w:cs="Times New Roman" w:eastAsia="Times New Roman" w:hAnsi="Times New Roman"/>
          <w:sz w:val="17"/>
          <w:szCs w:val="17"/>
          <w:b w:val="1"/>
          <w:bCs w:val="1"/>
          <w:color w:val="auto"/>
        </w:rPr>
        <w:t>Vodafone Collar</w:t>
      </w:r>
      <w:r>
        <w:rPr>
          <w:rFonts w:ascii="Times New Roman" w:cs="Times New Roman" w:eastAsia="Times New Roman" w:hAnsi="Times New Roman"/>
          <w:sz w:val="17"/>
          <w:szCs w:val="17"/>
          <w:color w:val="auto"/>
        </w:rPr>
        <w:t xml:space="preserve">) with respect to the Vodafone shares held by our company. The aggregate purchase price paid to acquire our investment in Vodafone was partially financed through borrowings under a secured borrowing agreement (the </w:t>
      </w:r>
      <w:r>
        <w:rPr>
          <w:rFonts w:ascii="Times New Roman" w:cs="Times New Roman" w:eastAsia="Times New Roman" w:hAnsi="Times New Roman"/>
          <w:sz w:val="17"/>
          <w:szCs w:val="17"/>
          <w:b w:val="1"/>
          <w:bCs w:val="1"/>
          <w:color w:val="auto"/>
        </w:rPr>
        <w:t>Vodafone Collar Loan</w:t>
      </w:r>
      <w:r>
        <w:rPr>
          <w:rFonts w:ascii="Times New Roman" w:cs="Times New Roman" w:eastAsia="Times New Roman" w:hAnsi="Times New Roman"/>
          <w:sz w:val="17"/>
          <w:szCs w:val="17"/>
          <w:color w:val="auto"/>
        </w:rPr>
        <w:t>) collateralized by the Vodafone shares. Under the terms of the Vodafone Collar, the counterparty has the right to re-use pledged Vodafone shares. During the second quarter of 2025, we executed a series of transactions that resulted in (i) the disposition of 90 million of our Vodafone shares and the associated unwind and settlement of the corresponding amounts of the Vodafone Collar and the Vodafone Collar Loan, respectively, and (ii) the restructure of the remainder of the Vodafone Collar, which effectively reduced the net fair value of our economic interest in our investment in Vodafone to nil ($89.3 million at December 31, 2024). This series of transactions resulted in net cash received of €70.9 million ($81.7 million at the applicable rate). Subsequently, in July 2025, we fully settled the Vodafone Collar Loan using the value of the remaining Vodafone shares and the Vodafone Collar. For additional information regarding the Vodafone Collar and the Vodafone Collar Loan, see notes 6 and 9, respectively.</w:t>
      </w:r>
    </w:p>
    <w:p>
      <w:pPr>
        <w:spacing w:after="0" w:line="197" w:lineRule="exact"/>
        <w:rPr>
          <w:rFonts w:ascii="Times New Roman" w:cs="Times New Roman" w:eastAsia="Times New Roman" w:hAnsi="Times New Roman"/>
          <w:sz w:val="17"/>
          <w:szCs w:val="17"/>
          <w:color w:val="auto"/>
        </w:rPr>
      </w:pPr>
    </w:p>
    <w:p>
      <w:pPr>
        <w:jc w:val="both"/>
        <w:ind w:left="460" w:hanging="457"/>
        <w:spacing w:after="0" w:line="260" w:lineRule="auto"/>
        <w:tabs>
          <w:tab w:leader="none" w:pos="4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sold as of the first quarter of 2025. Our SMA held in a leveraged structured note is accounted for at fair value and the associated gains or losses are included in realized and unrealized gains (losses) due to changes in fair values of certain investments, net, in our condensed consolidated statements of operations. At December 31, 2024, interest accrued on our debt securities, which is included in other current assets on our condensed consolidated balance sheets, was $7.2 million.</w:t>
      </w:r>
    </w:p>
    <w:p>
      <w:pPr>
        <w:spacing w:after="0" w:line="195" w:lineRule="exact"/>
        <w:rPr>
          <w:rFonts w:ascii="Times New Roman" w:cs="Times New Roman" w:eastAsia="Times New Roman" w:hAnsi="Times New Roman"/>
          <w:sz w:val="17"/>
          <w:szCs w:val="17"/>
          <w:color w:val="auto"/>
        </w:rPr>
      </w:pPr>
    </w:p>
    <w:p>
      <w:pPr>
        <w:jc w:val="both"/>
        <w:ind w:left="460" w:hanging="457"/>
        <w:spacing w:after="0" w:line="266" w:lineRule="auto"/>
        <w:tabs>
          <w:tab w:leader="none" w:pos="4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2025, our investment in EdgeConneX is held through two distinct limited partnerships (</w:t>
      </w:r>
      <w:r>
        <w:rPr>
          <w:rFonts w:ascii="Times New Roman" w:cs="Times New Roman" w:eastAsia="Times New Roman" w:hAnsi="Times New Roman"/>
          <w:sz w:val="17"/>
          <w:szCs w:val="17"/>
          <w:b w:val="1"/>
          <w:bCs w:val="1"/>
          <w:color w:val="auto"/>
        </w:rPr>
        <w:t>LPs</w:t>
      </w:r>
      <w:r>
        <w:rPr>
          <w:rFonts w:ascii="Times New Roman" w:cs="Times New Roman" w:eastAsia="Times New Roman" w:hAnsi="Times New Roman"/>
          <w:sz w:val="17"/>
          <w:szCs w:val="17"/>
          <w:color w:val="auto"/>
        </w:rPr>
        <w:t>), Herndon Topco and a new investment entered into the second quarter of 2025, McNair Topco. The ownership percentages in EdgeConneX are 4.3% and 3.4% for Herndon TopCo and McNair TopCo, respectively. The combined investment in EdgeConneX through these LPs results in a weighted ownership percentage of 4.2%. This calculation considers the individual ownership percentages and the respective investment amounts in each LP.</w:t>
      </w:r>
    </w:p>
    <w:p>
      <w:pPr>
        <w:spacing w:after="0" w:line="194"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investment in Plume includes warrants with a fair value of $19.1 million and $24.5 million at June 30, 2025 and December 31, 2024, respectively.</w:t>
      </w:r>
    </w:p>
    <w:p>
      <w:pPr>
        <w:spacing w:after="0" w:line="238" w:lineRule="exact"/>
        <w:rPr>
          <w:rFonts w:ascii="Times New Roman" w:cs="Times New Roman" w:eastAsia="Times New Roman" w:hAnsi="Times New Roman"/>
          <w:sz w:val="17"/>
          <w:szCs w:val="17"/>
          <w:color w:val="auto"/>
        </w:rPr>
      </w:pPr>
    </w:p>
    <w:p>
      <w:pPr>
        <w:jc w:val="both"/>
        <w:ind w:left="460" w:hanging="457"/>
        <w:spacing w:after="0" w:line="266" w:lineRule="auto"/>
        <w:tabs>
          <w:tab w:leader="none" w:pos="4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May 7, 2025, Lions Gate Entertainment Corp. (NYSE: LGF.A and LGF.B) completed the full separation (the </w:t>
      </w:r>
      <w:r>
        <w:rPr>
          <w:rFonts w:ascii="Times New Roman" w:cs="Times New Roman" w:eastAsia="Times New Roman" w:hAnsi="Times New Roman"/>
          <w:sz w:val="17"/>
          <w:szCs w:val="17"/>
          <w:b w:val="1"/>
          <w:bCs w:val="1"/>
          <w:color w:val="auto"/>
        </w:rPr>
        <w:t>Lionsgate Separation</w:t>
      </w:r>
      <w:r>
        <w:rPr>
          <w:rFonts w:ascii="Times New Roman" w:cs="Times New Roman" w:eastAsia="Times New Roman" w:hAnsi="Times New Roman"/>
          <w:sz w:val="17"/>
          <w:szCs w:val="17"/>
          <w:color w:val="auto"/>
        </w:rPr>
        <w:t>) of its studio and network business into two independent, publicly traded companies, Lionsgate Studios Corp. (</w:t>
      </w:r>
      <w:r>
        <w:rPr>
          <w:rFonts w:ascii="Times New Roman" w:cs="Times New Roman" w:eastAsia="Times New Roman" w:hAnsi="Times New Roman"/>
          <w:sz w:val="17"/>
          <w:szCs w:val="17"/>
          <w:b w:val="1"/>
          <w:bCs w:val="1"/>
          <w:color w:val="auto"/>
        </w:rPr>
        <w:t>Lionsgate</w:t>
      </w:r>
      <w:r>
        <w:rPr>
          <w:rFonts w:ascii="Times New Roman" w:cs="Times New Roman" w:eastAsia="Times New Roman" w:hAnsi="Times New Roman"/>
          <w:sz w:val="17"/>
          <w:szCs w:val="17"/>
          <w:color w:val="auto"/>
        </w:rPr>
        <w:t>) and Starz Entertainment Corp. (</w:t>
      </w:r>
      <w:r>
        <w:rPr>
          <w:rFonts w:ascii="Times New Roman" w:cs="Times New Roman" w:eastAsia="Times New Roman" w:hAnsi="Times New Roman"/>
          <w:sz w:val="17"/>
          <w:szCs w:val="17"/>
          <w:b w:val="1"/>
          <w:bCs w:val="1"/>
          <w:color w:val="auto"/>
        </w:rPr>
        <w:t>Starz</w:t>
      </w:r>
      <w:r>
        <w:rPr>
          <w:rFonts w:ascii="Times New Roman" w:cs="Times New Roman" w:eastAsia="Times New Roman" w:hAnsi="Times New Roman"/>
          <w:sz w:val="17"/>
          <w:szCs w:val="17"/>
          <w:color w:val="auto"/>
        </w:rPr>
        <w:t>). All previous Lions Gate Entertainment Corp. shares have been exchanged for shares in the new companies Lionsgate (NASDAQ: LION) and Starz (NASDAQ: STRZ). Following the separation, our investment in Starz is reflected in ‘Other’ fair value investments in the above table.</w:t>
      </w:r>
    </w:p>
    <w:p>
      <w:pPr>
        <w:spacing w:after="0" w:line="194" w:lineRule="exact"/>
        <w:rPr>
          <w:rFonts w:ascii="Times New Roman" w:cs="Times New Roman" w:eastAsia="Times New Roman" w:hAnsi="Times New Roman"/>
          <w:sz w:val="17"/>
          <w:szCs w:val="17"/>
          <w:color w:val="auto"/>
        </w:rPr>
      </w:pPr>
    </w:p>
    <w:p>
      <w:pPr>
        <w:ind w:left="460" w:hanging="457"/>
        <w:spacing w:after="0" w:line="287" w:lineRule="auto"/>
        <w:tabs>
          <w:tab w:leader="none" w:pos="4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and sale of investments are presented on a gross basis in our condensed consolidated statements of cash flows, including amounts associated with SMAs.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Equity Method Investments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details of our share of results of affiliates,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4"/>
          </w:tcPr>
          <w:p>
            <w:pPr>
              <w:jc w:val="right"/>
              <w:ind w:right="57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9"/>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6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7"/>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VMO2 JV (a)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VodafoneZiggo JV (b)</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nexfibre JV</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AtlasEdge JV</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Formula E (c)</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All3Media Ltd. (</w:t>
            </w:r>
            <w:r>
              <w:rPr>
                <w:rFonts w:ascii="Times New Roman" w:cs="Times New Roman" w:eastAsia="Times New Roman" w:hAnsi="Times New Roman"/>
                <w:sz w:val="17"/>
                <w:szCs w:val="17"/>
                <w:b w:val="1"/>
                <w:bCs w:val="1"/>
                <w:color w:val="auto"/>
              </w:rPr>
              <w:t>All3Media</w:t>
            </w:r>
            <w:r>
              <w:rPr>
                <w:rFonts w:ascii="Times New Roman" w:cs="Times New Roman" w:eastAsia="Times New Roman" w:hAnsi="Times New Roman"/>
                <w:sz w:val="17"/>
                <w:szCs w:val="17"/>
                <w:color w:val="auto"/>
              </w:rPr>
              <w:t>) (d)</w:t>
            </w:r>
          </w:p>
        </w:tc>
        <w:tc>
          <w:tcPr>
            <w:tcW w:w="28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2"/>
        </w:trPr>
        <w:tc>
          <w:tcPr>
            <w:tcW w:w="6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(24.6)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jc w:val="both"/>
        <w:ind w:left="460" w:hanging="457"/>
        <w:spacing w:after="0" w:line="270" w:lineRule="auto"/>
        <w:tabs>
          <w:tab w:leader="none" w:pos="45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our 50% share of the results of operations of the VMO2 JV and (ii) for the 2024 periods, 100% of the share-based compensation expense associated with Liberty Global awards granted to VMO2 JV employees who were formerly employees of Liberty Global prior to the VMO2 JV formation, as these awards remain our responsibility.</w:t>
      </w:r>
    </w:p>
    <w:p>
      <w:pPr>
        <w:spacing w:after="0" w:line="191" w:lineRule="exact"/>
        <w:rPr>
          <w:rFonts w:ascii="Times New Roman" w:cs="Times New Roman" w:eastAsia="Times New Roman" w:hAnsi="Times New Roman"/>
          <w:sz w:val="17"/>
          <w:szCs w:val="17"/>
          <w:color w:val="auto"/>
        </w:rPr>
      </w:pPr>
    </w:p>
    <w:p>
      <w:pPr>
        <w:ind w:left="460" w:hanging="457"/>
        <w:spacing w:after="0" w:line="287" w:lineRule="auto"/>
        <w:tabs>
          <w:tab w:leader="none" w:pos="4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our 50% share of the results of operations of the VodafoneZiggo JV and (ii) 100% of the interest income earned on the VodafoneZiggo JV Receivables.</w:t>
      </w:r>
    </w:p>
    <w:p>
      <w:pPr>
        <w:spacing w:after="0" w:line="177"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our share of results of Formula E prior to the Formula E Acquisition Date.</w:t>
      </w:r>
    </w:p>
    <w:p>
      <w:pPr>
        <w:spacing w:after="0" w:line="242"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completed the sale of our investment in All3Media during the second quarter of 2024.</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VMO2 JV</w:t>
      </w:r>
    </w:p>
    <w:p>
      <w:pPr>
        <w:spacing w:after="0" w:line="243"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 xml:space="preserve">Pursuant to an agreement (the </w:t>
      </w:r>
      <w:r>
        <w:rPr>
          <w:rFonts w:ascii="Times New Roman" w:cs="Times New Roman" w:eastAsia="Times New Roman" w:hAnsi="Times New Roman"/>
          <w:sz w:val="17"/>
          <w:szCs w:val="17"/>
          <w:b w:val="1"/>
          <w:bCs w:val="1"/>
          <w:color w:val="auto"/>
        </w:rPr>
        <w:t>U.K. JV Framework Agreement</w:t>
      </w:r>
      <w:r>
        <w:rPr>
          <w:rFonts w:ascii="Times New Roman" w:cs="Times New Roman" w:eastAsia="Times New Roman" w:hAnsi="Times New Roman"/>
          <w:sz w:val="17"/>
          <w:szCs w:val="17"/>
          <w:color w:val="auto"/>
        </w:rPr>
        <w:t xml:space="preserve">), Liberty Global provides certain services to the VMO2 JV on a transitional or ongoing basis (collectively, the </w:t>
      </w:r>
      <w:r>
        <w:rPr>
          <w:rFonts w:ascii="Times New Roman" w:cs="Times New Roman" w:eastAsia="Times New Roman" w:hAnsi="Times New Roman"/>
          <w:sz w:val="17"/>
          <w:szCs w:val="17"/>
          <w:b w:val="1"/>
          <w:bCs w:val="1"/>
          <w:color w:val="auto"/>
        </w:rPr>
        <w:t>U.K. JV Services</w:t>
      </w:r>
      <w:r>
        <w:rPr>
          <w:rFonts w:ascii="Times New Roman" w:cs="Times New Roman" w:eastAsia="Times New Roman" w:hAnsi="Times New Roman"/>
          <w:sz w:val="17"/>
          <w:szCs w:val="17"/>
          <w:color w:val="auto"/>
        </w:rPr>
        <w:t>). The agreements underlying the U.K. JV Services expire between 2027 and 2029.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provided pursuant to the U.K. JV Framework Agreement. We recorded revenue from the VMO2 JV of $95.5 million and $91.2 million during the three months ended June 30, 2025 and 2024, respectively, and $184.0 million and $203.5 million during the six months ended June 30, 2025 and 2024, respectively. For the three months ended June 30, 2025 and 2024 revenue recorded includes $56.7 million and $48.7 million, respectively, related to fixed fees for the U.K. JV Services and $38.8 million and $42.5 million, respectively, related to the sale of CPE to the VMO2 JV at a mark-up and other variable charges. For the six months ended June 30, 2025 and 2024, revenue recorded includes $110.8 million and $97.6 million, respectively, related to fixed fees for the U.K. JV Services and $73.2 million and $105.9 million, respectively, related to the sale of CPE to the VMO2 JV at a mark-up and other variable charges. At June 30, 2025 and December 31, 2024, $61.3 million and $37.5 million, respectively, was due from the VMO2 JV related to the aforementioned transactions. The amounts due from the VMO2 JV, which are periodically cash settled, are included in other current assets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summarized results of operations of the VMO2 JV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Pr>
          <w:p>
            <w:pPr>
              <w:spacing w:after="0"/>
              <w:rPr>
                <w:sz w:val="15"/>
                <w:szCs w:val="15"/>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5"/>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8"/>
        </w:trPr>
        <w:tc>
          <w:tcPr>
            <w:tcW w:w="6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6,658.2</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14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(403.9)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ind w:left="300"/>
              <w:spacing w:after="0" w:line="191" w:lineRule="exact"/>
              <w:rPr>
                <w:sz w:val="20"/>
                <w:szCs w:val="20"/>
                <w:color w:val="auto"/>
              </w:rPr>
            </w:pPr>
            <w:r>
              <w:rPr>
                <w:rFonts w:ascii="Times New Roman" w:cs="Times New Roman" w:eastAsia="Times New Roman" w:hAnsi="Times New Roman"/>
                <w:sz w:val="17"/>
                <w:szCs w:val="17"/>
                <w:color w:val="auto"/>
              </w:rPr>
              <w:t>(616.1)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70.1</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 (loss)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(474.7)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VodafoneZiggo JV</w:t>
      </w:r>
    </w:p>
    <w:p>
      <w:pPr>
        <w:spacing w:after="0" w:line="24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Pursuant to an agreement (the </w:t>
      </w:r>
      <w:r>
        <w:rPr>
          <w:rFonts w:ascii="Times New Roman" w:cs="Times New Roman" w:eastAsia="Times New Roman" w:hAnsi="Times New Roman"/>
          <w:sz w:val="17"/>
          <w:szCs w:val="17"/>
          <w:b w:val="1"/>
          <w:bCs w:val="1"/>
          <w:color w:val="auto"/>
        </w:rPr>
        <w:t>NL JV Framework Agreement</w:t>
      </w:r>
      <w:r>
        <w:rPr>
          <w:rFonts w:ascii="Times New Roman" w:cs="Times New Roman" w:eastAsia="Times New Roman" w:hAnsi="Times New Roman"/>
          <w:sz w:val="17"/>
          <w:szCs w:val="17"/>
          <w:color w:val="auto"/>
        </w:rPr>
        <w:t xml:space="preserve">), Liberty Global provides certain services to the VodafoneZiggo JV (collectively, the </w:t>
      </w:r>
      <w:r>
        <w:rPr>
          <w:rFonts w:ascii="Times New Roman" w:cs="Times New Roman" w:eastAsia="Times New Roman" w:hAnsi="Times New Roman"/>
          <w:sz w:val="17"/>
          <w:szCs w:val="17"/>
          <w:b w:val="1"/>
          <w:bCs w:val="1"/>
          <w:color w:val="auto"/>
        </w:rPr>
        <w:t>NL JV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Services</w:t>
      </w:r>
      <w:r>
        <w:rPr>
          <w:rFonts w:ascii="Times New Roman" w:cs="Times New Roman" w:eastAsia="Times New Roman" w:hAnsi="Times New Roman"/>
          <w:sz w:val="17"/>
          <w:szCs w:val="17"/>
          <w:color w:val="auto"/>
        </w:rPr>
        <w:t>). The NL JV Services provided by Liberty Global consist primarily of (i) technology and other services and (ii) capital-related expenditures for assets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used by, or will otherwise benefit, the VodafoneZiggo JV. Liberty Global charges both fixed and usage-based fees to the VodafoneZiggo JV for the NL JV Services provided pursuant to the NL JV Framework Agreement. We recorded revenue from the VodafoneZiggo JV of $48.2 million and $59.6 million during the three months ended June 30, 2025 and 2024, respectively, and $94.3 million and $121.7 million during the six months ended June 30, 2025 and 2024, respectively, primarily related to (a) the NL JV Services and (b) the sale of CPE to the VodafoneZiggo JV at a mark-up. At June 30, 2025 and December 31, 2024, $48.9 million and $18.5 million, respectively, was due from the VodafoneZiggo JV related to the aforementioned transactions. The amounts due from the VodafoneZiggo JV, which are periodically cash settled, are included in other current assets on our condensed consolidated balance sheets.</w:t>
      </w:r>
    </w:p>
    <w:p>
      <w:pPr>
        <w:spacing w:after="0" w:line="205"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VodafoneZiggo JV is experiencing significant competition in both its fixed-line and mobile operations.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summarized results of operations of the VodafoneZiggo JV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Pr>
          <w:p>
            <w:pPr>
              <w:spacing w:after="0"/>
              <w:rPr>
                <w:sz w:val="15"/>
                <w:szCs w:val="15"/>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5"/>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8"/>
        </w:trPr>
        <w:tc>
          <w:tcPr>
            <w:tcW w:w="6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2,205.6</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14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(157.6)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ind w:left="300"/>
              <w:spacing w:after="0" w:line="191" w:lineRule="exact"/>
              <w:rPr>
                <w:sz w:val="20"/>
                <w:szCs w:val="20"/>
                <w:color w:val="auto"/>
              </w:rPr>
            </w:pPr>
            <w:r>
              <w:rPr>
                <w:rFonts w:ascii="Times New Roman" w:cs="Times New Roman" w:eastAsia="Times New Roman" w:hAnsi="Times New Roman"/>
                <w:sz w:val="17"/>
                <w:szCs w:val="17"/>
                <w:color w:val="auto"/>
              </w:rPr>
              <w:t>(246.6)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(35.5)</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(190.4)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Fair Value Investments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details of our realized and unrealized gains (losses) due to changes in fair values of certain investments,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2060" w:type="dxa"/>
            <w:vAlign w:val="bottom"/>
            <w:gridSpan w:val="4"/>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4"/>
          </w:tcPr>
          <w:p>
            <w:pPr>
              <w:jc w:val="right"/>
              <w:ind w:right="57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61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9"/>
        </w:trPr>
        <w:tc>
          <w:tcPr>
            <w:tcW w:w="61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6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44"/>
        </w:trPr>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Vodafone</w:t>
            </w:r>
          </w:p>
        </w:tc>
        <w:tc>
          <w:tcPr>
            <w:tcW w:w="76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7"/>
                <w:szCs w:val="17"/>
                <w:color w:val="auto"/>
              </w:rPr>
              <w:t>46.5</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ITV</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auto"/>
              </w:rPr>
              <w:t>83.1</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Televisa Univision</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(27.6)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7"/>
                <w:szCs w:val="17"/>
                <w:color w:val="auto"/>
              </w:rPr>
              <w:t>10.7</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Plume</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center"/>
              <w:ind w:left="315"/>
              <w:spacing w:after="0"/>
              <w:rPr>
                <w:sz w:val="20"/>
                <w:szCs w:val="20"/>
                <w:color w:val="auto"/>
              </w:rPr>
            </w:pPr>
            <w:r>
              <w:rPr>
                <w:rFonts w:ascii="Times New Roman" w:cs="Times New Roman" w:eastAsia="Times New Roman" w:hAnsi="Times New Roman"/>
                <w:sz w:val="17"/>
                <w:szCs w:val="17"/>
                <w:color w:val="auto"/>
              </w:rPr>
              <w:t>(27.8)</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Lionsgate (a)</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Aviatrix</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center"/>
              <w:ind w:left="315"/>
              <w:spacing w:after="0"/>
              <w:rPr>
                <w:sz w:val="20"/>
                <w:szCs w:val="20"/>
                <w:color w:val="auto"/>
              </w:rPr>
            </w:pPr>
            <w:r>
              <w:rPr>
                <w:rFonts w:ascii="Times New Roman" w:cs="Times New Roman" w:eastAsia="Times New Roman" w:hAnsi="Times New Roman"/>
                <w:sz w:val="17"/>
                <w:szCs w:val="17"/>
                <w:color w:val="auto"/>
              </w:rPr>
              <w:t>(27.5)</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EdgeConneX</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7"/>
                <w:szCs w:val="17"/>
                <w:color w:val="auto"/>
              </w:rPr>
              <w:t>89.1</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SMAs</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auto"/>
              </w:rPr>
              <w:t>20.9</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Lacework (b)</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(75.6)</w:t>
            </w:r>
          </w:p>
        </w:tc>
      </w:tr>
      <w:tr>
        <w:trPr>
          <w:trHeight w:val="219"/>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(16.5)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7"/>
                <w:szCs w:val="17"/>
                <w:color w:val="auto"/>
              </w:rPr>
              <w:t>(26.0)</w:t>
            </w:r>
          </w:p>
        </w:tc>
      </w:tr>
      <w:tr>
        <w:trPr>
          <w:trHeight w:val="237"/>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7"/>
                <w:szCs w:val="17"/>
                <w:color w:val="auto"/>
              </w:rPr>
              <w:t>83.3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change in fair value of our investment in Lionsgate, both before and after the Lionsgate Separation. Following the Lionsgate Separation, changes in fair value related to our investment in Starz are included in ‘Other, net’ in the above table.</w:t>
      </w:r>
    </w:p>
    <w:p>
      <w:pPr>
        <w:spacing w:after="0" w:line="177"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completed the sale of our investment in Lacework during the third quarter of 2024.</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Debt Securities</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a summary of our debt securities recorded within SMAs at June 30, 2025 and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8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unrealized gains</w:t>
            </w: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95"/>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5"/>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basis</w:t>
            </w: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basis</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unrealized gains</w:t>
            </w: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1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Structured note (a)</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(a)</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(a)</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(a)</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debt securities</w:t>
            </w:r>
          </w:p>
        </w:tc>
        <w:tc>
          <w:tcPr>
            <w:tcW w:w="1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7"/>
        </w:trPr>
        <w:tc>
          <w:tcPr>
            <w:tcW w:w="31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debt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an investment in a leveraged structured note issued by a third-party investment bank, which is accounted for at fair value and has a scheduled maturity date of October 1, 2026. The return on the leveraged structured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jc w:val="both"/>
        <w:ind w:left="460"/>
        <w:spacing w:after="0" w:line="260" w:lineRule="auto"/>
        <w:rPr>
          <w:sz w:val="20"/>
          <w:szCs w:val="20"/>
          <w:color w:val="auto"/>
        </w:rPr>
      </w:pPr>
      <w:r>
        <w:rPr>
          <w:rFonts w:ascii="Times New Roman" w:cs="Times New Roman" w:eastAsia="Times New Roman" w:hAnsi="Times New Roman"/>
          <w:sz w:val="17"/>
          <w:szCs w:val="17"/>
          <w:color w:val="auto"/>
        </w:rPr>
        <w:t>note is based on changes in the fair value of a proportionate amount of debt issued by various Liberty Global consolidated subsidiaries and affiliates (including the VMO2 JV and the VodafoneZiggo JV). The proportionate amount of debt associated with the return on the leveraged structured note may change from time to time as a result of open market purchases, privately negotiated transactions, tender offers, exchange offers, redemptions or prepayments, in each case, completed by Liberty Global consolidated subsidiaries and affiliates. While the structured note itself contains leverage, our at-risk investment is the estimated fair value as reported. The proportionate amount of debt issued by Liberty Global consolidated subsidiaries and affiliates associated with the return on the leveraged structured note is summarized in the following table:</w:t>
      </w:r>
    </w:p>
    <w:p>
      <w:pPr>
        <w:spacing w:after="0" w:line="82"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5800" w:type="dxa"/>
            <w:vAlign w:val="bottom"/>
          </w:tcPr>
          <w:p>
            <w:pPr>
              <w:spacing w:after="0"/>
              <w:rPr>
                <w:sz w:val="15"/>
                <w:szCs w:val="15"/>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380" w:type="dxa"/>
            <w:vAlign w:val="bottom"/>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5"/>
        </w:trPr>
        <w:tc>
          <w:tcPr>
            <w:tcW w:w="5800" w:type="dxa"/>
            <w:vAlign w:val="bottom"/>
          </w:tcPr>
          <w:p>
            <w:pPr>
              <w:spacing w:after="0"/>
              <w:rPr>
                <w:sz w:val="17"/>
                <w:szCs w:val="17"/>
                <w:color w:val="auto"/>
              </w:rPr>
            </w:pPr>
          </w:p>
        </w:tc>
        <w:tc>
          <w:tcPr>
            <w:tcW w:w="13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5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Subsidiary:</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Telenet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32.10 %</w:t>
            </w:r>
          </w:p>
        </w:tc>
      </w:tr>
      <w:tr>
        <w:trPr>
          <w:trHeight w:val="258"/>
        </w:trPr>
        <w:tc>
          <w:tcPr>
            <w:tcW w:w="58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1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Affiliate: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VodafoneZiggo JV</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33.90 %</w:t>
            </w:r>
          </w:p>
        </w:tc>
      </w:tr>
      <w:tr>
        <w:trPr>
          <w:trHeight w:val="219"/>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VMO2 JV</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58"/>
        </w:trPr>
        <w:tc>
          <w:tcPr>
            <w:tcW w:w="58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19"/>
        </w:trPr>
        <w:tc>
          <w:tcPr>
            <w:tcW w:w="5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34.00 %</w:t>
            </w:r>
          </w:p>
        </w:tc>
      </w:tr>
      <w:tr>
        <w:trPr>
          <w:trHeight w:val="237"/>
        </w:trPr>
        <w:tc>
          <w:tcPr>
            <w:tcW w:w="58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represents cash proceeds from redemptions that remain invested in the leveraged structured note.</w:t>
      </w:r>
    </w:p>
    <w:p>
      <w:pPr>
        <w:spacing w:after="0" w:line="24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received proceeds from the sale and maturities of debt securities of nil and $1.2 billion during the three months ended June 30, 2025 and 2024, respectively, and $0.7 billion and $2.3 billion during the six months ended June 30, 2025 and 2024, respectively. The sale of debt securities resulted in realized net gains (losses) of nil and $1.1 million during the three months ended June 30, 2025 and 2024, respectively, and $0.5 million and ($10.1 million) during the six months ended June 30, 2025 and 2024, respectively.</w:t>
      </w:r>
    </w:p>
    <w:p>
      <w:pPr>
        <w:spacing w:after="0" w:line="19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ind w:left="380" w:hanging="377"/>
        <w:spacing w:after="0"/>
        <w:tabs>
          <w:tab w:leader="none" w:pos="3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Derivative Instruments</w:t>
      </w:r>
    </w:p>
    <w:p>
      <w:pPr>
        <w:spacing w:after="0" w:line="247" w:lineRule="exact"/>
        <w:rPr>
          <w:sz w:val="20"/>
          <w:szCs w:val="20"/>
          <w:color w:val="auto"/>
        </w:rPr>
      </w:pPr>
    </w:p>
    <w:p>
      <w:pPr>
        <w:jc w:val="both"/>
        <w:ind w:firstLine="309"/>
        <w:spacing w:after="0" w:line="250" w:lineRule="auto"/>
        <w:rPr>
          <w:sz w:val="20"/>
          <w:szCs w:val="20"/>
          <w:color w:val="auto"/>
        </w:rPr>
      </w:pPr>
      <w:r>
        <w:rPr>
          <w:rFonts w:ascii="Times New Roman" w:cs="Times New Roman" w:eastAsia="Times New Roman" w:hAnsi="Times New Roman"/>
          <w:sz w:val="17"/>
          <w:szCs w:val="17"/>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publicly-traded securities that we own. In this regard, through our subsidiaries, we have entered into various derivative instruments to manage interest rate exposure and foreign currency exposure primarily with respect to the U.S. dollar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the euro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and the British pound sterling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Generally, we only apply hedge accounting to our derivative instruments in limited circumstances. Accordingly, changes in the fair values of most of our derivative instruments are recorded in realized and unrealized gains or losses on derivative instruments, net, in our condensed consolidated statements of operations.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details of the fair values of our derivative instrument assets and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4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Long-term</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Long-term</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8"/>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4"/>
          </w:tcPr>
          <w:p>
            <w:pPr>
              <w:jc w:val="right"/>
              <w:ind w:right="715"/>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57"/>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Cross-currency and interest rate derivative contracts (b)</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623.2</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Equity-related derivative instruments (c)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r>
      <w:tr>
        <w:trPr>
          <w:trHeight w:val="219"/>
        </w:trPr>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currency forward and option contracts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186"/>
        </w:trPr>
        <w:tc>
          <w:tcPr>
            <w:tcW w:w="4160" w:type="dxa"/>
            <w:vAlign w:val="bottom"/>
          </w:tcPr>
          <w:p>
            <w:pPr>
              <w:jc w:val="center"/>
              <w:ind w:right="3074"/>
              <w:spacing w:after="0" w:line="186" w:lineRule="exact"/>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211.7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110.3</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322.0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287.0</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556.9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4"/>
              <w:spacing w:after="0" w:line="186"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843.9</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5"/>
        </w:trPr>
        <w:tc>
          <w:tcPr>
            <w:tcW w:w="4160" w:type="dxa"/>
            <w:vAlign w:val="bottom"/>
            <w:shd w:val="clear" w:color="auto" w:fill="CCEEFF"/>
          </w:tcPr>
          <w:p>
            <w:pPr>
              <w:jc w:val="center"/>
              <w:ind w:right="3054"/>
              <w:spacing w:after="0" w:line="185" w:lineRule="exact"/>
              <w:rPr>
                <w:sz w:val="20"/>
                <w:szCs w:val="20"/>
                <w:color w:val="auto"/>
              </w:rPr>
            </w:pPr>
            <w:r>
              <w:rPr>
                <w:rFonts w:ascii="Times New Roman" w:cs="Times New Roman" w:eastAsia="Times New Roman" w:hAnsi="Times New Roman"/>
                <w:sz w:val="17"/>
                <w:szCs w:val="17"/>
                <w:color w:val="auto"/>
              </w:rPr>
              <w:t>Liabilities (a):</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9"/>
        </w:trPr>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Cross-currency and interest rate derivative contracts (b)</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forward and option contracts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160" w:type="dxa"/>
            <w:vAlign w:val="bottom"/>
            <w:tcBorders>
              <w:top w:val="single" w:sz="8" w:color="CCEEFF"/>
              <w:bottom w:val="single" w:sz="8" w:color="CCEEFF"/>
            </w:tcBorders>
            <w:shd w:val="clear" w:color="auto" w:fill="CCEEFF"/>
          </w:tcPr>
          <w:p>
            <w:pPr>
              <w:jc w:val="center"/>
              <w:ind w:right="3074"/>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long-term derivative assets and current and long-term derivative liabilities are included in other assets, net, other accrued and current liabilities and other long-term liabilities, respectively, on our condensed consolidated balance sheets.</w:t>
      </w:r>
    </w:p>
    <w:p>
      <w:pPr>
        <w:spacing w:after="0" w:line="177" w:lineRule="exact"/>
        <w:rPr>
          <w:rFonts w:ascii="Times New Roman" w:cs="Times New Roman" w:eastAsia="Times New Roman" w:hAnsi="Times New Roman"/>
          <w:sz w:val="17"/>
          <w:szCs w:val="17"/>
          <w:color w:val="auto"/>
        </w:rPr>
      </w:pPr>
    </w:p>
    <w:p>
      <w:pPr>
        <w:jc w:val="both"/>
        <w:ind w:left="460" w:hanging="457"/>
        <w:spacing w:after="0" w:line="260" w:lineRule="auto"/>
        <w:tabs>
          <w:tab w:leader="none" w:pos="45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(losses) of $5.2 million and ($2.2 million) during the three months ended June 30, 2025 and 2024, respectively, and $9.4 million and ($5.5 million) during the six months ended June 30, 2025 and 2024, respectively. These amounts are included in realized and unrealized gains (losses) on derivative instruments, net, in our condensed consolidated statements of operations. For further information regarding our fair value measurements, see note 7.</w:t>
      </w:r>
    </w:p>
    <w:p>
      <w:pPr>
        <w:spacing w:after="0" w:line="199" w:lineRule="exact"/>
        <w:rPr>
          <w:rFonts w:ascii="Times New Roman" w:cs="Times New Roman" w:eastAsia="Times New Roman" w:hAnsi="Times New Roman"/>
          <w:sz w:val="17"/>
          <w:szCs w:val="17"/>
          <w:color w:val="auto"/>
        </w:rPr>
      </w:pPr>
    </w:p>
    <w:p>
      <w:pPr>
        <w:jc w:val="both"/>
        <w:ind w:left="460" w:hanging="457"/>
        <w:spacing w:after="0" w:line="261" w:lineRule="auto"/>
        <w:tabs>
          <w:tab w:leader="none" w:pos="45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equity-related derivative instruments include the Vodafone Collar. The fair value of the Vodafone Collar does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 As further described in note 5, the Vodafone Collar was partially unwound during the second quarter of 2025 and fully unwound in July 2025. For additional information regarding our investment in Vodafone and the related Vodafone Collar Loan, see notes 5 and 9,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details of our realized and unrealized gains (losses) on derivative instruments, net,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Pr>
          <w:p>
            <w:pPr>
              <w:spacing w:after="0"/>
              <w:rPr>
                <w:sz w:val="15"/>
                <w:szCs w:val="15"/>
                <w:color w:val="auto"/>
              </w:rPr>
            </w:pPr>
          </w:p>
        </w:tc>
        <w:tc>
          <w:tcPr>
            <w:tcW w:w="2120" w:type="dxa"/>
            <w:vAlign w:val="bottom"/>
            <w:gridSpan w:val="4"/>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6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9"/>
        </w:trPr>
        <w:tc>
          <w:tcPr>
            <w:tcW w:w="6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7"/>
        </w:trPr>
        <w:tc>
          <w:tcPr>
            <w:tcW w:w="6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Cross-currency and interest rate derivative contracts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Equity-related derivative instruments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forward and option contracts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1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of our derivative instruments:</w:t>
      </w:r>
    </w:p>
    <w:p>
      <w:pPr>
        <w:spacing w:after="0" w:line="88"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7"/>
        </w:trPr>
        <w:tc>
          <w:tcPr>
            <w:tcW w:w="8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60" w:type="dxa"/>
            <w:vAlign w:val="bottom"/>
          </w:tcPr>
          <w:p>
            <w:pPr>
              <w:spacing w:after="0"/>
              <w:rPr>
                <w:sz w:val="17"/>
                <w:szCs w:val="17"/>
                <w:color w:val="auto"/>
              </w:rPr>
            </w:pPr>
          </w:p>
        </w:tc>
      </w:tr>
      <w:tr>
        <w:trPr>
          <w:trHeight w:val="157"/>
        </w:trPr>
        <w:tc>
          <w:tcPr>
            <w:tcW w:w="8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19"/>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2"/>
        </w:trPr>
        <w:tc>
          <w:tcPr>
            <w:tcW w:w="8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155.3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116.6</w:t>
            </w: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Counterparty Credit Risk</w:t>
      </w:r>
    </w:p>
    <w:p>
      <w:pPr>
        <w:spacing w:after="0" w:line="249"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June 30, 2025, our exposure to counterparty credit risk included derivative assets with an aggregate fair value of $82.0 million.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Details of our Derivative Instruments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Cross-currency Swap Contracts</w:t>
      </w:r>
    </w:p>
    <w:p>
      <w:pPr>
        <w:spacing w:after="0" w:line="24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June 30, 2025,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June 30,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tcPr>
          <w:p>
            <w:pPr>
              <w:jc w:val="center"/>
              <w:ind w:right="601"/>
              <w:spacing w:after="0"/>
              <w:rPr>
                <w:sz w:val="20"/>
                <w:szCs w:val="20"/>
                <w:color w:val="auto"/>
              </w:rPr>
            </w:pPr>
            <w:r>
              <w:rPr>
                <w:rFonts w:ascii="Times New Roman" w:cs="Times New Roman" w:eastAsia="Times New Roman" w:hAnsi="Times New Roman"/>
                <w:sz w:val="15"/>
                <w:szCs w:val="15"/>
                <w:b w:val="1"/>
                <w:bCs w:val="1"/>
                <w:color w:val="auto"/>
              </w:rPr>
              <w:t>Notional amount</w:t>
            </w:r>
          </w:p>
        </w:tc>
        <w:tc>
          <w:tcPr>
            <w:tcW w:w="212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Notional amount</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5"/>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jc w:val="center"/>
              <w:ind w:right="601"/>
              <w:spacing w:after="0"/>
              <w:rPr>
                <w:sz w:val="20"/>
                <w:szCs w:val="20"/>
                <w:color w:val="auto"/>
              </w:rPr>
            </w:pPr>
            <w:r>
              <w:rPr>
                <w:rFonts w:ascii="Times New Roman" w:cs="Times New Roman" w:eastAsia="Times New Roman" w:hAnsi="Times New Roman"/>
                <w:sz w:val="15"/>
                <w:szCs w:val="15"/>
                <w:b w:val="1"/>
                <w:bCs w:val="1"/>
                <w:color w:val="auto"/>
              </w:rPr>
              <w:t>due from counterparty</w:t>
            </w:r>
          </w:p>
        </w:tc>
        <w:tc>
          <w:tcPr>
            <w:tcW w:w="212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due to counterparty</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 life</w:t>
            </w:r>
          </w:p>
        </w:tc>
      </w:tr>
      <w:tr>
        <w:trPr>
          <w:trHeight w:val="198"/>
        </w:trPr>
        <w:tc>
          <w:tcPr>
            <w:tcW w:w="46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r>
      <w:tr>
        <w:trPr>
          <w:trHeight w:val="196"/>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24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3,890.0   €</w:t>
            </w:r>
          </w:p>
        </w:tc>
        <w:tc>
          <w:tcPr>
            <w:tcW w:w="21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3,444.4 (a)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284"/>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w:t>
            </w: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15" w:lineRule="exact"/>
        <w:rPr>
          <w:sz w:val="20"/>
          <w:szCs w:val="20"/>
          <w:color w:val="auto"/>
        </w:rPr>
      </w:pPr>
    </w:p>
    <w:p>
      <w:pPr>
        <w:ind w:left="460" w:hanging="457"/>
        <w:spacing w:after="0" w:line="287" w:lineRule="auto"/>
        <w:tabs>
          <w:tab w:leader="none" w:pos="45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certain derivative instruments that are “forward-starting,” such that the initial exchange occurs at a date subsequent to June 30, 2025. These instruments are typically entered into in order to extend existing hedges without the need to amend existing contracts.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Swap Contracts</w:t>
      </w:r>
    </w:p>
    <w:p>
      <w:pPr>
        <w:spacing w:after="0" w:line="249"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total U.S. dollar equivalents of the notional amounts and the related weighted average remaining contractual lives of our interest rate swap contracts at June 30,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20" w:type="dxa"/>
            <w:vAlign w:val="bottom"/>
            <w:gridSpan w:val="4"/>
          </w:tcPr>
          <w:p>
            <w:pPr>
              <w:ind w:left="1100"/>
              <w:spacing w:after="0"/>
              <w:rPr>
                <w:sz w:val="20"/>
                <w:szCs w:val="20"/>
                <w:color w:val="auto"/>
              </w:rPr>
            </w:pPr>
            <w:r>
              <w:rPr>
                <w:rFonts w:ascii="Times New Roman" w:cs="Times New Roman" w:eastAsia="Times New Roman" w:hAnsi="Times New Roman"/>
                <w:sz w:val="15"/>
                <w:szCs w:val="15"/>
                <w:b w:val="1"/>
                <w:bCs w:val="1"/>
                <w:color w:val="auto"/>
              </w:rPr>
              <w:t>Pays fixed rate</w:t>
            </w:r>
          </w:p>
        </w:tc>
        <w:tc>
          <w:tcPr>
            <w:tcW w:w="360" w:type="dxa"/>
            <w:vAlign w:val="bottom"/>
          </w:tcPr>
          <w:p>
            <w:pPr>
              <w:spacing w:after="0"/>
              <w:rPr>
                <w:sz w:val="17"/>
                <w:szCs w:val="17"/>
                <w:color w:val="auto"/>
              </w:rPr>
            </w:pPr>
          </w:p>
        </w:tc>
        <w:tc>
          <w:tcPr>
            <w:tcW w:w="3500" w:type="dxa"/>
            <w:vAlign w:val="bottom"/>
            <w:gridSpan w:val="3"/>
          </w:tcPr>
          <w:p>
            <w:pPr>
              <w:ind w:left="960"/>
              <w:spacing w:after="0"/>
              <w:rPr>
                <w:sz w:val="20"/>
                <w:szCs w:val="20"/>
                <w:color w:val="auto"/>
              </w:rPr>
            </w:pPr>
            <w:r>
              <w:rPr>
                <w:rFonts w:ascii="Times New Roman" w:cs="Times New Roman" w:eastAsia="Times New Roman" w:hAnsi="Times New Roman"/>
                <w:sz w:val="15"/>
                <w:szCs w:val="15"/>
                <w:b w:val="1"/>
                <w:bCs w:val="1"/>
                <w:color w:val="auto"/>
              </w:rPr>
              <w:t>Receives fixed rate</w:t>
            </w:r>
          </w:p>
        </w:tc>
      </w:tr>
      <w:tr>
        <w:trPr>
          <w:trHeight w:val="150"/>
        </w:trPr>
        <w:tc>
          <w:tcPr>
            <w:tcW w:w="34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460"/>
              <w:spacing w:after="0" w:line="151"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186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60"/>
              <w:spacing w:after="0" w:line="151"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186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5"/>
        </w:trPr>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remaining life</w:t>
            </w:r>
          </w:p>
        </w:tc>
        <w:tc>
          <w:tcPr>
            <w:tcW w:w="360" w:type="dxa"/>
            <w:vAlign w:val="bottom"/>
          </w:tcPr>
          <w:p>
            <w:pPr>
              <w:spacing w:after="0"/>
              <w:rPr>
                <w:sz w:val="17"/>
                <w:szCs w:val="17"/>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 life</w:t>
            </w:r>
          </w:p>
        </w:tc>
      </w:tr>
      <w:tr>
        <w:trPr>
          <w:trHeight w:val="198"/>
        </w:trPr>
        <w:tc>
          <w:tcPr>
            <w:tcW w:w="34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81"/>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281"/>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r>
      <w:tr>
        <w:trPr>
          <w:trHeight w:val="157"/>
        </w:trPr>
        <w:tc>
          <w:tcPr>
            <w:tcW w:w="3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4,246.3 (a)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w:t>
            </w: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15" w:lineRule="exact"/>
        <w:rPr>
          <w:sz w:val="20"/>
          <w:szCs w:val="20"/>
          <w:color w:val="auto"/>
        </w:rPr>
      </w:pPr>
    </w:p>
    <w:p>
      <w:pPr>
        <w:ind w:left="460" w:hanging="457"/>
        <w:spacing w:after="0"/>
        <w:tabs>
          <w:tab w:leader="none" w:pos="4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forward-starting derivative instruments.</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Swap Options</w:t>
      </w:r>
    </w:p>
    <w:p>
      <w:pPr>
        <w:spacing w:after="0" w:line="245"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7"/>
          <w:szCs w:val="17"/>
          <w:color w:val="auto"/>
        </w:rPr>
        <w:t>We have entered into various interest rate swap options (</w:t>
      </w:r>
      <w:r>
        <w:rPr>
          <w:rFonts w:ascii="Times New Roman" w:cs="Times New Roman" w:eastAsia="Times New Roman" w:hAnsi="Times New Roman"/>
          <w:sz w:val="17"/>
          <w:szCs w:val="17"/>
          <w:b w:val="1"/>
          <w:bCs w:val="1"/>
          <w:color w:val="auto"/>
        </w:rPr>
        <w:t>swaptions</w:t>
      </w:r>
      <w:r>
        <w:rPr>
          <w:rFonts w:ascii="Times New Roman" w:cs="Times New Roman" w:eastAsia="Times New Roman" w:hAnsi="Times New Roman"/>
          <w:sz w:val="17"/>
          <w:szCs w:val="17"/>
          <w:color w:val="auto"/>
        </w:rPr>
        <w:t>), which give either us or the bank the right, but not the obligation, to enter into certain interest rate swap contracts at set dates in the future, with each such contract having a life of no more than five years. At the transaction date, where we have bought the swaption, the strike rate of the contract was above the corresponding market rate. Where the bank has bought the swaption, the strike rate was below the corresponding market rate. The following table sets forth certain information regarding our swaptions at June 30,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Underlying swap</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Notional amount</w:t>
            </w:r>
          </w:p>
        </w:tc>
        <w:tc>
          <w:tcPr>
            <w:tcW w:w="1540" w:type="dxa"/>
            <w:vAlign w:val="bottom"/>
            <w:gridSpan w:val="2"/>
            <w:vMerge w:val="continue"/>
          </w:tcPr>
          <w:p>
            <w:pPr>
              <w:spacing w:after="0"/>
              <w:rPr>
                <w:sz w:val="13"/>
                <w:szCs w:val="13"/>
                <w:color w:val="auto"/>
              </w:rPr>
            </w:pPr>
          </w:p>
        </w:tc>
        <w:tc>
          <w:tcPr>
            <w:tcW w:w="15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option expiration</w:t>
            </w: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period (a)</w:t>
            </w: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strike rate (b)</w:t>
            </w:r>
          </w:p>
        </w:tc>
        <w:tc>
          <w:tcPr>
            <w:tcW w:w="0" w:type="dxa"/>
            <w:vAlign w:val="bottom"/>
          </w:tcPr>
          <w:p>
            <w:pPr>
              <w:spacing w:after="0"/>
              <w:rPr>
                <w:sz w:val="1"/>
                <w:szCs w:val="1"/>
                <w:color w:val="auto"/>
              </w:rPr>
            </w:pPr>
          </w:p>
        </w:tc>
      </w:tr>
      <w:tr>
        <w:trPr>
          <w:trHeight w:val="198"/>
        </w:trPr>
        <w:tc>
          <w:tcPr>
            <w:tcW w:w="5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Buy position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1,646.8</w:t>
            </w: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3.0%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Sell position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1,646.8</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1.4%</w:t>
            </w:r>
          </w:p>
        </w:tc>
        <w:tc>
          <w:tcPr>
            <w:tcW w:w="0" w:type="dxa"/>
            <w:vAlign w:val="bottom"/>
          </w:tcPr>
          <w:p>
            <w:pPr>
              <w:spacing w:after="0"/>
              <w:rPr>
                <w:sz w:val="1"/>
                <w:szCs w:val="1"/>
                <w:color w:val="auto"/>
              </w:rPr>
            </w:pPr>
          </w:p>
        </w:tc>
      </w:tr>
      <w:tr>
        <w:trPr>
          <w:trHeight w:val="864"/>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858"/>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tabs>
          <w:tab w:leader="none" w:pos="4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 average period until the date on which we have the option to enter into the interest rate swap contracts.</w:t>
      </w:r>
    </w:p>
    <w:p>
      <w:pPr>
        <w:spacing w:after="0" w:line="242" w:lineRule="exact"/>
        <w:rPr>
          <w:rFonts w:ascii="Times New Roman" w:cs="Times New Roman" w:eastAsia="Times New Roman" w:hAnsi="Times New Roman"/>
          <w:sz w:val="17"/>
          <w:szCs w:val="17"/>
          <w:color w:val="auto"/>
        </w:rPr>
      </w:pPr>
    </w:p>
    <w:p>
      <w:pPr>
        <w:ind w:left="460" w:hanging="457"/>
        <w:spacing w:after="0" w:line="287" w:lineRule="auto"/>
        <w:tabs>
          <w:tab w:leader="none" w:pos="45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 average interest rate that we would pay if either we or our counterparties exercised our respective options to enter into the interest rate swap contracts.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Basis Swaps</w:t>
      </w:r>
    </w:p>
    <w:p>
      <w:pPr>
        <w:spacing w:after="0" w:line="24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June 30,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Notional amount due from</w:t>
            </w:r>
          </w:p>
        </w:tc>
        <w:tc>
          <w:tcPr>
            <w:tcW w:w="1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5"/>
        </w:trPr>
        <w:tc>
          <w:tcPr>
            <w:tcW w:w="6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5"/>
                <w:szCs w:val="15"/>
                <w:b w:val="1"/>
                <w:bCs w:val="1"/>
                <w:color w:val="auto"/>
              </w:rPr>
              <w:t>counterparty</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 life</w:t>
            </w:r>
          </w:p>
        </w:tc>
      </w:tr>
      <w:tr>
        <w:trPr>
          <w:trHeight w:val="198"/>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left="139"/>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r>
      <w:tr>
        <w:trPr>
          <w:trHeight w:val="157"/>
        </w:trPr>
        <w:tc>
          <w:tcPr>
            <w:tcW w:w="6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5,895.6</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w:t>
            </w:r>
          </w:p>
        </w:tc>
      </w:tr>
      <w:tr>
        <w:trPr>
          <w:trHeight w:val="206"/>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1,058.6</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w:t>
            </w:r>
          </w:p>
        </w:tc>
      </w:tr>
      <w:tr>
        <w:trPr>
          <w:trHeight w:val="284"/>
        </w:trPr>
        <w:tc>
          <w:tcPr>
            <w:tcW w:w="660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15" w:lineRule="exact"/>
        <w:rPr>
          <w:sz w:val="20"/>
          <w:szCs w:val="20"/>
          <w:color w:val="auto"/>
        </w:rPr>
      </w:pPr>
    </w:p>
    <w:p>
      <w:pPr>
        <w:ind w:left="460" w:hanging="457"/>
        <w:spacing w:after="0"/>
        <w:tabs>
          <w:tab w:leader="none" w:pos="4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forward-starting derivative instruments.</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Caps, Floors and Collars</w:t>
      </w:r>
    </w:p>
    <w:p>
      <w:pPr>
        <w:spacing w:after="0" w:line="24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June 30, 2025, we had no interest rate collar agreements, and the total U.S. dollar equivalents of the notional amounts of our purchased interest rate caps and floors were $1.1 billion and $1.3 billion, respectively.</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Impact of Derivative Instruments on Borrowing Costs</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impact of the derivative instruments that mitigate our foreign currency and interest rate risk, as described above, on our borrowing costs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 to</w:t>
            </w:r>
          </w:p>
        </w:tc>
      </w:tr>
      <w:tr>
        <w:trPr>
          <w:trHeight w:val="155"/>
        </w:trPr>
        <w:tc>
          <w:tcPr>
            <w:tcW w:w="9300" w:type="dxa"/>
            <w:vAlign w:val="bottom"/>
          </w:tcPr>
          <w:p>
            <w:pPr>
              <w:spacing w:after="0"/>
              <w:rPr>
                <w:sz w:val="13"/>
                <w:szCs w:val="13"/>
                <w:color w:val="auto"/>
              </w:rPr>
            </w:pPr>
          </w:p>
        </w:tc>
        <w:tc>
          <w:tcPr>
            <w:tcW w:w="19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borrowing costs at June 30,</w:t>
            </w:r>
          </w:p>
        </w:tc>
      </w:tr>
      <w:tr>
        <w:trPr>
          <w:trHeight w:val="205"/>
        </w:trPr>
        <w:tc>
          <w:tcPr>
            <w:tcW w:w="930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2025 (a)</w:t>
            </w:r>
          </w:p>
        </w:tc>
      </w:tr>
      <w:tr>
        <w:trPr>
          <w:trHeight w:val="187"/>
        </w:trPr>
        <w:tc>
          <w:tcPr>
            <w:tcW w:w="93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12"/>
        </w:trPr>
        <w:tc>
          <w:tcPr>
            <w:tcW w:w="9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decrease to borrowing costs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effect of derivative instruments in effect at June 30, 2025 and does not include forward-starting derivative instruments or swaptions.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Forwards and Options</w:t>
      </w:r>
    </w:p>
    <w:p>
      <w:pPr>
        <w:spacing w:after="0" w:line="249"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Certain of our subsidiaries enter into foreign currency forward and option contracts with respect to non-functional currency exposure. As of June 30, 2025, the total U.S. dollar equivalent of the notional amounts of our foreign currency forward and option contracts was $482.3 million.</w:t>
      </w:r>
    </w:p>
    <w:p>
      <w:pPr>
        <w:spacing w:after="0" w:line="173" w:lineRule="exact"/>
        <w:rPr>
          <w:sz w:val="20"/>
          <w:szCs w:val="20"/>
          <w:color w:val="auto"/>
        </w:rPr>
      </w:pPr>
    </w:p>
    <w:p>
      <w:pPr>
        <w:ind w:left="380" w:hanging="377"/>
        <w:spacing w:after="0"/>
        <w:tabs>
          <w:tab w:leader="none" w:pos="38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24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use the fair value method to account for (i) certain of our investments and (ii) our derivative instruments. The reported fair values of these investments and derivative instruments as of June 30, 2025 are unlikely to represent the value that will be paid or received upon the ultimate settlement or disposition of these assets and liabilities.</w:t>
      </w:r>
    </w:p>
    <w:p>
      <w:pPr>
        <w:spacing w:after="0" w:line="191"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the second quarter of 2025, the Vodafone Collar transferred from Level 3 to Level 2. For additional information regarding the Vodafone Collar see note 5.</w:t>
      </w:r>
    </w:p>
    <w:p>
      <w:pPr>
        <w:spacing w:after="0" w:line="19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6.</w:t>
      </w:r>
    </w:p>
    <w:p>
      <w:pPr>
        <w:spacing w:after="0" w:line="191"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on an income-based approach (discounted cash flows) using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six months ended June 30, 2025 and 2024 we did not perform any significant nonrecurring fair value measurements.</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additional information concerning our fair value measurements, see note 9 to the consolidated financial statements included in our 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our assets and liabilities that are measured at fair value on a recurring basis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6"/>
          </w:tcPr>
          <w:p>
            <w:pPr>
              <w:jc w:val="center"/>
              <w:ind w:left="896"/>
              <w:spacing w:after="0"/>
              <w:rPr>
                <w:sz w:val="20"/>
                <w:szCs w:val="20"/>
                <w:color w:val="auto"/>
              </w:rPr>
            </w:pPr>
            <w:r>
              <w:rPr>
                <w:rFonts w:ascii="Times New Roman" w:cs="Times New Roman" w:eastAsia="Times New Roman" w:hAnsi="Times New Roman"/>
                <w:sz w:val="15"/>
                <w:szCs w:val="15"/>
                <w:b w:val="1"/>
                <w:bCs w:val="1"/>
                <w:color w:val="auto"/>
              </w:rPr>
              <w:t>Fair value measurements at</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June 30, 2025 using:</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100" w:type="dxa"/>
            <w:vAlign w:val="bottom"/>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160" w:type="dxa"/>
            <w:vAlign w:val="bottom"/>
          </w:tcPr>
          <w:p>
            <w:pPr>
              <w:spacing w:after="0"/>
              <w:rPr>
                <w:sz w:val="12"/>
                <w:szCs w:val="12"/>
                <w:color w:val="auto"/>
              </w:rPr>
            </w:pPr>
          </w:p>
        </w:tc>
        <w:tc>
          <w:tcPr>
            <w:tcW w:w="11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3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10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56"/>
              <w:spacing w:after="0" w:line="155"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0" w:type="dxa"/>
            <w:vAlign w:val="bottom"/>
          </w:tcPr>
          <w:p>
            <w:pPr>
              <w:spacing w:after="0"/>
              <w:rPr>
                <w:sz w:val="1"/>
                <w:szCs w:val="1"/>
                <w:color w:val="auto"/>
              </w:rPr>
            </w:pPr>
          </w:p>
        </w:tc>
      </w:tr>
      <w:tr>
        <w:trPr>
          <w:trHeight w:val="15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36"/>
              <w:spacing w:after="0" w:line="155"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100" w:type="dxa"/>
            <w:vAlign w:val="bottom"/>
          </w:tcPr>
          <w:p>
            <w:pPr>
              <w:spacing w:after="0"/>
              <w:rPr>
                <w:sz w:val="13"/>
                <w:szCs w:val="13"/>
                <w:color w:val="auto"/>
              </w:rPr>
            </w:pPr>
          </w:p>
        </w:tc>
        <w:tc>
          <w:tcPr>
            <w:tcW w:w="136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160" w:type="dxa"/>
            <w:vAlign w:val="bottom"/>
          </w:tcPr>
          <w:p>
            <w:pPr>
              <w:spacing w:after="0"/>
              <w:rPr>
                <w:sz w:val="13"/>
                <w:szCs w:val="13"/>
                <w:color w:val="auto"/>
              </w:rPr>
            </w:pPr>
          </w:p>
        </w:tc>
        <w:tc>
          <w:tcPr>
            <w:tcW w:w="1100" w:type="dxa"/>
            <w:vAlign w:val="bottom"/>
          </w:tcPr>
          <w:p>
            <w:pPr>
              <w:jc w:val="center"/>
              <w:ind w:right="76"/>
              <w:spacing w:after="0" w:line="155" w:lineRule="exact"/>
              <w:rPr>
                <w:sz w:val="20"/>
                <w:szCs w:val="20"/>
                <w:color w:val="auto"/>
              </w:rPr>
            </w:pPr>
            <w:r>
              <w:rPr>
                <w:rFonts w:ascii="Times New Roman" w:cs="Times New Roman" w:eastAsia="Times New Roman" w:hAnsi="Times New Roman"/>
                <w:sz w:val="15"/>
                <w:szCs w:val="15"/>
                <w:b w:val="1"/>
                <w:bCs w:val="1"/>
                <w:color w:val="auto"/>
              </w:rPr>
              <w:t>inputs</w:t>
            </w:r>
          </w:p>
        </w:tc>
        <w:tc>
          <w:tcPr>
            <w:tcW w:w="0" w:type="dxa"/>
            <w:vAlign w:val="bottom"/>
          </w:tcPr>
          <w:p>
            <w:pPr>
              <w:spacing w:after="0"/>
              <w:rPr>
                <w:sz w:val="1"/>
                <w:szCs w:val="1"/>
                <w:color w:val="auto"/>
              </w:rPr>
            </w:pPr>
          </w:p>
        </w:tc>
      </w:tr>
      <w:tr>
        <w:trPr>
          <w:trHeight w:val="205"/>
        </w:trPr>
        <w:tc>
          <w:tcPr>
            <w:tcW w:w="5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60" w:type="dxa"/>
            <w:vAlign w:val="bottom"/>
          </w:tcPr>
          <w:p>
            <w:pPr>
              <w:spacing w:after="0"/>
              <w:rPr>
                <w:sz w:val="17"/>
                <w:szCs w:val="17"/>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0" w:type="dxa"/>
            <w:vAlign w:val="bottom"/>
          </w:tcPr>
          <w:p>
            <w:pPr>
              <w:spacing w:after="0"/>
              <w:rPr>
                <w:sz w:val="1"/>
                <w:szCs w:val="1"/>
                <w:color w:val="auto"/>
              </w:rPr>
            </w:pPr>
          </w:p>
        </w:tc>
      </w:tr>
      <w:tr>
        <w:trPr>
          <w:trHeight w:val="198"/>
        </w:trPr>
        <w:tc>
          <w:tcPr>
            <w:tcW w:w="1260" w:type="dxa"/>
            <w:vAlign w:val="bottom"/>
            <w:tcBorders>
              <w:top w:val="single" w:sz="8" w:color="auto"/>
            </w:tcBorders>
          </w:tcPr>
          <w:p>
            <w:pPr>
              <w:spacing w:after="0"/>
              <w:rPr>
                <w:sz w:val="17"/>
                <w:szCs w:val="17"/>
                <w:color w:val="auto"/>
              </w:rPr>
            </w:pPr>
          </w:p>
        </w:tc>
        <w:tc>
          <w:tcPr>
            <w:tcW w:w="4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Derivative instruments: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Cross-currency and interest rate derivative contracts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Equity-related derivative instruments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Foreign currency forward and option contracts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derivative instruments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SMAs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1,367.7</w:t>
            </w:r>
          </w:p>
        </w:tc>
        <w:tc>
          <w:tcPr>
            <w:tcW w:w="0" w:type="dxa"/>
            <w:vAlign w:val="bottom"/>
          </w:tcPr>
          <w:p>
            <w:pPr>
              <w:spacing w:after="0"/>
              <w:rPr>
                <w:sz w:val="1"/>
                <w:szCs w:val="1"/>
                <w:color w:val="auto"/>
              </w:rPr>
            </w:pPr>
          </w:p>
        </w:tc>
      </w:tr>
      <w:tr>
        <w:trPr>
          <w:trHeight w:val="212"/>
        </w:trPr>
        <w:tc>
          <w:tcPr>
            <w:tcW w:w="5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1,367.7</w:t>
            </w:r>
          </w:p>
        </w:tc>
        <w:tc>
          <w:tcPr>
            <w:tcW w:w="0" w:type="dxa"/>
            <w:vAlign w:val="bottom"/>
          </w:tcPr>
          <w:p>
            <w:pPr>
              <w:spacing w:after="0"/>
              <w:rPr>
                <w:sz w:val="1"/>
                <w:szCs w:val="1"/>
                <w:color w:val="auto"/>
              </w:rPr>
            </w:pPr>
          </w:p>
        </w:tc>
      </w:tr>
      <w:tr>
        <w:trPr>
          <w:trHeight w:val="212"/>
        </w:trPr>
        <w:tc>
          <w:tcPr>
            <w:tcW w:w="57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1,367.7</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instruments: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Cross-currency and interest rate derivative contracts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Foreign currency forward and option contracts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 measurements at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2024 using:</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140" w:type="dxa"/>
            <w:vAlign w:val="bottom"/>
          </w:tcPr>
          <w:p>
            <w:pPr>
              <w:spacing w:after="0"/>
              <w:rPr>
                <w:sz w:val="12"/>
                <w:szCs w:val="12"/>
                <w:color w:val="auto"/>
              </w:rPr>
            </w:pPr>
          </w:p>
        </w:tc>
        <w:tc>
          <w:tcPr>
            <w:tcW w:w="11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48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36"/>
              <w:spacing w:after="0" w:line="155"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0" w:type="dxa"/>
            <w:vAlign w:val="bottom"/>
          </w:tcPr>
          <w:p>
            <w:pPr>
              <w:spacing w:after="0"/>
              <w:rPr>
                <w:sz w:val="1"/>
                <w:szCs w:val="1"/>
                <w:color w:val="auto"/>
              </w:rPr>
            </w:pPr>
          </w:p>
        </w:tc>
      </w:tr>
      <w:tr>
        <w:trPr>
          <w:trHeight w:val="155"/>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136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140" w:type="dxa"/>
            <w:vAlign w:val="bottom"/>
          </w:tcPr>
          <w:p>
            <w:pPr>
              <w:spacing w:after="0"/>
              <w:rPr>
                <w:sz w:val="13"/>
                <w:szCs w:val="13"/>
                <w:color w:val="auto"/>
              </w:rPr>
            </w:pPr>
          </w:p>
        </w:tc>
        <w:tc>
          <w:tcPr>
            <w:tcW w:w="1120" w:type="dxa"/>
            <w:vAlign w:val="bottom"/>
          </w:tcPr>
          <w:p>
            <w:pPr>
              <w:jc w:val="center"/>
              <w:ind w:right="56"/>
              <w:spacing w:after="0" w:line="155" w:lineRule="exact"/>
              <w:rPr>
                <w:sz w:val="20"/>
                <w:szCs w:val="20"/>
                <w:color w:val="auto"/>
              </w:rPr>
            </w:pPr>
            <w:r>
              <w:rPr>
                <w:rFonts w:ascii="Times New Roman" w:cs="Times New Roman" w:eastAsia="Times New Roman" w:hAnsi="Times New Roman"/>
                <w:sz w:val="15"/>
                <w:szCs w:val="15"/>
                <w:b w:val="1"/>
                <w:bCs w:val="1"/>
                <w:color w:val="auto"/>
              </w:rPr>
              <w:t>inputs</w:t>
            </w:r>
          </w:p>
        </w:tc>
        <w:tc>
          <w:tcPr>
            <w:tcW w:w="0" w:type="dxa"/>
            <w:vAlign w:val="bottom"/>
          </w:tcPr>
          <w:p>
            <w:pPr>
              <w:spacing w:after="0"/>
              <w:rPr>
                <w:sz w:val="1"/>
                <w:szCs w:val="1"/>
                <w:color w:val="auto"/>
              </w:rPr>
            </w:pPr>
          </w:p>
        </w:tc>
      </w:tr>
      <w:tr>
        <w:trPr>
          <w:trHeight w:val="205"/>
        </w:trPr>
        <w:tc>
          <w:tcPr>
            <w:tcW w:w="5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8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40" w:type="dxa"/>
            <w:vAlign w:val="bottom"/>
          </w:tcPr>
          <w:p>
            <w:pPr>
              <w:spacing w:after="0"/>
              <w:rPr>
                <w:sz w:val="17"/>
                <w:szCs w:val="17"/>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0" w:type="dxa"/>
            <w:vAlign w:val="bottom"/>
          </w:tcPr>
          <w:p>
            <w:pPr>
              <w:spacing w:after="0"/>
              <w:rPr>
                <w:sz w:val="1"/>
                <w:szCs w:val="1"/>
                <w:color w:val="auto"/>
              </w:rPr>
            </w:pPr>
          </w:p>
        </w:tc>
      </w:tr>
      <w:tr>
        <w:trPr>
          <w:trHeight w:val="198"/>
        </w:trPr>
        <w:tc>
          <w:tcPr>
            <w:tcW w:w="1260" w:type="dxa"/>
            <w:vAlign w:val="bottom"/>
            <w:tcBorders>
              <w:top w:val="single" w:sz="8" w:color="auto"/>
            </w:tcBorders>
          </w:tcPr>
          <w:p>
            <w:pPr>
              <w:spacing w:after="0"/>
              <w:rPr>
                <w:sz w:val="17"/>
                <w:szCs w:val="17"/>
                <w:color w:val="auto"/>
              </w:rPr>
            </w:pPr>
          </w:p>
        </w:tc>
        <w:tc>
          <w:tcPr>
            <w:tcW w:w="4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Derivative instruments: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Equity-related derivative instruments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76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derivative instruments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0" w:type="dxa"/>
            <w:vAlign w:val="bottom"/>
          </w:tcPr>
          <w:p>
            <w:pPr>
              <w:spacing w:after="0"/>
              <w:rPr>
                <w:sz w:val="1"/>
                <w:szCs w:val="1"/>
                <w:color w:val="auto"/>
              </w:rPr>
            </w:pPr>
          </w:p>
        </w:tc>
      </w:tr>
      <w:tr>
        <w:trPr>
          <w:trHeight w:val="199"/>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SMAs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Other investments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1,263.8</w:t>
            </w:r>
          </w:p>
        </w:tc>
        <w:tc>
          <w:tcPr>
            <w:tcW w:w="0" w:type="dxa"/>
            <w:vAlign w:val="bottom"/>
          </w:tcPr>
          <w:p>
            <w:pPr>
              <w:spacing w:after="0"/>
              <w:rPr>
                <w:sz w:val="1"/>
                <w:szCs w:val="1"/>
                <w:color w:val="auto"/>
              </w:rPr>
            </w:pPr>
          </w:p>
        </w:tc>
      </w:tr>
      <w:tr>
        <w:trPr>
          <w:trHeight w:val="212"/>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investments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1,263.8</w:t>
            </w:r>
          </w:p>
        </w:tc>
        <w:tc>
          <w:tcPr>
            <w:tcW w:w="0" w:type="dxa"/>
            <w:vAlign w:val="bottom"/>
          </w:tcPr>
          <w:p>
            <w:pPr>
              <w:spacing w:after="0"/>
              <w:rPr>
                <w:sz w:val="1"/>
                <w:szCs w:val="1"/>
                <w:color w:val="auto"/>
              </w:rPr>
            </w:pPr>
          </w:p>
        </w:tc>
      </w:tr>
      <w:tr>
        <w:trPr>
          <w:trHeight w:val="212"/>
        </w:trPr>
        <w:tc>
          <w:tcPr>
            <w:tcW w:w="57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4,087.2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1,477.2</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26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instruments: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Cross-currency and interest rate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7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beginning and ending balances of our assets and liabilities measured at fair value on a recurring basis using significant unobservable,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3, inputs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Equity-related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derivative</w:t>
            </w:r>
          </w:p>
        </w:tc>
        <w:tc>
          <w:tcPr>
            <w:tcW w:w="280" w:type="dxa"/>
            <w:vAlign w:val="bottom"/>
          </w:tcPr>
          <w:p>
            <w:pPr>
              <w:spacing w:after="0"/>
              <w:rPr>
                <w:sz w:val="13"/>
                <w:szCs w:val="13"/>
                <w:color w:val="auto"/>
              </w:rPr>
            </w:pPr>
          </w:p>
        </w:tc>
        <w:tc>
          <w:tcPr>
            <w:tcW w:w="980" w:type="dxa"/>
            <w:vAlign w:val="bottom"/>
            <w:vMerge w:val="restart"/>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7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of net assets at January 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1,477.2</w:t>
            </w:r>
          </w:p>
        </w:tc>
        <w:tc>
          <w:tcPr>
            <w:tcW w:w="0" w:type="dxa"/>
            <w:vAlign w:val="bottom"/>
          </w:tcPr>
          <w:p>
            <w:pPr>
              <w:spacing w:after="0"/>
              <w:rPr>
                <w:sz w:val="1"/>
                <w:szCs w:val="1"/>
                <w:color w:val="auto"/>
              </w:rPr>
            </w:pPr>
          </w:p>
        </w:tc>
      </w:tr>
      <w:tr>
        <w:trPr>
          <w:trHeight w:val="219"/>
        </w:trPr>
        <w:tc>
          <w:tcPr>
            <w:tcW w:w="7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Losses included in loss from continuing operations (a):</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Realized and unrealized losses on derivative instruments,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0" w:type="dxa"/>
            <w:vAlign w:val="bottom"/>
          </w:tcPr>
          <w:p>
            <w:pPr>
              <w:spacing w:after="0"/>
              <w:rPr>
                <w:sz w:val="1"/>
                <w:szCs w:val="1"/>
                <w:color w:val="auto"/>
              </w:rPr>
            </w:pPr>
          </w:p>
        </w:tc>
      </w:tr>
      <w:tr>
        <w:trPr>
          <w:trHeight w:val="219"/>
        </w:trPr>
        <w:tc>
          <w:tcPr>
            <w:tcW w:w="72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Realized and unrealized losses due to changes in fair values of certain investments, net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19"/>
        </w:trPr>
        <w:tc>
          <w:tcPr>
            <w:tcW w:w="7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Transfers out of Level 3</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Foreign currency translation adjustments and other, net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of net assets at June 30, 2025 (b)</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1,367.7</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5540" w:right="1140" w:hanging="5537"/>
        <w:spacing w:after="0" w:line="983" w:lineRule="auto"/>
        <w:tabs>
          <w:tab w:leader="none" w:pos="46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primarily relate to assets and liabilities that we continue to carry on our condensed consolidated balance sheet as of June 30, 2025.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60" w:hanging="457"/>
        <w:spacing w:after="0" w:line="287" w:lineRule="auto"/>
        <w:tabs>
          <w:tab w:leader="none" w:pos="45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2025, $366.6 million of our Level 3 investments were accounted for under the measurement alternative at cost less impairment, adjusted for observable price changes.</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(8)</w:t>
      </w:r>
      <w:r>
        <w:rPr>
          <w:sz w:val="20"/>
          <w:szCs w:val="20"/>
          <w:color w:val="auto"/>
        </w:rPr>
        <w:tab/>
      </w:r>
      <w:r>
        <w:rPr>
          <w:rFonts w:ascii="Times New Roman" w:cs="Times New Roman" w:eastAsia="Times New Roman" w:hAnsi="Times New Roman"/>
          <w:sz w:val="16"/>
          <w:szCs w:val="16"/>
          <w:b w:val="1"/>
          <w:bCs w:val="1"/>
          <w:u w:val="single" w:color="auto"/>
          <w:color w:val="auto"/>
        </w:rPr>
        <w:t>Long-lived Assets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details of our property and equipment and the related accumulated depreciation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Pr>
          <w:p>
            <w:pPr>
              <w:spacing w:after="0"/>
              <w:rPr>
                <w:sz w:val="15"/>
                <w:szCs w:val="15"/>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5"/>
        </w:trPr>
        <w:tc>
          <w:tcPr>
            <w:tcW w:w="8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4"/>
          </w:tcPr>
          <w:p>
            <w:pPr>
              <w:jc w:val="right"/>
              <w:ind w:right="936"/>
              <w:spacing w:after="0"/>
              <w:rPr>
                <w:sz w:val="20"/>
                <w:szCs w:val="20"/>
                <w:color w:val="auto"/>
              </w:rPr>
            </w:pPr>
            <w:r>
              <w:rPr>
                <w:rFonts w:ascii="Times New Roman" w:cs="Times New Roman" w:eastAsia="Times New Roman" w:hAnsi="Times New Roman"/>
                <w:sz w:val="15"/>
                <w:szCs w:val="15"/>
                <w:b w:val="1"/>
                <w:bCs w:val="1"/>
                <w:color w:val="auto"/>
              </w:rPr>
              <w:t>in millions</w:t>
            </w:r>
          </w:p>
        </w:tc>
      </w:tr>
      <w:tr>
        <w:trPr>
          <w:trHeight w:val="196"/>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systems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5,702.7</w:t>
            </w:r>
          </w:p>
        </w:tc>
      </w:tr>
      <w:tr>
        <w:trPr>
          <w:trHeight w:val="21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Support equipment, buildings and land</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2,518.0</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CPE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843.1</w:t>
            </w:r>
          </w:p>
        </w:tc>
      </w:tr>
      <w:tr>
        <w:trPr>
          <w:trHeight w:val="212"/>
        </w:trPr>
        <w:tc>
          <w:tcPr>
            <w:tcW w:w="8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property and equipment, gross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9,063.8</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(4,737.8)</w:t>
            </w:r>
          </w:p>
        </w:tc>
      </w:tr>
      <w:tr>
        <w:trPr>
          <w:trHeight w:val="212"/>
        </w:trPr>
        <w:tc>
          <w:tcPr>
            <w:tcW w:w="8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4,326.0</w:t>
            </w: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2025 and 2024, we recorded non-cash increases to our property and equipment related to vendor financing arrangements of $32.1 million and $41.6 million, respectively, which exclude related value-added taxes (</w:t>
      </w:r>
      <w:r>
        <w:rPr>
          <w:rFonts w:ascii="Times New Roman" w:cs="Times New Roman" w:eastAsia="Times New Roman" w:hAnsi="Times New Roman"/>
          <w:sz w:val="17"/>
          <w:szCs w:val="17"/>
          <w:b w:val="1"/>
          <w:bCs w:val="1"/>
          <w:color w:val="auto"/>
        </w:rPr>
        <w:t>VAT</w:t>
      </w:r>
      <w:r>
        <w:rPr>
          <w:rFonts w:ascii="Times New Roman" w:cs="Times New Roman" w:eastAsia="Times New Roman" w:hAnsi="Times New Roman"/>
          <w:sz w:val="17"/>
          <w:szCs w:val="17"/>
          <w:color w:val="auto"/>
        </w:rPr>
        <w:t>) of $4.8 million and $5.3 million, respectively, that were also financed under these arrangements.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Changes in the carrying amount of our goodwill during the six months ended June 30, 2025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Foreign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Acquisitions</w:t>
            </w:r>
          </w:p>
        </w:tc>
        <w:tc>
          <w:tcPr>
            <w:tcW w:w="100" w:type="dxa"/>
            <w:vAlign w:val="bottom"/>
          </w:tcPr>
          <w:p>
            <w:pPr>
              <w:spacing w:after="0"/>
              <w:rPr>
                <w:sz w:val="13"/>
                <w:szCs w:val="13"/>
                <w:color w:val="auto"/>
              </w:rPr>
            </w:pPr>
          </w:p>
        </w:tc>
        <w:tc>
          <w:tcPr>
            <w:tcW w:w="13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240" w:type="dxa"/>
            <w:vAlign w:val="bottom"/>
          </w:tcPr>
          <w:p>
            <w:pPr>
              <w:spacing w:after="0"/>
              <w:rPr>
                <w:sz w:val="13"/>
                <w:szCs w:val="13"/>
                <w:color w:val="auto"/>
              </w:rPr>
            </w:pPr>
          </w:p>
        </w:tc>
        <w:tc>
          <w:tcPr>
            <w:tcW w:w="1080" w:type="dxa"/>
            <w:vAlign w:val="bottom"/>
            <w:vMerge w:val="restart"/>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January 1, 2025</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rPr>
              <w:t>and related</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adjustments and</w:t>
            </w:r>
          </w:p>
        </w:tc>
        <w:tc>
          <w:tcPr>
            <w:tcW w:w="2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ind w:left="84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3,020.1</w:t>
            </w:r>
          </w:p>
        </w:tc>
        <w:tc>
          <w:tcPr>
            <w:tcW w:w="0" w:type="dxa"/>
            <w:vAlign w:val="bottom"/>
          </w:tcPr>
          <w:p>
            <w:pPr>
              <w:spacing w:after="0"/>
              <w:rPr>
                <w:sz w:val="1"/>
                <w:szCs w:val="1"/>
                <w:color w:val="auto"/>
              </w:rPr>
            </w:pPr>
          </w:p>
        </w:tc>
      </w:tr>
      <w:tr>
        <w:trPr>
          <w:trHeight w:val="219"/>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w:t>
            </w:r>
          </w:p>
        </w:tc>
        <w:tc>
          <w:tcPr>
            <w:tcW w:w="0" w:type="dxa"/>
            <w:vAlign w:val="bottom"/>
          </w:tcPr>
          <w:p>
            <w:pPr>
              <w:spacing w:after="0"/>
              <w:rPr>
                <w:sz w:val="1"/>
                <w:szCs w:val="1"/>
                <w:color w:val="auto"/>
              </w:rPr>
            </w:pPr>
          </w:p>
        </w:tc>
      </w:tr>
      <w:tr>
        <w:trPr>
          <w:trHeight w:val="212"/>
        </w:trPr>
        <w:tc>
          <w:tcPr>
            <w:tcW w:w="5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3,152.6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3,601.0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Subject to Amortization, Net</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details of our intangible assets subject to amortization are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50"/>
        </w:trPr>
        <w:tc>
          <w:tcPr>
            <w:tcW w:w="3500" w:type="dxa"/>
            <w:vAlign w:val="bottom"/>
          </w:tcPr>
          <w:p>
            <w:pPr>
              <w:spacing w:after="0"/>
              <w:rPr>
                <w:sz w:val="13"/>
                <w:szCs w:val="13"/>
                <w:color w:val="auto"/>
              </w:rPr>
            </w:pPr>
          </w:p>
        </w:tc>
        <w:tc>
          <w:tcPr>
            <w:tcW w:w="1280" w:type="dxa"/>
            <w:vAlign w:val="bottom"/>
            <w:gridSpan w:val="3"/>
          </w:tcPr>
          <w:p>
            <w:pPr>
              <w:jc w:val="center"/>
              <w:ind w:right="80"/>
              <w:spacing w:after="0" w:line="151"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3"/>
                <w:szCs w:val="13"/>
                <w:color w:val="auto"/>
              </w:rPr>
            </w:pPr>
          </w:p>
        </w:tc>
        <w:tc>
          <w:tcPr>
            <w:tcW w:w="1040" w:type="dxa"/>
            <w:vAlign w:val="bottom"/>
          </w:tcPr>
          <w:p>
            <w:pPr>
              <w:jc w:val="center"/>
              <w:ind w:right="78"/>
              <w:spacing w:after="0" w:line="151" w:lineRule="exact"/>
              <w:rPr>
                <w:sz w:val="20"/>
                <w:szCs w:val="20"/>
                <w:color w:val="auto"/>
              </w:rPr>
            </w:pPr>
            <w:r>
              <w:rPr>
                <w:rFonts w:ascii="Times New Roman" w:cs="Times New Roman" w:eastAsia="Times New Roman" w:hAnsi="Times New Roman"/>
                <w:sz w:val="15"/>
                <w:szCs w:val="15"/>
                <w:b w:val="1"/>
                <w:bCs w:val="1"/>
                <w:color w:val="auto"/>
              </w:rPr>
              <w:t>Net carrying</w:t>
            </w:r>
          </w:p>
        </w:tc>
        <w:tc>
          <w:tcPr>
            <w:tcW w:w="100" w:type="dxa"/>
            <w:vAlign w:val="bottom"/>
          </w:tcPr>
          <w:p>
            <w:pPr>
              <w:spacing w:after="0"/>
              <w:rPr>
                <w:sz w:val="13"/>
                <w:szCs w:val="13"/>
                <w:color w:val="auto"/>
              </w:rPr>
            </w:pPr>
          </w:p>
        </w:tc>
        <w:tc>
          <w:tcPr>
            <w:tcW w:w="128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Pr>
          <w:p>
            <w:pPr>
              <w:spacing w:after="0"/>
              <w:rPr>
                <w:sz w:val="13"/>
                <w:szCs w:val="13"/>
                <w:color w:val="auto"/>
              </w:rPr>
            </w:pPr>
          </w:p>
        </w:tc>
        <w:tc>
          <w:tcPr>
            <w:tcW w:w="120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3"/>
                <w:szCs w:val="13"/>
                <w:color w:val="auto"/>
              </w:rPr>
            </w:pPr>
          </w:p>
        </w:tc>
        <w:tc>
          <w:tcPr>
            <w:tcW w:w="1040" w:type="dxa"/>
            <w:vAlign w:val="bottom"/>
          </w:tcPr>
          <w:p>
            <w:pPr>
              <w:jc w:val="right"/>
              <w:ind w:right="77"/>
              <w:spacing w:after="0" w:line="151" w:lineRule="exact"/>
              <w:rPr>
                <w:sz w:val="20"/>
                <w:szCs w:val="20"/>
                <w:color w:val="auto"/>
              </w:rPr>
            </w:pPr>
            <w:r>
              <w:rPr>
                <w:rFonts w:ascii="Times New Roman" w:cs="Times New Roman" w:eastAsia="Times New Roman" w:hAnsi="Times New Roman"/>
                <w:sz w:val="15"/>
                <w:szCs w:val="15"/>
                <w:b w:val="1"/>
                <w:bCs w:val="1"/>
                <w:color w:val="auto"/>
              </w:rPr>
              <w:t>Net carrying</w:t>
            </w:r>
          </w:p>
        </w:tc>
      </w:tr>
      <w:tr>
        <w:trPr>
          <w:trHeight w:val="205"/>
        </w:trPr>
        <w:tc>
          <w:tcPr>
            <w:tcW w:w="3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98"/>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57"/>
        </w:trPr>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Licenses (a)</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1,061.2</w:t>
            </w: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r>
      <w:tr>
        <w:trPr>
          <w:trHeight w:val="21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2,177.2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1,914.8</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1,290.4</w:t>
            </w: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includes amounts related to (i) certain mobile spectrum licenses and (ii) a licensing agreement with the Federation Internationale l’Automobile that provides Formula E with the exclusive rights to operate an electric motor racing championship.</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ind w:left="380" w:hanging="377"/>
        <w:spacing w:after="0"/>
        <w:tabs>
          <w:tab w:leader="none" w:pos="38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Debt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U.S. dollar equivalents of the components of our debt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3"/>
          </w:tcPr>
          <w:p>
            <w:pPr>
              <w:jc w:val="right"/>
              <w:ind w:right="657"/>
              <w:spacing w:after="0" w:line="151" w:lineRule="exact"/>
              <w:rPr>
                <w:sz w:val="20"/>
                <w:szCs w:val="20"/>
                <w:color w:val="auto"/>
              </w:rPr>
            </w:pPr>
            <w:r>
              <w:rPr>
                <w:rFonts w:ascii="Times New Roman" w:cs="Times New Roman" w:eastAsia="Times New Roman" w:hAnsi="Times New Roman"/>
                <w:sz w:val="15"/>
                <w:szCs w:val="15"/>
                <w:b w:val="1"/>
                <w:bCs w:val="1"/>
                <w:color w:val="auto"/>
              </w:rPr>
              <w:t>Unused borrowing</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2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540" w:type="dxa"/>
            <w:vAlign w:val="bottom"/>
            <w:gridSpan w:val="3"/>
            <w:vMerge w:val="restart"/>
          </w:tcPr>
          <w:p>
            <w:pPr>
              <w:jc w:val="right"/>
              <w:ind w:right="877"/>
              <w:spacing w:after="0"/>
              <w:rPr>
                <w:sz w:val="20"/>
                <w:szCs w:val="20"/>
                <w:color w:val="auto"/>
              </w:rPr>
            </w:pPr>
            <w:r>
              <w:rPr>
                <w:rFonts w:ascii="Times New Roman" w:cs="Times New Roman" w:eastAsia="Times New Roman" w:hAnsi="Times New Roman"/>
                <w:sz w:val="15"/>
                <w:szCs w:val="15"/>
                <w:b w:val="1"/>
                <w:bCs w:val="1"/>
                <w:color w:val="auto"/>
              </w:rPr>
              <w:t>capacity (b)</w:t>
            </w:r>
          </w:p>
        </w:tc>
        <w:tc>
          <w:tcPr>
            <w:tcW w:w="10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2400" w:type="dxa"/>
            <w:vAlign w:val="bottom"/>
            <w:gridSpan w:val="4"/>
            <w:vMerge w:val="restart"/>
          </w:tcPr>
          <w:p>
            <w:pPr>
              <w:jc w:val="right"/>
              <w:ind w:right="716"/>
              <w:spacing w:after="0"/>
              <w:rPr>
                <w:sz w:val="20"/>
                <w:szCs w:val="20"/>
                <w:color w:val="auto"/>
              </w:rPr>
            </w:pPr>
            <w:r>
              <w:rPr>
                <w:rFonts w:ascii="Times New Roman" w:cs="Times New Roman" w:eastAsia="Times New Roman" w:hAnsi="Times New Roman"/>
                <w:sz w:val="15"/>
                <w:szCs w:val="15"/>
                <w:b w:val="1"/>
                <w:bCs w:val="1"/>
                <w:color w:val="auto"/>
              </w:rPr>
              <w:t>Principal amount</w:t>
            </w:r>
          </w:p>
        </w:tc>
        <w:tc>
          <w:tcPr>
            <w:tcW w:w="0" w:type="dxa"/>
            <w:vAlign w:val="bottom"/>
          </w:tcPr>
          <w:p>
            <w:pPr>
              <w:spacing w:after="0"/>
              <w:rPr>
                <w:sz w:val="1"/>
                <w:szCs w:val="1"/>
                <w:color w:val="auto"/>
              </w:rPr>
            </w:pPr>
          </w:p>
        </w:tc>
      </w:tr>
      <w:tr>
        <w:trPr>
          <w:trHeight w:val="115"/>
        </w:trPr>
        <w:tc>
          <w:tcPr>
            <w:tcW w:w="4280" w:type="dxa"/>
            <w:vAlign w:val="bottom"/>
          </w:tcPr>
          <w:p>
            <w:pPr>
              <w:spacing w:after="0"/>
              <w:rPr>
                <w:sz w:val="9"/>
                <w:szCs w:val="9"/>
                <w:color w:val="auto"/>
              </w:rPr>
            </w:pPr>
          </w:p>
        </w:tc>
        <w:tc>
          <w:tcPr>
            <w:tcW w:w="130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5"/>
                <w:szCs w:val="15"/>
                <w:b w:val="1"/>
                <w:bCs w:val="1"/>
                <w:color w:val="auto"/>
              </w:rPr>
              <w:t>Borrowing</w:t>
            </w: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U.S. $</w:t>
            </w:r>
          </w:p>
        </w:tc>
        <w:tc>
          <w:tcPr>
            <w:tcW w:w="36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Pr>
          <w:p>
            <w:pPr>
              <w:spacing w:after="0"/>
              <w:rPr>
                <w:sz w:val="15"/>
                <w:szCs w:val="15"/>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42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rate (a)</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equivalent</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8"/>
        </w:trPr>
        <w:tc>
          <w:tcPr>
            <w:tcW w:w="4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 Credit Facility (c)</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645.0</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4,364.8</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Telenet Senior Secured Notes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1,558.8</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VM Ireland Credit Facility (d)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931.4</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Vodafone Collar Loan (e)</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1,301.9</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financing (f)</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355.9</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(g)</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0" w:type="dxa"/>
            <w:vAlign w:val="bottom"/>
          </w:tcPr>
          <w:p>
            <w:pPr>
              <w:spacing w:after="0"/>
              <w:rPr>
                <w:sz w:val="1"/>
                <w:szCs w:val="1"/>
                <w:color w:val="auto"/>
              </w:rPr>
            </w:pPr>
          </w:p>
        </w:tc>
      </w:tr>
      <w:tr>
        <w:trPr>
          <w:trHeight w:val="148"/>
        </w:trPr>
        <w:tc>
          <w:tcPr>
            <w:tcW w:w="4280" w:type="dxa"/>
            <w:vAlign w:val="bottom"/>
            <w:tcBorders>
              <w:top w:val="single" w:sz="8" w:color="CCEEFF"/>
            </w:tcBorders>
            <w:shd w:val="clear" w:color="auto" w:fill="CCEEFF"/>
          </w:tcPr>
          <w:p>
            <w:pPr>
              <w:ind w:left="180"/>
              <w:spacing w:after="0" w:line="148" w:lineRule="exact"/>
              <w:rPr>
                <w:sz w:val="20"/>
                <w:szCs w:val="20"/>
                <w:color w:val="auto"/>
              </w:rPr>
            </w:pPr>
            <w:r>
              <w:rPr>
                <w:rFonts w:ascii="Times New Roman" w:cs="Times New Roman" w:eastAsia="Times New Roman" w:hAnsi="Times New Roman"/>
                <w:sz w:val="17"/>
                <w:szCs w:val="17"/>
                <w:color w:val="auto"/>
              </w:rPr>
              <w:t>Total debt before deferred financing costs, discounts and</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4.91 %</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876.3</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vMerge w:val="restart"/>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9,145.0</w:t>
            </w:r>
          </w:p>
        </w:tc>
        <w:tc>
          <w:tcPr>
            <w:tcW w:w="0" w:type="dxa"/>
            <w:vAlign w:val="bottom"/>
          </w:tcPr>
          <w:p>
            <w:pPr>
              <w:spacing w:after="0"/>
              <w:rPr>
                <w:sz w:val="1"/>
                <w:szCs w:val="1"/>
                <w:color w:val="auto"/>
              </w:rPr>
            </w:pPr>
          </w:p>
        </w:tc>
      </w:tr>
      <w:tr>
        <w:trPr>
          <w:trHeight w:val="226"/>
        </w:trPr>
        <w:tc>
          <w:tcPr>
            <w:tcW w:w="4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premiums (h)</w:t>
            </w: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a reconciliation of total debt before deferred financing costs, discounts and premiums to total debt and finance lease obligations: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Pr>
          <w:p>
            <w:pPr>
              <w:spacing w:after="0"/>
              <w:rPr>
                <w:sz w:val="15"/>
                <w:szCs w:val="15"/>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5"/>
        </w:trPr>
        <w:tc>
          <w:tcPr>
            <w:tcW w:w="8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4"/>
          </w:tcPr>
          <w:p>
            <w:pPr>
              <w:jc w:val="right"/>
              <w:ind w:right="956"/>
              <w:spacing w:after="0"/>
              <w:rPr>
                <w:sz w:val="20"/>
                <w:szCs w:val="20"/>
                <w:color w:val="auto"/>
              </w:rPr>
            </w:pPr>
            <w:r>
              <w:rPr>
                <w:rFonts w:ascii="Times New Roman" w:cs="Times New Roman" w:eastAsia="Times New Roman" w:hAnsi="Times New Roman"/>
                <w:sz w:val="15"/>
                <w:szCs w:val="15"/>
                <w:b w:val="1"/>
                <w:bCs w:val="1"/>
                <w:color w:val="auto"/>
              </w:rPr>
              <w:t>in millions</w:t>
            </w:r>
          </w:p>
        </w:tc>
      </w:tr>
      <w:tr>
        <w:trPr>
          <w:trHeight w:val="157"/>
        </w:trPr>
        <w:tc>
          <w:tcPr>
            <w:tcW w:w="8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 before deferred financing costs, discounts and premiums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9,145.0</w:t>
            </w:r>
          </w:p>
        </w:tc>
      </w:tr>
      <w:tr>
        <w:trPr>
          <w:trHeight w:val="21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costs, discounts and premiums, net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12"/>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carrying amount of debt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9,066.9</w:t>
            </w:r>
          </w:p>
        </w:tc>
      </w:tr>
      <w:tr>
        <w:trPr>
          <w:trHeight w:val="21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obligations (note 10)</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12"/>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debt and finance lease obligations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9,101.0</w:t>
            </w:r>
          </w:p>
        </w:tc>
      </w:tr>
      <w:tr>
        <w:trPr>
          <w:trHeight w:val="21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Current portion of debt and finance lease obligations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(898.5)</w:t>
            </w: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and finance lease obligations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8,202.5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jc w:val="both"/>
        <w:ind w:left="460" w:hanging="457"/>
        <w:spacing w:after="0" w:line="258" w:lineRule="auto"/>
        <w:tabs>
          <w:tab w:leader="none" w:pos="45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 average interest rate in effect at June 30, 2025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3.74% at June 30, 2025. The weighted average interest rate calculation includes principal amounts outstanding associated with all of our secured and unsecured borrowings. For information regarding our derivative instruments, see note 6.</w:t>
      </w:r>
    </w:p>
    <w:p>
      <w:pPr>
        <w:spacing w:after="0" w:line="204" w:lineRule="exact"/>
        <w:rPr>
          <w:rFonts w:ascii="Times New Roman" w:cs="Times New Roman" w:eastAsia="Times New Roman" w:hAnsi="Times New Roman"/>
          <w:sz w:val="17"/>
          <w:szCs w:val="17"/>
          <w:color w:val="auto"/>
        </w:rPr>
      </w:pPr>
    </w:p>
    <w:p>
      <w:pPr>
        <w:jc w:val="both"/>
        <w:ind w:left="460" w:hanging="457"/>
        <w:spacing w:after="0" w:line="264" w:lineRule="auto"/>
        <w:tabs>
          <w:tab w:leader="none" w:pos="45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Unused borrowing capacity represents the maximum availability under the applicable facility at June 30, 2025 without regard to covenant compliance calculations or other conditions precedent to borrowing. The following table provides our borrowing availability and amounts available to loan or distribute in accordance with the terms of the respective subsidiary facilities (i) at June 30, 2025 and (ii) upon completion of the relevant June 30, 2025 compliance reporting requirements. These amounts do not consider any actual or potential changes to our borrowing levels or any amounts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left="460"/>
        <w:spacing w:after="0" w:line="287" w:lineRule="auto"/>
        <w:rPr>
          <w:sz w:val="20"/>
          <w:szCs w:val="20"/>
          <w:color w:val="auto"/>
        </w:rPr>
      </w:pPr>
      <w:r>
        <w:rPr>
          <w:rFonts w:ascii="Times New Roman" w:cs="Times New Roman" w:eastAsia="Times New Roman" w:hAnsi="Times New Roman"/>
          <w:sz w:val="17"/>
          <w:szCs w:val="17"/>
          <w:color w:val="auto"/>
        </w:rPr>
        <w:t>loaned or distributed subsequent to June 30, 2025, or the full impact of additional amounts that may be available to borrow, loan or distribute under certain defined baskets within each respective facility.</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877"/>
              <w:spacing w:after="0"/>
              <w:rPr>
                <w:sz w:val="20"/>
                <w:szCs w:val="20"/>
                <w:color w:val="auto"/>
              </w:rPr>
            </w:pPr>
            <w:r>
              <w:rPr>
                <w:rFonts w:ascii="Times New Roman" w:cs="Times New Roman" w:eastAsia="Times New Roman" w:hAnsi="Times New Roman"/>
                <w:sz w:val="15"/>
                <w:szCs w:val="15"/>
                <w:b w:val="1"/>
                <w:bCs w:val="1"/>
                <w:color w:val="auto"/>
              </w:rPr>
              <w:t>Availability</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3"/>
            <w:vMerge w:val="restart"/>
          </w:tcPr>
          <w:p>
            <w:pPr>
              <w:jc w:val="right"/>
              <w:ind w:right="758"/>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840" w:type="dxa"/>
            <w:vAlign w:val="bottom"/>
            <w:gridSpan w:val="5"/>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Upon completion of the relevant June 30,</w:t>
            </w:r>
          </w:p>
        </w:tc>
        <w:tc>
          <w:tcPr>
            <w:tcW w:w="0" w:type="dxa"/>
            <w:vAlign w:val="bottom"/>
          </w:tcPr>
          <w:p>
            <w:pPr>
              <w:spacing w:after="0"/>
              <w:rPr>
                <w:sz w:val="1"/>
                <w:szCs w:val="1"/>
                <w:color w:val="auto"/>
              </w:rPr>
            </w:pPr>
          </w:p>
        </w:tc>
      </w:tr>
      <w:tr>
        <w:trPr>
          <w:trHeight w:val="205"/>
        </w:trPr>
        <w:tc>
          <w:tcPr>
            <w:tcW w:w="4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2025 compliance reporting requirements</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218"/>
              <w:spacing w:after="0" w:line="149" w:lineRule="exact"/>
              <w:rPr>
                <w:sz w:val="20"/>
                <w:szCs w:val="20"/>
                <w:color w:val="auto"/>
              </w:rPr>
            </w:pPr>
            <w:r>
              <w:rPr>
                <w:rFonts w:ascii="Times New Roman" w:cs="Times New Roman" w:eastAsia="Times New Roman" w:hAnsi="Times New Roman"/>
                <w:sz w:val="15"/>
                <w:szCs w:val="15"/>
                <w:b w:val="1"/>
                <w:bCs w:val="1"/>
                <w:color w:val="auto"/>
              </w:rPr>
              <w:t>Borrowing</w:t>
            </w:r>
          </w:p>
        </w:tc>
        <w:tc>
          <w:tcPr>
            <w:tcW w:w="280" w:type="dxa"/>
            <w:vAlign w:val="bottom"/>
          </w:tcPr>
          <w:p>
            <w:pPr>
              <w:spacing w:after="0"/>
              <w:rPr>
                <w:sz w:val="12"/>
                <w:szCs w:val="12"/>
                <w:color w:val="auto"/>
              </w:rPr>
            </w:pPr>
          </w:p>
        </w:tc>
        <w:tc>
          <w:tcPr>
            <w:tcW w:w="1040" w:type="dxa"/>
            <w:vAlign w:val="bottom"/>
          </w:tcPr>
          <w:p>
            <w:pPr>
              <w:jc w:val="right"/>
              <w:ind w:right="338"/>
              <w:spacing w:after="0" w:line="149" w:lineRule="exact"/>
              <w:rPr>
                <w:sz w:val="20"/>
                <w:szCs w:val="20"/>
                <w:color w:val="auto"/>
              </w:rPr>
            </w:pPr>
            <w:r>
              <w:rPr>
                <w:rFonts w:ascii="Times New Roman" w:cs="Times New Roman" w:eastAsia="Times New Roman" w:hAnsi="Times New Roman"/>
                <w:sz w:val="15"/>
                <w:szCs w:val="15"/>
                <w:b w:val="1"/>
                <w:bCs w:val="1"/>
                <w:color w:val="auto"/>
              </w:rPr>
              <w:t>U.S.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5"/>
                <w:szCs w:val="15"/>
                <w:b w:val="1"/>
                <w:bCs w:val="1"/>
                <w:color w:val="auto"/>
              </w:rPr>
              <w:t>Borrowing</w:t>
            </w:r>
          </w:p>
        </w:tc>
        <w:tc>
          <w:tcPr>
            <w:tcW w:w="280" w:type="dxa"/>
            <w:vAlign w:val="bottom"/>
          </w:tcPr>
          <w:p>
            <w:pPr>
              <w:spacing w:after="0"/>
              <w:rPr>
                <w:sz w:val="12"/>
                <w:szCs w:val="12"/>
                <w:color w:val="auto"/>
              </w:rPr>
            </w:pPr>
          </w:p>
        </w:tc>
        <w:tc>
          <w:tcPr>
            <w:tcW w:w="110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5"/>
                <w:szCs w:val="15"/>
                <w:b w:val="1"/>
                <w:bCs w:val="1"/>
                <w:color w:val="auto"/>
              </w:rPr>
              <w:t>U.S. $</w:t>
            </w:r>
          </w:p>
        </w:tc>
        <w:tc>
          <w:tcPr>
            <w:tcW w:w="0" w:type="dxa"/>
            <w:vAlign w:val="bottom"/>
          </w:tcPr>
          <w:p>
            <w:pPr>
              <w:spacing w:after="0"/>
              <w:rPr>
                <w:sz w:val="1"/>
                <w:szCs w:val="1"/>
                <w:color w:val="auto"/>
              </w:rPr>
            </w:pPr>
          </w:p>
        </w:tc>
      </w:tr>
      <w:tr>
        <w:trPr>
          <w:trHeight w:val="205"/>
        </w:trPr>
        <w:tc>
          <w:tcPr>
            <w:tcW w:w="4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equivalent</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equivalent</w:t>
            </w: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gridSpan w:val="4"/>
          </w:tcPr>
          <w:p>
            <w:pPr>
              <w:jc w:val="right"/>
              <w:ind w:right="897"/>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 to borrow:</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Telenet Credit Facility</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645.0</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758.7</w:t>
            </w: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645.0</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758.7</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VM Ireland Credit Facility</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 to loan or distribute:</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Telenet Credit Facility</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645.0</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758.7</w:t>
            </w: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645.0</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758.7</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VM Ireland Credit Facility</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left="460" w:hanging="457"/>
        <w:spacing w:after="0" w:line="258" w:lineRule="auto"/>
        <w:tabs>
          <w:tab w:leader="none" w:pos="4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Unused borrowing capacity under the Telenet Credit Facility comprises (i) €600.0 million ($705.8 million) under Telenet Revolving Facility I (as defined below), (ii) €25.0 million ($29.4 million) under the Telenet Overdraft Facility and (iii) €20.0 million ($23.5 million) under the Telenet Revolving Facility, each of which were undrawn at June 30, 2025. In June 2025, the underlying credit agreement was amended to (a) collapse Telenet Revolving Facility A and Telenet Revolving Facility B into a single revolving facility (</w:t>
      </w:r>
      <w:r>
        <w:rPr>
          <w:rFonts w:ascii="Times New Roman" w:cs="Times New Roman" w:eastAsia="Times New Roman" w:hAnsi="Times New Roman"/>
          <w:sz w:val="17"/>
          <w:szCs w:val="17"/>
          <w:b w:val="1"/>
          <w:bCs w:val="1"/>
          <w:color w:val="auto"/>
        </w:rPr>
        <w:t>Telenet Revolving Facility I</w:t>
      </w:r>
      <w:r>
        <w:rPr>
          <w:rFonts w:ascii="Times New Roman" w:cs="Times New Roman" w:eastAsia="Times New Roman" w:hAnsi="Times New Roman"/>
          <w:sz w:val="17"/>
          <w:szCs w:val="17"/>
          <w:color w:val="auto"/>
        </w:rPr>
        <w:t>) and (b) increase the total commitments under Telenet Revolving Facility I by €30.0 million ($35.3 million). Telenet Revolving Facility I has a maximum borrowing capacity of €600.0 million ($705.8 million) and a final maturity date of May 31, 2029. All other terms from the former Telenet Revolving Facility A and Telenet Revolving Facility B continue to apply to Telenet Revolving Facility I.</w:t>
      </w:r>
    </w:p>
    <w:p>
      <w:pPr>
        <w:spacing w:after="0" w:line="204"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Unused borrowing capacity under the VM Ireland Credit Facility relates to €100.0 million ($117.6 million) under the VM Ireland Revolving Facility, which was undrawn at June 30, 2025. In March 2025, commitments under the VM Ireland Revolving Facility were increased by €11.1 million ($13.1 million). The VM Ireland Revolving Facility now provides for maximum borrowing capacity of €100.0 million.</w:t>
      </w:r>
    </w:p>
    <w:p>
      <w:pPr>
        <w:spacing w:after="0" w:line="191"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transactions described in note 5, we settled €84.8 million ($99.7 million) of borrowings under the Vodafone Collar Loan, resulting in a loss on debt extinguishment of €0.8 million ($0.9 million) related to the write-off of unamortized discounts. As described in note 5, the Vodafone Collar Loan was fully settled in July 2025.</w:t>
      </w:r>
    </w:p>
    <w:p>
      <w:pPr>
        <w:spacing w:after="0" w:line="191" w:lineRule="exact"/>
        <w:rPr>
          <w:rFonts w:ascii="Times New Roman" w:cs="Times New Roman" w:eastAsia="Times New Roman" w:hAnsi="Times New Roman"/>
          <w:sz w:val="17"/>
          <w:szCs w:val="17"/>
          <w:color w:val="auto"/>
        </w:rPr>
      </w:pPr>
    </w:p>
    <w:p>
      <w:pPr>
        <w:jc w:val="both"/>
        <w:ind w:left="460" w:hanging="457"/>
        <w:spacing w:after="0" w:line="257" w:lineRule="auto"/>
        <w:tabs>
          <w:tab w:leader="none" w:pos="45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six months ended June 30, 2025 and 2024, the constructive cash outflow included in cash flows from operating activities and the corresponding constructive cash inflow included in cash flows from financing activities related to these operating expenses were $151.6 million and $170.6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201" w:lineRule="exact"/>
        <w:rPr>
          <w:rFonts w:ascii="Times New Roman" w:cs="Times New Roman" w:eastAsia="Times New Roman" w:hAnsi="Times New Roman"/>
          <w:sz w:val="17"/>
          <w:szCs w:val="17"/>
          <w:color w:val="auto"/>
        </w:rPr>
      </w:pPr>
    </w:p>
    <w:p>
      <w:pPr>
        <w:ind w:left="460" w:hanging="457"/>
        <w:spacing w:after="0" w:line="287" w:lineRule="auto"/>
        <w:tabs>
          <w:tab w:leader="none" w:pos="45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(i) $220.6 million and $195.8 million at June 30, 2025 and December 31, 2024, respectively, of debt collateralized by certain trade receivables of Telenet and (ii) $434.8 million and $390.5 million at June 30, 2025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left="460"/>
        <w:spacing w:after="0" w:line="287" w:lineRule="auto"/>
        <w:rPr>
          <w:sz w:val="20"/>
          <w:szCs w:val="20"/>
          <w:color w:val="auto"/>
        </w:rPr>
      </w:pPr>
      <w:r>
        <w:rPr>
          <w:rFonts w:ascii="Times New Roman" w:cs="Times New Roman" w:eastAsia="Times New Roman" w:hAnsi="Times New Roman"/>
          <w:sz w:val="17"/>
          <w:szCs w:val="17"/>
          <w:color w:val="auto"/>
        </w:rPr>
        <w:t>December 31, 2024, respectively, of liabilities related to Telenet’s acquisition of mobile spectrum licenses. Telenet will make annual payments for the license fees over the terms of the respective licenses.</w:t>
      </w:r>
    </w:p>
    <w:p>
      <w:pPr>
        <w:spacing w:after="0" w:line="177" w:lineRule="exact"/>
        <w:rPr>
          <w:sz w:val="20"/>
          <w:szCs w:val="20"/>
          <w:color w:val="auto"/>
        </w:rPr>
      </w:pPr>
    </w:p>
    <w:p>
      <w:pPr>
        <w:jc w:val="both"/>
        <w:ind w:left="460" w:hanging="457"/>
        <w:spacing w:after="0" w:line="270" w:lineRule="auto"/>
        <w:tabs>
          <w:tab w:leader="none" w:pos="45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2025 and December 31, 2024, our debt had an estimated fair value of $9.7 billion and $9.0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General Information</w:t>
      </w:r>
    </w:p>
    <w:p>
      <w:pPr>
        <w:spacing w:after="0" w:line="24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At June 30, 2025, most of our outstanding debt had been incurred by one of our two subsidiary “borrowing groups.” References to these borrowing groups, which comprise Telenet and VM Ireland, include their respective restricted parent and subsidiary entities. Below we provide summary descriptions of certain financing transactions completed during 2025. For information regarding the general terms and conditions of our debt and capitalized terms not defined herein, see note 11 to the consolidated financial statements included in our 2024 10-K.</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Financing Transactions</w:t>
      </w:r>
    </w:p>
    <w:p>
      <w:pPr>
        <w:spacing w:after="0" w:line="24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February 2025, Telenet entered into a €500.0 million ($588.1 million) sustainability-linked term loan facility (</w:t>
      </w:r>
      <w:r>
        <w:rPr>
          <w:rFonts w:ascii="Times New Roman" w:cs="Times New Roman" w:eastAsia="Times New Roman" w:hAnsi="Times New Roman"/>
          <w:sz w:val="17"/>
          <w:szCs w:val="17"/>
          <w:b w:val="1"/>
          <w:bCs w:val="1"/>
          <w:color w:val="auto"/>
        </w:rPr>
        <w:t>Telenet Facility AU</w:t>
      </w:r>
      <w:r>
        <w:rPr>
          <w:rFonts w:ascii="Times New Roman" w:cs="Times New Roman" w:eastAsia="Times New Roman" w:hAnsi="Times New Roman"/>
          <w:sz w:val="17"/>
          <w:szCs w:val="17"/>
          <w:color w:val="auto"/>
        </w:rPr>
        <w:t>). Telenet Facility AU was issued at 99.75% of par, matures on March 31, 2033 and bears interest at a rate of EURIBOR + 3.0%, subject to a EURIBOR floor of 0.0%. The interest rate on Telenet Facility AU is subject to adjustment based on Telenet’s achievement or otherwise of certain Environmental, Social and Governance metrics. The net proceeds from Telenet Facility AU were used to refinance €500.0 million of the €890.0 million ($1,046.9 million) outstanding principal amount under Telenet Facility AT1. In connection with this transaction, Telenet recognized a loss on debt extinguishment of $8.0 million related to the write-off of unamortized deferred financing costs and discounts.</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Maturities of Debt</w:t>
      </w:r>
    </w:p>
    <w:p>
      <w:pPr>
        <w:spacing w:after="0" w:line="249"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Maturities of our debt as of June 30, 2025 are presented below for the named entity and its subsidiaries, unless otherwise noted, and represent U.S. dollar equivalents based on June 30, 2025 exchange rates.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Telenet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VM Ireland</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Other (a)</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0"/>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ending December 31: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2025 (remainder of year)</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0" w:type="dxa"/>
            <w:vAlign w:val="bottom"/>
          </w:tcPr>
          <w:p>
            <w:pPr>
              <w:spacing w:after="0"/>
              <w:rPr>
                <w:sz w:val="1"/>
                <w:szCs w:val="1"/>
                <w:color w:val="auto"/>
              </w:rPr>
            </w:pPr>
          </w:p>
        </w:tc>
      </w:tr>
      <w:tr>
        <w:trPr>
          <w:trHeight w:val="219"/>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4,447.4</w:t>
            </w:r>
          </w:p>
        </w:tc>
        <w:tc>
          <w:tcPr>
            <w:tcW w:w="0" w:type="dxa"/>
            <w:vAlign w:val="bottom"/>
          </w:tcPr>
          <w:p>
            <w:pPr>
              <w:spacing w:after="0"/>
              <w:rPr>
                <w:sz w:val="1"/>
                <w:szCs w:val="1"/>
                <w:color w:val="auto"/>
              </w:rPr>
            </w:pPr>
          </w:p>
        </w:tc>
      </w:tr>
      <w:tr>
        <w:trPr>
          <w:trHeight w:val="219"/>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2,389.2</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2030</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19"/>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886.9</w:t>
            </w:r>
          </w:p>
        </w:tc>
        <w:tc>
          <w:tcPr>
            <w:tcW w:w="0" w:type="dxa"/>
            <w:vAlign w:val="bottom"/>
          </w:tcPr>
          <w:p>
            <w:pPr>
              <w:spacing w:after="0"/>
              <w:rPr>
                <w:sz w:val="1"/>
                <w:szCs w:val="1"/>
                <w:color w:val="auto"/>
              </w:rPr>
            </w:pPr>
          </w:p>
        </w:tc>
      </w:tr>
      <w:tr>
        <w:trPr>
          <w:trHeight w:val="212"/>
        </w:trPr>
        <w:tc>
          <w:tcPr>
            <w:tcW w:w="64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debt maturities (b)</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9,816.7</w:t>
            </w:r>
          </w:p>
        </w:tc>
        <w:tc>
          <w:tcPr>
            <w:tcW w:w="0" w:type="dxa"/>
            <w:vAlign w:val="bottom"/>
          </w:tcPr>
          <w:p>
            <w:pPr>
              <w:spacing w:after="0"/>
              <w:rPr>
                <w:sz w:val="1"/>
                <w:szCs w:val="1"/>
                <w:color w:val="auto"/>
              </w:rPr>
            </w:pPr>
          </w:p>
        </w:tc>
      </w:tr>
      <w:tr>
        <w:trPr>
          <w:trHeight w:val="21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costs, discounts and premiums, net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debt</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9,760.6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Current portion</w:t>
            </w: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637.9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1,345.3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1,983.2</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portion</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7,777.4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540" w:right="2320" w:hanging="5537"/>
        <w:spacing w:after="0" w:line="983" w:lineRule="auto"/>
        <w:tabs>
          <w:tab w:leader="none" w:pos="46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$1,379.9 million related to the Vodafone Collar Loan, which was fully settled in July 2025, as described in note 5.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60" w:hanging="457"/>
        <w:spacing w:after="0" w:line="287" w:lineRule="auto"/>
        <w:tabs>
          <w:tab w:leader="none" w:pos="45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vendor financing obligations of $385.2 million, all of which are classified as current on our condensed consolidated balance sheet, as set forth below:</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Telenet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7"/>
        </w:trPr>
        <w:tc>
          <w:tcPr>
            <w:tcW w:w="6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9"/>
        </w:trPr>
        <w:tc>
          <w:tcPr>
            <w:tcW w:w="6720" w:type="dxa"/>
            <w:vAlign w:val="bottom"/>
            <w:shd w:val="clear" w:color="auto" w:fill="CCEEFF"/>
          </w:tcPr>
          <w:p>
            <w:pPr>
              <w:jc w:val="right"/>
              <w:ind w:right="4774"/>
              <w:spacing w:after="0"/>
              <w:rPr>
                <w:sz w:val="20"/>
                <w:szCs w:val="20"/>
                <w:color w:val="auto"/>
              </w:rPr>
            </w:pPr>
            <w:r>
              <w:rPr>
                <w:rFonts w:ascii="Times New Roman" w:cs="Times New Roman" w:eastAsia="Times New Roman" w:hAnsi="Times New Roman"/>
                <w:sz w:val="17"/>
                <w:szCs w:val="17"/>
                <w:color w:val="auto"/>
              </w:rPr>
              <w:t>Year ending December 31: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6720" w:type="dxa"/>
            <w:vAlign w:val="bottom"/>
          </w:tcPr>
          <w:p>
            <w:pPr>
              <w:jc w:val="right"/>
              <w:ind w:right="4774"/>
              <w:spacing w:after="0"/>
              <w:rPr>
                <w:sz w:val="20"/>
                <w:szCs w:val="20"/>
                <w:color w:val="auto"/>
              </w:rPr>
            </w:pPr>
            <w:r>
              <w:rPr>
                <w:rFonts w:ascii="Times New Roman" w:cs="Times New Roman" w:eastAsia="Times New Roman" w:hAnsi="Times New Roman"/>
                <w:sz w:val="17"/>
                <w:szCs w:val="17"/>
                <w:color w:val="auto"/>
              </w:rPr>
              <w:t>2025 (remainder of year)</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w:t>
            </w:r>
          </w:p>
        </w:tc>
      </w:tr>
      <w:tr>
        <w:trPr>
          <w:trHeight w:val="219"/>
        </w:trPr>
        <w:tc>
          <w:tcPr>
            <w:tcW w:w="6720" w:type="dxa"/>
            <w:vAlign w:val="bottom"/>
            <w:shd w:val="clear" w:color="auto" w:fill="CCEEFF"/>
          </w:tcPr>
          <w:p>
            <w:pPr>
              <w:jc w:val="right"/>
              <w:ind w:right="6154"/>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w:t>
            </w:r>
          </w:p>
        </w:tc>
      </w:tr>
      <w:tr>
        <w:trPr>
          <w:trHeight w:val="212"/>
        </w:trPr>
        <w:tc>
          <w:tcPr>
            <w:tcW w:w="6720" w:type="dxa"/>
            <w:vAlign w:val="bottom"/>
          </w:tcPr>
          <w:p>
            <w:pPr>
              <w:jc w:val="right"/>
              <w:ind w:right="4094"/>
              <w:spacing w:after="0"/>
              <w:rPr>
                <w:sz w:val="20"/>
                <w:szCs w:val="20"/>
                <w:color w:val="auto"/>
              </w:rPr>
            </w:pPr>
            <w:r>
              <w:rPr>
                <w:rFonts w:ascii="Times New Roman" w:cs="Times New Roman" w:eastAsia="Times New Roman" w:hAnsi="Times New Roman"/>
                <w:sz w:val="17"/>
                <w:szCs w:val="17"/>
                <w:color w:val="auto"/>
              </w:rPr>
              <w:t>Total vendor financing maturities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385.2</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Vendor Financing Obligations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beginning and ending balances of our vendor financing obligations for the indicated periods is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20" w:type="dxa"/>
            <w:vAlign w:val="bottom"/>
          </w:tcPr>
          <w:p>
            <w:pPr>
              <w:spacing w:after="0"/>
              <w:rPr>
                <w:sz w:val="17"/>
                <w:szCs w:val="17"/>
                <w:color w:val="auto"/>
              </w:rPr>
            </w:pPr>
          </w:p>
        </w:tc>
      </w:tr>
      <w:tr>
        <w:trPr>
          <w:trHeight w:val="157"/>
        </w:trPr>
        <w:tc>
          <w:tcPr>
            <w:tcW w:w="8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9"/>
        </w:trPr>
        <w:tc>
          <w:tcPr>
            <w:tcW w:w="8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at January 1</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399.1</w:t>
            </w:r>
          </w:p>
        </w:tc>
      </w:tr>
      <w:tr>
        <w:trPr>
          <w:trHeight w:val="219"/>
        </w:trPr>
        <w:tc>
          <w:tcPr>
            <w:tcW w:w="8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Operating-related vendor financing additions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w:t>
            </w:r>
          </w:p>
        </w:tc>
      </w:tr>
      <w:tr>
        <w:trPr>
          <w:trHeight w:val="219"/>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Capital-related vendor financing additions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19"/>
        </w:trPr>
        <w:tc>
          <w:tcPr>
            <w:tcW w:w="8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Principal payments on operating-related vendor financing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w:t>
            </w:r>
          </w:p>
        </w:tc>
      </w:tr>
      <w:tr>
        <w:trPr>
          <w:trHeight w:val="219"/>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9"/>
        </w:trPr>
        <w:tc>
          <w:tcPr>
            <w:tcW w:w="8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Foreign currency and 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37"/>
        </w:trPr>
        <w:tc>
          <w:tcPr>
            <w:tcW w:w="8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at June 30</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ind w:left="340" w:hanging="337"/>
        <w:spacing w:after="0"/>
        <w:tabs>
          <w:tab w:leader="none" w:pos="34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Leases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49"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We enter into operating and finance leases for network equipment, real estate, mobile site sharing and vehicles. We provide residual value guarantees on certain of our vehicle leases.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Lease Balances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our right-of-use (</w:t>
      </w:r>
      <w:r>
        <w:rPr>
          <w:rFonts w:ascii="Times New Roman" w:cs="Times New Roman" w:eastAsia="Times New Roman" w:hAnsi="Times New Roman"/>
          <w:sz w:val="17"/>
          <w:szCs w:val="17"/>
          <w:b w:val="1"/>
          <w:bCs w:val="1"/>
          <w:color w:val="auto"/>
        </w:rPr>
        <w:t>ROU</w:t>
      </w:r>
      <w:r>
        <w:rPr>
          <w:rFonts w:ascii="Times New Roman" w:cs="Times New Roman" w:eastAsia="Times New Roman" w:hAnsi="Times New Roman"/>
          <w:sz w:val="17"/>
          <w:szCs w:val="17"/>
          <w:color w:val="auto"/>
        </w:rPr>
        <w:t>) assets and lease liabilities is set forth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60" w:type="dxa"/>
            <w:vAlign w:val="bottom"/>
          </w:tcPr>
          <w:p>
            <w:pPr>
              <w:spacing w:after="0"/>
              <w:rPr>
                <w:sz w:val="15"/>
                <w:szCs w:val="15"/>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5"/>
        </w:trPr>
        <w:tc>
          <w:tcPr>
            <w:tcW w:w="8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4"/>
          </w:tcPr>
          <w:p>
            <w:pPr>
              <w:jc w:val="right"/>
              <w:ind w:right="936"/>
              <w:spacing w:after="0"/>
              <w:rPr>
                <w:sz w:val="20"/>
                <w:szCs w:val="20"/>
                <w:color w:val="auto"/>
              </w:rPr>
            </w:pPr>
            <w:r>
              <w:rPr>
                <w:rFonts w:ascii="Times New Roman" w:cs="Times New Roman" w:eastAsia="Times New Roman" w:hAnsi="Times New Roman"/>
                <w:sz w:val="15"/>
                <w:szCs w:val="15"/>
                <w:b w:val="1"/>
                <w:bCs w:val="1"/>
                <w:color w:val="auto"/>
              </w:rPr>
              <w:t>in millions</w:t>
            </w:r>
          </w:p>
        </w:tc>
      </w:tr>
      <w:tr>
        <w:trPr>
          <w:trHeight w:val="144"/>
        </w:trPr>
        <w:tc>
          <w:tcPr>
            <w:tcW w:w="8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8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 (a)</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710.5</w:t>
            </w: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 (b)</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12"/>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ROU assets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8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 (c)</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753.1</w:t>
            </w:r>
          </w:p>
        </w:tc>
      </w:tr>
      <w:tr>
        <w:trPr>
          <w:trHeight w:val="21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Finance leases (d)</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37"/>
        </w:trPr>
        <w:tc>
          <w:tcPr>
            <w:tcW w:w="8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liabilities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jc w:val="both"/>
        <w:ind w:left="460" w:hanging="457"/>
        <w:spacing w:after="0" w:line="270" w:lineRule="auto"/>
        <w:tabs>
          <w:tab w:leader="none" w:pos="45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ROU assets are included in other assets, net, on our condensed consolidated balance sheets. At June 30, 2025, the weighted average remaining lease term for operating leases was 11.0 years and the weighted average discount rate was 5.4%. During the six months ended June 30, 2025 and 2024, we recorded non-cash additions to our operating lease ROU assets of $15.2 million and $75.5 million, respectively.</w:t>
      </w:r>
    </w:p>
    <w:p>
      <w:pPr>
        <w:spacing w:after="0" w:line="191"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finance lease ROU assets are included in property and equipment, net, on our condensed consolidated balance sheets. At June 30, 2025, the weighted average remaining lease term for finance leases was 7.7 years and the weighted average discount rate was 8.7%. During the six months ended June 30, 2025 and 2024, we recorded non-cash additions to our finance lease ROU assets of nil and $0.6 million, respectively.</w:t>
      </w:r>
    </w:p>
    <w:p>
      <w:pPr>
        <w:spacing w:after="0" w:line="191"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portions of our operating lease liabilities are included within other accrued and current liabilities on our condensed consolidated balance sheets.</w:t>
      </w:r>
    </w:p>
    <w:p>
      <w:pPr>
        <w:spacing w:after="0" w:line="242" w:lineRule="exact"/>
        <w:rPr>
          <w:rFonts w:ascii="Times New Roman" w:cs="Times New Roman" w:eastAsia="Times New Roman" w:hAnsi="Times New Roman"/>
          <w:sz w:val="17"/>
          <w:szCs w:val="17"/>
          <w:color w:val="auto"/>
        </w:rPr>
      </w:pPr>
    </w:p>
    <w:p>
      <w:pPr>
        <w:ind w:left="460" w:hanging="457"/>
        <w:spacing w:after="0" w:line="287" w:lineRule="auto"/>
        <w:tabs>
          <w:tab w:leader="none" w:pos="45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our aggregate lease expense is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tcPr>
          <w:p>
            <w:pPr>
              <w:spacing w:after="0"/>
              <w:rPr>
                <w:sz w:val="15"/>
                <w:szCs w:val="15"/>
                <w:color w:val="auto"/>
              </w:rPr>
            </w:pPr>
          </w:p>
        </w:tc>
        <w:tc>
          <w:tcPr>
            <w:tcW w:w="2500" w:type="dxa"/>
            <w:vAlign w:val="bottom"/>
            <w:gridSpan w:val="4"/>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80" w:type="dxa"/>
            <w:vAlign w:val="bottom"/>
          </w:tcPr>
          <w:p>
            <w:pPr>
              <w:spacing w:after="0"/>
              <w:rPr>
                <w:sz w:val="15"/>
                <w:szCs w:val="15"/>
                <w:color w:val="auto"/>
              </w:rPr>
            </w:pPr>
          </w:p>
        </w:tc>
      </w:tr>
      <w:tr>
        <w:trPr>
          <w:trHeight w:val="205"/>
        </w:trPr>
        <w:tc>
          <w:tcPr>
            <w:tcW w:w="5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67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9"/>
        </w:trPr>
        <w:tc>
          <w:tcPr>
            <w:tcW w:w="5220" w:type="dxa"/>
            <w:vAlign w:val="bottom"/>
          </w:tcPr>
          <w:p>
            <w:pPr>
              <w:spacing w:after="0"/>
              <w:rPr>
                <w:sz w:val="17"/>
                <w:szCs w:val="17"/>
                <w:color w:val="auto"/>
              </w:rPr>
            </w:pPr>
          </w:p>
        </w:tc>
        <w:tc>
          <w:tcPr>
            <w:tcW w:w="9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w w:val="99"/>
              </w:rPr>
              <w:t>2024</w:t>
            </w:r>
          </w:p>
        </w:tc>
      </w:tr>
      <w:tr>
        <w:trPr>
          <w:trHeight w:val="198"/>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57"/>
        </w:trPr>
        <w:tc>
          <w:tcPr>
            <w:tcW w:w="5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expense: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2"/>
        </w:trPr>
        <w:tc>
          <w:tcPr>
            <w:tcW w:w="52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Total finance lease expense</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expense (a)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expense (a)</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expense (b)</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2"/>
        </w:trPr>
        <w:tc>
          <w:tcPr>
            <w:tcW w:w="52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lease expense</w:t>
            </w:r>
          </w:p>
        </w:tc>
        <w:tc>
          <w:tcPr>
            <w:tcW w:w="96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w:t>
            </w: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77"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our cash outflows from operating and finance leases is set forth below:</w:t>
      </w:r>
    </w:p>
    <w:p>
      <w:pPr>
        <w:spacing w:after="0" w:line="140"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7"/>
        </w:trPr>
        <w:tc>
          <w:tcPr>
            <w:tcW w:w="8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80" w:type="dxa"/>
            <w:vAlign w:val="bottom"/>
          </w:tcPr>
          <w:p>
            <w:pPr>
              <w:spacing w:after="0"/>
              <w:rPr>
                <w:sz w:val="17"/>
                <w:szCs w:val="17"/>
                <w:color w:val="auto"/>
              </w:rPr>
            </w:pPr>
          </w:p>
        </w:tc>
      </w:tr>
      <w:tr>
        <w:trPr>
          <w:trHeight w:val="196"/>
        </w:trPr>
        <w:tc>
          <w:tcPr>
            <w:tcW w:w="8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8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outflows from operating leases</w:t>
            </w:r>
          </w:p>
        </w:tc>
        <w:tc>
          <w:tcPr>
            <w:tcW w:w="840" w:type="dxa"/>
            <w:vAlign w:val="bottom"/>
          </w:tcPr>
          <w:p>
            <w:pPr>
              <w:jc w:val="right"/>
              <w:ind w:right="65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outflows from finance leases (interest component)</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Financing cash outflows from finance leases (principal component)</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7"/>
        </w:trPr>
        <w:tc>
          <w:tcPr>
            <w:tcW w:w="8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cash outflows from operating and finance leases</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Maturities of our operating and finance lease liabilities as of June 30, 2025 are presented below. Amounts represent U.S. dollar equivalents based on June 30, 2025 exchange rates.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340" w:type="dxa"/>
            <w:vAlign w:val="bottom"/>
          </w:tcPr>
          <w:p>
            <w:pPr>
              <w:spacing w:after="0"/>
              <w:rPr>
                <w:sz w:val="15"/>
                <w:szCs w:val="15"/>
                <w:color w:val="auto"/>
              </w:rPr>
            </w:pPr>
          </w:p>
        </w:tc>
        <w:tc>
          <w:tcPr>
            <w:tcW w:w="980" w:type="dxa"/>
            <w:vAlign w:val="bottom"/>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Finance</w:t>
            </w:r>
          </w:p>
        </w:tc>
        <w:tc>
          <w:tcPr>
            <w:tcW w:w="0" w:type="dxa"/>
            <w:vAlign w:val="bottom"/>
          </w:tcPr>
          <w:p>
            <w:pPr>
              <w:spacing w:after="0"/>
              <w:rPr>
                <w:sz w:val="1"/>
                <w:szCs w:val="1"/>
                <w:color w:val="auto"/>
              </w:rPr>
            </w:pPr>
          </w:p>
        </w:tc>
      </w:tr>
      <w:tr>
        <w:trPr>
          <w:trHeight w:val="205"/>
        </w:trPr>
        <w:tc>
          <w:tcPr>
            <w:tcW w:w="8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leases</w:t>
            </w:r>
          </w:p>
        </w:tc>
        <w:tc>
          <w:tcPr>
            <w:tcW w:w="0" w:type="dxa"/>
            <w:vAlign w:val="bottom"/>
          </w:tcPr>
          <w:p>
            <w:pPr>
              <w:spacing w:after="0"/>
              <w:rPr>
                <w:sz w:val="1"/>
                <w:szCs w:val="1"/>
                <w:color w:val="auto"/>
              </w:rPr>
            </w:pPr>
          </w:p>
        </w:tc>
      </w:tr>
      <w:tr>
        <w:trPr>
          <w:trHeight w:val="198"/>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ending December 31: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2025 (remainder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payments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Current portion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520" w:type="dxa"/>
            <w:vAlign w:val="bottom"/>
            <w:vMerge w:val="continue"/>
          </w:tcPr>
          <w:p>
            <w:pPr>
              <w:spacing w:after="0"/>
              <w:rPr>
                <w:sz w:val="16"/>
                <w:szCs w:val="16"/>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portion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w:t>
      </w:r>
    </w:p>
    <w:p>
      <w:pPr>
        <w:spacing w:after="0" w:line="243" w:lineRule="exact"/>
        <w:rPr>
          <w:sz w:val="20"/>
          <w:szCs w:val="20"/>
          <w:color w:val="auto"/>
        </w:rPr>
      </w:pPr>
    </w:p>
    <w:p>
      <w:pPr>
        <w:jc w:val="both"/>
        <w:ind w:left="460" w:hanging="457"/>
        <w:spacing w:after="0" w:line="270" w:lineRule="auto"/>
        <w:tabs>
          <w:tab w:leader="none" w:pos="45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payments exclude $89.8 million of estimated future payments for lease commitments not yet commenced at Telenet, the majority of which are not anticipated to be due until after 2028. These payments relate to the lease back of build-to-suit sites on certain passive infrastructure and tower assets sold to DigitalBridge Investments LLC in 2022. Telenet will act as an agent over the construction of future towers on the build-to-suit sites.</w:t>
      </w:r>
    </w:p>
    <w:p>
      <w:pPr>
        <w:spacing w:after="0" w:line="187" w:lineRule="exact"/>
        <w:rPr>
          <w:sz w:val="20"/>
          <w:szCs w:val="20"/>
          <w:color w:val="auto"/>
        </w:rPr>
      </w:pPr>
    </w:p>
    <w:p>
      <w:pPr>
        <w:ind w:left="460" w:hanging="457"/>
        <w:spacing w:after="0"/>
        <w:tabs>
          <w:tab w:leader="none" w:pos="46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Income Taxes</w:t>
      </w:r>
    </w:p>
    <w:p>
      <w:pPr>
        <w:spacing w:after="0" w:line="24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Liberty Global is a Bermuda exempted company limited by shares and is not considered to be a tax resident in any other jurisdiction or country. On December 27, 2023, Bermuda enacted the Corporate Income Tax Act 2023 (the </w:t>
      </w:r>
      <w:r>
        <w:rPr>
          <w:rFonts w:ascii="Times New Roman" w:cs="Times New Roman" w:eastAsia="Times New Roman" w:hAnsi="Times New Roman"/>
          <w:sz w:val="17"/>
          <w:szCs w:val="17"/>
          <w:b w:val="1"/>
          <w:bCs w:val="1"/>
          <w:color w:val="auto"/>
        </w:rPr>
        <w:t>CIT Act</w:t>
      </w:r>
      <w:r>
        <w:rPr>
          <w:rFonts w:ascii="Times New Roman" w:cs="Times New Roman" w:eastAsia="Times New Roman" w:hAnsi="Times New Roman"/>
          <w:sz w:val="17"/>
          <w:szCs w:val="17"/>
          <w:color w:val="auto"/>
        </w:rPr>
        <w:t>) which provides for the taxation of the Bermuda constituent entities of certain large multinational groups beginning on or after January 1, 2025. Prior to 2025, we used the U.K. statutory rate to compute our “expected” income tax benefit or expense, as management considered this rate to be more meaningful given that Bermuda did not impose an income tax in those periods. As the CIT Act is now in effect, we will use the Bermuda statutory rate of 15.0% to compute our expected income tax benefit or expense for 2025 and all future periods.</w:t>
      </w:r>
    </w:p>
    <w:p>
      <w:pPr>
        <w:spacing w:after="0" w:line="20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effective tax rate for the three months ended June 30, 2025 was 0.0% (income tax expense of $0.9 million), which differs from the Bermuda statutory rate of 15.0% (income tax benefit of $415.9 million). This difference is primarily due to the negative impacts of (i) non-deductible net foreign exchange losses in the U.K. of $594.9 million (21.5%) and (ii) non-deductible net losses from investments in certain subsidiaries and affiliates in the U.K. and the Netherlands of $69.5 million (2.5%). The negative impacts of these items were partially offset by the net positive impact of statutory rates in certain jurisdictions in which we operate that are different than the Bermuda statutory rate, including $259.7 million (9.4%) in the U.K.</w:t>
      </w:r>
    </w:p>
    <w:p>
      <w:pPr>
        <w:spacing w:after="0" w:line="200"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effective tax rate for the six months ended June 30, 2025 was 1.7% (income tax benefit of $69.1 million), which differs from the Bermuda statutory rate of 15.0% (income tax benefit of $624.9 million). This difference is primarily due to the negative impacts of (i) non-deductible net foreign exchange losses in the U.K. of $903.1 million (21.7%) and (ii) non-deductible net losses from investments in certain subsidiaries and affiliates in the U.K. and the Netherlands of $112.8 million (2.7%). The negative impacts of these items were partially offset by the net positive impacts of (a) statutory rates in certain jurisdictions in which we operate that are different than the Bermuda statutory rate, including $392.3 million (9.4%) in the U.K., and (b) the release of valuation allowances in Luxembourg of $86.0 million (2.1%).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effective tax rate for the three months ended June 30, 2024 was 8.0% (income tax expense of $28.2 million), which differs from the U.K. statutory rate of 25.0% (income tax expense of $88.1 million). This difference is primarily due to the positive impacts of non-taxable net foreign exchange gains and non-taxable net income from investments in the U.K. of $49.0 million (13.9%) and $44.2 million (12.5%), respectively, partially offset by the net negative impact of certain non-taxable or non-deductible items in the U.K., Belgium and the Netherlands of $20.8 million (5.9%).</w:t>
      </w:r>
    </w:p>
    <w:p>
      <w:pPr>
        <w:spacing w:after="0" w:line="19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effective tax rate for the six months ended June 30, 2024 was 6.9% (income tax expense of $71.0 million), which differs from the U.K. statutory rate of 25.0% (income tax expense of $257.4 million). This difference is primarily due to the positive impacts of non-taxable net foreign exchange gains and non-taxable net income from investments in the U.K. of $212.9 million (20.7%) and $45.8 million (4.4%), respectively, partially offset by the net negative impact of certain non-taxable or non-deductible items in the Netherlands, the U.K. and Belgium of $49.9 million (4.8%).</w:t>
      </w:r>
    </w:p>
    <w:p>
      <w:pPr>
        <w:spacing w:after="0" w:line="19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As of June 30, 2025, our unrecognized tax benefits were $308.6 million, of which $269.5 million would have a favorable impact on our effective income tax rate if ultimately recognized, after considering amounts that we would expect to be offset by valuation allowances and other factors.</w:t>
      </w:r>
    </w:p>
    <w:p>
      <w:pPr>
        <w:spacing w:after="0" w:line="177"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general, tax returns filed by our company or our subsidiaries for years prior to 2019 are no longer subject to examination</w:t>
      </w:r>
    </w:p>
    <w:p>
      <w:pPr>
        <w:spacing w:after="0" w:line="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by tax authorities. Certain of our subsidiaries are currently involved in income tax examinations in various jurisdictions in which we operate, including Belgium, Luxembourg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197"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On October 7, 2022, the U.S. Department of Justice filed a suit against Liberty Global, Inc. (</w:t>
      </w:r>
      <w:r>
        <w:rPr>
          <w:rFonts w:ascii="Times New Roman" w:cs="Times New Roman" w:eastAsia="Times New Roman" w:hAnsi="Times New Roman"/>
          <w:sz w:val="17"/>
          <w:szCs w:val="17"/>
          <w:b w:val="1"/>
          <w:bCs w:val="1"/>
          <w:color w:val="auto"/>
        </w:rPr>
        <w:t>LGI</w:t>
      </w:r>
      <w:r>
        <w:rPr>
          <w:rFonts w:ascii="Times New Roman" w:cs="Times New Roman" w:eastAsia="Times New Roman" w:hAnsi="Times New Roman"/>
          <w:sz w:val="17"/>
          <w:szCs w:val="17"/>
          <w:color w:val="auto"/>
        </w:rPr>
        <w:t xml:space="preserve">),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U.S. District Court of Colorado seeking a refund of approximately $110 million of taxes, penalties and interest associated with the application of certain temporary treasury regulations issued in June 2019. In October 2023, the U.S. District Court of Colorado entered judgement against LGI with respect to the refund claim and we appealed this decision to the U.S. Court of Appeals for the Tenth Circuit (the </w:t>
      </w:r>
      <w:r>
        <w:rPr>
          <w:rFonts w:ascii="Times New Roman" w:cs="Times New Roman" w:eastAsia="Times New Roman" w:hAnsi="Times New Roman"/>
          <w:sz w:val="17"/>
          <w:szCs w:val="17"/>
          <w:b w:val="1"/>
          <w:bCs w:val="1"/>
          <w:color w:val="auto"/>
        </w:rPr>
        <w:t>Court of Appeals</w:t>
      </w:r>
      <w:r>
        <w:rPr>
          <w:rFonts w:ascii="Times New Roman" w:cs="Times New Roman" w:eastAsia="Times New Roman" w:hAnsi="Times New Roman"/>
          <w:sz w:val="17"/>
          <w:szCs w:val="17"/>
          <w:color w:val="auto"/>
        </w:rPr>
        <w:t>) in December 2023. No amounts have been accrued by LGI with respect to this matter. We continue to vigorously defend this matter and actively pursue our claim for refund.</w:t>
      </w:r>
    </w:p>
    <w:p>
      <w:pPr>
        <w:spacing w:after="0" w:line="20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January 2021, we petitioned the U.S. Tax Court with respect to unresolved issues related to our 2010 tax year for which we had already recognized an accrued liability for an uncertain tax position. In November 2023, we received an unfavorable decision, which we appealed to the Court of Appeals. In December 2023, we made a payment of the disputed tax in the amount of $315 million, which reduced our accrued liability for uncertain tax benefits on our consolidated balance sheet but will continue to be included in our inventory of unrecognized tax benefits as the position is not yet settled. We continue to vigorously defend our position, however, due to the inherent uncertainty involved in the litigation process, there can be no assurance that the Court of Appeals will rule in our favor.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ind w:left="460" w:hanging="457"/>
        <w:spacing w:after="0"/>
        <w:tabs>
          <w:tab w:leader="none" w:pos="46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Equity</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Repurchases</w:t>
      </w:r>
    </w:p>
    <w:p>
      <w:pPr>
        <w:spacing w:after="0" w:line="249"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During the six months ended June 30, 2025, we repurchased 9,421,772 of our Class C common shares at an average price per share of $10.93, for an aggregate purchase price of $103.0 million, including direct acquisition costs.</w:t>
      </w:r>
    </w:p>
    <w:p>
      <w:pPr>
        <w:spacing w:after="0" w:line="17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Under our current share repurchase program, we are authorized during 2025 to repurchase up to 10% of our total outstanding shares as of December 31, 2024. As of June 30, 2025, the remaining number of our Class A and/or Class C common shares that we are authorized to repurchase during 2025 was 25.5 million. Based on the average of the respective closing share prices as of June 30, 2025, this would equate to additional share repurchases during the remainder of 2025 of approximately $259.1 million. However, the actual U.S. dollar amount of our share repurchases during the remainder of 2025 will be determined by the actual transaction date share prices during the year and could differ significantly from this amount.</w:t>
      </w:r>
    </w:p>
    <w:p>
      <w:pPr>
        <w:spacing w:after="0" w:line="196" w:lineRule="exact"/>
        <w:rPr>
          <w:sz w:val="20"/>
          <w:szCs w:val="20"/>
          <w:color w:val="auto"/>
        </w:rPr>
      </w:pPr>
    </w:p>
    <w:p>
      <w:pPr>
        <w:ind w:left="460" w:hanging="457"/>
        <w:spacing w:after="0"/>
        <w:tabs>
          <w:tab w:leader="none" w:pos="46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Share-based Compensation</w:t>
      </w:r>
    </w:p>
    <w:p>
      <w:pPr>
        <w:spacing w:after="0" w:line="247"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tcPr>
          <w:p>
            <w:pPr>
              <w:spacing w:after="0"/>
              <w:rPr>
                <w:sz w:val="15"/>
                <w:szCs w:val="15"/>
                <w:color w:val="auto"/>
              </w:rPr>
            </w:pPr>
          </w:p>
        </w:tc>
        <w:tc>
          <w:tcPr>
            <w:tcW w:w="2060" w:type="dxa"/>
            <w:vAlign w:val="bottom"/>
            <w:gridSpan w:val="4"/>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4"/>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5"/>
        </w:trPr>
        <w:tc>
          <w:tcPr>
            <w:tcW w:w="6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8"/>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Liberty Global (a):</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Non-performance based incentive awards</w:t>
            </w:r>
          </w:p>
        </w:tc>
        <w:tc>
          <w:tcPr>
            <w:tcW w:w="780" w:type="dxa"/>
            <w:vAlign w:val="bottom"/>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Performance-based incentive awards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(b)</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Liberty Global</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2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expense</w:t>
            </w: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SG&amp;A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share-based compensation expense related to certain Telenet Replacement Awards.</w:t>
      </w:r>
    </w:p>
    <w:p>
      <w:pPr>
        <w:spacing w:after="0" w:line="242" w:lineRule="exact"/>
        <w:rPr>
          <w:rFonts w:ascii="Times New Roman" w:cs="Times New Roman" w:eastAsia="Times New Roman" w:hAnsi="Times New Roman"/>
          <w:sz w:val="17"/>
          <w:szCs w:val="17"/>
          <w:color w:val="auto"/>
        </w:rPr>
      </w:pPr>
    </w:p>
    <w:p>
      <w:pPr>
        <w:jc w:val="both"/>
        <w:ind w:left="460" w:hanging="457"/>
        <w:spacing w:after="0" w:line="264" w:lineRule="auto"/>
        <w:tabs>
          <w:tab w:leader="none" w:pos="45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ind w:firstLine="309"/>
        <w:spacing w:after="0" w:line="292" w:lineRule="auto"/>
        <w:rPr>
          <w:sz w:val="20"/>
          <w:szCs w:val="20"/>
          <w:color w:val="auto"/>
        </w:rPr>
      </w:pPr>
      <w:r>
        <w:rPr>
          <w:rFonts w:ascii="Times New Roman" w:cs="Times New Roman" w:eastAsia="Times New Roman" w:hAnsi="Times New Roman"/>
          <w:sz w:val="17"/>
          <w:szCs w:val="17"/>
          <w:color w:val="auto"/>
        </w:rPr>
        <w:t>The following table provides the aggregate number of options, SARs and performance-based share appreciation rights (</w:t>
      </w:r>
      <w:r>
        <w:rPr>
          <w:rFonts w:ascii="Times New Roman" w:cs="Times New Roman" w:eastAsia="Times New Roman" w:hAnsi="Times New Roman"/>
          <w:sz w:val="17"/>
          <w:szCs w:val="17"/>
          <w:b w:val="1"/>
          <w:bCs w:val="1"/>
          <w:color w:val="auto"/>
        </w:rPr>
        <w:t>PSARs</w:t>
      </w:r>
      <w:r>
        <w:rPr>
          <w:rFonts w:ascii="Times New Roman" w:cs="Times New Roman" w:eastAsia="Times New Roman" w:hAnsi="Times New Roman"/>
          <w:sz w:val="17"/>
          <w:szCs w:val="17"/>
          <w:color w:val="auto"/>
        </w:rPr>
        <w:t>) with respect to awards issued by Liberty Global that were (i) outstanding and (ii) exercisable as of June 30, 2025: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1017"/>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12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1037"/>
              <w:spacing w:after="0"/>
              <w:rPr>
                <w:sz w:val="20"/>
                <w:szCs w:val="20"/>
                <w:color w:val="auto"/>
              </w:rPr>
            </w:pPr>
            <w:r>
              <w:rPr>
                <w:rFonts w:ascii="Times New Roman" w:cs="Times New Roman" w:eastAsia="Times New Roman" w:hAnsi="Times New Roman"/>
                <w:sz w:val="15"/>
                <w:szCs w:val="15"/>
                <w:b w:val="1"/>
                <w:bCs w:val="1"/>
                <w:color w:val="auto"/>
              </w:rPr>
              <w:t>Class C</w:t>
            </w:r>
          </w:p>
        </w:tc>
        <w:tc>
          <w:tcPr>
            <w:tcW w:w="0" w:type="dxa"/>
            <w:vAlign w:val="bottom"/>
          </w:tcPr>
          <w:p>
            <w:pPr>
              <w:spacing w:after="0"/>
              <w:rPr>
                <w:sz w:val="1"/>
                <w:szCs w:val="1"/>
                <w:color w:val="auto"/>
              </w:rPr>
            </w:pPr>
          </w:p>
        </w:tc>
      </w:tr>
      <w:tr>
        <w:trPr>
          <w:trHeight w:val="150"/>
        </w:trPr>
        <w:tc>
          <w:tcPr>
            <w:tcW w:w="5680" w:type="dxa"/>
            <w:vAlign w:val="bottom"/>
          </w:tcPr>
          <w:p>
            <w:pPr>
              <w:spacing w:after="0"/>
              <w:rPr>
                <w:sz w:val="13"/>
                <w:szCs w:val="13"/>
                <w:color w:val="auto"/>
              </w:rPr>
            </w:pPr>
          </w:p>
        </w:tc>
        <w:tc>
          <w:tcPr>
            <w:tcW w:w="14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5"/>
                <w:szCs w:val="15"/>
                <w:b w:val="1"/>
                <w:bCs w:val="1"/>
                <w:color w:val="auto"/>
              </w:rPr>
              <w:t>Gross number of</w:t>
            </w:r>
          </w:p>
        </w:tc>
        <w:tc>
          <w:tcPr>
            <w:tcW w:w="14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140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5"/>
                <w:szCs w:val="15"/>
                <w:b w:val="1"/>
                <w:bCs w:val="1"/>
                <w:color w:val="auto"/>
              </w:rPr>
              <w:t>Gross number of</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shares underlying</w:t>
            </w:r>
          </w:p>
        </w:tc>
        <w:tc>
          <w:tcPr>
            <w:tcW w:w="1420" w:type="dxa"/>
            <w:vAlign w:val="bottom"/>
            <w:gridSpan w:val="3"/>
            <w:vMerge w:val="continue"/>
          </w:tcPr>
          <w:p>
            <w:pPr>
              <w:spacing w:after="0"/>
              <w:rPr>
                <w:sz w:val="13"/>
                <w:szCs w:val="13"/>
                <w:color w:val="auto"/>
              </w:rPr>
            </w:pPr>
          </w:p>
        </w:tc>
        <w:tc>
          <w:tcPr>
            <w:tcW w:w="14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shares underlying</w:t>
            </w: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option, SAR and</w:t>
            </w: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exercise or base</w:t>
            </w:r>
          </w:p>
        </w:tc>
        <w:tc>
          <w:tcPr>
            <w:tcW w:w="14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option, SAR and</w:t>
            </w:r>
          </w:p>
        </w:tc>
        <w:tc>
          <w:tcPr>
            <w:tcW w:w="140" w:type="dxa"/>
            <w:vAlign w:val="bottom"/>
          </w:tcPr>
          <w:p>
            <w:pPr>
              <w:spacing w:after="0"/>
              <w:rPr>
                <w:sz w:val="13"/>
                <w:szCs w:val="13"/>
                <w:color w:val="auto"/>
              </w:rPr>
            </w:pPr>
          </w:p>
        </w:tc>
        <w:tc>
          <w:tcPr>
            <w:tcW w:w="1180" w:type="dxa"/>
            <w:vAlign w:val="bottom"/>
          </w:tcPr>
          <w:p>
            <w:pPr>
              <w:jc w:val="right"/>
              <w:ind w:right="57"/>
              <w:spacing w:after="0" w:line="155" w:lineRule="exact"/>
              <w:rPr>
                <w:sz w:val="20"/>
                <w:szCs w:val="20"/>
                <w:color w:val="auto"/>
              </w:rPr>
            </w:pPr>
            <w:r>
              <w:rPr>
                <w:rFonts w:ascii="Times New Roman" w:cs="Times New Roman" w:eastAsia="Times New Roman" w:hAnsi="Times New Roman"/>
                <w:sz w:val="15"/>
                <w:szCs w:val="15"/>
                <w:b w:val="1"/>
                <w:bCs w:val="1"/>
                <w:color w:val="auto"/>
              </w:rPr>
              <w:t>exercise or base</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PSAR awards (a)</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PSAR awards (a)</w:t>
            </w:r>
          </w:p>
        </w:tc>
        <w:tc>
          <w:tcPr>
            <w:tcW w:w="140" w:type="dxa"/>
            <w:vAlign w:val="bottom"/>
          </w:tcPr>
          <w:p>
            <w:pPr>
              <w:spacing w:after="0"/>
              <w:rPr>
                <w:sz w:val="17"/>
                <w:szCs w:val="17"/>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price</w:t>
            </w:r>
          </w:p>
        </w:tc>
        <w:tc>
          <w:tcPr>
            <w:tcW w:w="0" w:type="dxa"/>
            <w:vAlign w:val="bottom"/>
          </w:tcPr>
          <w:p>
            <w:pPr>
              <w:spacing w:after="0"/>
              <w:rPr>
                <w:sz w:val="1"/>
                <w:szCs w:val="1"/>
                <w:color w:val="auto"/>
              </w:rPr>
            </w:pPr>
          </w:p>
        </w:tc>
      </w:tr>
      <w:tr>
        <w:trPr>
          <w:trHeight w:val="136"/>
        </w:trPr>
        <w:tc>
          <w:tcPr>
            <w:tcW w:w="568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Held by Liberty Global employees: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38,611,646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86,733,678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33,193,110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76,747,448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Held by former Liberty Global employees (b):</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2,868,454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5,608,974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2,690,030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5,265,641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jc w:val="both"/>
        <w:ind w:left="460" w:hanging="457"/>
        <w:spacing w:after="0" w:line="264" w:lineRule="auto"/>
        <w:tabs>
          <w:tab w:leader="none" w:pos="45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97" w:lineRule="exact"/>
        <w:rPr>
          <w:rFonts w:ascii="Times New Roman" w:cs="Times New Roman" w:eastAsia="Times New Roman" w:hAnsi="Times New Roman"/>
          <w:sz w:val="17"/>
          <w:szCs w:val="17"/>
          <w:color w:val="auto"/>
        </w:rPr>
      </w:pPr>
    </w:p>
    <w:p>
      <w:pPr>
        <w:jc w:val="both"/>
        <w:ind w:left="460" w:hanging="457"/>
        <w:spacing w:after="0" w:line="267" w:lineRule="auto"/>
        <w:tabs>
          <w:tab w:leader="none" w:pos="45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certain share-based awards that continue to be held by former employees of Liberty Global subsequent to certain spin-off or disposal transactions, or as otherwise permitted under applicable Liberty Global equity plan documents. Although future exercises of these awards by former employees will not result in the recognition of share-based compensation expense, such exercises will increase the number of our outstanding common shares.</w:t>
      </w:r>
    </w:p>
    <w:p>
      <w:pPr>
        <w:spacing w:after="0" w:line="200" w:lineRule="exact"/>
        <w:rPr>
          <w:sz w:val="20"/>
          <w:szCs w:val="20"/>
          <w:color w:val="auto"/>
        </w:rPr>
      </w:pPr>
    </w:p>
    <w:p>
      <w:pPr>
        <w:spacing w:after="0" w:line="201"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The following table provides the aggregate number of restricted share units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and performance-based restricted share units (</w:t>
      </w:r>
      <w:r>
        <w:rPr>
          <w:rFonts w:ascii="Times New Roman" w:cs="Times New Roman" w:eastAsia="Times New Roman" w:hAnsi="Times New Roman"/>
          <w:sz w:val="17"/>
          <w:szCs w:val="17"/>
          <w:b w:val="1"/>
          <w:bCs w:val="1"/>
          <w:color w:val="auto"/>
        </w:rPr>
        <w:t>PSUs</w:t>
      </w:r>
      <w:r>
        <w:rPr>
          <w:rFonts w:ascii="Times New Roman" w:cs="Times New Roman" w:eastAsia="Times New Roman" w:hAnsi="Times New Roman"/>
          <w:sz w:val="17"/>
          <w:szCs w:val="17"/>
          <w:color w:val="auto"/>
        </w:rPr>
        <w:t>) that were outstanding as of June 30, 2025. The number of shares to be issued on the vesting date of these awards will be reduced by the amount of the employee’s required income tax withholding.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Class C</w:t>
            </w:r>
          </w:p>
        </w:tc>
        <w:tc>
          <w:tcPr>
            <w:tcW w:w="0" w:type="dxa"/>
            <w:vAlign w:val="bottom"/>
          </w:tcPr>
          <w:p>
            <w:pPr>
              <w:spacing w:after="0"/>
              <w:rPr>
                <w:sz w:val="1"/>
                <w:szCs w:val="1"/>
                <w:color w:val="auto"/>
              </w:rPr>
            </w:pPr>
          </w:p>
        </w:tc>
      </w:tr>
      <w:tr>
        <w:trPr>
          <w:trHeight w:val="137"/>
        </w:trPr>
        <w:tc>
          <w:tcPr>
            <w:tcW w:w="85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Held by Liberty Global employees: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RSUs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3,464,075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4,572,836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PSUs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4,916,529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6,730,895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Held by former Liberty Global employees (a):</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5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RSUs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59,543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111,428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PSUs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520" w:type="dxa"/>
            <w:vAlign w:val="bottom"/>
            <w:vMerge w:val="continue"/>
          </w:tcPr>
          <w:p>
            <w:pPr>
              <w:spacing w:after="0"/>
              <w:rPr>
                <w:sz w:val="16"/>
                <w:szCs w:val="16"/>
                <w:color w:val="auto"/>
              </w:rPr>
            </w:pPr>
          </w:p>
        </w:tc>
        <w:tc>
          <w:tcPr>
            <w:tcW w:w="13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10,220</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10,180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jc w:val="both"/>
        <w:ind w:left="460" w:hanging="457"/>
        <w:spacing w:after="0" w:line="270" w:lineRule="auto"/>
        <w:tabs>
          <w:tab w:leader="none" w:pos="45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certain share-based awards that continue to be held by former employees of Liberty Global subsequent to certain spin-off or disposal transactions, or as otherwise permitted under applicable Liberty Global equity plan documents. The future vesting of these RSUs and PSUs will increase the number of our outstanding common shares.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2025 PSUs</w:t>
      </w:r>
    </w:p>
    <w:p>
      <w:pPr>
        <w:spacing w:after="0" w:line="24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In March 2025, the compensation committee of our board of directors approved the grant of PSUs to executive officers and certain employees (the </w:t>
      </w:r>
      <w:r>
        <w:rPr>
          <w:rFonts w:ascii="Times New Roman" w:cs="Times New Roman" w:eastAsia="Times New Roman" w:hAnsi="Times New Roman"/>
          <w:sz w:val="17"/>
          <w:szCs w:val="17"/>
          <w:b w:val="1"/>
          <w:bCs w:val="1"/>
          <w:color w:val="auto"/>
        </w:rPr>
        <w:t>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PSUs</w:t>
      </w:r>
      <w:r>
        <w:rPr>
          <w:rFonts w:ascii="Times New Roman" w:cs="Times New Roman" w:eastAsia="Times New Roman" w:hAnsi="Times New Roman"/>
          <w:sz w:val="17"/>
          <w:szCs w:val="17"/>
          <w:color w:val="auto"/>
        </w:rPr>
        <w:t>). The performance metric for the 2025 PSUs is the appreciation of Liberty Global’s average share price during the performance period commencing March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21, 2025 and ending December 31, 2027. The payout is determined based on the achievement of certain share price levels, as adjusted by the committee for (i) corporate transactions, including acquisitions, dispositions, spin-offs and mergers, and (ii) force majeure type events such as natural disasters, acts of war or terrorism or other unanticipated events impacting the business that are outside of our control. Share price appreciation of 0% to 80% will generally result in award recipients earning 0% to 200% of their target 2025 PSUs. In addition, 50% of the 2025 PSUs award payout may be "banked" if Liberty Global’s average share price exceeds specific target levels ranging from 30% to 50% during the performance period, subject to a cap of 75% of the target 2025 PSUs. The earned 2025 PSUs will fully vest on February 15, 2028.</w:t>
      </w:r>
    </w:p>
    <w:p>
      <w:pPr>
        <w:spacing w:after="0" w:line="201" w:lineRule="exact"/>
        <w:rPr>
          <w:sz w:val="20"/>
          <w:szCs w:val="20"/>
          <w:color w:val="auto"/>
        </w:rPr>
      </w:pPr>
    </w:p>
    <w:p>
      <w:pPr>
        <w:ind w:left="460" w:hanging="457"/>
        <w:spacing w:after="0"/>
        <w:tabs>
          <w:tab w:leader="none" w:pos="46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Earnings (Loss) per Share</w:t>
      </w:r>
    </w:p>
    <w:p>
      <w:pPr>
        <w:spacing w:after="0" w:line="243"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7"/>
          <w:szCs w:val="17"/>
          <w:color w:val="auto"/>
        </w:rPr>
        <w:t>Basic earnings or loss per share (</w:t>
      </w:r>
      <w:r>
        <w:rPr>
          <w:rFonts w:ascii="Times New Roman" w:cs="Times New Roman" w:eastAsia="Times New Roman" w:hAnsi="Times New Roman"/>
          <w:sz w:val="17"/>
          <w:szCs w:val="17"/>
          <w:b w:val="1"/>
          <w:bCs w:val="1"/>
          <w:color w:val="auto"/>
        </w:rPr>
        <w:t>EPS</w:t>
      </w:r>
      <w:r>
        <w:rPr>
          <w:rFonts w:ascii="Times New Roman" w:cs="Times New Roman" w:eastAsia="Times New Roman" w:hAnsi="Times New Roman"/>
          <w:sz w:val="17"/>
          <w:szCs w:val="17"/>
          <w:color w:val="auto"/>
        </w:rPr>
        <w:t>) is computed by dividing net earnings or loss attributable to Liberty Global shareholders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13.</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details of our net earnings (loss) from continuing operations attributable to Liberty Global shareholders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40" w:type="dxa"/>
            <w:vAlign w:val="bottom"/>
          </w:tcPr>
          <w:p>
            <w:pPr>
              <w:spacing w:after="0"/>
              <w:rPr>
                <w:sz w:val="15"/>
                <w:szCs w:val="15"/>
                <w:color w:val="auto"/>
              </w:rPr>
            </w:pPr>
          </w:p>
        </w:tc>
        <w:tc>
          <w:tcPr>
            <w:tcW w:w="2480" w:type="dxa"/>
            <w:vAlign w:val="bottom"/>
            <w:gridSpan w:val="4"/>
          </w:tcPr>
          <w:p>
            <w:pPr>
              <w:jc w:val="right"/>
              <w:ind w:right="695"/>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5"/>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in millions, except share amounts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from continuing operations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958.6</w:t>
            </w:r>
          </w:p>
        </w:tc>
        <w:tc>
          <w:tcPr>
            <w:tcW w:w="0" w:type="dxa"/>
            <w:vAlign w:val="bottom"/>
          </w:tcPr>
          <w:p>
            <w:pPr>
              <w:spacing w:after="0"/>
              <w:rPr>
                <w:sz w:val="1"/>
                <w:szCs w:val="1"/>
                <w:color w:val="auto"/>
              </w:rPr>
            </w:pPr>
          </w:p>
        </w:tc>
      </w:tr>
      <w:tr>
        <w:trPr>
          <w:trHeight w:val="21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earnings from continuing operations attributable to noncontrolling interests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148"/>
        </w:trPr>
        <w:tc>
          <w:tcPr>
            <w:tcW w:w="570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7"/>
                <w:szCs w:val="17"/>
                <w:color w:val="auto"/>
              </w:rPr>
              <w:t>Net earnings (loss) from continuing operations attributable to Liberty Global</w:t>
            </w: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(2,792.9)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(4,130.2)</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934.5</w:t>
            </w:r>
          </w:p>
        </w:tc>
        <w:tc>
          <w:tcPr>
            <w:tcW w:w="0" w:type="dxa"/>
            <w:vAlign w:val="bottom"/>
          </w:tcPr>
          <w:p>
            <w:pPr>
              <w:spacing w:after="0"/>
              <w:rPr>
                <w:sz w:val="1"/>
                <w:szCs w:val="1"/>
                <w:color w:val="auto"/>
              </w:rPr>
            </w:pPr>
          </w:p>
        </w:tc>
      </w:tr>
      <w:tr>
        <w:trPr>
          <w:trHeight w:val="226"/>
        </w:trPr>
        <w:tc>
          <w:tcPr>
            <w:tcW w:w="5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shareholders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(basic EPS computation)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345,025,708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371,200,838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346,707,354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374,473,934</w:t>
            </w:r>
          </w:p>
        </w:tc>
        <w:tc>
          <w:tcPr>
            <w:tcW w:w="0" w:type="dxa"/>
            <w:vAlign w:val="bottom"/>
          </w:tcPr>
          <w:p>
            <w:pPr>
              <w:spacing w:after="0"/>
              <w:rPr>
                <w:sz w:val="1"/>
                <w:szCs w:val="1"/>
                <w:color w:val="auto"/>
              </w:rPr>
            </w:pPr>
          </w:p>
        </w:tc>
      </w:tr>
      <w:tr>
        <w:trPr>
          <w:trHeight w:val="219"/>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Incremental shares (a)</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6,253,176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6,807,895</w:t>
            </w:r>
          </w:p>
        </w:tc>
        <w:tc>
          <w:tcPr>
            <w:tcW w:w="0" w:type="dxa"/>
            <w:vAlign w:val="bottom"/>
          </w:tcPr>
          <w:p>
            <w:pPr>
              <w:spacing w:after="0"/>
              <w:rPr>
                <w:sz w:val="1"/>
                <w:szCs w:val="1"/>
                <w:color w:val="auto"/>
              </w:rPr>
            </w:pPr>
          </w:p>
        </w:tc>
      </w:tr>
      <w:tr>
        <w:trPr>
          <w:trHeight w:val="237"/>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(diluted EPS computation)</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345,025,708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377,454,014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346,707,354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381,281,829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Excluded potentially dilutive employee share-based incentive awards (b)</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155,485,651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79,251,635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155,485,651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77,913,410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7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460" w:hanging="457"/>
        <w:spacing w:after="0" w:line="264" w:lineRule="auto"/>
        <w:tabs>
          <w:tab w:leader="none" w:pos="45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the treasury stock method to calculate the incremental shares attributable to the assumed exercise or release of the outstanding share-based incentive awards upon vesting. Certain of our share incentive plans include performance and/or other features that result in the associated shares being contingently issuable. For purposes of applying the treasury stock method, the dilutive effect of these awards is calculated based on the number of the shares that would be issuable as if the end of the reporting period was the end of the contingency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jc w:val="both"/>
        <w:ind w:left="460" w:hanging="457"/>
        <w:spacing w:after="0" w:line="264" w:lineRule="auto"/>
        <w:tabs>
          <w:tab w:leader="none" w:pos="45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potentially dilutive shares that have been excluded from the computation of diluted earnings (loss) from continuing operations attributable to Liberty Global shareholders because their effect would have been anti-dilutive under the treasury stock method. Additional shares may be issuable in future periods based on the actual performance of certain PSUs, because such awards had not yet met the applicable performance criteria during the reporting period.</w:t>
      </w:r>
    </w:p>
    <w:p>
      <w:pPr>
        <w:spacing w:after="0" w:line="193" w:lineRule="exact"/>
        <w:rPr>
          <w:sz w:val="20"/>
          <w:szCs w:val="20"/>
          <w:color w:val="auto"/>
        </w:rPr>
      </w:pPr>
    </w:p>
    <w:p>
      <w:pPr>
        <w:ind w:left="460" w:hanging="457"/>
        <w:spacing w:after="0"/>
        <w:tabs>
          <w:tab w:leader="none" w:pos="46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Commitments and Contingencies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24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the normal course of business, we enter into agreements that commit our company to make cash payments in future periods with respect to purchases of CPE and other equipment and services, programming contracts, network and connectivity commitments and other items. The following table sets forth the U.S. dollar equivalents of such commitments as of June 30, 2025. The commitments included in this table do not reflect any liabilities that are included on our June 30, 2025 condensed consolidated balance sheet.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Payments due during:</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60" w:type="dxa"/>
            <w:vAlign w:val="bottom"/>
          </w:tcPr>
          <w:p>
            <w:pPr>
              <w:spacing w:after="0"/>
              <w:rPr>
                <w:sz w:val="17"/>
                <w:szCs w:val="17"/>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Remainder of</w:t>
            </w:r>
          </w:p>
        </w:tc>
        <w:tc>
          <w:tcPr>
            <w:tcW w:w="200" w:type="dxa"/>
            <w:vAlign w:val="bottom"/>
          </w:tcPr>
          <w:p>
            <w:pPr>
              <w:spacing w:after="0"/>
              <w:rPr>
                <w:sz w:val="17"/>
                <w:szCs w:val="17"/>
                <w:color w:val="auto"/>
              </w:rPr>
            </w:pPr>
          </w:p>
        </w:tc>
        <w:tc>
          <w:tcPr>
            <w:tcW w:w="720" w:type="dxa"/>
            <w:vAlign w:val="bottom"/>
            <w:vMerge w:val="restart"/>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2027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2028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2029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Thereafter</w:t>
            </w:r>
          </w:p>
        </w:tc>
        <w:tc>
          <w:tcPr>
            <w:tcW w:w="240" w:type="dxa"/>
            <w:vAlign w:val="bottom"/>
          </w:tcPr>
          <w:p>
            <w:pPr>
              <w:spacing w:after="0"/>
              <w:rPr>
                <w:sz w:val="17"/>
                <w:szCs w:val="17"/>
                <w:color w:val="auto"/>
              </w:rPr>
            </w:pPr>
          </w:p>
        </w:tc>
        <w:tc>
          <w:tcPr>
            <w:tcW w:w="860" w:type="dxa"/>
            <w:vAlign w:val="bottom"/>
            <w:vMerge w:val="restart"/>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2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50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commitments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2,234.4</w:t>
            </w:r>
          </w:p>
        </w:tc>
        <w:tc>
          <w:tcPr>
            <w:tcW w:w="0" w:type="dxa"/>
            <w:vAlign w:val="bottom"/>
          </w:tcPr>
          <w:p>
            <w:pPr>
              <w:spacing w:after="0"/>
              <w:rPr>
                <w:sz w:val="1"/>
                <w:szCs w:val="1"/>
                <w:color w:val="auto"/>
              </w:rPr>
            </w:pPr>
          </w:p>
        </w:tc>
      </w:tr>
      <w:tr>
        <w:trPr>
          <w:trHeight w:val="219"/>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commitments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Network and connectivity</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commitments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commitments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486.2</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Purchase commitments include unconditional and legally binding obligations related to (i) certain service-related commitments, including software development, information technology, maintenance and call center services and (ii) the purchase of CPE.</w:t>
      </w:r>
    </w:p>
    <w:p>
      <w:pPr>
        <w:spacing w:after="0" w:line="177"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$299.9 million and $280.3 million during the six months ended June 30, 2025 and 2024, respectively.</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Network and connectivity commitments include certain equipment and service-related commitments at Telenet.</w:t>
      </w:r>
    </w:p>
    <w:p>
      <w:pPr>
        <w:spacing w:after="0" w:line="243"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Other commitments include (i) our share of the funding commitment associated with the nexfibre JV and (ii) race management commitments associated with Formula E.</w:t>
      </w:r>
    </w:p>
    <w:p>
      <w:pPr>
        <w:spacing w:after="0" w:line="17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6.</w:t>
      </w:r>
    </w:p>
    <w:p>
      <w:pPr>
        <w:spacing w:after="0" w:line="19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We also have commitments pursuant to agreements with, and obligations imposed by, franchise authorities and municipalities, which may include obligations in certain markets to move aerial cable to underground ducts or to upgrade,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rebuild or extend portions of our broadband communication systems. Such amounts are not included in the above table because they are not fixed or determinable.</w:t>
      </w:r>
    </w:p>
    <w:p>
      <w:pPr>
        <w:spacing w:after="0" w:line="243"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7"/>
          <w:szCs w:val="17"/>
          <w:color w:val="auto"/>
        </w:rPr>
        <w:t>Furthermore, in connection with a future sale of our interest in, or an initial public offering of, Formula E, we have agreed to pay a third party a portion of our economic gain. We estimate that this contingent obligation is not currently significant.</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Guarantees and Other Credit Enhancements</w:t>
      </w:r>
    </w:p>
    <w:p>
      <w:pPr>
        <w:spacing w:after="0" w:line="226"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Legal and Regulatory Proceedings and Other Contingencies</w:t>
      </w:r>
    </w:p>
    <w:p>
      <w:pPr>
        <w:spacing w:after="0" w:line="245"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Interkabel Acquisition. </w:t>
      </w:r>
      <w:r>
        <w:rPr>
          <w:rFonts w:ascii="Times New Roman" w:cs="Times New Roman" w:eastAsia="Times New Roman" w:hAnsi="Times New Roman"/>
          <w:sz w:val="17"/>
          <w:szCs w:val="17"/>
          <w:color w:val="auto"/>
        </w:rPr>
        <w:t>On November 26, 2007, Telenet and four associations of municipalities in Belgium, which we refer to as the pure intercommunales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PICs</w:t>
      </w:r>
      <w:r>
        <w:rPr>
          <w:rFonts w:ascii="Times New Roman" w:cs="Times New Roman" w:eastAsia="Times New Roman" w:hAnsi="Times New Roman"/>
          <w:sz w:val="17"/>
          <w:szCs w:val="17"/>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 w:cs="Times New Roman" w:eastAsia="Times New Roman" w:hAnsi="Times New Roman"/>
          <w:sz w:val="17"/>
          <w:szCs w:val="17"/>
          <w:b w:val="1"/>
          <w:bCs w:val="1"/>
          <w:color w:val="auto"/>
        </w:rPr>
        <w:t>2008 PICs Agreement</w:t>
      </w:r>
      <w:r>
        <w:rPr>
          <w:rFonts w:ascii="Times New Roman" w:cs="Times New Roman" w:eastAsia="Times New Roman" w:hAnsi="Times New Roman"/>
          <w:sz w:val="17"/>
          <w:szCs w:val="17"/>
          <w:color w:val="auto"/>
        </w:rPr>
        <w:t>), which closed effective October 1, 2008. Beginning in December 2007, Proximus NV/SA (</w:t>
      </w:r>
      <w:r>
        <w:rPr>
          <w:rFonts w:ascii="Times New Roman" w:cs="Times New Roman" w:eastAsia="Times New Roman" w:hAnsi="Times New Roman"/>
          <w:sz w:val="17"/>
          <w:szCs w:val="17"/>
          <w:b w:val="1"/>
          <w:bCs w:val="1"/>
          <w:color w:val="auto"/>
        </w:rPr>
        <w:t>Proximus</w:t>
      </w:r>
      <w:r>
        <w:rPr>
          <w:rFonts w:ascii="Times New Roman" w:cs="Times New Roman" w:eastAsia="Times New Roman" w:hAnsi="Times New Roman"/>
          <w:sz w:val="17"/>
          <w:szCs w:val="17"/>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21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9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Telekom Deutschland Litigation. </w:t>
      </w:r>
      <w:r>
        <w:rPr>
          <w:rFonts w:ascii="Times New Roman" w:cs="Times New Roman" w:eastAsia="Times New Roman" w:hAnsi="Times New Roman"/>
          <w:sz w:val="17"/>
          <w:szCs w:val="17"/>
          <w:color w:val="auto"/>
        </w:rPr>
        <w:t>On December 28, 2012, Unitymedia filed a lawsuit against Telekom Deutschland GmbH (</w:t>
      </w:r>
      <w:r>
        <w:rPr>
          <w:rFonts w:ascii="Times New Roman" w:cs="Times New Roman" w:eastAsia="Times New Roman" w:hAnsi="Times New Roman"/>
          <w:sz w:val="17"/>
          <w:szCs w:val="17"/>
          <w:b w:val="1"/>
          <w:bCs w:val="1"/>
          <w:color w:val="auto"/>
        </w:rPr>
        <w:t>Telekom Deutschland</w:t>
      </w:r>
      <w:r>
        <w:rPr>
          <w:rFonts w:ascii="Times New Roman" w:cs="Times New Roman" w:eastAsia="Times New Roman" w:hAnsi="Times New Roman"/>
          <w:sz w:val="17"/>
          <w:szCs w:val="17"/>
          <w:color w:val="auto"/>
        </w:rPr>
        <w:t>) in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Vodafone Disposal Group</w:t>
      </w:r>
      <w:r>
        <w:rPr>
          <w:rFonts w:ascii="Times New Roman" w:cs="Times New Roman" w:eastAsia="Times New Roman" w:hAnsi="Times New Roman"/>
          <w:sz w:val="17"/>
          <w:szCs w:val="17"/>
          <w:color w:val="auto"/>
        </w:rPr>
        <w:t>) in 2019, we will only share in 50% of any amounts recovered, plus 50% of the net present value of certain cost savings in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190"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Other Contingency Matters. </w:t>
      </w:r>
      <w:r>
        <w:rPr>
          <w:rFonts w:ascii="Times New Roman" w:cs="Times New Roman" w:eastAsia="Times New Roman" w:hAnsi="Times New Roman"/>
          <w:sz w:val="17"/>
          <w:szCs w:val="17"/>
          <w:color w:val="auto"/>
        </w:rPr>
        <w:t>In connection with the dispositions of certain of our operations, we provided tax indemnities to the counterparties for certain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196"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Other Regulatory Matters. </w:t>
      </w:r>
      <w:r>
        <w:rPr>
          <w:rFonts w:ascii="Times New Roman" w:cs="Times New Roman" w:eastAsia="Times New Roman" w:hAnsi="Times New Roman"/>
          <w:sz w:val="17"/>
          <w:szCs w:val="17"/>
          <w:color w:val="auto"/>
        </w:rPr>
        <w:t>Broadband internet, video distribution, fixed-line telephony, mobile and content businesses are regulated in each of the countries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we or our affiliates operate. The scope of regulation varies from country to country, although in some significant respects regulation in European markets is harmonized under the regulatory structure of the European Union (</w:t>
      </w:r>
      <w:r>
        <w:rPr>
          <w:rFonts w:ascii="Times New Roman" w:cs="Times New Roman" w:eastAsia="Times New Roman" w:hAnsi="Times New Roman"/>
          <w:sz w:val="17"/>
          <w:szCs w:val="17"/>
          <w:b w:val="1"/>
          <w:bCs w:val="1"/>
          <w:color w:val="auto"/>
        </w:rPr>
        <w:t>E.U.</w:t>
      </w:r>
      <w:r>
        <w:rPr>
          <w:rFonts w:ascii="Times New Roman" w:cs="Times New Roman" w:eastAsia="Times New Roman" w:hAnsi="Times New Roman"/>
          <w:sz w:val="17"/>
          <w:szCs w:val="17"/>
          <w:color w:val="auto"/>
        </w:rPr>
        <w:t>), and largely similar rules apply in the U.K.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to the foregoing items, we have contingent liabilities related to matters arising in the ordinary course of business, including (i) legal proceedings,</w:t>
      </w:r>
    </w:p>
    <w:p>
      <w:pPr>
        <w:spacing w:after="0" w:line="28" w:lineRule="exact"/>
        <w:rPr>
          <w:sz w:val="20"/>
          <w:szCs w:val="20"/>
          <w:color w:val="auto"/>
        </w:rPr>
      </w:pPr>
    </w:p>
    <w:p>
      <w:pPr>
        <w:jc w:val="both"/>
        <w:ind w:firstLine="3"/>
        <w:spacing w:after="0" w:line="256" w:lineRule="auto"/>
        <w:tabs>
          <w:tab w:leader="none" w:pos="28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00" w:lineRule="exact"/>
        <w:rPr>
          <w:sz w:val="20"/>
          <w:szCs w:val="20"/>
          <w:color w:val="auto"/>
        </w:rPr>
      </w:pPr>
    </w:p>
    <w:p>
      <w:pPr>
        <w:ind w:left="460" w:hanging="457"/>
        <w:spacing w:after="0"/>
        <w:tabs>
          <w:tab w:leader="none" w:pos="46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Segment Reporting</w:t>
      </w:r>
    </w:p>
    <w:p>
      <w:pPr>
        <w:spacing w:after="0" w:line="243"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Our chief executive officer, whom we have determined to be our Chief Operating Decision Maker (</w:t>
      </w:r>
      <w:r>
        <w:rPr>
          <w:rFonts w:ascii="Times New Roman" w:cs="Times New Roman" w:eastAsia="Times New Roman" w:hAnsi="Times New Roman"/>
          <w:sz w:val="17"/>
          <w:szCs w:val="17"/>
          <w:b w:val="1"/>
          <w:bCs w:val="1"/>
          <w:color w:val="auto"/>
        </w:rPr>
        <w:t>CODM</w:t>
      </w:r>
      <w:r>
        <w:rPr>
          <w:rFonts w:ascii="Times New Roman" w:cs="Times New Roman" w:eastAsia="Times New Roman" w:hAnsi="Times New Roman"/>
          <w:sz w:val="17"/>
          <w:szCs w:val="17"/>
          <w:color w:val="auto"/>
        </w:rPr>
        <w:t>), views our business as three strategic platforms, “Liberty Telecom” (our converged broadband, video and mobile communications businesses), “Liberty Growth” (our global investment arm comprised of various technology, media/content, sports, digital infrastructure and other growth assets) and “Liberty Services” (our innovative technology and finance service platforms offered by our centralized functions), each as further discussed below. Performance of our business is assessed and resources are allocated by our CODM on a segment basis. We generally identify our reportable segments as (i) those consolidated subsidiaries that represent 10% or more of our total reportable segment revenue or proportionate Adjusted EBITDA (as defined below) or (ii) those equity method affiliates where revenue or our share of Adjusted EBITDA represents 10% or more of our total reportable segment revenue or proportionate Adjusted EBITDA, respectively. In certain cases, we may elect to include an operating segment in our segment disclosure that does not meet the above-described criteria for a reportable segment. Adjusted EBITDA is the primary measure used by our CODM to evaluate segment operating performance and make decisions about allocating resources to our operating segments. The CODM uses Adjusted EBITDA to evaluate income generated from our segment assets in deciding whether to reinvest profits into other areas of our business, such as for acquisitions or investments. Adjusted EBITDA is also used to monitor budget versus actual results, which is used in assessing the performance of segments in comparison with one another and in establishing management’s compensation. The significant accounting policies of our segments are the same as those described in note 3 to the consolidated financial statements included in our 2024 10-K. In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 our CODM reviews non-financial measures such as customer growth, as appropriate, but does not review any measure of total assets.</w:t>
      </w:r>
    </w:p>
    <w:p>
      <w:pPr>
        <w:spacing w:after="0" w:line="239"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As we use the term, “</w:t>
      </w: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17"/>
          <w:szCs w:val="17"/>
          <w:color w:val="auto"/>
        </w:rPr>
        <w:t>” is defined as earnings (loss) from continuing operations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(i) gains and losses on the disposition of long-lived assets, (ii) third-party costs directly associated with successful and unsuccessful acquisitions and dispositions, including legal, advisory and due diligence fees, as applicable, and (iii)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(a) readily view operating trends, (b) perform analytical comparisons and benchmarking between segments and (c) identify strategies to improve operating performance in the different countries in which we operate. A reconciliation of total reportable segment Adjusted EBITDA to earnings (loss) from continuing operations before income taxes is presented below.</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June 30, 2025, our reportable segments are as follows:</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Consolidated:</w:t>
      </w:r>
    </w:p>
    <w:p>
      <w:pPr>
        <w:spacing w:after="0" w:line="118" w:lineRule="exact"/>
        <w:rPr>
          <w:sz w:val="20"/>
          <w:szCs w:val="20"/>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Telenet</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VM Ireland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Nonconsolidated:</w:t>
      </w:r>
    </w:p>
    <w:p>
      <w:pPr>
        <w:spacing w:after="0" w:line="118" w:lineRule="exact"/>
        <w:rPr>
          <w:sz w:val="20"/>
          <w:szCs w:val="20"/>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VMO2 JV</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VodafoneZiggo JV</w:t>
      </w:r>
    </w:p>
    <w:p>
      <w:pPr>
        <w:spacing w:after="0" w:line="226"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Telenet, VM Ireland, the VMO2 JV and the VodafoneZiggo JV are included in our “Liberty Telecom” strategic platform and derive their revenue primarily from residential and B2B communications services, including broadband internet, video, fixed-line telephony and mobile services.</w:t>
      </w:r>
    </w:p>
    <w:p>
      <w:pPr>
        <w:spacing w:after="0" w:line="173"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color w:val="auto"/>
        </w:rPr>
        <w:t>During the fourth quarter of 2024, our previously defined “</w:t>
      </w:r>
      <w:r>
        <w:rPr>
          <w:rFonts w:ascii="Times New Roman" w:cs="Times New Roman" w:eastAsia="Times New Roman" w:hAnsi="Times New Roman"/>
          <w:sz w:val="17"/>
          <w:szCs w:val="17"/>
          <w:i w:val="1"/>
          <w:iCs w:val="1"/>
          <w:color w:val="auto"/>
        </w:rPr>
        <w:t>Central and Other</w:t>
      </w:r>
      <w:r>
        <w:rPr>
          <w:rFonts w:ascii="Times New Roman" w:cs="Times New Roman" w:eastAsia="Times New Roman" w:hAnsi="Times New Roman"/>
          <w:sz w:val="17"/>
          <w:szCs w:val="17"/>
          <w:color w:val="auto"/>
        </w:rPr>
        <w:t>” reportable segment was reorganized into various other operating segments, which are not separately or in the aggregate identified as reportable segments. Prior periods have been revised in accordance with this reorganization.</w:t>
      </w:r>
    </w:p>
    <w:p>
      <w:pPr>
        <w:spacing w:after="0" w:line="17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“Liberty Growth” strategic platform, included in the “all other category,” comprises certain investments in technology, media/content, sports and digital infrastructure companies that we view as scalable businesses, which derive their revenue from providing various goods, services and content to customers (</w:t>
      </w:r>
      <w:r>
        <w:rPr>
          <w:rFonts w:ascii="Times New Roman" w:cs="Times New Roman" w:eastAsia="Times New Roman" w:hAnsi="Times New Roman"/>
          <w:sz w:val="17"/>
          <w:szCs w:val="17"/>
          <w:b w:val="1"/>
          <w:bCs w:val="1"/>
          <w:color w:val="auto"/>
        </w:rPr>
        <w:t>Liberty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Growth</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“Liberty Services” strategic platform, included in the “all other category,” primarily includes our technology and services operating segments that generate revenue through (i) sales of CPE to our reportable segments and certain third parties and (ii) providing certain centralized back office functions, including network operations and technology solutions (</w:t>
      </w:r>
      <w:r>
        <w:rPr>
          <w:rFonts w:ascii="Times New Roman" w:cs="Times New Roman" w:eastAsia="Times New Roman" w:hAnsi="Times New Roman"/>
          <w:sz w:val="17"/>
          <w:szCs w:val="17"/>
          <w:b w:val="1"/>
          <w:bCs w:val="1"/>
          <w:color w:val="auto"/>
        </w:rPr>
        <w:t>Liberty Services</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also have certain corporate activities that are included in the “all other category,” which include (i) revenue associated with certain finance and administrative services provided to various third parties and affiliates pursuant to service agreements and (ii) costs associated with certain centralized functions including billing systems, marketing, facilities, finance and other administrative functions.</w:t>
      </w:r>
    </w:p>
    <w:p>
      <w:pPr>
        <w:spacing w:after="0" w:line="19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Liberty Growth, Liberty Services and our corporate activities are all included in the “all other category” as they do not meet the reportable segment quantitative thresholds.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present only the reportable segments of our continuing operations in the tables below.</w:t>
      </w:r>
    </w:p>
    <w:p>
      <w:pPr>
        <w:spacing w:after="0" w:line="239"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7"/>
          <w:szCs w:val="17"/>
          <w:color w:val="auto"/>
        </w:rPr>
        <w:t xml:space="preserve">Our centrally-managed technology and innovation function (our </w:t>
      </w:r>
      <w:r>
        <w:rPr>
          <w:rFonts w:ascii="Times New Roman" w:cs="Times New Roman" w:eastAsia="Times New Roman" w:hAnsi="Times New Roman"/>
          <w:sz w:val="17"/>
          <w:szCs w:val="17"/>
          <w:b w:val="1"/>
          <w:bCs w:val="1"/>
          <w:color w:val="auto"/>
        </w:rPr>
        <w:t>T&amp;I Function</w:t>
      </w:r>
      <w:r>
        <w:rPr>
          <w:rFonts w:ascii="Times New Roman" w:cs="Times New Roman" w:eastAsia="Times New Roman" w:hAnsi="Times New Roman"/>
          <w:sz w:val="17"/>
          <w:szCs w:val="17"/>
          <w:color w:val="auto"/>
        </w:rPr>
        <w:t xml:space="preserve">) provides, and allocates charges for, certain products and services to our reportable segments (the </w:t>
      </w:r>
      <w:r>
        <w:rPr>
          <w:rFonts w:ascii="Times New Roman" w:cs="Times New Roman" w:eastAsia="Times New Roman" w:hAnsi="Times New Roman"/>
          <w:sz w:val="17"/>
          <w:szCs w:val="17"/>
          <w:b w:val="1"/>
          <w:bCs w:val="1"/>
          <w:color w:val="auto"/>
        </w:rPr>
        <w:t>Tech Framework</w:t>
      </w:r>
      <w:r>
        <w:rPr>
          <w:rFonts w:ascii="Times New Roman" w:cs="Times New Roman" w:eastAsia="Times New Roman" w:hAnsi="Times New Roman"/>
          <w:sz w:val="17"/>
          <w:szCs w:val="17"/>
          <w:color w:val="auto"/>
        </w:rPr>
        <w:t>). These products and services include CPE hardware and related essential software, maintenance, hosting and other services. Our reportable segments capitalize the combined cost of the CPE hardware and a portion of the essential software as property and equipment additions and the corresponding amounts charged by our T&amp;I Function are reflected as revenue when earned.</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Performance Measures of Our Reportable Segments</w:t>
      </w:r>
    </w:p>
    <w:p>
      <w:pPr>
        <w:spacing w:after="0" w:line="24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amounts presented in the tables below represent 100% of each of our consolidated and nonconsolidated reportable segment’s revenue, expenses and Adjusted EBITDA, despite only holding a 50% noncontrolling interest in both the VMO2 JV and the VodafoneZiggo JV. We account for our 50% interests in both the VMO2 JV and the VodafoneZiggo JV under the equity method; accordingly, our share of their operating results is included in share of results of affiliates, net in our condensed consolidated statements of operations. The noncontrolling interests at Telenet and Formula E are reflected in net earnings or loss attributable to noncontrolling interests in our condensed consolidated statements of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 2025</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center"/>
              <w:ind w:left="477"/>
              <w:spacing w:after="0"/>
              <w:rPr>
                <w:sz w:val="20"/>
                <w:szCs w:val="20"/>
                <w:color w:val="auto"/>
              </w:rPr>
            </w:pPr>
            <w:r>
              <w:rPr>
                <w:rFonts w:ascii="Times New Roman" w:cs="Times New Roman" w:eastAsia="Times New Roman" w:hAnsi="Times New Roman"/>
                <w:sz w:val="15"/>
                <w:szCs w:val="15"/>
                <w:b w:val="1"/>
                <w:bCs w:val="1"/>
                <w:color w:val="auto"/>
              </w:rPr>
              <w:t>Six months ended June 30, 2025</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5"/>
                <w:szCs w:val="15"/>
                <w:b w:val="1"/>
                <w:bCs w:val="1"/>
                <w:color w:val="auto"/>
              </w:rPr>
              <w:t>Third-party and</w:t>
            </w:r>
          </w:p>
        </w:tc>
        <w:tc>
          <w:tcPr>
            <w:tcW w:w="12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Intersegment</w:t>
            </w:r>
          </w:p>
        </w:tc>
        <w:tc>
          <w:tcPr>
            <w:tcW w:w="380" w:type="dxa"/>
            <w:vAlign w:val="bottom"/>
          </w:tcPr>
          <w:p>
            <w:pPr>
              <w:spacing w:after="0"/>
              <w:rPr>
                <w:sz w:val="12"/>
                <w:szCs w:val="12"/>
                <w:color w:val="auto"/>
              </w:rPr>
            </w:pPr>
          </w:p>
        </w:tc>
        <w:tc>
          <w:tcPr>
            <w:tcW w:w="820" w:type="dxa"/>
            <w:vAlign w:val="bottom"/>
            <w:vMerge w:val="restart"/>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Third-party and</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Intersegment</w:t>
            </w:r>
          </w:p>
        </w:tc>
        <w:tc>
          <w:tcPr>
            <w:tcW w:w="380" w:type="dxa"/>
            <w:vAlign w:val="bottom"/>
          </w:tcPr>
          <w:p>
            <w:pPr>
              <w:spacing w:after="0"/>
              <w:rPr>
                <w:sz w:val="12"/>
                <w:szCs w:val="12"/>
                <w:color w:val="auto"/>
              </w:rPr>
            </w:pPr>
          </w:p>
        </w:tc>
        <w:tc>
          <w:tcPr>
            <w:tcW w:w="820" w:type="dxa"/>
            <w:vAlign w:val="bottom"/>
            <w:vMerge w:val="restart"/>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Telenet</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801.0</w:t>
            </w:r>
          </w:p>
        </w:tc>
        <w:tc>
          <w:tcPr>
            <w:tcW w:w="3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VM Ireland</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VMO2 JV (nonconsolidated JV)</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3,373.5</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VodafoneZiggo JV (nonconsolidated JV)</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reportable segment revenue</w:t>
            </w: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Plus: all other category (a)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383.4</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714.5</w:t>
            </w: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nonconsolidated JV revenue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(8,675.1)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8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Less: elimination of intercompany consolidated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revenue (b)</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consolidated revenue</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 2024</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 June 30, 2024</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5"/>
                <w:szCs w:val="15"/>
                <w:b w:val="1"/>
                <w:bCs w:val="1"/>
                <w:color w:val="auto"/>
              </w:rPr>
              <w:t>Third-party and</w:t>
            </w:r>
          </w:p>
        </w:tc>
        <w:tc>
          <w:tcPr>
            <w:tcW w:w="120" w:type="dxa"/>
            <w:vAlign w:val="bottom"/>
          </w:tcPr>
          <w:p>
            <w:pPr>
              <w:spacing w:after="0"/>
              <w:rPr>
                <w:sz w:val="12"/>
                <w:szCs w:val="12"/>
                <w:color w:val="auto"/>
              </w:rPr>
            </w:pPr>
          </w:p>
        </w:tc>
        <w:tc>
          <w:tcPr>
            <w:tcW w:w="1560" w:type="dxa"/>
            <w:vAlign w:val="bottom"/>
            <w:gridSpan w:val="3"/>
            <w:vMerge w:val="restart"/>
          </w:tcPr>
          <w:p>
            <w:pPr>
              <w:jc w:val="right"/>
              <w:ind w:right="554"/>
              <w:spacing w:after="0"/>
              <w:rPr>
                <w:sz w:val="20"/>
                <w:szCs w:val="20"/>
                <w:color w:val="auto"/>
              </w:rPr>
            </w:pPr>
            <w:r>
              <w:rPr>
                <w:rFonts w:ascii="Times New Roman" w:cs="Times New Roman" w:eastAsia="Times New Roman" w:hAnsi="Times New Roman"/>
                <w:sz w:val="15"/>
                <w:szCs w:val="15"/>
                <w:b w:val="1"/>
                <w:bCs w:val="1"/>
                <w:color w:val="auto"/>
              </w:rPr>
              <w:t>Intersegment</w:t>
            </w:r>
          </w:p>
        </w:tc>
        <w:tc>
          <w:tcPr>
            <w:tcW w:w="820" w:type="dxa"/>
            <w:vAlign w:val="bottom"/>
            <w:vMerge w:val="restart"/>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Third-party and</w:t>
            </w:r>
          </w:p>
        </w:tc>
        <w:tc>
          <w:tcPr>
            <w:tcW w:w="140" w:type="dxa"/>
            <w:vAlign w:val="bottom"/>
          </w:tcPr>
          <w:p>
            <w:pPr>
              <w:spacing w:after="0"/>
              <w:rPr>
                <w:sz w:val="12"/>
                <w:szCs w:val="12"/>
                <w:color w:val="auto"/>
              </w:rPr>
            </w:pPr>
          </w:p>
        </w:tc>
        <w:tc>
          <w:tcPr>
            <w:tcW w:w="1560" w:type="dxa"/>
            <w:vAlign w:val="bottom"/>
            <w:gridSpan w:val="3"/>
            <w:vMerge w:val="restart"/>
          </w:tcPr>
          <w:p>
            <w:pPr>
              <w:jc w:val="right"/>
              <w:ind w:right="574"/>
              <w:spacing w:after="0"/>
              <w:rPr>
                <w:sz w:val="20"/>
                <w:szCs w:val="20"/>
                <w:color w:val="auto"/>
              </w:rPr>
            </w:pPr>
            <w:r>
              <w:rPr>
                <w:rFonts w:ascii="Times New Roman" w:cs="Times New Roman" w:eastAsia="Times New Roman" w:hAnsi="Times New Roman"/>
                <w:sz w:val="15"/>
                <w:szCs w:val="15"/>
                <w:b w:val="1"/>
                <w:bCs w:val="1"/>
                <w:color w:val="auto"/>
              </w:rPr>
              <w:t>Intersegment</w:t>
            </w:r>
          </w:p>
        </w:tc>
        <w:tc>
          <w:tcPr>
            <w:tcW w:w="820" w:type="dxa"/>
            <w:vAlign w:val="bottom"/>
            <w:vMerge w:val="restart"/>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Telenet</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w:t>
            </w:r>
          </w:p>
        </w:tc>
        <w:tc>
          <w:tcPr>
            <w:tcW w:w="3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VM Ireland</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VMO2 JV (nonconsolidated JV)</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3,375.4</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VodafoneZiggo JV (nonconsolidated JV)</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 reportable segment revenue</w:t>
            </w: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5,341.1</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Plus: all other category (a)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525.4</w:t>
            </w: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nonconsolidated JV revenue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8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Less: elimination of intercompany consolidated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revenue (b)</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consolidated revenue</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w:t>
      </w:r>
    </w:p>
    <w:p>
      <w:pPr>
        <w:spacing w:after="0" w:line="243" w:lineRule="exact"/>
        <w:rPr>
          <w:sz w:val="20"/>
          <w:szCs w:val="20"/>
          <w:color w:val="auto"/>
        </w:rPr>
      </w:pPr>
    </w:p>
    <w:p>
      <w:pPr>
        <w:jc w:val="both"/>
        <w:ind w:left="460" w:hanging="457"/>
        <w:spacing w:after="0" w:line="260" w:lineRule="auto"/>
        <w:tabs>
          <w:tab w:leader="none" w:pos="45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and six months ended June 30, 2025, amounts include revenue from (i) third parties and affiliates of $201.7 million and $362.8 million, respectively, (ii) services agreements with our nonconsolidated JV reportable segments, as further described in note 5, of $143.7 million and $278.3 million, respectively, and (iii) our consolidated reportable segments of $38.0 million and $73.4 million, respectively. For the three and six months ended June 30, 2024, amounts include revenue from (i) third parties and affiliates of $32.9 million and $65.1 million, respectively, (ii) services agreements with our nonconsolidated JV reportable segments of $150.8 million and $325.2 million, respectively, and (iii) our consolidated reportable segments of $71.9 million and $135.1 million, respectively.</w:t>
      </w:r>
    </w:p>
    <w:p>
      <w:pPr>
        <w:spacing w:after="0" w:line="199" w:lineRule="exact"/>
        <w:rPr>
          <w:rFonts w:ascii="Times New Roman" w:cs="Times New Roman" w:eastAsia="Times New Roman" w:hAnsi="Times New Roman"/>
          <w:sz w:val="17"/>
          <w:szCs w:val="17"/>
          <w:color w:val="auto"/>
        </w:rPr>
      </w:pPr>
    </w:p>
    <w:p>
      <w:pPr>
        <w:ind w:left="460" w:hanging="457"/>
        <w:spacing w:after="0" w:line="287" w:lineRule="auto"/>
        <w:tabs>
          <w:tab w:leader="none" w:pos="45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reflects the elimination of (i) the revenue recognized related to the Tech Framework and (ii) for the 2024 periods,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The expense categories and amounts presented below align with the segment-level information that is regularly provided to the CODM. These amounts include intersegment expenses and are exclusive of share-based compensation expense.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7"/>
          </w:tcPr>
          <w:p>
            <w:pPr>
              <w:ind w:left="2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gridSpan w:val="4"/>
          </w:tcPr>
          <w:p>
            <w:pPr>
              <w:jc w:val="center"/>
              <w:ind w:right="37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9"/>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5"/>
          </w:tcPr>
          <w:p>
            <w:pPr>
              <w:jc w:val="right"/>
              <w:ind w:right="9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57"/>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Programming and other direct costs of services: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Consolidated reportable segments: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Telenet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187.8</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r>
      <w:tr>
        <w:trPr>
          <w:trHeight w:val="219"/>
        </w:trPr>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VM Ireland</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32.5</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155"/>
        </w:trPr>
        <w:tc>
          <w:tcPr>
            <w:tcW w:w="5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19"/>
        </w:trPr>
        <w:tc>
          <w:tcPr>
            <w:tcW w:w="5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Nonconsolidated reportable segments: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VMO2 JV</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1,021.3</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2,254.6</w:t>
            </w:r>
          </w:p>
        </w:tc>
      </w:tr>
      <w:tr>
        <w:trPr>
          <w:trHeight w:val="219"/>
        </w:trPr>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VodafoneZiggo JV</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226.4</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445.7</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423.4</w:t>
            </w:r>
          </w:p>
        </w:tc>
      </w:tr>
      <w:tr>
        <w:trPr>
          <w:trHeight w:val="258"/>
        </w:trPr>
        <w:tc>
          <w:tcPr>
            <w:tcW w:w="5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Consolidated reportable segments: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Telenet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275.3</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515.4</w:t>
            </w: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VM Ireland</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48.9</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w:t>
            </w:r>
          </w:p>
        </w:tc>
      </w:tr>
      <w:tr>
        <w:trPr>
          <w:trHeight w:val="155"/>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Nonconsolidated reportable segments: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VMO2 JV</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1,179.9</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2,241.3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2,197.6</w:t>
            </w: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VodafoneZiggo JV</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400.2</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744.5</w:t>
            </w:r>
          </w:p>
        </w:tc>
      </w:tr>
      <w:tr>
        <w:trPr>
          <w:trHeight w:val="539"/>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50"/>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7"/>
          </w:tcPr>
          <w:p>
            <w:pPr>
              <w:ind w:left="400"/>
              <w:spacing w:after="0" w:line="151"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gridSpan w:val="4"/>
          </w:tcPr>
          <w:p>
            <w:pPr>
              <w:jc w:val="center"/>
              <w:ind w:right="355"/>
              <w:spacing w:after="0" w:line="151" w:lineRule="exact"/>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9"/>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57"/>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44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620.3</w:t>
            </w: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VMO2 JV (nonconsolidated JV)</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2,206.0</w:t>
            </w:r>
          </w:p>
        </w:tc>
      </w:tr>
      <w:tr>
        <w:trPr>
          <w:trHeight w:val="21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VodafoneZiggo JV (nonconsolidated JV)</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1,037.7</w:t>
            </w: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reportable segment Adjusted EBITDA</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3,949.7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7"/>
          <w:szCs w:val="17"/>
          <w:color w:val="auto"/>
        </w:rPr>
        <w:t>The following table provides a reconciliation of total reportable segment Adjusted EBITDA to earnings (loss) from continuing operations before income taxes: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2260" w:type="dxa"/>
            <w:vAlign w:val="bottom"/>
            <w:gridSpan w:val="4"/>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reportable segment Adjusted EBITDA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3,949.7</w:t>
            </w:r>
          </w:p>
        </w:tc>
        <w:tc>
          <w:tcPr>
            <w:tcW w:w="0" w:type="dxa"/>
            <w:vAlign w:val="bottom"/>
          </w:tcPr>
          <w:p>
            <w:pPr>
              <w:spacing w:after="0"/>
              <w:rPr>
                <w:sz w:val="1"/>
                <w:szCs w:val="1"/>
                <w:color w:val="auto"/>
              </w:rPr>
            </w:pPr>
          </w:p>
        </w:tc>
      </w:tr>
      <w:tr>
        <w:trPr>
          <w:trHeight w:val="219"/>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nonconsolidated JV Adjusted EBITDA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(3,243.7)</w:t>
            </w:r>
          </w:p>
        </w:tc>
        <w:tc>
          <w:tcPr>
            <w:tcW w:w="0" w:type="dxa"/>
            <w:vAlign w:val="bottom"/>
          </w:tcPr>
          <w:p>
            <w:pPr>
              <w:spacing w:after="0"/>
              <w:rPr>
                <w:sz w:val="1"/>
                <w:szCs w:val="1"/>
                <w:color w:val="auto"/>
              </w:rPr>
            </w:pPr>
          </w:p>
        </w:tc>
      </w:tr>
      <w:tr>
        <w:trPr>
          <w:trHeight w:val="219"/>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intercompany consolidated eliminations (a)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0" w:type="dxa"/>
            <w:vAlign w:val="bottom"/>
          </w:tcPr>
          <w:p>
            <w:pPr>
              <w:spacing w:after="0"/>
              <w:rPr>
                <w:sz w:val="1"/>
                <w:szCs w:val="1"/>
                <w:color w:val="auto"/>
              </w:rPr>
            </w:pPr>
          </w:p>
        </w:tc>
      </w:tr>
      <w:tr>
        <w:trPr>
          <w:trHeight w:val="219"/>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(505.4)</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Impairment, restructuring and other operating items,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0" w:type="dxa"/>
            <w:vAlign w:val="bottom"/>
          </w:tcPr>
          <w:p>
            <w:pPr>
              <w:spacing w:after="0"/>
              <w:rPr>
                <w:sz w:val="1"/>
                <w:szCs w:val="1"/>
                <w:color w:val="auto"/>
              </w:rPr>
            </w:pPr>
          </w:p>
        </w:tc>
      </w:tr>
      <w:tr>
        <w:trPr>
          <w:trHeight w:val="212"/>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0" w:type="dxa"/>
            <w:vAlign w:val="bottom"/>
          </w:tcPr>
          <w:p>
            <w:pPr>
              <w:spacing w:after="0"/>
              <w:rPr>
                <w:sz w:val="1"/>
                <w:szCs w:val="1"/>
                <w:color w:val="auto"/>
              </w:rPr>
            </w:pP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Realized and unrealized gains (losses) on derivative instruments,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transaction gains (losses),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732.8</w:t>
            </w:r>
          </w:p>
        </w:tc>
        <w:tc>
          <w:tcPr>
            <w:tcW w:w="0" w:type="dxa"/>
            <w:vAlign w:val="bottom"/>
          </w:tcPr>
          <w:p>
            <w:pPr>
              <w:spacing w:after="0"/>
              <w:rPr>
                <w:sz w:val="1"/>
                <w:szCs w:val="1"/>
                <w:color w:val="auto"/>
              </w:rPr>
            </w:pPr>
          </w:p>
        </w:tc>
      </w:tr>
      <w:tr>
        <w:trPr>
          <w:trHeight w:val="168"/>
        </w:trPr>
        <w:tc>
          <w:tcPr>
            <w:tcW w:w="5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Realized and unrealized gains (losses) due to changes in fair values of certain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investments, net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on debt extinguishment,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of results of affiliates,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All3Media</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0" w:type="dxa"/>
            <w:vAlign w:val="bottom"/>
          </w:tcPr>
          <w:p>
            <w:pPr>
              <w:spacing w:after="0"/>
              <w:rPr>
                <w:sz w:val="1"/>
                <w:szCs w:val="1"/>
                <w:color w:val="auto"/>
              </w:rPr>
            </w:pPr>
          </w:p>
        </w:tc>
      </w:tr>
      <w:tr>
        <w:trPr>
          <w:trHeight w:val="21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from continuing operations before income taxes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(2,772.9)</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hanging="457"/>
        <w:spacing w:after="0" w:line="287" w:lineRule="auto"/>
        <w:tabs>
          <w:tab w:leader="none" w:pos="45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relate to (i) the Adjusted EBITDA impact related to the Tech Framework and (ii) for the 2024 periods,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Additions of our Reportable Segments</w:t>
      </w:r>
    </w:p>
    <w:p>
      <w:pPr>
        <w:spacing w:after="0" w:line="2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88"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7"/>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20" w:type="dxa"/>
            <w:vAlign w:val="bottom"/>
          </w:tcPr>
          <w:p>
            <w:pPr>
              <w:spacing w:after="0"/>
              <w:rPr>
                <w:sz w:val="17"/>
                <w:szCs w:val="17"/>
                <w:color w:val="auto"/>
              </w:rPr>
            </w:pPr>
          </w:p>
        </w:tc>
      </w:tr>
      <w:tr>
        <w:trPr>
          <w:trHeight w:val="157"/>
        </w:trPr>
        <w:tc>
          <w:tcPr>
            <w:tcW w:w="8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384.9</w:t>
            </w: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VMO2 JV</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1,271.8</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VodafoneZiggo JV</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499.6</w:t>
            </w:r>
          </w:p>
        </w:tc>
      </w:tr>
      <w:tr>
        <w:trPr>
          <w:trHeight w:val="212"/>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reportable segment property and equipment additions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2,237.3</w:t>
            </w:r>
          </w:p>
        </w:tc>
      </w:tr>
      <w:tr>
        <w:trPr>
          <w:trHeight w:val="219"/>
        </w:trPr>
        <w:tc>
          <w:tcPr>
            <w:tcW w:w="8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Plus: all other category (a)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nonconsolidated JV property and equipment additions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(1,771.4)</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elimination of intercompany consolidated property and equipment additions (b)</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2"/>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consolidated property and equipment additions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461.4</w:t>
            </w: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 acquired under capital-related vendor financing arrangements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acquired under finance leases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current liabilities related to capital expenditures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37"/>
        </w:trPr>
        <w:tc>
          <w:tcPr>
            <w:tcW w:w="8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capital expenditures,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property and equipment additions representing centrally-owned assets that benefit other operating segments and (ii) the net impact of certain centrally-procured network equipment that is ultimately transferred to other operating segments.</w:t>
      </w:r>
    </w:p>
    <w:p>
      <w:pPr>
        <w:spacing w:after="0" w:line="177" w:lineRule="exact"/>
        <w:rPr>
          <w:rFonts w:ascii="Times New Roman" w:cs="Times New Roman" w:eastAsia="Times New Roman" w:hAnsi="Times New Roman"/>
          <w:sz w:val="17"/>
          <w:szCs w:val="17"/>
          <w:color w:val="auto"/>
        </w:rPr>
      </w:pPr>
    </w:p>
    <w:p>
      <w:pPr>
        <w:ind w:left="460" w:hanging="457"/>
        <w:spacing w:after="0" w:line="287" w:lineRule="auto"/>
        <w:tabs>
          <w:tab w:leader="none" w:pos="45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eliminations primarily related to the charges under the Tech Framework to each respective consolidated reportable segment related to the portion of the charges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Revenue by Major Category</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revenue by major category is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40" w:type="dxa"/>
            <w:vAlign w:val="bottom"/>
          </w:tcPr>
          <w:p>
            <w:pPr>
              <w:spacing w:after="0"/>
              <w:rPr>
                <w:sz w:val="15"/>
                <w:szCs w:val="15"/>
                <w:color w:val="auto"/>
              </w:rPr>
            </w:pPr>
          </w:p>
        </w:tc>
        <w:tc>
          <w:tcPr>
            <w:tcW w:w="2280" w:type="dxa"/>
            <w:vAlign w:val="bottom"/>
            <w:gridSpan w:val="4"/>
          </w:tcPr>
          <w:p>
            <w:pPr>
              <w:jc w:val="right"/>
              <w:ind w:right="69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9"/>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3"/>
          </w:tcPr>
          <w:p>
            <w:pPr>
              <w:jc w:val="center"/>
              <w:ind w:left="575"/>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06"/>
        </w:trPr>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5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 fixed revenue (a):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Broadband internet</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238.3</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120" w:type="dxa"/>
            <w:vAlign w:val="bottom"/>
          </w:tcPr>
          <w:p>
            <w:pPr>
              <w:spacing w:after="0"/>
              <w:rPr>
                <w:sz w:val="19"/>
                <w:szCs w:val="19"/>
                <w:color w:val="auto"/>
              </w:rPr>
            </w:pPr>
          </w:p>
        </w:tc>
        <w:tc>
          <w:tcPr>
            <w:tcW w:w="440" w:type="dxa"/>
            <w:vAlign w:val="bottom"/>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456.7</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438.5</w:t>
            </w: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Video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w:t>
            </w:r>
          </w:p>
        </w:tc>
      </w:tr>
      <w:tr>
        <w:trPr>
          <w:trHeight w:val="219"/>
        </w:trPr>
        <w:tc>
          <w:tcPr>
            <w:tcW w:w="5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Fixed-line telephony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w:t>
            </w:r>
          </w:p>
        </w:tc>
      </w:tr>
      <w:tr>
        <w:trPr>
          <w:trHeight w:val="212"/>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subscription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836.1</w:t>
            </w:r>
          </w:p>
        </w:tc>
      </w:tr>
      <w:tr>
        <w:trPr>
          <w:trHeight w:val="219"/>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2"/>
        </w:trPr>
        <w:tc>
          <w:tcPr>
            <w:tcW w:w="5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residential fixed revenue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842.8</w:t>
            </w:r>
          </w:p>
        </w:tc>
      </w:tr>
      <w:tr>
        <w:trPr>
          <w:trHeight w:val="199"/>
        </w:trPr>
        <w:tc>
          <w:tcPr>
            <w:tcW w:w="5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 mobile revenue (c):</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r>
      <w:tr>
        <w:trPr>
          <w:trHeight w:val="219"/>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w:t>
            </w:r>
          </w:p>
        </w:tc>
      </w:tr>
      <w:tr>
        <w:trPr>
          <w:trHeight w:val="212"/>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residential mobile revenue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w:t>
            </w:r>
          </w:p>
        </w:tc>
      </w:tr>
      <w:tr>
        <w:trPr>
          <w:trHeight w:val="212"/>
        </w:trPr>
        <w:tc>
          <w:tcPr>
            <w:tcW w:w="59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residential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1,174.5</w:t>
            </w:r>
          </w:p>
        </w:tc>
      </w:tr>
      <w:tr>
        <w:trPr>
          <w:trHeight w:val="19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B2B revenue (d):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5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Subscription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214.2</w:t>
            </w:r>
          </w:p>
        </w:tc>
      </w:tr>
      <w:tr>
        <w:trPr>
          <w:trHeight w:val="21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w:t>
            </w:r>
          </w:p>
        </w:tc>
      </w:tr>
      <w:tr>
        <w:trPr>
          <w:trHeight w:val="212"/>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B2B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418.9</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revenue (e)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555.8</w:t>
            </w:r>
          </w:p>
        </w:tc>
      </w:tr>
      <w:tr>
        <w:trPr>
          <w:trHeight w:val="212"/>
        </w:trPr>
        <w:tc>
          <w:tcPr>
            <w:tcW w:w="5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1,057.9</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2,149.2</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jc w:val="both"/>
        <w:ind w:left="460" w:hanging="457"/>
        <w:spacing w:after="0" w:line="270" w:lineRule="auto"/>
        <w:tabs>
          <w:tab w:leader="none" w:pos="45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191"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1" w:lineRule="exact"/>
        <w:rPr>
          <w:rFonts w:ascii="Times New Roman" w:cs="Times New Roman" w:eastAsia="Times New Roman" w:hAnsi="Times New Roman"/>
          <w:sz w:val="17"/>
          <w:szCs w:val="17"/>
          <w:color w:val="auto"/>
        </w:rPr>
      </w:pPr>
    </w:p>
    <w:p>
      <w:pPr>
        <w:ind w:left="460" w:hanging="457"/>
        <w:spacing w:after="0" w:line="287" w:lineRule="auto"/>
        <w:tabs>
          <w:tab w:leader="none" w:pos="45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73" w:lineRule="exact"/>
        <w:rPr>
          <w:rFonts w:ascii="Times New Roman" w:cs="Times New Roman" w:eastAsia="Times New Roman" w:hAnsi="Times New Roman"/>
          <w:sz w:val="17"/>
          <w:szCs w:val="17"/>
          <w:color w:val="auto"/>
        </w:rPr>
      </w:pPr>
    </w:p>
    <w:p>
      <w:pPr>
        <w:jc w:val="both"/>
        <w:ind w:left="460" w:hanging="457"/>
        <w:spacing w:after="0" w:line="266" w:lineRule="auto"/>
        <w:tabs>
          <w:tab w:leader="none" w:pos="45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B2B subscription revenue represents revenue from (i) services provided to small or home office (</w:t>
      </w:r>
      <w:r>
        <w:rPr>
          <w:rFonts w:ascii="Times New Roman" w:cs="Times New Roman" w:eastAsia="Times New Roman" w:hAnsi="Times New Roman"/>
          <w:sz w:val="17"/>
          <w:szCs w:val="17"/>
          <w:b w:val="1"/>
          <w:bCs w:val="1"/>
          <w:color w:val="auto"/>
        </w:rPr>
        <w:t>SOHO</w:t>
      </w:r>
      <w:r>
        <w:rPr>
          <w:rFonts w:ascii="Times New Roman" w:cs="Times New Roman" w:eastAsia="Times New Roman" w:hAnsi="Times New Roman"/>
          <w:sz w:val="17"/>
          <w:szCs w:val="17"/>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LIBERTY GLOBAL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enterprises and, fixed-line and mobile services on a wholesale basis, to other operators and (b) revenue from long-term leases of portions of our network.</w:t>
      </w:r>
    </w:p>
    <w:p>
      <w:pPr>
        <w:spacing w:after="0" w:line="243" w:lineRule="exact"/>
        <w:rPr>
          <w:sz w:val="20"/>
          <w:szCs w:val="20"/>
          <w:color w:val="auto"/>
        </w:rPr>
      </w:pPr>
    </w:p>
    <w:p>
      <w:pPr>
        <w:ind w:left="460" w:hanging="457"/>
        <w:spacing w:after="0" w:line="287" w:lineRule="auto"/>
        <w:tabs>
          <w:tab w:leader="none" w:pos="45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revenue includes, among other items, (i) revenue earned from the U.K. JV Services, the Sunrise Services and the NL JV Services, (ii) broadcasting revenue at Telenet and VM Ireland, (iii) revenue at Formula E and (iv) revenue earned from the sale of CPE to the VMO2 JV and the VodafoneZiggo JV.</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7" w:lineRule="exact"/>
        <w:rPr>
          <w:sz w:val="20"/>
          <w:szCs w:val="20"/>
          <w:color w:val="auto"/>
        </w:rPr>
      </w:pPr>
    </w:p>
    <w:p>
      <w:pPr>
        <w:jc w:val="both"/>
        <w:ind w:firstLine="309"/>
        <w:spacing w:after="0" w:line="280" w:lineRule="auto"/>
        <w:rPr>
          <w:sz w:val="20"/>
          <w:szCs w:val="20"/>
          <w:color w:val="auto"/>
        </w:rPr>
      </w:pPr>
      <w:r>
        <w:rPr>
          <w:rFonts w:ascii="Times New Roman" w:cs="Times New Roman" w:eastAsia="Times New Roman" w:hAnsi="Times New Roman"/>
          <w:sz w:val="17"/>
          <w:szCs w:val="17"/>
          <w:color w:val="auto"/>
        </w:rPr>
        <w:t>The following discussion and analysis, which should be read in conjunction with our consolidated financial statements and the discussion and analysis included in our 2024 10-K, is intended to assist in providing an understanding of changes in our results of operations and financial condition and is organized as follows:</w:t>
      </w:r>
    </w:p>
    <w:p>
      <w:pPr>
        <w:spacing w:after="0" w:line="391" w:lineRule="exact"/>
        <w:rPr>
          <w:sz w:val="20"/>
          <w:szCs w:val="20"/>
          <w:color w:val="auto"/>
        </w:rPr>
      </w:pPr>
    </w:p>
    <w:p>
      <w:pPr>
        <w:ind w:left="620" w:hanging="307"/>
        <w:spacing w:after="0" w:line="292"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Forward-Looking Statements. </w:t>
      </w:r>
      <w:r>
        <w:rPr>
          <w:rFonts w:ascii="Times New Roman" w:cs="Times New Roman" w:eastAsia="Times New Roman" w:hAnsi="Times New Roman"/>
          <w:sz w:val="17"/>
          <w:szCs w:val="17"/>
          <w:color w:val="auto"/>
        </w:rPr>
        <w:t>This section provides a description of certain factors that could cause actual results or events to differ materially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anticipated results or events.</w:t>
      </w:r>
    </w:p>
    <w:p>
      <w:pPr>
        <w:spacing w:after="0" w:line="4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This section provides a general description of our business and recent events.</w:t>
      </w:r>
    </w:p>
    <w:p>
      <w:pPr>
        <w:spacing w:after="0" w:line="113" w:lineRule="exact"/>
        <w:rPr>
          <w:rFonts w:ascii="Times New Roman" w:cs="Times New Roman" w:eastAsia="Times New Roman" w:hAnsi="Times New Roman"/>
          <w:sz w:val="17"/>
          <w:szCs w:val="17"/>
          <w:color w:val="auto"/>
        </w:rPr>
      </w:pPr>
    </w:p>
    <w:p>
      <w:pPr>
        <w:ind w:left="620" w:hanging="307"/>
        <w:spacing w:after="0" w:line="292"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Material Changes in Results of Operations. </w:t>
      </w:r>
      <w:r>
        <w:rPr>
          <w:rFonts w:ascii="Times New Roman" w:cs="Times New Roman" w:eastAsia="Times New Roman" w:hAnsi="Times New Roman"/>
          <w:sz w:val="17"/>
          <w:szCs w:val="17"/>
          <w:color w:val="auto"/>
        </w:rPr>
        <w:t>This section provides an analysis of our results of operations for the three and six months ended June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and 2024.</w:t>
      </w:r>
    </w:p>
    <w:p>
      <w:pPr>
        <w:spacing w:after="0" w:line="40" w:lineRule="exact"/>
        <w:rPr>
          <w:rFonts w:ascii="Times New Roman" w:cs="Times New Roman" w:eastAsia="Times New Roman" w:hAnsi="Times New Roman"/>
          <w:sz w:val="17"/>
          <w:szCs w:val="17"/>
          <w:color w:val="auto"/>
        </w:rPr>
      </w:pPr>
    </w:p>
    <w:p>
      <w:pPr>
        <w:ind w:left="620" w:hanging="307"/>
        <w:spacing w:after="0" w:line="292"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Material Changes in Financial Condition. </w:t>
      </w:r>
      <w:r>
        <w:rPr>
          <w:rFonts w:ascii="Times New Roman" w:cs="Times New Roman" w:eastAsia="Times New Roman" w:hAnsi="Times New Roman"/>
          <w:sz w:val="17"/>
          <w:szCs w:val="17"/>
          <w:color w:val="auto"/>
        </w:rPr>
        <w:t>This section provides an analysis of our corporate and subsidiary liquidity and our condensed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cash flows.</w:t>
      </w:r>
    </w:p>
    <w:p>
      <w:pPr>
        <w:spacing w:after="0" w:line="173"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7" w:lineRule="exact"/>
        <w:rPr>
          <w:sz w:val="20"/>
          <w:szCs w:val="20"/>
          <w:color w:val="auto"/>
        </w:rPr>
      </w:pPr>
    </w:p>
    <w:p>
      <w:pPr>
        <w:ind w:right="1340" w:firstLine="309"/>
        <w:spacing w:after="0" w:line="287" w:lineRule="auto"/>
        <w:rPr>
          <w:sz w:val="20"/>
          <w:szCs w:val="20"/>
          <w:color w:val="auto"/>
        </w:rPr>
      </w:pPr>
      <w:r>
        <w:rPr>
          <w:rFonts w:ascii="Times New Roman" w:cs="Times New Roman" w:eastAsia="Times New Roman" w:hAnsi="Times New Roman"/>
          <w:sz w:val="17"/>
          <w:szCs w:val="17"/>
          <w:color w:val="auto"/>
        </w:rPr>
        <w:t xml:space="preserve">Unless otherwise indicated, convenience translations into U.S. dollars are calculated, and operational data is presented, as of June 30, 2025. </w:t>
      </w:r>
      <w:r>
        <w:rPr>
          <w:rFonts w:ascii="Times New Roman" w:cs="Times New Roman" w:eastAsia="Times New Roman" w:hAnsi="Times New Roman"/>
          <w:sz w:val="17"/>
          <w:szCs w:val="17"/>
          <w:b w:val="1"/>
          <w:bCs w:val="1"/>
          <w:color w:val="auto"/>
        </w:rPr>
        <w:t>Forward-Looking Statements</w:t>
      </w:r>
    </w:p>
    <w:p>
      <w:pPr>
        <w:spacing w:after="0" w:line="177"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Part I, Item 3. </w:t>
      </w:r>
      <w:r>
        <w:rPr>
          <w:rFonts w:ascii="Times New Roman" w:cs="Times New Roman" w:eastAsia="Times New Roman" w:hAnsi="Times New Roman"/>
          <w:sz w:val="17"/>
          <w:szCs w:val="17"/>
          <w:i w:val="1"/>
          <w:iCs w:val="1"/>
          <w:color w:val="auto"/>
        </w:rPr>
        <w:t xml:space="preserve">Quantitative and Qualitative Disclosures About Market Risk </w:t>
      </w:r>
      <w:r>
        <w:rPr>
          <w:rFonts w:ascii="Times New Roman" w:cs="Times New Roman" w:eastAsia="Times New Roman" w:hAnsi="Times New Roman"/>
          <w:sz w:val="17"/>
          <w:szCs w:val="17"/>
          <w:color w:val="auto"/>
        </w:rPr>
        <w:t>and Part II, Item 2.</w:t>
      </w:r>
      <w:r>
        <w:rPr>
          <w:rFonts w:ascii="Times New Roman" w:cs="Times New Roman" w:eastAsia="Times New Roman" w:hAnsi="Times New Roman"/>
          <w:sz w:val="17"/>
          <w:szCs w:val="17"/>
          <w:i w:val="1"/>
          <w:iCs w:val="1"/>
          <w:color w:val="auto"/>
        </w:rPr>
        <w:t xml:space="preserve"> Unregistered Sales of Equity Securities and Use of Proceeds </w:t>
      </w:r>
      <w:r>
        <w:rPr>
          <w:rFonts w:ascii="Times New Roman" w:cs="Times New Roman" w:eastAsia="Times New Roman" w:hAnsi="Times New Roman"/>
          <w:sz w:val="17"/>
          <w:szCs w:val="17"/>
          <w:color w:val="auto"/>
        </w:rPr>
        <w:t xml:space="preserve">may 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of our 2024 10-K, as well as the following list of some, but not all, of the factors that could cause actual results or events (including with respect to our affiliates) to differ materially from anticipated results or events:</w:t>
      </w:r>
    </w:p>
    <w:p>
      <w:pPr>
        <w:spacing w:after="0" w:line="212" w:lineRule="exact"/>
        <w:rPr>
          <w:sz w:val="20"/>
          <w:szCs w:val="20"/>
          <w:color w:val="auto"/>
        </w:rPr>
      </w:pPr>
    </w:p>
    <w:p>
      <w:pPr>
        <w:ind w:left="620" w:hanging="30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business conditions and industry trends in the countries in which we or our affiliates operate;</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competitive environment in the industries and in the countries in which we or our affiliates operate, including competitor responses to our products and services;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rapid technological changes, including our ability to adequately manage our legacy technologies and the rate at which our current technology becomes obsolete;</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our future financial performance, or market conditions generally, on the availability, terms and deployment of capital;</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adequately forecast and plan future network requirements;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monetary policies and government regulations that may impact the availability or cost of capital and the derivative instruments that hedge certain of our financial risks;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video, mobile and broadband usage, preferences and habits;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3" w:name="page54"/>
    <w:bookmarkEnd w:id="53"/>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48"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attractive programming for our video services and the costs associated with such programming, including, but not limited to, production costs, retransmission and copyright fees;</w:t>
      </w:r>
    </w:p>
    <w:p>
      <w:pPr>
        <w:spacing w:after="0" w:line="48" w:lineRule="exact"/>
        <w:rPr>
          <w:rFonts w:ascii="Times New Roman" w:cs="Times New Roman" w:eastAsia="Times New Roman" w:hAnsi="Times New Roman"/>
          <w:sz w:val="17"/>
          <w:szCs w:val="17"/>
          <w:color w:val="auto"/>
        </w:rPr>
      </w:pPr>
    </w:p>
    <w:p>
      <w:pPr>
        <w:ind w:left="307" w:hanging="307"/>
        <w:spacing w:after="0" w:line="263"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activities of device manufacturers and our operating companies’ ability to secure adequate and timely supply of handsets that experience high demand;</w:t>
      </w:r>
    </w:p>
    <w:p>
      <w:pPr>
        <w:spacing w:after="0" w:line="30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the development, and integration, of new business lines and business strategies;</w:t>
      </w:r>
    </w:p>
    <w:p>
      <w:pPr>
        <w:spacing w:after="0" w:line="113"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revenue from business services offered to our affiliates and other third parties;</w:t>
      </w:r>
    </w:p>
    <w:p>
      <w:pPr>
        <w:spacing w:after="0" w:line="113"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cost and regulation of spectrum used in our business;</w:t>
      </w:r>
    </w:p>
    <w:p>
      <w:pPr>
        <w:spacing w:after="0" w:line="113"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suppliers and vendors (including our third-party wireless network provider, Three (Hutchison), under our mobile virtual network operator arrangement at VM Ireland) to timely deliver quality products, equipment, software, services and access;</w:t>
      </w:r>
    </w:p>
    <w:p>
      <w:pPr>
        <w:spacing w:after="0" w:line="48"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leakage of sensitive customer or company data or the failure to comply with applicable data protection laws, regulations and rules;</w:t>
      </w:r>
    </w:p>
    <w:p>
      <w:pPr>
        <w:spacing w:after="0" w:line="113"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anticipate, protect against, mitigate and contain the loss of our and our customers’ data as a result of cyber attacks on us or any of our affiliates;</w:t>
      </w:r>
    </w:p>
    <w:p>
      <w:pPr>
        <w:spacing w:after="0" w:line="48"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in our network and information systems, whether caused by a natural failure or a security breach, and unauthorized access to our networks;</w:t>
      </w:r>
    </w:p>
    <w:p>
      <w:pPr>
        <w:spacing w:after="0" w:line="113"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and interest rates;</w:t>
      </w:r>
    </w:p>
    <w:p>
      <w:pPr>
        <w:spacing w:after="0" w:line="113"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instability in global financial markets, including sovereign debt issues, currency instability and related fiscal or monetary reforms;</w:t>
      </w:r>
    </w:p>
    <w:p>
      <w:pPr>
        <w:spacing w:after="0" w:line="113"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 failure or inability to comply with, government regulations and legislation in the countries in which we or our affiliates operate and any adverse outcomes from regulatory proceedings;</w:t>
      </w:r>
    </w:p>
    <w:p>
      <w:pPr>
        <w:spacing w:after="0" w:line="48"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changes in laws or treaties relating to taxation, or the interpretation thereof, in Bermuda, the U.K., the U.S. or in other countries in which we or our affiliates operate;</w:t>
      </w:r>
    </w:p>
    <w:p>
      <w:pPr>
        <w:spacing w:after="0" w:line="48" w:lineRule="exact"/>
        <w:rPr>
          <w:rFonts w:ascii="Times New Roman" w:cs="Times New Roman" w:eastAsia="Times New Roman" w:hAnsi="Times New Roman"/>
          <w:sz w:val="17"/>
          <w:szCs w:val="17"/>
          <w:i w:val="1"/>
          <w:iCs w:val="1"/>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perceived health risks associated with electromagnetic radiation from base stations and associated equipment;</w:t>
      </w:r>
    </w:p>
    <w:p>
      <w:pPr>
        <w:spacing w:after="0" w:line="113"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navigate the impacts on our business resulting from potential disparate regulatory rules between the U.K. and the E.U. following the U.K.’s departure from the E.U.;</w:t>
      </w:r>
    </w:p>
    <w:p>
      <w:pPr>
        <w:spacing w:after="0" w:line="48"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acquire new businesses or form joint ventures and, if acquired or joined, to integrate, realize anticipated efficiencies from, and implement our business plans with respect to, the businesses we have acquired or joined or that we expect to acquire or join;</w:t>
      </w:r>
    </w:p>
    <w:p>
      <w:pPr>
        <w:spacing w:after="0" w:line="48"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integrating businesses or operations that we acquire or partner with on the timelines, or within the budgets, estimated for such integrations;</w:t>
      </w:r>
    </w:p>
    <w:p>
      <w:pPr>
        <w:spacing w:after="0" w:line="113"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expected synergies from our acquisitions and joint ventures in the amounts anticipated or on the anticipated timelines;</w:t>
      </w:r>
    </w:p>
    <w:p>
      <w:pPr>
        <w:spacing w:after="0" w:line="113" w:lineRule="exact"/>
        <w:rPr>
          <w:rFonts w:ascii="Times New Roman" w:cs="Times New Roman" w:eastAsia="Times New Roman" w:hAnsi="Times New Roman"/>
          <w:sz w:val="17"/>
          <w:szCs w:val="17"/>
          <w:color w:val="auto"/>
        </w:rPr>
      </w:pPr>
    </w:p>
    <w:p>
      <w:pPr>
        <w:jc w:val="both"/>
        <w:ind w:left="307" w:hanging="307"/>
        <w:spacing w:after="0" w:line="270"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regulatory approval and shareholder approval and satisfy other conditions necessary to close acquisitions, dispositions, combinations or joint ventures and the impact of conditions imposed by competition and other regulatory authorities in connection with any of our acquisitions, combinations or joint ventures;</w:t>
      </w:r>
    </w:p>
    <w:p>
      <w:pPr>
        <w:spacing w:after="0" w:line="62"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we may discover post-closing with the operations, including the internal controls and financial reporting processes, of businesses we acquire or with whom we create joint ventures;</w:t>
      </w:r>
    </w:p>
    <w:p>
      <w:pPr>
        <w:spacing w:after="0" w:line="48"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costs, customer loss and business disruption, including maintaining relationships with employees, customers, suppliers or vendors, may be greater than expected in connection with our acquisitions, dispositions or joint ventures;</w:t>
      </w:r>
    </w:p>
    <w:p>
      <w:pPr>
        <w:spacing w:after="0" w:line="48"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nature of key strategic relationships with partners and joint venturers;</w:t>
      </w:r>
    </w:p>
    <w:p>
      <w:pPr>
        <w:spacing w:after="0" w:line="113"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profit from or undertake transactions that we believe will be accretive with investments, such as our joint ventures, that we do not solely control;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897" w:right="339" w:bottom="1440" w:gutter="0" w:footer="0" w:header="0"/>
        </w:sectPr>
      </w:pPr>
    </w:p>
    <w:bookmarkStart w:id="54" w:name="page55"/>
    <w:bookmarkEnd w:id="54"/>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exposure to additional tax liabilities;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on our businesses of strikes or collective action by certain of our employees that are represented by trade unions or work councils;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structure and factors related to our debt arrangements;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our ability to navigate the potential impacts on our business resulting from any international trade wars or tariffs imposed on the products or services that we purchase from vendors or sell to our customers;</w:t>
      </w:r>
    </w:p>
    <w:p>
      <w:pPr>
        <w:spacing w:after="0" w:line="48" w:lineRule="exact"/>
        <w:rPr>
          <w:rFonts w:ascii="Times New Roman" w:cs="Times New Roman" w:eastAsia="Times New Roman" w:hAnsi="Times New Roman"/>
          <w:sz w:val="17"/>
          <w:szCs w:val="17"/>
          <w:i w:val="1"/>
          <w:iCs w:val="1"/>
          <w:color w:val="auto"/>
        </w:rPr>
      </w:pPr>
    </w:p>
    <w:p>
      <w:pPr>
        <w:ind w:left="620" w:hanging="307"/>
        <w:spacing w:after="0" w:line="287"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increase rates to our subscribers or to pass through increased costs to our subscribers, including with respect to our significant property and equipment additions, as a result of, among other things, inflationary and cost of living pressures;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capital for the acquisition, maintenance and/or development of telecommunications networks, products and services;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disposable income and spending levels, including the availability and amount of individual consumer debt, as a result of, among other things, inflationary or cost of living pressures;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freely access the cash of our operating companies;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default by counterparties to our cash investments, derivative and other financial instruments and undrawn debt facilities;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key employees and the lack of qualified personnel;</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provide satisfactory customer service, including support for new and evolving products and services;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intervention that requires opening our broadband distribution networks to competitors, such as certain regulatory obligations imposed in Belgium;</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further develop our direct and indirect distribution channels;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pending or threatened litigation; and</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events that are outside of our control, such as political unrest in international markets, terrorist attacks, armed conflicts, malicious human acts, natural disasters, epidemics, pandemics and other similar events, including the ongoing invasion of Ukraine by Russia and the continuing conflicts in the Middle East.</w:t>
      </w:r>
    </w:p>
    <w:p>
      <w:pPr>
        <w:spacing w:after="0" w:line="19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broadband distribution and mobile service industries are changing rapidly and, therefore, the forward-looking statements of expectations, plans and intents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4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are an international provider of broadband internet, video, fixed-line telephony and mobile communications services to residential customers and businesses in Europe and are an active investor across the infrastructure, content and technology industries. We also provide innovative technology solutions and finance services. Our continuing operations comprise businesses that provide residential and B2B communications services in (i) Belgium and Luxembourg through Telenet and (ii) Ireland through VM Ireland. In addition, we own 50% noncontrolling interests in (a) the VMO2 JV, which provides residential and B2B communications services in the U.K., and (b) the VodafoneZiggo JV, which provides residential and B2B communications services in the Netherlands.</w:t>
      </w:r>
    </w:p>
    <w:p>
      <w:pPr>
        <w:spacing w:after="0" w:line="200"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7"/>
          <w:szCs w:val="17"/>
          <w:color w:val="auto"/>
        </w:rPr>
        <w:t>Prior to the completion of the Spin-off on November 8, 2024, we also provided residential and B2B communications services in Switzerland through Sunrise. Sunrise, together with certain other Liberty Global subsidiaries connected to our Swiss business, are collectively referred to as the Sunrise Entities and are reflected as discontinued operations for all applicable periods. In the following discussion and analysis, the operating statistics, results of operations, cash flows and financial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55" w:name="page56"/>
    <w:bookmarkEnd w:id="55"/>
    <w:p>
      <w:pPr>
        <w:jc w:val="both"/>
        <w:spacing w:after="0" w:line="287" w:lineRule="auto"/>
        <w:rPr>
          <w:sz w:val="20"/>
          <w:szCs w:val="20"/>
          <w:color w:val="auto"/>
        </w:rPr>
      </w:pPr>
      <w:r>
        <w:rPr>
          <w:rFonts w:ascii="Times New Roman" w:cs="Times New Roman" w:eastAsia="Times New Roman" w:hAnsi="Times New Roman"/>
          <w:sz w:val="17"/>
          <w:szCs w:val="17"/>
          <w:color w:val="auto"/>
        </w:rPr>
        <w:t>condition that we present and discuss are those of our continuing operations, unless otherwise indicated. For additional information regarding the Spin-off, see note 4 to our condensed consolidated financial statements.</w:t>
      </w:r>
    </w:p>
    <w:p>
      <w:pPr>
        <w:spacing w:after="0" w:line="17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On October 2, 2024, we completed the Formula E Acquisition, pursuant to which we acquired a controlling interest in Formula E and began consolidating 100% of Formula E’s results from that date. For additional information, see note 4 to our condensed consolidated financial statements.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Operations</w:t>
      </w:r>
    </w:p>
    <w:p>
      <w:pPr>
        <w:spacing w:after="0" w:line="249"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At June 30, 2025, our reportable segments, including our nonconsolidated JVs, as defined in note 16 to our condensed consolidated financial statements, owned and operated networks that passed 29,062,700 homes and served 11,412,000 fixed-line customers and 44,577,800 mobile subscribers.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Other External Factors</w:t>
      </w:r>
    </w:p>
    <w:p>
      <w:pPr>
        <w:spacing w:after="0" w:line="24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 w:cs="Times New Roman" w:eastAsia="Times New Roman" w:hAnsi="Times New Roman"/>
          <w:sz w:val="17"/>
          <w:szCs w:val="17"/>
          <w:b w:val="1"/>
          <w:bCs w:val="1"/>
          <w:color w:val="auto"/>
        </w:rPr>
        <w:t>ARPU</w:t>
      </w:r>
      <w:r>
        <w:rPr>
          <w:rFonts w:ascii="Times New Roman" w:cs="Times New Roman" w:eastAsia="Times New Roman" w:hAnsi="Times New Roman"/>
          <w:sz w:val="17"/>
          <w:szCs w:val="17"/>
          <w:color w:val="auto"/>
        </w:rPr>
        <w:t xml:space="preserve">). For additional information regarding the revenue impact of changes in the fixed-line customers and ARPU of our consolidated reportable segments, see </w:t>
      </w:r>
      <w:r>
        <w:rPr>
          <w:rFonts w:ascii="Times New Roman" w:cs="Times New Roman" w:eastAsia="Times New Roman" w:hAnsi="Times New Roman"/>
          <w:sz w:val="17"/>
          <w:szCs w:val="17"/>
          <w:i w:val="1"/>
          <w:iCs w:val="1"/>
          <w:color w:val="auto"/>
        </w:rPr>
        <w:t>Discussion and Analysis of our Reportable Segments</w:t>
      </w:r>
      <w:r>
        <w:rPr>
          <w:rFonts w:ascii="Times New Roman" w:cs="Times New Roman" w:eastAsia="Times New Roman" w:hAnsi="Times New Roman"/>
          <w:sz w:val="17"/>
          <w:szCs w:val="17"/>
          <w:color w:val="auto"/>
        </w:rPr>
        <w:t xml:space="preserve"> below</w:t>
      </w:r>
      <w:r>
        <w:rPr>
          <w:rFonts w:ascii="Times New Roman" w:cs="Times New Roman" w:eastAsia="Times New Roman" w:hAnsi="Times New Roman"/>
          <w:sz w:val="17"/>
          <w:szCs w:val="17"/>
          <w:i w:val="1"/>
          <w:iCs w:val="1"/>
          <w:color w:val="auto"/>
        </w:rPr>
        <w:t>.</w:t>
      </w:r>
    </w:p>
    <w:p>
      <w:pPr>
        <w:spacing w:after="0" w:line="19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Changes in Results of Operations</w:t>
      </w:r>
    </w:p>
    <w:p>
      <w:pPr>
        <w:spacing w:after="0" w:line="24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We have completed a number of transactions that impact the comparability of our 2025 and 2024 results of operations, the most notable of which is the Formula E Acquisition on October 2, 2024. For further information, see note 4 to our condensed consolidated financial statements.</w:t>
      </w:r>
    </w:p>
    <w:p>
      <w:pPr>
        <w:spacing w:after="0" w:line="17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In the following discussion, we quantify the estimated impact of material acquisitions (the </w:t>
      </w:r>
      <w:r>
        <w:rPr>
          <w:rFonts w:ascii="Times New Roman" w:cs="Times New Roman" w:eastAsia="Times New Roman" w:hAnsi="Times New Roman"/>
          <w:sz w:val="17"/>
          <w:szCs w:val="17"/>
          <w:b w:val="1"/>
          <w:bCs w:val="1"/>
          <w:color w:val="auto"/>
        </w:rPr>
        <w:t>Acquisition Impact</w:t>
      </w:r>
      <w:r>
        <w:rPr>
          <w:rFonts w:ascii="Times New Roman" w:cs="Times New Roman" w:eastAsia="Times New Roman" w:hAnsi="Times New Roman"/>
          <w:sz w:val="17"/>
          <w:szCs w:val="17"/>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3 to 12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20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Times New Roman" w:cs="Times New Roman" w:eastAsia="Times New Roman" w:hAnsi="Times New Roman"/>
          <w:sz w:val="17"/>
          <w:szCs w:val="17"/>
          <w:b w:val="1"/>
          <w:bCs w:val="1"/>
          <w:color w:val="auto"/>
        </w:rPr>
        <w:t>FX</w:t>
      </w:r>
      <w:r>
        <w:rPr>
          <w:rFonts w:ascii="Times New Roman" w:cs="Times New Roman" w:eastAsia="Times New Roman" w:hAnsi="Times New Roman"/>
          <w:sz w:val="17"/>
          <w:szCs w:val="17"/>
          <w:color w:val="auto"/>
        </w:rPr>
        <w:t xml:space="preserve">) risk during the three months ended June 30, 2025 was to the euro, as substantially all of our reported revenue during the period was derived from subsidiaries whose functional currencies are the euro.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Times New Roman" w:cs="Times New Roman" w:eastAsia="Times New Roman" w:hAnsi="Times New Roman"/>
          <w:sz w:val="17"/>
          <w:szCs w:val="17"/>
          <w:i w:val="1"/>
          <w:iCs w:val="1"/>
          <w:color w:val="auto"/>
        </w:rPr>
        <w:t>Discussion and Analysis of our Reportable Segments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Analysis of our Consolidated Operating Results </w:t>
      </w:r>
      <w:r>
        <w:rPr>
          <w:rFonts w:ascii="Times New Roman" w:cs="Times New Roman" w:eastAsia="Times New Roman" w:hAnsi="Times New Roman"/>
          <w:sz w:val="17"/>
          <w:szCs w:val="17"/>
          <w:color w:val="auto"/>
        </w:rPr>
        <w:t>below. For information regarding our foreign currency risks and the applicable foreign currency exchange rates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effect for the periods covered by this Quarterly Report, see Part I, Item 3. </w:t>
      </w:r>
      <w:r>
        <w:rPr>
          <w:rFonts w:ascii="Times New Roman" w:cs="Times New Roman" w:eastAsia="Times New Roman" w:hAnsi="Times New Roman"/>
          <w:sz w:val="17"/>
          <w:szCs w:val="17"/>
          <w:i w:val="1"/>
          <w:iCs w:val="1"/>
          <w:color w:val="auto"/>
        </w:rPr>
        <w:t>Quantitative and Qualitative Disclosures about Market Risk — Foreign Currency Risk</w:t>
      </w:r>
      <w:r>
        <w:rPr>
          <w:rFonts w:ascii="Times New Roman" w:cs="Times New Roman" w:eastAsia="Times New Roman" w:hAnsi="Times New Roman"/>
          <w:sz w:val="17"/>
          <w:szCs w:val="17"/>
          <w:color w:val="auto"/>
        </w:rPr>
        <w:t xml:space="preserve"> below.</w:t>
      </w:r>
    </w:p>
    <w:p>
      <w:pPr>
        <w:spacing w:after="0" w:line="200" w:lineRule="exact"/>
        <w:rPr>
          <w:sz w:val="20"/>
          <w:szCs w:val="20"/>
          <w:color w:val="auto"/>
        </w:rPr>
      </w:pPr>
    </w:p>
    <w:p>
      <w:pPr>
        <w:spacing w:after="0" w:line="21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amounts presented and discussed below represent 100% of each of our consolidated and nonconsolidated reportable segment’s results of operations, despite only holding a 50% noncontrolling interest in both the VMO2 JV and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56" w:name="page57"/>
    <w:bookmarkEnd w:id="56"/>
    <w:p>
      <w:pPr>
        <w:jc w:val="both"/>
        <w:spacing w:after="0" w:line="270" w:lineRule="auto"/>
        <w:rPr>
          <w:sz w:val="20"/>
          <w:szCs w:val="20"/>
          <w:color w:val="auto"/>
        </w:rPr>
      </w:pPr>
      <w:r>
        <w:rPr>
          <w:rFonts w:ascii="Times New Roman" w:cs="Times New Roman" w:eastAsia="Times New Roman" w:hAnsi="Times New Roman"/>
          <w:sz w:val="17"/>
          <w:szCs w:val="17"/>
          <w:color w:val="auto"/>
        </w:rPr>
        <w:t>VodafoneZiggo JV. We account for our 50% interests in both the VMO2 JV and the VodafoneZiggo JV under the equity method; accordingly, our share of their operating results is included in share of results of affiliates, net in our condensed consolidated statements of operations. The noncontrolling interests at Telenet and Formula E are reflected in net earnings or loss attributable to noncontrolling interests in our condensed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and Analysis of our Reportable Segments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4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Telenet, VM Ireland, the VMO2 JV and the VodafoneZiggo JV derive their revenue primarily from residential and B2B communications services. For detailed information regarding the composition of our reportable segments, our “all other category” and how we define and categorize our revenue components, see note 16 to our condensed consolidated financial statements. For information regarding the results of operations of the VMO2 JV and the VodafoneZiggo JV, refer to </w:t>
      </w:r>
      <w:r>
        <w:rPr>
          <w:rFonts w:ascii="Times New Roman" w:cs="Times New Roman" w:eastAsia="Times New Roman" w:hAnsi="Times New Roman"/>
          <w:sz w:val="17"/>
          <w:szCs w:val="17"/>
          <w:i w:val="1"/>
          <w:iCs w:val="1"/>
          <w:color w:val="auto"/>
        </w:rPr>
        <w:t xml:space="preserve">Discussion and Analysis of our Consolidated Operating Results — Share of results of affiliates, net </w:t>
      </w:r>
      <w:r>
        <w:rPr>
          <w:rFonts w:ascii="Times New Roman" w:cs="Times New Roman" w:eastAsia="Times New Roman" w:hAnsi="Times New Roman"/>
          <w:sz w:val="17"/>
          <w:szCs w:val="17"/>
          <w:color w:val="auto"/>
        </w:rPr>
        <w:t>below.</w:t>
      </w:r>
    </w:p>
    <w:p>
      <w:pPr>
        <w:spacing w:after="0" w:line="197"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tables presented below in this section provide the details of the revenue and Adjusted EBITDA of our reportable segments for the three and six months ended June 30, 2025, as compared to the corresponding periods in 2024.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and six months ended June 30, 2025 and 2024 at the end of this section.</w:t>
      </w:r>
    </w:p>
    <w:p>
      <w:pPr>
        <w:spacing w:after="0" w:line="19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a reconciliation of earnings (loss) from continuing operations to total consolidated Adjusted EBITDA: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2260" w:type="dxa"/>
            <w:vAlign w:val="bottom"/>
            <w:gridSpan w:val="4"/>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9"/>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57"/>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from continuing operations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958.6</w:t>
            </w:r>
          </w:p>
        </w:tc>
      </w:tr>
      <w:tr>
        <w:trPr>
          <w:trHeight w:val="219"/>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r>
      <w:tr>
        <w:trPr>
          <w:trHeight w:val="21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w:t>
            </w:r>
          </w:p>
        </w:tc>
      </w:tr>
      <w:tr>
        <w:trPr>
          <w:trHeight w:val="219"/>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sale of All3Media</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w:t>
            </w:r>
          </w:p>
        </w:tc>
      </w:tr>
      <w:tr>
        <w:trPr>
          <w:trHeight w:val="21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 of results of affiliates,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19"/>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Losses on debt extinguishment,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68"/>
        </w:trPr>
        <w:tc>
          <w:tcPr>
            <w:tcW w:w="584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Realized and unrealized losses (gains) due to changes in fair values of certain</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2"/>
        </w:trPr>
        <w:tc>
          <w:tcPr>
            <w:tcW w:w="5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investments, net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r>
      <w:tr>
        <w:trPr>
          <w:trHeight w:val="219"/>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currency transaction losses (gains),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(732.8)</w:t>
            </w:r>
          </w:p>
        </w:tc>
      </w:tr>
      <w:tr>
        <w:trPr>
          <w:trHeight w:val="219"/>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Realized and unrealized losses (gains) on derivative instruments,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r>
      <w:tr>
        <w:trPr>
          <w:trHeight w:val="219"/>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289.9</w:t>
            </w:r>
          </w:p>
        </w:tc>
      </w:tr>
      <w:tr>
        <w:trPr>
          <w:trHeight w:val="212"/>
        </w:trPr>
        <w:tc>
          <w:tcPr>
            <w:tcW w:w="5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restructuring and other operating items,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505.4</w:t>
            </w:r>
          </w:p>
        </w:tc>
      </w:tr>
      <w:tr>
        <w:trPr>
          <w:trHeight w:val="21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37"/>
        </w:trPr>
        <w:tc>
          <w:tcPr>
            <w:tcW w:w="5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consolidated Adjusted EBITDA</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57" w:name="page58"/>
    <w:bookmarkEnd w:id="57"/>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Revenue of our Reportable Segments</w:t>
      </w:r>
    </w:p>
    <w:p>
      <w:pPr>
        <w:spacing w:after="0" w:line="245"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While not specifically discussed in the below explanations of the changes in the revenue of our reportable segments, we are experiencing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competition in all of our markets. This competition has an adverse impact on our ability to increase or maintain our total number of customers and/or our ARPU.</w:t>
      </w:r>
    </w:p>
    <w:p>
      <w:pPr>
        <w:spacing w:after="0" w:line="17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5"/>
                <w:szCs w:val="15"/>
                <w:color w:val="auto"/>
              </w:rPr>
            </w:pPr>
          </w:p>
        </w:tc>
        <w:tc>
          <w:tcPr>
            <w:tcW w:w="17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Organic increase (decrease)</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4"/>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36"/>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left="616"/>
              <w:spacing w:after="0"/>
              <w:rPr>
                <w:sz w:val="20"/>
                <w:szCs w:val="20"/>
                <w:color w:val="auto"/>
              </w:rPr>
            </w:pPr>
            <w:r>
              <w:rPr>
                <w:rFonts w:ascii="Times New Roman" w:cs="Times New Roman" w:eastAsia="Times New Roman" w:hAnsi="Times New Roman"/>
                <w:sz w:val="17"/>
                <w:szCs w:val="17"/>
                <w:color w:val="auto"/>
                <w:w w:val="98"/>
              </w:rPr>
              <w:t>(3.0)</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elimination of intercompany consolidated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consolidated</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8"/>
                <w:szCs w:val="18"/>
                <w:color w:val="auto"/>
              </w:rPr>
            </w:pPr>
          </w:p>
        </w:tc>
        <w:tc>
          <w:tcPr>
            <w:tcW w:w="1060" w:type="dxa"/>
            <w:vAlign w:val="bottom"/>
          </w:tcPr>
          <w:p>
            <w:pPr>
              <w:jc w:val="center"/>
              <w:ind w:left="616"/>
              <w:spacing w:after="0"/>
              <w:rPr>
                <w:sz w:val="20"/>
                <w:szCs w:val="20"/>
                <w:color w:val="auto"/>
              </w:rPr>
            </w:pPr>
            <w:r>
              <w:rPr>
                <w:rFonts w:ascii="Times New Roman" w:cs="Times New Roman" w:eastAsia="Times New Roman" w:hAnsi="Times New Roman"/>
                <w:sz w:val="17"/>
                <w:szCs w:val="17"/>
                <w:color w:val="auto"/>
                <w:w w:val="98"/>
              </w:rPr>
              <w:t>(1.2)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VMO2 JV</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3,375.4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VodafoneZiggo JV</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 w:type="dxa"/>
            <w:vAlign w:val="bottom"/>
          </w:tcPr>
          <w:p>
            <w:pPr>
              <w:spacing w:after="0"/>
              <w:rPr>
                <w:sz w:val="24"/>
                <w:szCs w:val="24"/>
                <w:color w:val="auto"/>
              </w:rPr>
            </w:pPr>
          </w:p>
        </w:tc>
        <w:tc>
          <w:tcPr>
            <w:tcW w:w="17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Organic increase (decrease)</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4"/>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36"/>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(1.8)</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ind w:left="616"/>
              <w:spacing w:after="0"/>
              <w:rPr>
                <w:sz w:val="20"/>
                <w:szCs w:val="20"/>
                <w:color w:val="auto"/>
              </w:rPr>
            </w:pPr>
            <w:r>
              <w:rPr>
                <w:rFonts w:ascii="Times New Roman" w:cs="Times New Roman" w:eastAsia="Times New Roman" w:hAnsi="Times New Roman"/>
                <w:sz w:val="17"/>
                <w:szCs w:val="17"/>
                <w:color w:val="auto"/>
                <w:w w:val="98"/>
              </w:rPr>
              <w:t>(2.9)</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elimination of intercompany consolidated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consolidated</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18"/>
                <w:szCs w:val="18"/>
                <w:color w:val="auto"/>
              </w:rPr>
            </w:pPr>
          </w:p>
        </w:tc>
        <w:tc>
          <w:tcPr>
            <w:tcW w:w="1060" w:type="dxa"/>
            <w:vAlign w:val="bottom"/>
          </w:tcPr>
          <w:p>
            <w:pPr>
              <w:jc w:val="center"/>
              <w:ind w:left="616"/>
              <w:spacing w:after="0"/>
              <w:rPr>
                <w:sz w:val="20"/>
                <w:szCs w:val="20"/>
                <w:color w:val="auto"/>
              </w:rPr>
            </w:pPr>
            <w:r>
              <w:rPr>
                <w:rFonts w:ascii="Times New Roman" w:cs="Times New Roman" w:eastAsia="Times New Roman" w:hAnsi="Times New Roman"/>
                <w:sz w:val="17"/>
                <w:szCs w:val="17"/>
                <w:color w:val="auto"/>
                <w:w w:val="98"/>
              </w:rPr>
              <w:t>(1.2)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VMO2 JV</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6,658.2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VodafoneZiggo JV</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Telenet. </w:t>
      </w:r>
      <w:r>
        <w:rPr>
          <w:rFonts w:ascii="Times New Roman" w:cs="Times New Roman" w:eastAsia="Times New Roman" w:hAnsi="Times New Roman"/>
          <w:sz w:val="17"/>
          <w:szCs w:val="17"/>
          <w:color w:val="auto"/>
        </w:rPr>
        <w:t>The details of the increases in Telenet’s revenue during the three and six months ended June 30, 2025</w:t>
      </w:r>
      <w:r>
        <w:rPr>
          <w:rFonts w:ascii="Times New Roman" w:cs="Times New Roman" w:eastAsia="Times New Roman" w:hAnsi="Times New Roman"/>
          <w:sz w:val="17"/>
          <w:szCs w:val="17"/>
          <w:color w:val="2C2C2C"/>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the corresponding periods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C2C"/>
        </w:rPr>
        <w:t>2024</w:t>
      </w:r>
      <w:r>
        <w:rPr>
          <w:rFonts w:ascii="Times New Roman" w:cs="Times New Roman" w:eastAsia="Times New Roman" w:hAnsi="Times New Roman"/>
          <w:sz w:val="17"/>
          <w:szCs w:val="17"/>
          <w:color w:val="000000"/>
        </w:rPr>
        <w:t>,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5"/>
                <w:szCs w:val="15"/>
                <w:b w:val="1"/>
                <w:bCs w:val="1"/>
                <w:color w:val="auto"/>
              </w:rPr>
              <w:t>Three-month period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Six-month period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86"/>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0"/>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Subscription</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subscription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Subscription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subscription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2"/>
        </w:trPr>
        <w:tc>
          <w:tcPr>
            <w:tcW w:w="3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4"/>
          </w:tcPr>
          <w:p>
            <w:pPr>
              <w:jc w:val="right"/>
              <w:ind w:right="816"/>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7"/>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8"/>
        </w:trPr>
        <w:tc>
          <w:tcPr>
            <w:tcW w:w="37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Increase (decrease) in residential fixed subscription</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2"/>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 due to change in:</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9"/>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number of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ARPU</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1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residential fixed non-subscription revenue</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2"/>
        </w:trPr>
        <w:tc>
          <w:tcPr>
            <w:tcW w:w="378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increase in residential fixed revenue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in residential mobile revenue (a)</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B2B revenue (b)</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other revenue (c)</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12"/>
        </w:trPr>
        <w:tc>
          <w:tcPr>
            <w:tcW w:w="378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organic increase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1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Impact of FX</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37"/>
        </w:trPr>
        <w:tc>
          <w:tcPr>
            <w:tcW w:w="3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w:t>
      </w:r>
    </w:p>
    <w:p>
      <w:pPr>
        <w:spacing w:after="0" w:line="243" w:lineRule="exact"/>
        <w:rPr>
          <w:sz w:val="20"/>
          <w:szCs w:val="20"/>
          <w:color w:val="auto"/>
        </w:rPr>
      </w:pPr>
    </w:p>
    <w:p>
      <w:pPr>
        <w:ind w:left="460" w:hanging="457"/>
        <w:spacing w:after="0" w:line="263" w:lineRule="auto"/>
        <w:tabs>
          <w:tab w:leader="none" w:pos="45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decreases in residential mobile non-subscription revenue are primarily attributable to (i) decreases in interconnect revenue and (ii) lower revenue from handset sales.</w:t>
      </w:r>
    </w:p>
    <w:p>
      <w:pPr>
        <w:ind w:left="460" w:hanging="457"/>
        <w:spacing w:after="0" w:line="266" w:lineRule="auto"/>
        <w:tabs>
          <w:tab w:leader="none" w:pos="45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increases in B2B non-subscription revenue are primarily due to (i) higher revenue from equipment sales and (ii) increases in revenue from wholesale services.</w:t>
      </w:r>
    </w:p>
    <w:p>
      <w:pPr>
        <w:spacing w:after="0" w:line="194"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increases in other revenue are primarily attributable to higher broadcasting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9" w:name="page60"/>
    <w:bookmarkEnd w:id="59"/>
    <w:p>
      <w:pPr>
        <w:jc w:val="both"/>
        <w:ind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VM Ireland. </w:t>
      </w:r>
      <w:r>
        <w:rPr>
          <w:rFonts w:ascii="Times New Roman" w:cs="Times New Roman" w:eastAsia="Times New Roman" w:hAnsi="Times New Roman"/>
          <w:sz w:val="17"/>
          <w:szCs w:val="17"/>
          <w:color w:val="auto"/>
        </w:rPr>
        <w:t>The details of the changes in VM Ireland’s revenue during the three and six months ended June 30, 2025, as compared to the corresponding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periods in </w:t>
      </w:r>
      <w:r>
        <w:rPr>
          <w:rFonts w:ascii="Times New Roman" w:cs="Times New Roman" w:eastAsia="Times New Roman" w:hAnsi="Times New Roman"/>
          <w:sz w:val="17"/>
          <w:szCs w:val="17"/>
          <w:color w:val="2C2C2C"/>
        </w:rPr>
        <w:t>2024</w:t>
      </w:r>
      <w:r>
        <w:rPr>
          <w:rFonts w:ascii="Times New Roman" w:cs="Times New Roman" w:eastAsia="Times New Roman" w:hAnsi="Times New Roman"/>
          <w:sz w:val="17"/>
          <w:szCs w:val="17"/>
          <w:color w:val="auto"/>
        </w:rPr>
        <w:t>, are set forth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5"/>
                <w:szCs w:val="15"/>
                <w:b w:val="1"/>
                <w:bCs w:val="1"/>
                <w:color w:val="auto"/>
              </w:rPr>
              <w:t>Three-month period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Six-month period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86"/>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0"/>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Subscription</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subscription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Subscription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subscription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2"/>
        </w:trPr>
        <w:tc>
          <w:tcPr>
            <w:tcW w:w="3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4"/>
          </w:tcPr>
          <w:p>
            <w:pPr>
              <w:jc w:val="right"/>
              <w:ind w:right="816"/>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7"/>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8"/>
        </w:trPr>
        <w:tc>
          <w:tcPr>
            <w:tcW w:w="37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Decrease in residential fixed subscription revenue due</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2"/>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 change in:</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9"/>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number of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w w:val="98"/>
              </w:rPr>
              <w:t>(4.0)</w:t>
            </w: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ARPU</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8"/>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w w:val="98"/>
              </w:rPr>
              <w:t>(2.7)</w:t>
            </w:r>
          </w:p>
        </w:tc>
      </w:tr>
      <w:tr>
        <w:trPr>
          <w:trHeight w:val="168"/>
        </w:trPr>
        <w:tc>
          <w:tcPr>
            <w:tcW w:w="37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Decrease in residential fixed non-subscription</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2"/>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w w:val="98"/>
              </w:rPr>
              <w:t>(0.3)</w:t>
            </w:r>
          </w:p>
        </w:tc>
      </w:tr>
      <w:tr>
        <w:trPr>
          <w:trHeight w:val="212"/>
        </w:trPr>
        <w:tc>
          <w:tcPr>
            <w:tcW w:w="378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decrease in residential fixed revenue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8"/>
              </w:rPr>
              <w:t>(3.5)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w w:val="98"/>
              </w:rPr>
              <w:t>(7.0)</w:t>
            </w:r>
          </w:p>
        </w:tc>
      </w:tr>
      <w:tr>
        <w:trPr>
          <w:trHeight w:val="21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in residential mobile revenue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w w:val="98"/>
              </w:rPr>
              <w:t>(1.4)</w:t>
            </w: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B2B revenue</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w w:val="93"/>
              </w:rPr>
              <w:t>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in other revenue</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w w:val="98"/>
              </w:rPr>
              <w:t>(0.8)</w:t>
            </w:r>
          </w:p>
        </w:tc>
      </w:tr>
      <w:tr>
        <w:trPr>
          <w:trHeight w:val="212"/>
        </w:trPr>
        <w:tc>
          <w:tcPr>
            <w:tcW w:w="378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organic increase (decrease)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8"/>
              </w:rPr>
              <w:t>(3.6)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w w:val="98"/>
              </w:rPr>
              <w:t>(7.1)</w:t>
            </w:r>
          </w:p>
        </w:tc>
      </w:tr>
      <w:tr>
        <w:trPr>
          <w:trHeight w:val="21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Impact of FX</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7"/>
                <w:szCs w:val="17"/>
                <w:color w:val="auto"/>
                <w:w w:val="93"/>
              </w:rPr>
              <w:t>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7"/>
                <w:szCs w:val="17"/>
                <w:color w:val="auto"/>
              </w:rPr>
              <w:t>2.7</w:t>
            </w:r>
          </w:p>
        </w:tc>
      </w:tr>
      <w:tr>
        <w:trPr>
          <w:trHeight w:val="237"/>
        </w:trPr>
        <w:tc>
          <w:tcPr>
            <w:tcW w:w="3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w w:val="93"/>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w w:val="98"/>
              </w:rPr>
              <w:t>(4.4)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Programming and Other Direct Costs of Services, Other Operating Expenses and SG&amp;A Expenses of our Reportable Segments</w:t>
      </w:r>
    </w:p>
    <w:p>
      <w:pPr>
        <w:spacing w:after="0" w:line="245"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color w:val="auto"/>
        </w:rPr>
        <w:t>For information regarding the changes in our (i) programming and other direct costs of services, (ii) other operating expenses and (iii) SG&amp;A expenses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i w:val="1"/>
          <w:iCs w:val="1"/>
          <w:color w:val="auto"/>
        </w:rPr>
        <w:t xml:space="preserve">Discussion and Analysis of our Consolidated Operating Results </w:t>
      </w:r>
      <w:r>
        <w:rPr>
          <w:rFonts w:ascii="Times New Roman" w:cs="Times New Roman" w:eastAsia="Times New Roman" w:hAnsi="Times New Roman"/>
          <w:sz w:val="17"/>
          <w:szCs w:val="17"/>
          <w:color w:val="auto"/>
        </w:rPr>
        <w:t>below.</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of our Reportable Segments</w:t>
      </w:r>
    </w:p>
    <w:p>
      <w:pPr>
        <w:spacing w:after="0" w:line="2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Adjusted EBITDA is the primary measure used by our CODM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120" w:type="dxa"/>
            <w:vAlign w:val="bottom"/>
          </w:tcPr>
          <w:p>
            <w:pPr>
              <w:spacing w:after="0"/>
              <w:rPr>
                <w:sz w:val="17"/>
                <w:szCs w:val="17"/>
                <w:color w:val="auto"/>
              </w:rPr>
            </w:pPr>
          </w:p>
        </w:tc>
        <w:tc>
          <w:tcPr>
            <w:tcW w:w="1720" w:type="dxa"/>
            <w:vAlign w:val="bottom"/>
            <w:gridSpan w:val="4"/>
          </w:tcPr>
          <w:p>
            <w:pPr>
              <w:ind w:left="38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3"/>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Organic increase (decrease)</w:t>
            </w:r>
          </w:p>
        </w:tc>
      </w:tr>
      <w:tr>
        <w:trPr>
          <w:trHeight w:val="201"/>
        </w:trPr>
        <w:tc>
          <w:tcPr>
            <w:tcW w:w="4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8"/>
        </w:trPr>
        <w:tc>
          <w:tcPr>
            <w:tcW w:w="4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tcPr>
          <w:p>
            <w:pPr>
              <w:jc w:val="center"/>
              <w:ind w:left="478"/>
              <w:spacing w:after="0"/>
              <w:rPr>
                <w:sz w:val="20"/>
                <w:szCs w:val="20"/>
                <w:color w:val="auto"/>
              </w:rPr>
            </w:pPr>
            <w:r>
              <w:rPr>
                <w:rFonts w:ascii="Times New Roman" w:cs="Times New Roman" w:eastAsia="Times New Roman" w:hAnsi="Times New Roman"/>
                <w:sz w:val="17"/>
                <w:szCs w:val="17"/>
                <w:color w:val="auto"/>
                <w:w w:val="98"/>
              </w:rPr>
              <w:t>(6.5)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2"/>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68"/>
        </w:trPr>
        <w:tc>
          <w:tcPr>
            <w:tcW w:w="41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Less: elimination of intercompany consolidated Adjusted</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2"/>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EBITDA</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2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2"/>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consolidated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center"/>
              <w:ind w:left="478"/>
              <w:spacing w:after="0"/>
              <w:rPr>
                <w:sz w:val="20"/>
                <w:szCs w:val="20"/>
                <w:color w:val="auto"/>
              </w:rPr>
            </w:pPr>
            <w:r>
              <w:rPr>
                <w:rFonts w:ascii="Times New Roman" w:cs="Times New Roman" w:eastAsia="Times New Roman" w:hAnsi="Times New Roman"/>
                <w:sz w:val="17"/>
                <w:szCs w:val="17"/>
                <w:color w:val="auto"/>
                <w:w w:val="98"/>
              </w:rPr>
              <w:t>(1.6)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VMO2 JV</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3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VodafoneZiggo JV</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2"/>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 w:type="dxa"/>
            <w:vAlign w:val="bottom"/>
          </w:tcPr>
          <w:p>
            <w:pPr>
              <w:spacing w:after="0"/>
              <w:rPr>
                <w:sz w:val="15"/>
                <w:szCs w:val="15"/>
                <w:color w:val="auto"/>
              </w:rPr>
            </w:pPr>
          </w:p>
        </w:tc>
        <w:tc>
          <w:tcPr>
            <w:tcW w:w="1740" w:type="dxa"/>
            <w:vAlign w:val="bottom"/>
            <w:gridSpan w:val="4"/>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Organic increase (decrease)</w:t>
            </w: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6"/>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7"/>
                <w:szCs w:val="17"/>
                <w:color w:val="auto"/>
                <w:w w:val="98"/>
              </w:rPr>
              <w:t>(8.1)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center"/>
              <w:ind w:left="656"/>
              <w:spacing w:after="0"/>
              <w:rPr>
                <w:sz w:val="20"/>
                <w:szCs w:val="20"/>
                <w:color w:val="auto"/>
              </w:rPr>
            </w:pPr>
            <w:r>
              <w:rPr>
                <w:rFonts w:ascii="Times New Roman" w:cs="Times New Roman" w:eastAsia="Times New Roman" w:hAnsi="Times New Roman"/>
                <w:sz w:val="17"/>
                <w:szCs w:val="17"/>
                <w:color w:val="auto"/>
                <w:w w:val="98"/>
              </w:rPr>
              <w:t>(9.5)</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Less: elimination of intercompany consolidated Adjusted</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EBITDA</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659.9</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8"/>
                <w:szCs w:val="18"/>
                <w:color w:val="auto"/>
              </w:rPr>
            </w:pPr>
          </w:p>
        </w:tc>
        <w:tc>
          <w:tcPr>
            <w:tcW w:w="1100" w:type="dxa"/>
            <w:vAlign w:val="bottom"/>
          </w:tcPr>
          <w:p>
            <w:pPr>
              <w:jc w:val="center"/>
              <w:ind w:left="676"/>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VMO2 JV</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2,206.0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VodafoneZiggo JV</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Margin</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Adjusted EBITDA margins (Adjusted EBITDA divided by revenue) of each of our reportable segments: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5"/>
                <w:szCs w:val="15"/>
                <w:color w:val="auto"/>
              </w:rPr>
            </w:pPr>
          </w:p>
        </w:tc>
        <w:tc>
          <w:tcPr>
            <w:tcW w:w="2540" w:type="dxa"/>
            <w:vAlign w:val="bottom"/>
            <w:gridSpan w:val="4"/>
          </w:tcPr>
          <w:p>
            <w:pPr>
              <w:jc w:val="center"/>
              <w:ind w:left="50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5"/>
                <w:szCs w:val="15"/>
                <w:color w:val="auto"/>
              </w:rPr>
            </w:pPr>
          </w:p>
        </w:tc>
      </w:tr>
      <w:tr>
        <w:trPr>
          <w:trHeight w:val="205"/>
        </w:trPr>
        <w:tc>
          <w:tcPr>
            <w:tcW w:w="49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9"/>
        </w:trPr>
        <w:tc>
          <w:tcPr>
            <w:tcW w:w="4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2024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49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41.0 %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40.9 %</w:t>
            </w: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32.9 %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35.3 %</w:t>
            </w:r>
          </w:p>
        </w:tc>
      </w:tr>
      <w:tr>
        <w:trPr>
          <w:trHeight w:val="245"/>
        </w:trPr>
        <w:tc>
          <w:tcPr>
            <w:tcW w:w="49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1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VMO2 JV</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34.6 %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33.1 %</w:t>
            </w:r>
          </w:p>
        </w:tc>
      </w:tr>
      <w:tr>
        <w:trPr>
          <w:trHeight w:val="21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VodafoneZiggo JV</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44.1 %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47.0 %</w:t>
            </w:r>
          </w:p>
        </w:tc>
      </w:tr>
    </w:tbl>
    <w:p>
      <w:pPr>
        <w:spacing w:after="0" w:line="306"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 w:cs="Times New Roman" w:eastAsia="Times New Roman" w:hAnsi="Times New Roman"/>
          <w:sz w:val="17"/>
          <w:szCs w:val="17"/>
          <w:i w:val="1"/>
          <w:iCs w:val="1"/>
          <w:color w:val="auto"/>
        </w:rPr>
        <w:t>Discussion and Analysis of our Reportable Segments</w:t>
      </w:r>
      <w:r>
        <w:rPr>
          <w:rFonts w:ascii="Times New Roman" w:cs="Times New Roman" w:eastAsia="Times New Roman" w:hAnsi="Times New Roman"/>
          <w:sz w:val="17"/>
          <w:szCs w:val="17"/>
          <w:color w:val="auto"/>
        </w:rPr>
        <w:t xml:space="preserve"> above and the analysis of our expenses included in </w:t>
      </w:r>
      <w:r>
        <w:rPr>
          <w:rFonts w:ascii="Times New Roman" w:cs="Times New Roman" w:eastAsia="Times New Roman" w:hAnsi="Times New Roman"/>
          <w:sz w:val="17"/>
          <w:szCs w:val="17"/>
          <w:i w:val="1"/>
          <w:iCs w:val="1"/>
          <w:color w:val="auto"/>
        </w:rPr>
        <w:t>Discussion and Analysis of our Consolidated Operating Results</w:t>
      </w:r>
      <w:r>
        <w:rPr>
          <w:rFonts w:ascii="Times New Roman" w:cs="Times New Roman" w:eastAsia="Times New Roman" w:hAnsi="Times New Roman"/>
          <w:sz w:val="17"/>
          <w:szCs w:val="17"/>
          <w:color w:val="auto"/>
        </w:rPr>
        <w:t xml:space="preserve"> below. For discussion of the factors contributing to the changes in the Adjusted EBITDA margins of the VMO2 JV and the VodafoneZiggo JV, see </w:t>
      </w:r>
      <w:r>
        <w:rPr>
          <w:rFonts w:ascii="Times New Roman" w:cs="Times New Roman" w:eastAsia="Times New Roman" w:hAnsi="Times New Roman"/>
          <w:sz w:val="17"/>
          <w:szCs w:val="17"/>
          <w:i w:val="1"/>
          <w:iCs w:val="1"/>
          <w:color w:val="auto"/>
        </w:rPr>
        <w:t>Discussion and Analysis of our Consolidated Operating Results — Share of results of affiliates,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net </w:t>
      </w:r>
      <w:r>
        <w:rPr>
          <w:rFonts w:ascii="Times New Roman" w:cs="Times New Roman" w:eastAsia="Times New Roman" w:hAnsi="Times New Roman"/>
          <w:sz w:val="17"/>
          <w:szCs w:val="17"/>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Discussion and Analysis of our Consolidated Operating Results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For more detailed explanations of the changes in our revenue, see </w:t>
      </w:r>
      <w:r>
        <w:rPr>
          <w:rFonts w:ascii="Times New Roman" w:cs="Times New Roman" w:eastAsia="Times New Roman" w:hAnsi="Times New Roman"/>
          <w:sz w:val="17"/>
          <w:szCs w:val="17"/>
          <w:i w:val="1"/>
          <w:iCs w:val="1"/>
          <w:color w:val="auto"/>
        </w:rPr>
        <w:t>Discussion and Analysis of our Reportable Segments</w:t>
      </w:r>
      <w:r>
        <w:rPr>
          <w:rFonts w:ascii="Times New Roman" w:cs="Times New Roman" w:eastAsia="Times New Roman" w:hAnsi="Times New Roman"/>
          <w:sz w:val="17"/>
          <w:szCs w:val="17"/>
          <w:color w:val="auto"/>
        </w:rPr>
        <w:t xml:space="preserve"> above.</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revenue by major category is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Pr>
          <w:p>
            <w:pPr>
              <w:spacing w:after="0"/>
              <w:rPr>
                <w:sz w:val="15"/>
                <w:szCs w:val="15"/>
                <w:color w:val="auto"/>
              </w:rPr>
            </w:pPr>
          </w:p>
        </w:tc>
        <w:tc>
          <w:tcPr>
            <w:tcW w:w="20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120" w:type="dxa"/>
            <w:vAlign w:val="bottom"/>
          </w:tcPr>
          <w:p>
            <w:pPr>
              <w:spacing w:after="0"/>
              <w:rPr>
                <w:sz w:val="15"/>
                <w:szCs w:val="15"/>
                <w:color w:val="auto"/>
              </w:rPr>
            </w:pPr>
          </w:p>
        </w:tc>
        <w:tc>
          <w:tcPr>
            <w:tcW w:w="2020" w:type="dxa"/>
            <w:vAlign w:val="bottom"/>
            <w:gridSpan w:val="3"/>
            <w:vMerge w:val="restart"/>
          </w:tcPr>
          <w:p>
            <w:pPr>
              <w:jc w:val="right"/>
              <w:ind w:right="75"/>
              <w:spacing w:after="0"/>
              <w:rPr>
                <w:sz w:val="20"/>
                <w:szCs w:val="20"/>
                <w:color w:val="auto"/>
              </w:rPr>
            </w:pPr>
            <w:r>
              <w:rPr>
                <w:rFonts w:ascii="Times New Roman" w:cs="Times New Roman" w:eastAsia="Times New Roman" w:hAnsi="Times New Roman"/>
                <w:sz w:val="15"/>
                <w:szCs w:val="15"/>
                <w:b w:val="1"/>
                <w:bCs w:val="1"/>
                <w:color w:val="auto"/>
              </w:rPr>
              <w:t>Organic increase (decrease)</w:t>
            </w:r>
          </w:p>
        </w:tc>
        <w:tc>
          <w:tcPr>
            <w:tcW w:w="0" w:type="dxa"/>
            <w:vAlign w:val="bottom"/>
          </w:tcPr>
          <w:p>
            <w:pPr>
              <w:spacing w:after="0"/>
              <w:rPr>
                <w:sz w:val="1"/>
                <w:szCs w:val="1"/>
                <w:color w:val="auto"/>
              </w:rPr>
            </w:pPr>
          </w:p>
        </w:tc>
      </w:tr>
      <w:tr>
        <w:trPr>
          <w:trHeight w:val="205"/>
        </w:trPr>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gridSpan w:val="7"/>
          </w:tcPr>
          <w:p>
            <w:pPr>
              <w:ind w:left="840"/>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 fixed revenue (a):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 revenue (b):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Broadband internet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238.3</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Video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Fixed-line telephony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subscription revenue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Non-subscription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residential fixed revenue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19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 mobile revenue (c):</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 revenue (b)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Non-subscription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residential mobile revenue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residential revenue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B2B revenue (d):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Subscription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Non-subscription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B2B revenue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revenue (e)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2"/>
        </w:trPr>
        <w:tc>
          <w:tcPr>
            <w:tcW w:w="40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60</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300" w:type="dxa"/>
            <w:vAlign w:val="bottom"/>
          </w:tcPr>
          <w:p>
            <w:pPr>
              <w:spacing w:after="0"/>
              <w:rPr>
                <w:sz w:val="15"/>
                <w:szCs w:val="15"/>
                <w:color w:val="auto"/>
              </w:rPr>
            </w:pPr>
          </w:p>
        </w:tc>
        <w:tc>
          <w:tcPr>
            <w:tcW w:w="20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160" w:type="dxa"/>
            <w:vAlign w:val="bottom"/>
          </w:tcPr>
          <w:p>
            <w:pPr>
              <w:spacing w:after="0"/>
              <w:rPr>
                <w:sz w:val="15"/>
                <w:szCs w:val="15"/>
                <w:color w:val="auto"/>
              </w:rPr>
            </w:pPr>
          </w:p>
        </w:tc>
        <w:tc>
          <w:tcPr>
            <w:tcW w:w="2080" w:type="dxa"/>
            <w:vAlign w:val="bottom"/>
            <w:gridSpan w:val="3"/>
            <w:vMerge w:val="restart"/>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Organic increase (decrease)</w:t>
            </w:r>
          </w:p>
        </w:tc>
        <w:tc>
          <w:tcPr>
            <w:tcW w:w="0" w:type="dxa"/>
            <w:vAlign w:val="bottom"/>
          </w:tcPr>
          <w:p>
            <w:pPr>
              <w:spacing w:after="0"/>
              <w:rPr>
                <w:sz w:val="1"/>
                <w:szCs w:val="1"/>
                <w:color w:val="auto"/>
              </w:rPr>
            </w:pPr>
          </w:p>
        </w:tc>
      </w:tr>
      <w:tr>
        <w:trPr>
          <w:trHeight w:val="205"/>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 fixed revenue (a):</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 revenue (b):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Broadband internet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438.5</w:t>
            </w:r>
          </w:p>
        </w:tc>
        <w:tc>
          <w:tcPr>
            <w:tcW w:w="100" w:type="dxa"/>
            <w:vAlign w:val="bottom"/>
          </w:tcPr>
          <w:p>
            <w:pPr>
              <w:spacing w:after="0"/>
              <w:rPr>
                <w:sz w:val="19"/>
                <w:szCs w:val="19"/>
                <w:color w:val="auto"/>
              </w:rPr>
            </w:pP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Video</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Fixed-line telephony</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subscription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Non-subscription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residential fixed revenue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199"/>
        </w:trPr>
        <w:tc>
          <w:tcPr>
            <w:tcW w:w="4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 mobile revenue (c):</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 revenue (b)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Non-subscription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residential mobile revenue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residential revenue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B2B revenue (d):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Subscription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Non-subscription revenue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B2B revenue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revenue (e)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2"/>
        </w:trPr>
        <w:tc>
          <w:tcPr>
            <w:tcW w:w="4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2,149.2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jc w:val="both"/>
        <w:ind w:left="460" w:hanging="457"/>
        <w:spacing w:after="0" w:line="270" w:lineRule="auto"/>
        <w:tabs>
          <w:tab w:leader="none" w:pos="45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191"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1" w:lineRule="exact"/>
        <w:rPr>
          <w:rFonts w:ascii="Times New Roman" w:cs="Times New Roman" w:eastAsia="Times New Roman" w:hAnsi="Times New Roman"/>
          <w:sz w:val="17"/>
          <w:szCs w:val="17"/>
          <w:color w:val="auto"/>
        </w:rPr>
      </w:pPr>
    </w:p>
    <w:p>
      <w:pPr>
        <w:jc w:val="both"/>
        <w:ind w:left="460" w:hanging="457"/>
        <w:spacing w:after="0" w:line="264" w:lineRule="auto"/>
        <w:tabs>
          <w:tab w:leader="none" w:pos="45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$8.5 million and $11.3 million during the three months ended June 30, 2025 and 2024, respectively, and $16.8 million and $23.2 million during the six months ended June 30, 2025 and 2024, respectively.</w:t>
      </w:r>
    </w:p>
    <w:p>
      <w:pPr>
        <w:spacing w:after="0" w:line="197" w:lineRule="exact"/>
        <w:rPr>
          <w:rFonts w:ascii="Times New Roman" w:cs="Times New Roman" w:eastAsia="Times New Roman" w:hAnsi="Times New Roman"/>
          <w:sz w:val="17"/>
          <w:szCs w:val="17"/>
          <w:color w:val="auto"/>
        </w:rPr>
      </w:pPr>
    </w:p>
    <w:p>
      <w:pPr>
        <w:jc w:val="both"/>
        <w:ind w:left="460" w:hanging="457"/>
        <w:spacing w:after="0" w:line="261" w:lineRule="auto"/>
        <w:tabs>
          <w:tab w:leader="none" w:pos="45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rFonts w:ascii="Times New Roman" w:cs="Times New Roman" w:eastAsia="Times New Roman" w:hAnsi="Times New Roman"/>
          <w:sz w:val="17"/>
          <w:szCs w:val="17"/>
          <w:color w:val="auto"/>
        </w:rPr>
      </w:pPr>
    </w:p>
    <w:p>
      <w:pPr>
        <w:ind w:left="460" w:hanging="457"/>
        <w:spacing w:after="0" w:line="287" w:lineRule="auto"/>
        <w:tabs>
          <w:tab w:leader="none" w:pos="45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revenue includes, among other items, (i) revenue earned from the U.K. JV Services, the Sunrise Services and the NL JV Services, (ii) broadcasting revenue at Telenet and VM Ireland, (iii) revenue at Formula E and (iv) revenue earned from the sale of CPE to the VMO2 JV and the VodafoneZiggo JV.</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63" w:name="page64"/>
    <w:bookmarkEnd w:id="63"/>
    <w:p>
      <w:pPr>
        <w:jc w:val="both"/>
        <w:ind w:firstLine="3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Total revenue. </w:t>
      </w:r>
      <w:r>
        <w:rPr>
          <w:rFonts w:ascii="Times New Roman" w:cs="Times New Roman" w:eastAsia="Times New Roman" w:hAnsi="Times New Roman"/>
          <w:sz w:val="17"/>
          <w:szCs w:val="17"/>
          <w:color w:val="auto"/>
        </w:rPr>
        <w:t>Our consolidated revenue increased $211.2 million or 20.0% and $291.1 million or 13.5% during the three and six months ended June 30,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the corresponding periods in 2024. These increases include increases of $114.4 million and $198.9 million, respectively, attributable to the impact of the Formula E Acquisition and increases of $51.7 million and $101.3 million, respectively, attributable to the Sunrise Services provided in connection with the Spin-off. On an organic basis, our consolidated revenue decreased $14.5 million or 1.2% and $28.8 million or 1.2%, respectively.</w:t>
      </w:r>
    </w:p>
    <w:p>
      <w:pPr>
        <w:spacing w:after="0" w:line="190"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Residential revenue. </w:t>
      </w:r>
      <w:r>
        <w:rPr>
          <w:rFonts w:ascii="Times New Roman" w:cs="Times New Roman" w:eastAsia="Times New Roman" w:hAnsi="Times New Roman"/>
          <w:sz w:val="17"/>
          <w:szCs w:val="17"/>
          <w:color w:val="auto"/>
        </w:rPr>
        <w:t>The details of the changes in our consolidated residential revenue during the three and six months ended June 30, 2025,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corresponding periods in 2024, are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520" w:type="dxa"/>
            <w:vAlign w:val="bottom"/>
          </w:tcPr>
          <w:p>
            <w:pPr>
              <w:spacing w:after="0"/>
              <w:rPr>
                <w:sz w:val="15"/>
                <w:szCs w:val="15"/>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5"/>
                <w:szCs w:val="15"/>
                <w:b w:val="1"/>
                <w:bCs w:val="1"/>
                <w:color w:val="auto"/>
              </w:rPr>
              <w:t>Three-month</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8"/>
        </w:trPr>
        <w:tc>
          <w:tcPr>
            <w:tcW w:w="8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Six-month period</w:t>
            </w:r>
          </w:p>
        </w:tc>
      </w:tr>
      <w:tr>
        <w:trPr>
          <w:trHeight w:val="204"/>
        </w:trPr>
        <w:tc>
          <w:tcPr>
            <w:tcW w:w="8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3"/>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720" w:type="dxa"/>
            <w:vAlign w:val="bottom"/>
          </w:tcPr>
          <w:p>
            <w:pPr>
              <w:spacing w:after="0"/>
              <w:rPr>
                <w:sz w:val="17"/>
                <w:szCs w:val="17"/>
                <w:color w:val="auto"/>
              </w:rPr>
            </w:pPr>
          </w:p>
        </w:tc>
      </w:tr>
      <w:tr>
        <w:trPr>
          <w:trHeight w:val="157"/>
        </w:trPr>
        <w:tc>
          <w:tcPr>
            <w:tcW w:w="8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residential fixed subscription revenue due to change in:</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9"/>
        </w:trPr>
        <w:tc>
          <w:tcPr>
            <w:tcW w:w="8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Average number of customers</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60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ARPU</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Increase in residential fixed non-subscription revenue</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2"/>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increase in residential fixed revenue</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in residential mobile subscription revenue</w:t>
            </w: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 in residential mobile non-subscription revenue</w:t>
            </w: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12"/>
        </w:trPr>
        <w:tc>
          <w:tcPr>
            <w:tcW w:w="8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Total organic decrease in residential revenue</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Impact of FX</w:t>
            </w: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12"/>
        </w:trPr>
        <w:tc>
          <w:tcPr>
            <w:tcW w:w="8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increase (decrease) in residential revenue</w:t>
            </w: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
        </w:trPr>
        <w:tc>
          <w:tcPr>
            <w:tcW w:w="8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On an organic basis, our consolidated residential mobile non-subscription revenue decreased $7.0 million or 16.4% and $15.9 million or 17.9% during the three and six months ended June 30, 2025, respectively, as compared to the corresponding periods in 2024, primarily due to decreases at Telenet.</w:t>
      </w:r>
    </w:p>
    <w:p>
      <w:pPr>
        <w:spacing w:after="0" w:line="173"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B2B revenue. </w:t>
      </w:r>
      <w:r>
        <w:rPr>
          <w:rFonts w:ascii="Times New Roman" w:cs="Times New Roman" w:eastAsia="Times New Roman" w:hAnsi="Times New Roman"/>
          <w:sz w:val="17"/>
          <w:szCs w:val="17"/>
          <w:color w:val="auto"/>
        </w:rPr>
        <w:t>On an organic basis, our consolidated B2B non-subscription revenue increased $3.1 million or 3.0% and $9.5 million or 4.6% during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six months ended June 30, 2025, respectively, as compared to the corresponding periods in 2024, primarily due to increases at Telenet.</w:t>
      </w:r>
    </w:p>
    <w:p>
      <w:pPr>
        <w:spacing w:after="0" w:line="169"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Other revenue. </w:t>
      </w:r>
      <w:r>
        <w:rPr>
          <w:rFonts w:ascii="Times New Roman" w:cs="Times New Roman" w:eastAsia="Times New Roman" w:hAnsi="Times New Roman"/>
          <w:sz w:val="17"/>
          <w:szCs w:val="17"/>
          <w:color w:val="auto"/>
        </w:rPr>
        <w:t>On an organic basis, our consolidated other revenue decreased $9.6 million or 2.3% and $20.4 million or 2.7% during the three and six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2025, respectively, as compared to the corresponding periods in 2024, primarily due to lower revenue earned from the U.K. JV Services.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For additional information regarding the changes in our residential, B2B and other revenue, see </w:t>
      </w:r>
      <w:r>
        <w:rPr>
          <w:rFonts w:ascii="Times New Roman" w:cs="Times New Roman" w:eastAsia="Times New Roman" w:hAnsi="Times New Roman"/>
          <w:sz w:val="17"/>
          <w:szCs w:val="17"/>
          <w:i w:val="1"/>
          <w:iCs w:val="1"/>
          <w:color w:val="auto"/>
        </w:rPr>
        <w:t>Discussion and Analysis of our Reportable Segments</w:t>
      </w:r>
      <w:r>
        <w:rPr>
          <w:rFonts w:ascii="Times New Roman" w:cs="Times New Roman" w:eastAsia="Times New Roman" w:hAnsi="Times New Roman"/>
          <w:sz w:val="17"/>
          <w:szCs w:val="17"/>
          <w:color w:val="auto"/>
        </w:rPr>
        <w:t xml:space="preserve"> above.</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Programming and other direct costs of services</w:t>
      </w:r>
    </w:p>
    <w:p>
      <w:pPr>
        <w:spacing w:after="0" w:line="24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7"/>
          <w:szCs w:val="17"/>
          <w:color w:val="auto"/>
        </w:rPr>
        <w:t>The details of our programming and other direct costs of services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Organic increase (decrease)</w:t>
            </w: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Less: elimination of intercompany consolidated</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programming and other direct costs of services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consolidated</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3"/>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Organic increase (decrease)</w:t>
            </w: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2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Less: elimination of intercompany consolidated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programming and other direct costs of services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N.M.</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consolidated</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4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programming and other direct costs of services increased $128.9 million or 38.3% and $137.8 million or 18.9% during the three and six months ended June 30, 2025, respectively, as compared to the corresponding periods in 2024. These increases include increases of $103.8 million and $147.8 million, respectively, attributable to the impact of the Formula E Acquisition. On an organic basis, our programming and other direct costs of services decreased $11.3 million or 2.5% and $46.8 million or 5.3%, respectively. These decreases include the following factors:</w:t>
      </w:r>
    </w:p>
    <w:p>
      <w:pPr>
        <w:spacing w:after="0" w:line="197" w:lineRule="exact"/>
        <w:rPr>
          <w:sz w:val="20"/>
          <w:szCs w:val="20"/>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costs of $13.7 million and $31.8 million, respectively, related to lower sales of CPE to the VodafoneZiggo JV;</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costs of $3.0 million and $25.9 million, respectively, related to lower sales of CPE to the VMO2 JV;</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programming and copyright costs of $3.8 million or 2.9% and $17.0 million or 6.0%, respectively, primarily attributable to higher costs for certain content at Telenet;</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interconnect and access costs of $5.4 million or 19.5% and $9.7 million or 18.4%, respectively, primarily due to lower interconnect and mobile roaming costs at Telenet; and</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mobile handset and other device costs of $2.9 million or 9.9% and $6.9 million or 11.0%, respectively, primarily due to lower sales volumes at Telenet.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5" w:name="page66"/>
    <w:bookmarkEnd w:id="65"/>
    <w:p>
      <w:pPr>
        <w:ind w:left="160"/>
        <w:spacing w:after="0"/>
        <w:rPr>
          <w:sz w:val="20"/>
          <w:szCs w:val="20"/>
          <w:color w:val="auto"/>
        </w:rPr>
      </w:pPr>
      <w:r>
        <w:rPr>
          <w:rFonts w:ascii="Times New Roman" w:cs="Times New Roman" w:eastAsia="Times New Roman" w:hAnsi="Times New Roman"/>
          <w:sz w:val="17"/>
          <w:szCs w:val="17"/>
          <w:i w:val="1"/>
          <w:iCs w:val="1"/>
          <w:color w:val="auto"/>
        </w:rPr>
        <w:t>Other operating expenses</w:t>
      </w:r>
    </w:p>
    <w:p>
      <w:pPr>
        <w:spacing w:after="0" w:line="24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details of our other operating expenses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9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Organic increase</w:t>
            </w: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gridSpan w:val="4"/>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3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Less: elimination of intercompany consolidated other</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220" w:type="dxa"/>
            <w:vAlign w:val="bottom"/>
          </w:tcPr>
          <w:p>
            <w:pPr>
              <w:ind w:left="260"/>
              <w:spacing w:after="0" w:line="148" w:lineRule="exact"/>
              <w:rPr>
                <w:sz w:val="20"/>
                <w:szCs w:val="20"/>
                <w:color w:val="auto"/>
              </w:rPr>
            </w:pPr>
            <w:r>
              <w:rPr>
                <w:rFonts w:ascii="Times New Roman" w:cs="Times New Roman" w:eastAsia="Times New Roman" w:hAnsi="Times New Roman"/>
                <w:sz w:val="17"/>
                <w:szCs w:val="17"/>
                <w:color w:val="auto"/>
              </w:rPr>
              <w:t>Total consolidated (excluding share-based compensation</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6"/>
        </w:trPr>
        <w:tc>
          <w:tcPr>
            <w:tcW w:w="42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expense)</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38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Share-based compensation expense</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92"/>
              </w:rPr>
              <w:t>(27.1)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 w:type="dxa"/>
            <w:vAlign w:val="bottom"/>
          </w:tcPr>
          <w:p>
            <w:pPr>
              <w:spacing w:after="0"/>
              <w:rPr>
                <w:sz w:val="15"/>
                <w:szCs w:val="15"/>
                <w:color w:val="auto"/>
              </w:rPr>
            </w:pPr>
          </w:p>
        </w:tc>
        <w:tc>
          <w:tcPr>
            <w:tcW w:w="17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3"/>
            <w:vMerge w:val="restart"/>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Organic increase</w:t>
            </w: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40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2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Less: elimination of intercompany consolidated other</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4220" w:type="dxa"/>
            <w:vAlign w:val="bottom"/>
          </w:tcPr>
          <w:p>
            <w:pPr>
              <w:ind w:left="260"/>
              <w:spacing w:after="0" w:line="157" w:lineRule="exact"/>
              <w:rPr>
                <w:sz w:val="20"/>
                <w:szCs w:val="20"/>
                <w:color w:val="auto"/>
              </w:rPr>
            </w:pPr>
            <w:r>
              <w:rPr>
                <w:rFonts w:ascii="Times New Roman" w:cs="Times New Roman" w:eastAsia="Times New Roman" w:hAnsi="Times New Roman"/>
                <w:sz w:val="17"/>
                <w:szCs w:val="17"/>
                <w:color w:val="auto"/>
              </w:rPr>
              <w:t>Total consolidated (excluding share-based compensation</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97"/>
        </w:trPr>
        <w:tc>
          <w:tcPr>
            <w:tcW w:w="42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expense)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4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Share-based compensation expense</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97"/>
              </w:rPr>
              <w:t>(31.9)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4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other operating expenses (exclusive of share-based compensation expense) increased $32.1 million or 18.1% and $39.7 million or 11.0% during the three and six months ended June 30, 2025, respectively, as compared to the corresponding periods in 2024. These increases include increases of $6.0 million and $11.0 million, respectively, attributable to the impact of the Formula E Acquisition. On an organic basis, our other operating expenses increased $10.6 million or 5.7% and $15.8 million or 4.4%, respectively. These increases include the following factors:</w:t>
      </w:r>
    </w:p>
    <w:p>
      <w:pPr>
        <w:spacing w:after="0" w:line="197" w:lineRule="exact"/>
        <w:rPr>
          <w:sz w:val="20"/>
          <w:szCs w:val="20"/>
          <w:color w:val="auto"/>
        </w:rPr>
      </w:pPr>
    </w:p>
    <w:p>
      <w:pPr>
        <w:jc w:val="both"/>
        <w:ind w:left="620" w:hanging="307"/>
        <w:spacing w:after="0" w:line="270" w:lineRule="auto"/>
        <w:tabs>
          <w:tab w:leader="none" w:pos="61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core network and information technology-related costs of $6.6 million or 15.4% and $8.4 million or 13.6%, respectively, primarily due to the net effect of (i) higher information technology-related costs, including increases at Telenet and VM Ireland, and (ii) for the six-month comparison, lower leased bandwidth costs at Telenet; and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6" w:name="page67"/>
    <w:bookmarkEnd w:id="66"/>
    <w:p>
      <w:pPr>
        <w:ind w:left="620" w:hanging="307"/>
        <w:spacing w:after="0" w:line="287" w:lineRule="auto"/>
        <w:tabs>
          <w:tab w:leader="none" w:pos="61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personnel costs of $2.8 million or 5.2% and $7.5 million or 6.7%, respectively, primarily due to the net effect of (i) higher average costs per employee at Telenet, (ii) lower staffing levels at Telenet and (iii) increases in incentive compensation costs.</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SG&amp;A expenses</w:t>
      </w:r>
    </w:p>
    <w:p>
      <w:pPr>
        <w:spacing w:after="0" w:line="24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details of our SG&amp;A expenses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9"/>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5"/>
                <w:szCs w:val="15"/>
                <w:color w:val="auto"/>
              </w:rPr>
            </w:pPr>
          </w:p>
        </w:tc>
        <w:tc>
          <w:tcPr>
            <w:tcW w:w="1740" w:type="dxa"/>
            <w:vAlign w:val="bottom"/>
            <w:gridSpan w:val="6"/>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Organic decrease</w:t>
            </w: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jc w:val="center"/>
              <w:ind w:left="476"/>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7"/>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134.7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(1.4)</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149.3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40" w:type="dxa"/>
            <w:vAlign w:val="bottom"/>
          </w:tcPr>
          <w:p>
            <w:pPr>
              <w:spacing w:after="0"/>
              <w:rPr>
                <w:sz w:val="19"/>
                <w:szCs w:val="19"/>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112.2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Less: elimination of intercompany consolidated SG&amp;A</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expenses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8"/>
              </w:rPr>
              <w:t>(2.1)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220" w:type="dxa"/>
            <w:vAlign w:val="bottom"/>
          </w:tcPr>
          <w:p>
            <w:pPr>
              <w:ind w:left="260"/>
              <w:spacing w:after="0" w:line="148" w:lineRule="exact"/>
              <w:rPr>
                <w:sz w:val="20"/>
                <w:szCs w:val="20"/>
                <w:color w:val="auto"/>
              </w:rPr>
            </w:pPr>
            <w:r>
              <w:rPr>
                <w:rFonts w:ascii="Times New Roman" w:cs="Times New Roman" w:eastAsia="Times New Roman" w:hAnsi="Times New Roman"/>
                <w:sz w:val="17"/>
                <w:szCs w:val="17"/>
                <w:color w:val="auto"/>
              </w:rPr>
              <w:t>Total consolidated (excluding share-based compensation</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6"/>
        </w:trPr>
        <w:tc>
          <w:tcPr>
            <w:tcW w:w="42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expense)</w:t>
            </w:r>
          </w:p>
        </w:tc>
        <w:tc>
          <w:tcPr>
            <w:tcW w:w="24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259.4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Share-based compensation expense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45.9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38.6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7.3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305.3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9"/>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00" w:type="dxa"/>
            <w:vAlign w:val="bottom"/>
          </w:tcPr>
          <w:p>
            <w:pPr>
              <w:spacing w:after="0"/>
              <w:rPr>
                <w:sz w:val="24"/>
                <w:szCs w:val="24"/>
                <w:color w:val="auto"/>
              </w:rPr>
            </w:pPr>
          </w:p>
        </w:tc>
        <w:tc>
          <w:tcPr>
            <w:tcW w:w="1740" w:type="dxa"/>
            <w:vAlign w:val="bottom"/>
            <w:gridSpan w:val="6"/>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Increase (decrease)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Organic increase (decrease)</w:t>
            </w: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jc w:val="center"/>
              <w:ind w:left="456"/>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7"/>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Telenet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260.0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VM Ireland</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26.8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(9.5)</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consolidated reportable segments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286.8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all other category</w:t>
            </w:r>
          </w:p>
        </w:tc>
        <w:tc>
          <w:tcPr>
            <w:tcW w:w="240" w:type="dxa"/>
            <w:vAlign w:val="bottom"/>
          </w:tcPr>
          <w:p>
            <w:pPr>
              <w:spacing w:after="0"/>
              <w:rPr>
                <w:sz w:val="19"/>
                <w:szCs w:val="19"/>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227.0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2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Less: elimination of intercompany consolidated SG&amp;A</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expenses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4220" w:type="dxa"/>
            <w:vAlign w:val="bottom"/>
          </w:tcPr>
          <w:p>
            <w:pPr>
              <w:ind w:left="260"/>
              <w:spacing w:after="0" w:line="157" w:lineRule="exact"/>
              <w:rPr>
                <w:sz w:val="20"/>
                <w:szCs w:val="20"/>
                <w:color w:val="auto"/>
              </w:rPr>
            </w:pPr>
            <w:r>
              <w:rPr>
                <w:rFonts w:ascii="Times New Roman" w:cs="Times New Roman" w:eastAsia="Times New Roman" w:hAnsi="Times New Roman"/>
                <w:sz w:val="17"/>
                <w:szCs w:val="17"/>
                <w:color w:val="auto"/>
              </w:rPr>
              <w:t>Total consolidated (excluding share-based compensation</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197"/>
        </w:trPr>
        <w:tc>
          <w:tcPr>
            <w:tcW w:w="42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expense)</w:t>
            </w:r>
          </w:p>
        </w:tc>
        <w:tc>
          <w:tcPr>
            <w:tcW w:w="24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509.5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6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Share-based compensation expense</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480"/>
              <w:spacing w:after="0" w:line="185" w:lineRule="exact"/>
              <w:rPr>
                <w:sz w:val="20"/>
                <w:szCs w:val="20"/>
                <w:color w:val="auto"/>
              </w:rPr>
            </w:pPr>
            <w:r>
              <w:rPr>
                <w:rFonts w:ascii="Times New Roman" w:cs="Times New Roman" w:eastAsia="Times New Roman" w:hAnsi="Times New Roman"/>
                <w:sz w:val="17"/>
                <w:szCs w:val="17"/>
                <w:color w:val="auto"/>
              </w:rPr>
              <w:t>76.4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73.0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585.9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7" w:name="page68"/>
    <w:bookmarkEnd w:id="67"/>
    <w:p>
      <w:pPr>
        <w:ind w:left="160"/>
        <w:spacing w:after="0"/>
        <w:rPr>
          <w:sz w:val="20"/>
          <w:szCs w:val="20"/>
          <w:color w:val="auto"/>
        </w:rPr>
      </w:pPr>
      <w:r>
        <w:rPr>
          <w:rFonts w:ascii="Times New Roman" w:cs="Times New Roman" w:eastAsia="Times New Roman" w:hAnsi="Times New Roman"/>
          <w:sz w:val="17"/>
          <w:szCs w:val="17"/>
          <w:i w:val="1"/>
          <w:iCs w:val="1"/>
          <w:color w:val="auto"/>
        </w:rPr>
        <w:t>Supplemental SG&amp;A expense information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5"/>
                <w:szCs w:val="15"/>
                <w:color w:val="auto"/>
              </w:rPr>
            </w:pPr>
          </w:p>
        </w:tc>
        <w:tc>
          <w:tcPr>
            <w:tcW w:w="1420" w:type="dxa"/>
            <w:vAlign w:val="bottom"/>
            <w:gridSpan w:val="3"/>
            <w:vMerge w:val="restart"/>
          </w:tcPr>
          <w:p>
            <w:pPr>
              <w:jc w:val="center"/>
              <w:ind w:left="538"/>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3"/>
            <w:vMerge w:val="restart"/>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Organic decrease</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(a)</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1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External sales and marketing</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20" w:type="dxa"/>
            <w:vAlign w:val="bottom"/>
          </w:tcPr>
          <w:p>
            <w:pPr>
              <w:spacing w:after="0"/>
              <w:rPr>
                <w:sz w:val="24"/>
                <w:szCs w:val="24"/>
                <w:color w:val="auto"/>
              </w:rPr>
            </w:pPr>
          </w:p>
        </w:tc>
        <w:tc>
          <w:tcPr>
            <w:tcW w:w="1420" w:type="dxa"/>
            <w:vAlign w:val="bottom"/>
            <w:gridSpan w:val="3"/>
            <w:vMerge w:val="restart"/>
          </w:tcPr>
          <w:p>
            <w:pPr>
              <w:jc w:val="center"/>
              <w:ind w:left="538"/>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3"/>
            <w:vMerge w:val="restart"/>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Organic decrease</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(a)</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External sales and marketing</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expenses include all personnel-related costs within our SG&amp;A expenses, including personnel-related costs associated with our sales and marketing function.</w:t>
      </w:r>
    </w:p>
    <w:p>
      <w:pPr>
        <w:spacing w:after="0" w:line="17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SG&amp;A expenses (exclusive of share-based compensation expense) increased $12.5 million or 5.1% and $34.3 million or 7.2% during the three and six months ended June 30, 2025, respectively, as compared to the corresponding periods in 2024. These increases include increases of $12.4 million and $39.6 million, respectively, attributable to the impact of the Formula E Acquisition. On an organic basis, our SG&amp;A expenses decreased $12.3 million or 4.8% and $11.5 million or 2.2%, respectively. These decreases include the following factors:</w:t>
      </w:r>
    </w:p>
    <w:p>
      <w:pPr>
        <w:spacing w:after="0" w:line="197" w:lineRule="exact"/>
        <w:rPr>
          <w:sz w:val="20"/>
          <w:szCs w:val="20"/>
          <w:color w:val="auto"/>
        </w:rPr>
      </w:pPr>
    </w:p>
    <w:p>
      <w:pPr>
        <w:jc w:val="both"/>
        <w:ind w:left="620" w:hanging="307"/>
        <w:spacing w:after="0" w:line="270"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external sales and marketing costs of $4.6 million or 5.4% and $5.1 million or 2.9%, respectively, primarily due to the net effect of (i) lower costs associated with advertising campaigns, including decreases at Telenet and VM Ireland, and (ii) higher third-party sales commissions, as increases at Telenet were only partially offset by decreases at VM Ireland;</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personnel costs of $5.4 million or 4.0% and $3.0 million or 1.2%, respectively, primarily due to the net effect of (i) lower incentive compensation costs and (ii) higher average costs per employee, primarily due to an increase at Telenet for the six-month comparison; and</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business service costs of $5.1 million or 12.9% and $2.8 million or 4.1%, respectively, primarily due to (i) lower travel and entertainment expenses and (ii) lower consulting costs.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8" w:name="page69"/>
    <w:bookmarkEnd w:id="68"/>
    <w:p>
      <w:pPr>
        <w:ind w:left="160"/>
        <w:spacing w:after="0"/>
        <w:rPr>
          <w:sz w:val="20"/>
          <w:szCs w:val="20"/>
          <w:color w:val="auto"/>
        </w:rPr>
      </w:pPr>
      <w:r>
        <w:rPr>
          <w:rFonts w:ascii="Times New Roman" w:cs="Times New Roman" w:eastAsia="Times New Roman" w:hAnsi="Times New Roman"/>
          <w:sz w:val="17"/>
          <w:szCs w:val="17"/>
          <w:i w:val="1"/>
          <w:iCs w:val="1"/>
          <w:color w:val="auto"/>
        </w:rPr>
        <w:t>Share-based compensation expense</w:t>
      </w:r>
    </w:p>
    <w:p>
      <w:pPr>
        <w:spacing w:after="0" w:line="247"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tcPr>
          <w:p>
            <w:pPr>
              <w:spacing w:after="0"/>
              <w:rPr>
                <w:sz w:val="15"/>
                <w:szCs w:val="15"/>
                <w:color w:val="auto"/>
              </w:rPr>
            </w:pPr>
          </w:p>
        </w:tc>
        <w:tc>
          <w:tcPr>
            <w:tcW w:w="2060" w:type="dxa"/>
            <w:vAlign w:val="bottom"/>
            <w:gridSpan w:val="4"/>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4"/>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5"/>
        </w:trPr>
        <w:tc>
          <w:tcPr>
            <w:tcW w:w="6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8"/>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Liberty Global (a):</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Non-performance based incentive awards</w:t>
            </w:r>
          </w:p>
        </w:tc>
        <w:tc>
          <w:tcPr>
            <w:tcW w:w="780" w:type="dxa"/>
            <w:vAlign w:val="bottom"/>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Performance based incentive awards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(b)</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Liberty Global</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2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expense</w:t>
            </w: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SG&amp;A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tabs>
          <w:tab w:leader="none" w:pos="4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share-based compensation expense related to certain Telenet Replacement Awards.</w:t>
      </w:r>
    </w:p>
    <w:p>
      <w:pPr>
        <w:spacing w:after="0" w:line="242" w:lineRule="exact"/>
        <w:rPr>
          <w:rFonts w:ascii="Times New Roman" w:cs="Times New Roman" w:eastAsia="Times New Roman" w:hAnsi="Times New Roman"/>
          <w:sz w:val="17"/>
          <w:szCs w:val="17"/>
          <w:color w:val="auto"/>
        </w:rPr>
      </w:pPr>
    </w:p>
    <w:p>
      <w:pPr>
        <w:jc w:val="both"/>
        <w:ind w:left="460" w:hanging="457"/>
        <w:spacing w:after="0" w:line="264" w:lineRule="auto"/>
        <w:tabs>
          <w:tab w:leader="none" w:pos="45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additional information regarding our share-based compensation expense, see note 13 to our condensed consolidated financial statements.</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Depreciation and amortization expense</w:t>
      </w:r>
    </w:p>
    <w:p>
      <w:pPr>
        <w:spacing w:after="0" w:line="247"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Our depreciation and amortization expense was $250.8 million and $483.0 million for the three and six months ended June 30, 2025, respectively, and $282.7 million and $505.4 million for the three and six months ended June 30, 2024, respectively. Excluding the effects of FX, depreciation and amortization expense decreased $44.3 million or 15.7% and $28.3 million or 5.6% during the three and six months ended June 30, 2025, respectively, as compared to the corresponding periods in 2024. These decreases are primarily due to the net effect of (i) decreases associated with certain assets becoming fully depreciated, primarily at Telenet and (ii) increases associated with property and equipment additions related to the installation of CPE, the expansion and upgrade of our networks and other capital initiatives, primarily at Telenet.</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Impairment, restructuring and other operating items, net</w:t>
      </w:r>
    </w:p>
    <w:p>
      <w:pPr>
        <w:spacing w:after="0" w:line="24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We recognized impairment, restructuring and other operating items, net, of $5.5 million and $3.8 million during the three and six months ended June 30, 2025, respectively, and $4.5 million and $38.1 million during the three and six months ended June 30, 2024, respectively.</w:t>
      </w:r>
    </w:p>
    <w:p>
      <w:pPr>
        <w:spacing w:after="0" w:line="17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amounts for the 2024 periods include (i) restructuring costs of $4.0 million and $19.2 million, respectively, and (ii) a provision for legal contingencies of $17.5 million during the first quarter of 2024.</w:t>
      </w:r>
    </w:p>
    <w:p>
      <w:pPr>
        <w:spacing w:after="0" w:line="17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9" w:name="page70"/>
    <w:bookmarkEnd w:id="69"/>
    <w:p>
      <w:pPr>
        <w:jc w:val="both"/>
        <w:spacing w:after="0" w:line="287" w:lineRule="auto"/>
        <w:rPr>
          <w:sz w:val="20"/>
          <w:szCs w:val="20"/>
          <w:color w:val="auto"/>
        </w:rPr>
      </w:pPr>
      <w:r>
        <w:rPr>
          <w:rFonts w:ascii="Times New Roman" w:cs="Times New Roman" w:eastAsia="Times New Roman" w:hAnsi="Times New Roman"/>
          <w:sz w:val="17"/>
          <w:szCs w:val="17"/>
          <w:color w:val="auto"/>
        </w:rPr>
        <w:t>in future periods that impairment charges are required in order to reduce the carrying values of our goodwill and, to a lesser extent, other long-lived assets. Any such impairment charges could be significant.</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4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recognized interest expense of $129.5 million and $257.0 million during the three and six months ended June 30, 2025, respectively, and $144.4 million and $289.9 million during the three and six months ended June 30, 2024, respectively. Excluding the effects of FX, interest expense decreased $21.7 million or 15.0% and $35.6 million or 12.3% during the three and six months ended June 30, 2025, respectively, as compared to the corresponding periods in 2024. These decreases are primarily attributable to lower weighted average interest rates, partially offset by higher average outstanding debt balances. For additional information regarding our outstanding indebtedness, see note 9 to our condensed consolidated financial statements.</w:t>
      </w:r>
    </w:p>
    <w:p>
      <w:pPr>
        <w:spacing w:after="0" w:line="20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Part I, Item 3. </w:t>
      </w:r>
      <w:r>
        <w:rPr>
          <w:rFonts w:ascii="Times New Roman" w:cs="Times New Roman" w:eastAsia="Times New Roman" w:hAnsi="Times New Roman"/>
          <w:sz w:val="17"/>
          <w:szCs w:val="17"/>
          <w:i w:val="1"/>
          <w:iCs w:val="1"/>
          <w:color w:val="auto"/>
        </w:rPr>
        <w:t xml:space="preserve">Quantitative and Qualitative Disclosures about Market Risk </w:t>
      </w:r>
      <w:r>
        <w:rPr>
          <w:rFonts w:ascii="Times New Roman" w:cs="Times New Roman" w:eastAsia="Times New Roman" w:hAnsi="Times New Roman"/>
          <w:sz w:val="17"/>
          <w:szCs w:val="17"/>
          <w:color w:val="auto"/>
        </w:rPr>
        <w:t>below, we use derivative instruments to manage our interest rate risks.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Realized and unrealized gains (losses) on derivative instruments, net</w:t>
      </w:r>
    </w:p>
    <w:p>
      <w:pPr>
        <w:spacing w:after="0" w:line="24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Pr>
          <w:p>
            <w:pPr>
              <w:spacing w:after="0"/>
              <w:rPr>
                <w:sz w:val="15"/>
                <w:szCs w:val="15"/>
                <w:color w:val="auto"/>
              </w:rPr>
            </w:pPr>
          </w:p>
        </w:tc>
        <w:tc>
          <w:tcPr>
            <w:tcW w:w="2120" w:type="dxa"/>
            <w:vAlign w:val="bottom"/>
            <w:gridSpan w:val="4"/>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6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9"/>
        </w:trPr>
        <w:tc>
          <w:tcPr>
            <w:tcW w:w="6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7"/>
        </w:trPr>
        <w:tc>
          <w:tcPr>
            <w:tcW w:w="6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Cross-currency and interest rate derivative contracts (a)</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Equity-related derivative instruments (b)</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forward and option contracts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1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jc w:val="both"/>
        <w:ind w:left="460" w:hanging="457"/>
        <w:spacing w:after="0" w:line="260" w:lineRule="auto"/>
        <w:tabs>
          <w:tab w:leader="none" w:pos="45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losses for the 2025 periods are primarily attributable to the net effect of (i) net losses associated with changes in the relative value of certain currencies and (ii) a net loss for the three-month period and a net gain for the six-month period associated with changes in certain market interest rates. In addition, the losses for the 2025 periods include net gains of $5.2 million and $9.4 million, respectively, resulting from changes in our credit risk valuation adjustments. The gains for the 2024 periods are attributable to net gains associated with changes in (a) the relative value of certain currencies and (b) certain market interest rates. In addition, the gains for the 2024 periods include net losses of $2.2 million and $5.5 million, respectively, resulting from changes in our credit risk valuation adjustments.</w:t>
      </w:r>
    </w:p>
    <w:p>
      <w:pPr>
        <w:spacing w:after="0" w:line="199"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recurring fair value measurements of our equity-related derivative instruments are based on Black-Scholes pricing models.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additional information concerning our derivative instruments, see notes 6 and 7 to our condensed consolidated financial statements and Part I, Item 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Quantitative and Qualitative Disclosures about Market Risk </w:t>
      </w:r>
      <w:r>
        <w:rPr>
          <w:rFonts w:ascii="Times New Roman" w:cs="Times New Roman" w:eastAsia="Times New Roman" w:hAnsi="Times New Roman"/>
          <w:sz w:val="17"/>
          <w:szCs w:val="17"/>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0" w:name="page71"/>
    <w:bookmarkEnd w:id="70"/>
    <w:p>
      <w:pPr>
        <w:ind w:left="160"/>
        <w:spacing w:after="0"/>
        <w:rPr>
          <w:sz w:val="20"/>
          <w:szCs w:val="20"/>
          <w:color w:val="auto"/>
        </w:rPr>
      </w:pPr>
      <w:r>
        <w:rPr>
          <w:rFonts w:ascii="Times New Roman" w:cs="Times New Roman" w:eastAsia="Times New Roman" w:hAnsi="Times New Roman"/>
          <w:sz w:val="17"/>
          <w:szCs w:val="17"/>
          <w:i w:val="1"/>
          <w:iCs w:val="1"/>
          <w:color w:val="auto"/>
        </w:rPr>
        <w:t>Foreign currency transaction gains (losses), net</w:t>
      </w:r>
    </w:p>
    <w:p>
      <w:pPr>
        <w:spacing w:after="0" w:line="24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Pr>
          <w:p>
            <w:pPr>
              <w:spacing w:after="0"/>
              <w:rPr>
                <w:sz w:val="15"/>
                <w:szCs w:val="15"/>
                <w:color w:val="auto"/>
              </w:rPr>
            </w:pPr>
          </w:p>
        </w:tc>
        <w:tc>
          <w:tcPr>
            <w:tcW w:w="2100" w:type="dxa"/>
            <w:vAlign w:val="bottom"/>
            <w:gridSpan w:val="4"/>
          </w:tcPr>
          <w:p>
            <w:pPr>
              <w:jc w:val="right"/>
              <w:ind w:right="556"/>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6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9"/>
        </w:trPr>
        <w:tc>
          <w:tcPr>
            <w:tcW w:w="6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8"/>
        </w:trPr>
        <w:tc>
          <w:tcPr>
            <w:tcW w:w="62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Intercompany balances denominated in a currency other than the entity’s functional</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2"/>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currency (a)</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832.2</w:t>
            </w:r>
          </w:p>
        </w:tc>
      </w:tr>
      <w:tr>
        <w:trPr>
          <w:trHeight w:val="219"/>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dollar-denominated debt issued by euro functional currency entities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r>
      <w:tr>
        <w:trPr>
          <w:trHeight w:val="168"/>
        </w:trPr>
        <w:tc>
          <w:tcPr>
            <w:tcW w:w="62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Cash and restricted cash denominated in a currency other than the entity’s functional</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2"/>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currency</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7"/>
        </w:trPr>
        <w:tc>
          <w:tcPr>
            <w:tcW w:w="6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tabs>
          <w:tab w:leader="none" w:pos="4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primarily relate to loans between certain of our non-operating subsidiaries in Europe.</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Realized and unrealized gains (losses) due to changes in fair values of certain investments, net</w:t>
      </w:r>
    </w:p>
    <w:p>
      <w:pPr>
        <w:spacing w:after="0" w:line="24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 (losses) due to changes in fair values of certain investments, net,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2160" w:type="dxa"/>
            <w:vAlign w:val="bottom"/>
            <w:gridSpan w:val="4"/>
          </w:tcPr>
          <w:p>
            <w:pPr>
              <w:jc w:val="right"/>
              <w:ind w:right="59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6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9"/>
        </w:trPr>
        <w:tc>
          <w:tcPr>
            <w:tcW w:w="6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7"/>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Vodafone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7"/>
                <w:szCs w:val="17"/>
                <w:color w:val="auto"/>
              </w:rPr>
              <w:t>46.5</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ITV</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auto"/>
              </w:rPr>
              <w:t>83.1</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Televisa Univision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7"/>
                <w:szCs w:val="17"/>
                <w:color w:val="auto"/>
              </w:rPr>
              <w:t>10.7</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center"/>
              <w:ind w:left="315"/>
              <w:spacing w:after="0"/>
              <w:rPr>
                <w:sz w:val="20"/>
                <w:szCs w:val="20"/>
                <w:color w:val="auto"/>
              </w:rPr>
            </w:pPr>
            <w:r>
              <w:rPr>
                <w:rFonts w:ascii="Times New Roman" w:cs="Times New Roman" w:eastAsia="Times New Roman" w:hAnsi="Times New Roman"/>
                <w:sz w:val="17"/>
                <w:szCs w:val="17"/>
                <w:color w:val="auto"/>
              </w:rPr>
              <w:t>(27.8)</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Lionsgate (a)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Aviatrix</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center"/>
              <w:ind w:left="315"/>
              <w:spacing w:after="0"/>
              <w:rPr>
                <w:sz w:val="20"/>
                <w:szCs w:val="20"/>
                <w:color w:val="auto"/>
              </w:rPr>
            </w:pPr>
            <w:r>
              <w:rPr>
                <w:rFonts w:ascii="Times New Roman" w:cs="Times New Roman" w:eastAsia="Times New Roman" w:hAnsi="Times New Roman"/>
                <w:sz w:val="17"/>
                <w:szCs w:val="17"/>
                <w:color w:val="auto"/>
              </w:rPr>
              <w:t>(27.5)</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EdgeConneX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7"/>
                <w:szCs w:val="17"/>
                <w:color w:val="auto"/>
              </w:rPr>
              <w:t>89.1</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SMAs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auto"/>
              </w:rPr>
              <w:t>20.9</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Lacework (b)</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(75.6)</w:t>
            </w:r>
          </w:p>
        </w:tc>
      </w:tr>
      <w:tr>
        <w:trPr>
          <w:trHeight w:val="21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7"/>
                <w:szCs w:val="17"/>
                <w:color w:val="auto"/>
              </w:rPr>
              <w:t>(26.0)</w:t>
            </w:r>
          </w:p>
        </w:tc>
      </w:tr>
      <w:tr>
        <w:trPr>
          <w:trHeight w:val="237"/>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7"/>
                <w:szCs w:val="17"/>
                <w:color w:val="auto"/>
              </w:rPr>
              <w:t>83.3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change in fair value of our investment in Lionsgate, both before and after the Lionsgate Separation. Following the Lionsgate Separation, changes in fair value related to our investment in Starz are included in ‘Other, net’ in the above table.</w:t>
      </w:r>
    </w:p>
    <w:p>
      <w:pPr>
        <w:spacing w:after="0" w:line="177"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completed the sale of our investment in Lacework during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1" w:name="page72"/>
    <w:bookmarkEnd w:id="71"/>
    <w:p>
      <w:pPr>
        <w:ind w:left="160"/>
        <w:spacing w:after="0"/>
        <w:rPr>
          <w:sz w:val="20"/>
          <w:szCs w:val="20"/>
          <w:color w:val="auto"/>
        </w:rPr>
      </w:pPr>
      <w:r>
        <w:rPr>
          <w:rFonts w:ascii="Times New Roman" w:cs="Times New Roman" w:eastAsia="Times New Roman" w:hAnsi="Times New Roman"/>
          <w:sz w:val="17"/>
          <w:szCs w:val="17"/>
          <w:i w:val="1"/>
          <w:iCs w:val="1"/>
          <w:color w:val="auto"/>
        </w:rPr>
        <w:t>Losses on debt extinguishment, net</w:t>
      </w:r>
    </w:p>
    <w:p>
      <w:pPr>
        <w:spacing w:after="0" w:line="247"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We recognized net losses on debt extinguishment of $0.9 million and $8.9 million during the three and six months ended June 30, 2025, respectively, related to the write-off of unamortized deferred financing costs and discounts. For additional information, see note 9 to our condensed consolidated financial statements.</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Share of results of affiliates, net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details of our share of results of affiliates,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4"/>
          </w:tcPr>
          <w:p>
            <w:pPr>
              <w:jc w:val="right"/>
              <w:ind w:right="575"/>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9"/>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6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7"/>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VMO2 JV (a)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VodafoneZiggo JV (b)</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nexfibre JV</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AtlasEdge JV</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Formula E (c)</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1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All3Media (d)</w:t>
            </w:r>
          </w:p>
        </w:tc>
        <w:tc>
          <w:tcPr>
            <w:tcW w:w="28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2"/>
        </w:trPr>
        <w:tc>
          <w:tcPr>
            <w:tcW w:w="6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(24.6)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jc w:val="both"/>
        <w:ind w:left="460" w:hanging="457"/>
        <w:spacing w:after="0" w:line="270" w:lineRule="auto"/>
        <w:tabs>
          <w:tab w:leader="none" w:pos="45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our 50% share of the results of operations of the VMO2 JV and (ii) for the 2024 period,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9"/>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6,658.2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1,172.3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1,132.4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2,245.7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2,206.0</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Non-operating expense (1)</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(568.5)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(259.1)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ind w:left="280"/>
              <w:spacing w:after="0" w:line="191" w:lineRule="exact"/>
              <w:rPr>
                <w:sz w:val="20"/>
                <w:szCs w:val="20"/>
                <w:color w:val="auto"/>
              </w:rPr>
            </w:pPr>
            <w:r>
              <w:rPr>
                <w:rFonts w:ascii="Times New Roman" w:cs="Times New Roman" w:eastAsia="Times New Roman" w:hAnsi="Times New Roman"/>
                <w:sz w:val="17"/>
                <w:szCs w:val="17"/>
                <w:color w:val="auto"/>
              </w:rPr>
              <w:t>(920.8)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(444.8)</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 (loss)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(474.7)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840" w:hanging="373"/>
        <w:spacing w:after="0"/>
        <w:tabs>
          <w:tab w:leader="none" w:pos="8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interest expense of $399.0 million, $415.2 million, $788.6 million and $833.1 million in the respective periods shown.</w:t>
      </w:r>
    </w:p>
    <w:p>
      <w:pPr>
        <w:spacing w:after="0" w:line="243"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changes in the VMO2 JV’s revenue during the three and six months ended June 30, 2025, as compared to the corresponding periods in 2024, are primarily due to (i) decreases in other revenue related to low-margin construction revenue from the nexfibre JV, (ii) decreases in mobile revenue due to lower handset revenue and (ii) lower B2B fixed revenue, with each revenue category as defined and reported by the VMO2 JV. The changes in the VMO2 JV’s Adjusted EBITDA during the three and six months ended June 30, 2025, as compared to the corresponding periods in 2024, are primarily due to the net effect of (a) the aforementioned changes in revenue, (b) cost efficiencies and (c) decreases in the nexfibre JV construction impact to Adjusted EBITDA. In addition, the reported revenue and Adjusted EBITDA amounts are impacted by FX.</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2" w:name="page73"/>
    <w:bookmarkEnd w:id="72"/>
    <w:p>
      <w:pPr>
        <w:jc w:val="both"/>
        <w:ind w:left="460" w:hanging="457"/>
        <w:spacing w:after="0" w:line="270" w:lineRule="auto"/>
        <w:tabs>
          <w:tab w:leader="none" w:pos="45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our 50% share of the results of operations of the VodafoneZiggo JV and (ii) interest income of $14.4 million, $13.7 million, $27.7 million and $27.5 million in the respective periods shown, representing 100% of the interest earned on the VodafoneZiggo JV Receivables. The summarized results of operations of the VodafoneZiggo JV are set forth below:</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9"/>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8"/>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496.7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518.7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959.8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1,037.7</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Non-operating expense (1)</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(187.2)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(104.4)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ind w:left="280"/>
              <w:spacing w:after="0" w:line="191" w:lineRule="exact"/>
              <w:rPr>
                <w:sz w:val="20"/>
                <w:szCs w:val="20"/>
                <w:color w:val="auto"/>
              </w:rPr>
            </w:pPr>
            <w:r>
              <w:rPr>
                <w:rFonts w:ascii="Times New Roman" w:cs="Times New Roman" w:eastAsia="Times New Roman" w:hAnsi="Times New Roman"/>
                <w:sz w:val="17"/>
                <w:szCs w:val="17"/>
                <w:color w:val="auto"/>
              </w:rPr>
              <w:t>(294.0)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(234.1)</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(190.4)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840" w:hanging="373"/>
        <w:spacing w:after="0"/>
        <w:tabs>
          <w:tab w:leader="none" w:pos="8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interest expense of $192.5 million, $204.8 million, $380.2 million and $411.2 million in the respective periods shown.</w:t>
      </w:r>
    </w:p>
    <w:p>
      <w:pPr>
        <w:spacing w:after="0" w:line="24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The changes in the VodafoneZiggo JV’s revenue during the three and six months ended June 30, 2025, as compared to the corresponding periods in 2024, are primarily due to (i) decreases in consumer fixed revenue, partially offset by repricing impact, and (ii) lower B2B mobile revenue, partially offset by higher B2B fixed revenue. The changes in the VodafoneZiggo JV’s Adjusted EBITDA during the three and six months ended June 30, 2025, as compared to the corresponding periods in 2024, are primarily due to the net effect of (a) the aforementioned changes in revenue, (b) higher programming costs, (c) increases in consultancy costs,</w:t>
      </w:r>
    </w:p>
    <w:p>
      <w:pPr>
        <w:spacing w:after="0" w:line="1" w:lineRule="exact"/>
        <w:rPr>
          <w:sz w:val="20"/>
          <w:szCs w:val="20"/>
          <w:color w:val="auto"/>
        </w:rPr>
      </w:pPr>
    </w:p>
    <w:p>
      <w:pPr>
        <w:ind w:firstLine="3"/>
        <w:spacing w:after="0" w:line="266" w:lineRule="auto"/>
        <w:tabs>
          <w:tab w:leader="none" w:pos="27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marketing costs and (e) cost control measures in customer service, IT and procurement. In addition, the reported revenue and Adjusted EBITDA amounts are impacted by FX.</w:t>
      </w:r>
    </w:p>
    <w:p>
      <w:pPr>
        <w:spacing w:after="0" w:line="194"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VodafoneZiggo JV is experiencing significant competition in both its fixed-line and mobile operations.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99" w:lineRule="exact"/>
        <w:rPr>
          <w:sz w:val="20"/>
          <w:szCs w:val="20"/>
          <w:color w:val="auto"/>
        </w:rPr>
      </w:pPr>
    </w:p>
    <w:p>
      <w:pPr>
        <w:ind w:left="460" w:hanging="457"/>
        <w:spacing w:after="0"/>
        <w:tabs>
          <w:tab w:leader="none" w:pos="4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our share of results of Formula E prior to the Formula E Acquisition Date.</w:t>
      </w:r>
    </w:p>
    <w:p>
      <w:pPr>
        <w:spacing w:after="0" w:line="242"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completed the sale of our investment in All3Media during the second quarter of 2024.</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Gain on sale of All3Media</w:t>
      </w:r>
    </w:p>
    <w:p>
      <w:pPr>
        <w:spacing w:after="0" w:line="24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 connection with the sale of All3Media, we recognized a gain of $242.9 million during the six months ended June 30, 2024. For additional information, see note 5 to our condensed consolidated financial statements.</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24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recognized other income, net, of $33.1 million and $76.5 million during the three months ended June 30, 2025 and 2024, respectively, and $52.5 million and $112.9 million during the six months ended June 30, 2025 and 2024, respectively. These amounts include interest and dividend income of $39.2 million and $75.5 million during the three month periods, respectively, and $57.6 million and $111.8 million during the six month periods, respectively.</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Income tax benefit (expense)</w:t>
      </w:r>
    </w:p>
    <w:p>
      <w:pPr>
        <w:spacing w:after="0" w:line="24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We recognized income tax benefit (expense) of ($0.9 million) and $69.1 million during the three and six months ended June 30, 2025, respectively, and ($28.2 million) and ($71.0 million) during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3" w:name="page74"/>
    <w:bookmarkEnd w:id="73"/>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income tax expense during the three months ended June 30, 2025 differs from the expected income tax benefit of $415.9 million (based on the Bermuda statutory income tax rate of 15.0%), primarily due to the net negative impact of (i) non-deductible or non-taxable foreign currency exchange results and (ii) certain permanent differences between the financial and tax accounting treatment of items associated with investments in subsidiaries and affiliates. The net negative impact of these items was partially offset by the net positive impact of statutory rates in certain jurisdictions in which we operate that are different than the Bermuda statutory income tax rate.</w:t>
      </w:r>
    </w:p>
    <w:p>
      <w:pPr>
        <w:spacing w:after="0" w:line="20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income tax benefit during the six months ended June 30, 2025 differs from the expected income tax benefit of $624.9 million (based on the Bermuda statutory income tax rate of 15.0%), primarily due to the net negative impact of (i) non-deductible or non-taxable foreign currency exchange results and (ii) certain permanent differences between the financial and tax accounting treatment of items associated with investments in subsidiaries and affiliates. The net negative impact of these items was partially offset by the net positive impact of (a) statutory rates in certain jurisdictions in which we operate that are different than the Bermuda statutory income tax rate and (b) a net decrease in valuation allowances.</w:t>
      </w:r>
    </w:p>
    <w:p>
      <w:pPr>
        <w:spacing w:after="0" w:line="20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income tax expense during the three months ended June 30, 2024 differs from the expected income tax expense of $88.1 million (based on the U.K. statutory income tax rate of 25.0%), primarily due to the net positive impact of (i) certain permanent differences between the financial and tax accounting treatment of items associated with investments in subsidiaries and affiliates, including the non-taxable gain on the sale of All3Media, and (ii) non-deductible or non-taxable foreign currency exchange results. The net positive impact of these items was partially offset by the net negative impact of certain permanent differences between the financial and tax accounting treatment of interest and other expenses.</w:t>
      </w:r>
    </w:p>
    <w:p>
      <w:pPr>
        <w:spacing w:after="0" w:line="20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income tax expense during the six months ended June 30, 2024 differs from the expected income tax expense of $257.4 million (based on the U.K. statutory income tax rate of 25.0%), primarily due to the net positive impact of (i) non-deductible or non-taxable foreign currency exchange results and (ii) certain permanent differences between the financial and tax accounting treatment of items associated with investments in subsidiaries and affiliates, including the non-taxable gain on the sale of All3Media. The net positive impact of these items was partially offset by the net negative impact of certain permanent differences between the financial and tax accounting treatment of interest and other expenses.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additional information concerning our income taxes, see note 11 to our condensed consolidated financial statements.</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Earnings (loss) from continuing operations</w:t>
      </w:r>
    </w:p>
    <w:p>
      <w:pPr>
        <w:spacing w:after="0" w:line="24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During the three months ended June 30, 2025 and 2024, we reported earnings (loss) from continuing operations of ($2,773.8 million) and $324.1 million, respectively, consisting of (i) operating income (loss) of $29.6 million and ($33.0 million), respectively, (ii) net non-operating income (expense) of ($2,802.5 million) and $385.3 million, respectively, and (iii) income tax expense of $0.9 million and $28.2 million, respectively.</w:t>
      </w:r>
    </w:p>
    <w:p>
      <w:pPr>
        <w:spacing w:after="0" w:line="19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2025 and 2024, we reported earnings (loss) from continuing operations of ($4,097.1 million) and $958.6 million, respectively, consisting of (i) operating income (loss) of $90.3 million and ($45.3 million), respectively, (ii) net non-operating income (expense) of ($4,256.5 million) and $1,074.9 million, respectively, and (iii) income tax benefit (expense) of $69.1 million and ($71.0 million), respectively.</w:t>
      </w:r>
    </w:p>
    <w:p>
      <w:pPr>
        <w:spacing w:after="0" w:line="19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196"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 xml:space="preserve">Due largely to the fact that we seek to maintain our debt at levels that provide for attractive equity returns, as discussed under </w:t>
      </w:r>
      <w:r>
        <w:rPr>
          <w:rFonts w:ascii="Times New Roman" w:cs="Times New Roman" w:eastAsia="Times New Roman" w:hAnsi="Times New Roman"/>
          <w:sz w:val="17"/>
          <w:szCs w:val="17"/>
          <w:i w:val="1"/>
          <w:iCs w:val="1"/>
          <w:color w:val="auto"/>
        </w:rPr>
        <w:t>Material Changes in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Condition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i w:val="1"/>
          <w:iCs w:val="1"/>
          <w:color w:val="auto"/>
        </w:rPr>
        <w:t xml:space="preserve"> Capitalization </w:t>
      </w:r>
      <w:r>
        <w:rPr>
          <w:rFonts w:ascii="Times New Roman" w:cs="Times New Roman" w:eastAsia="Times New Roman" w:hAnsi="Times New Roman"/>
          <w:sz w:val="17"/>
          <w:szCs w:val="17"/>
          <w:color w:val="auto"/>
        </w:rPr>
        <w:t>below, we expect we will continue to report significant levels of interest expense for the foreseeable future. For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concerning our expectations with respect to trends that may affect certain aspects of our operating results in future periods, see the discussion under </w:t>
      </w:r>
      <w:r>
        <w:rPr>
          <w:rFonts w:ascii="Times New Roman" w:cs="Times New Roman" w:eastAsia="Times New Roman" w:hAnsi="Times New Roman"/>
          <w:sz w:val="17"/>
          <w:szCs w:val="17"/>
          <w:i w:val="1"/>
          <w:iCs w:val="1"/>
          <w:color w:val="auto"/>
        </w:rPr>
        <w:t>Overview</w:t>
      </w:r>
      <w:r>
        <w:rPr>
          <w:rFonts w:ascii="Times New Roman" w:cs="Times New Roman" w:eastAsia="Times New Roman" w:hAnsi="Times New Roman"/>
          <w:sz w:val="17"/>
          <w:szCs w:val="17"/>
          <w:color w:val="auto"/>
        </w:rPr>
        <w:t xml:space="preserve"> above. For information concerning the reasons for changes in specific line items in our condensed consolidated statements of operations, see </w:t>
      </w:r>
      <w:r>
        <w:rPr>
          <w:rFonts w:ascii="Times New Roman" w:cs="Times New Roman" w:eastAsia="Times New Roman" w:hAnsi="Times New Roman"/>
          <w:sz w:val="17"/>
          <w:szCs w:val="17"/>
          <w:i w:val="1"/>
          <w:iCs w:val="1"/>
          <w:color w:val="auto"/>
        </w:rPr>
        <w:t>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Analysis of our Reportable Segments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Discussion and Analysis of our Consolidated Operating Results </w:t>
      </w:r>
      <w:r>
        <w:rPr>
          <w:rFonts w:ascii="Times New Roman" w:cs="Times New Roman" w:eastAsia="Times New Roman" w:hAnsi="Times New Roman"/>
          <w:sz w:val="17"/>
          <w:szCs w:val="17"/>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4" w:name="page75"/>
    <w:bookmarkEnd w:id="74"/>
    <w:p>
      <w:pPr>
        <w:ind w:left="160"/>
        <w:spacing w:after="0"/>
        <w:rPr>
          <w:sz w:val="20"/>
          <w:szCs w:val="20"/>
          <w:color w:val="auto"/>
        </w:rPr>
      </w:pPr>
      <w:r>
        <w:rPr>
          <w:rFonts w:ascii="Times New Roman" w:cs="Times New Roman" w:eastAsia="Times New Roman" w:hAnsi="Times New Roman"/>
          <w:sz w:val="17"/>
          <w:szCs w:val="17"/>
          <w:i w:val="1"/>
          <w:iCs w:val="1"/>
          <w:color w:val="auto"/>
        </w:rPr>
        <w:t>Loss from discontinued operations, net of taxes</w:t>
      </w:r>
    </w:p>
    <w:p>
      <w:pPr>
        <w:spacing w:after="0" w:line="24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We reported losses from discontinued operations, net of taxes, of $48.9 million and $156.4 million during the three and six months ended June 30, 2024, respectively, related to the operations of the Sunrise Entities. For additional information, see note 4 to our condensed consolidated financial statements.</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Net earnings attributable to noncontrolling interests</w:t>
      </w:r>
    </w:p>
    <w:p>
      <w:pPr>
        <w:spacing w:after="0" w:line="24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Net earnings attributable to noncontrolling interests was $19.1 million and $7.1 million during the three months ended June 30, 2025 and 2024, respectively, and $33.1 million and $24.1 million during the six months ended June 30, 2025 and 2024, respectively, attributable to certain noncontrolling interests at Telenet and Formula 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Material Changes in Financial Condition</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Cash</w:t>
      </w:r>
    </w:p>
    <w:p>
      <w:pPr>
        <w:spacing w:after="0" w:line="24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are a holding company that is dependent on the capital resources of our subsidiaries to satisfy our liquidity requirements at the corporate level. Each of our significant operating subsidiaries is separately financed within one of our two subsidiary “borrowing groups”. These borrowing groups include the respective restricted parent and subsidiary entities within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Cash, cash equivalents and SMAs</w:t>
      </w:r>
    </w:p>
    <w:p>
      <w:pPr>
        <w:spacing w:after="0" w:line="24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details of the U.S. dollar equivalent balances of our consolidated cash and cash equivalents and investments held under SMAs at June 30, 2025 are set forth in the following table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held by:</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9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Liberty Global and unrestricted subsidiaries:</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Liberty Global (a)</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Unrestricted subsidiaries (b)</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598.4</w:t>
            </w:r>
          </w:p>
        </w:tc>
      </w:tr>
      <w:tr>
        <w:trPr>
          <w:trHeight w:val="212"/>
        </w:trPr>
        <w:tc>
          <w:tcPr>
            <w:tcW w:w="9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Liberty Global and unrestricted subsidiaries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w:t>
            </w:r>
          </w:p>
        </w:tc>
      </w:tr>
      <w:tr>
        <w:trPr>
          <w:trHeight w:val="199"/>
        </w:trPr>
        <w:tc>
          <w:tcPr>
            <w:tcW w:w="9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 groups (c):</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Telenet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1,204.0</w:t>
            </w:r>
          </w:p>
        </w:tc>
      </w:tr>
      <w:tr>
        <w:trPr>
          <w:trHeight w:val="219"/>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VM Ireland</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2"/>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borrowing groups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1,217.8</w:t>
            </w:r>
          </w:p>
        </w:tc>
      </w:tr>
      <w:tr>
        <w:trPr>
          <w:trHeight w:val="212"/>
        </w:trPr>
        <w:tc>
          <w:tcPr>
            <w:tcW w:w="9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cash and cash equivalents (d)</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1,816.5</w:t>
            </w:r>
          </w:p>
        </w:tc>
      </w:tr>
      <w:tr>
        <w:trPr>
          <w:trHeight w:val="219"/>
        </w:trPr>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Investments held under SMAs (e)</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r>
      <w:tr>
        <w:trPr>
          <w:trHeight w:val="212"/>
        </w:trPr>
        <w:tc>
          <w:tcPr>
            <w:tcW w:w="98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cash and cash equivalents and investments held under SMAs</w:t>
            </w: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1,899.3</w:t>
            </w:r>
          </w:p>
        </w:tc>
      </w:tr>
      <w:tr>
        <w:trPr>
          <w:trHeight w:val="20"/>
        </w:trPr>
        <w:tc>
          <w:tcPr>
            <w:tcW w:w="9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w:t>
      </w:r>
    </w:p>
    <w:p>
      <w:pPr>
        <w:spacing w:after="0" w:line="247" w:lineRule="exact"/>
        <w:rPr>
          <w:sz w:val="20"/>
          <w:szCs w:val="20"/>
          <w:color w:val="auto"/>
        </w:rPr>
      </w:pPr>
    </w:p>
    <w:p>
      <w:pPr>
        <w:ind w:left="460" w:hanging="457"/>
        <w:spacing w:after="0"/>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amount held by Liberty Global on a standalone basis.</w:t>
      </w:r>
    </w:p>
    <w:p>
      <w:pPr>
        <w:spacing w:after="0" w:line="242"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amount held by subsidiaries that are outside of our borrowing groups.</w:t>
      </w:r>
    </w:p>
    <w:p>
      <w:pPr>
        <w:spacing w:after="0" w:line="242"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amounts held by the parent entity and restricted subsidiaries of our borrowing groups.</w:t>
      </w:r>
    </w:p>
    <w:p>
      <w:pPr>
        <w:spacing w:after="0" w:line="27" w:lineRule="exact"/>
        <w:rPr>
          <w:rFonts w:ascii="Times New Roman" w:cs="Times New Roman" w:eastAsia="Times New Roman" w:hAnsi="Times New Roman"/>
          <w:sz w:val="17"/>
          <w:szCs w:val="17"/>
          <w:color w:val="auto"/>
        </w:rPr>
      </w:pPr>
    </w:p>
    <w:p>
      <w:pPr>
        <w:ind w:left="460" w:hanging="457"/>
        <w:spacing w:after="0" w:line="266" w:lineRule="auto"/>
        <w:tabs>
          <w:tab w:leader="none" w:pos="45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cash and cash equivalents balance includes $1,309.6 million or 72.1% and $478.9 million or 26.4% denominated in euros and U.S. dollars, respectively.</w:t>
      </w:r>
    </w:p>
    <w:p>
      <w:pPr>
        <w:spacing w:after="0" w:line="194"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balance of our investments held under SMAs is held by unrestricted subsidiaries of Liberty Global and includes $73.0 million or 88.2% denominated in</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U.S. dollars.</w:t>
      </w:r>
    </w:p>
    <w:p>
      <w:pPr>
        <w:spacing w:after="0" w:line="11"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7"/>
          <w:szCs w:val="17"/>
          <w:color w:val="auto"/>
        </w:rPr>
        <w:t xml:space="preserve">For additional information regarding our cash and cash equivalents and investments held under SMAs, see the discussion under Part I, Item 3. </w:t>
      </w:r>
      <w:r>
        <w:rPr>
          <w:rFonts w:ascii="Times New Roman" w:cs="Times New Roman" w:eastAsia="Times New Roman" w:hAnsi="Times New Roman"/>
          <w:sz w:val="17"/>
          <w:szCs w:val="17"/>
          <w:i w:val="1"/>
          <w:iCs w:val="1"/>
          <w:color w:val="auto"/>
        </w:rPr>
        <w:t>Quantitative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Qualitative Disclosures about Market Risk — Cash and Investments </w:t>
      </w:r>
      <w:r>
        <w:rPr>
          <w:rFonts w:ascii="Times New Roman" w:cs="Times New Roman" w:eastAsia="Times New Roman" w:hAnsi="Times New Roman"/>
          <w:sz w:val="17"/>
          <w:szCs w:val="17"/>
          <w:color w:val="auto"/>
        </w:rPr>
        <w:t>below.</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Liquidity of Liberty Global and its unrestricted subsidiaries</w:t>
      </w:r>
    </w:p>
    <w:p>
      <w:pPr>
        <w:spacing w:after="0" w:line="24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$0.3 million of cash held by Liberty Global and, subject to certain tax and legal considerations, the $598.4 million of aggregate cash and cash equivalents held by unrestricted subsidiaries, together with the $82.8 million of investments held under SMAs, represented available liquidity at the corporate level at June 30, 2025. Our remaining cash and cash equivalents of $1,217.8 million at June 30, 2025 were held by our borrowing groups, as set forth in the table above. As noted above, various factors may limit our ability to access the cash of our borrowing groups. For information regarding certain limitations imposed by our subsidiaries’ debt instruments at June 30, 2025, see note 9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6" w:name="page77"/>
    <w:bookmarkEnd w:id="76"/>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Our short-term sources of corporate liquidity include (i) readily available assets, such as (a) cash and cash equivalents held by Liberty Global and, subject to certain tax and legal considerations, Liberty Global’s unrestricted subsidiaries, and (b) investments held under SMAs, and (ii) funds derived from other items, such as (a) interest and dividend income received on our and, subject to certain tax and legal considerations, our unrestricted subsidiaries’ cash and cash equivalents and investments, including dividend distributions received from the VMO2 JV or the VodafoneZiggo JV, (b) cash received with respect to transitional and other services provided to various third parties and affiliates and (c) interest received with respect to the VodafoneZiggo JV Receivables.</w:t>
      </w:r>
    </w:p>
    <w:p>
      <w:pPr>
        <w:spacing w:after="0" w:line="200"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19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At June 30, 2025, our consolidated cash and cash equivalents included $1,816.2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9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addition, the amount of cash we receive from our subsidiaries and affiliates to satisfy U.S. dollar-denominated liquidity requirements is impacted by fluctuations in exchange rates, particularly with regard to the translation of euros and British pound sterling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spacing w:after="0" w:line="19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w:t>
      </w:r>
    </w:p>
    <w:p>
      <w:pPr>
        <w:spacing w:after="0" w:line="19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2025, the aggregate amount of our share repurchases, including direct acquisition costs, was $103.0 million. Under our current share repurchase program, we are authorized during 2025 to repurchase up to 10% of our total outstanding shares as of December 31, 2024. For additional information regarding our share repurchase programs, see note 12 to our condensed consolidated financial statements.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Liquidity of borrowing groups</w:t>
      </w:r>
    </w:p>
    <w:p>
      <w:pPr>
        <w:spacing w:after="0" w:line="24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June 30, 2025, see note 9 to our condensed consolidated financial statements. The aforementioned sources of liquidity may be supplemented in certain cases by contributions and/or loans from Liberty Global and its unrestricted subsidiaries.</w:t>
      </w:r>
    </w:p>
    <w:p>
      <w:pPr>
        <w:spacing w:after="0" w:line="197"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liquidity of our borrowing groups generally is used to fund (i) property and equipment additions, (ii) debt service requirements and (iii) income tax payments, as well as to settle certain obligations that are not included on our June 30, 2025 condensed consolidated balance sheet. In this regard, we have significant commitments related to (a) purchase obligations associated with CPE and certain service-related commitments, (b) programming, studio output and sports rights contracts and (c) certain operating costs associated with our networks. These obligations are expected to represent a significant liquidity requirement of our borrowing groups, a significant portion of which is due over the next 12 to 24 months. For additional information regarding our commitments, see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7" w:name="page78"/>
    <w:bookmarkEnd w:id="77"/>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For additional information regarding our consolidated cash flows, see the discussion under </w:t>
      </w:r>
      <w:r>
        <w:rPr>
          <w:rFonts w:ascii="Times New Roman" w:cs="Times New Roman" w:eastAsia="Times New Roman" w:hAnsi="Times New Roman"/>
          <w:sz w:val="17"/>
          <w:szCs w:val="17"/>
          <w:i w:val="1"/>
          <w:iCs w:val="1"/>
          <w:color w:val="auto"/>
        </w:rPr>
        <w:t>Condensed Consolidated Statements of Cash Flows</w:t>
      </w:r>
      <w:r>
        <w:rPr>
          <w:rFonts w:ascii="Times New Roman" w:cs="Times New Roman" w:eastAsia="Times New Roman" w:hAnsi="Times New Roman"/>
          <w:sz w:val="17"/>
          <w:szCs w:val="17"/>
          <w:color w:val="auto"/>
        </w:rPr>
        <w:t xml:space="preserve"> below.</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Capitalization</w:t>
      </w:r>
    </w:p>
    <w:p>
      <w:pPr>
        <w:spacing w:after="0" w:line="249"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199"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June 30, 2025,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05"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At June 30, 2025, the outstanding principal amount of our consolidated debt, together with our finance lease obligations, aggregated $9.9 billion, including $2.0 billion that is classified as current on our condensed consolidated balance sheet and $3.3 billion that is not due until 2029 or thereafter. All of our consolidated debt and finance lease obligations have been borrowed or incurred by our subsidiaries at June 30, 2025.</w:t>
      </w:r>
    </w:p>
    <w:p>
      <w:pPr>
        <w:spacing w:after="0" w:line="191"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8" w:name="page79"/>
    <w:bookmarkEnd w:id="78"/>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Condensed Consolidated Statements of Cash Flows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Our cash flows are subject to significant variations due to FX.</w:t>
      </w:r>
    </w:p>
    <w:p>
      <w:pPr>
        <w:spacing w:after="0" w:line="243"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Summary. </w:t>
      </w:r>
      <w:r>
        <w:rPr>
          <w:rFonts w:ascii="Times New Roman" w:cs="Times New Roman" w:eastAsia="Times New Roman" w:hAnsi="Times New Roman"/>
          <w:sz w:val="17"/>
          <w:szCs w:val="17"/>
          <w:color w:val="auto"/>
        </w:rPr>
        <w:t>The condensed consolidated statements of cash flows of our continuing operations for the six months ended June 30, 2025 and 2024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summarized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4"/>
        </w:trPr>
        <w:tc>
          <w:tcPr>
            <w:tcW w:w="7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0"/>
        </w:trPr>
        <w:tc>
          <w:tcPr>
            <w:tcW w:w="7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8"/>
        </w:trPr>
        <w:tc>
          <w:tcPr>
            <w:tcW w:w="7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57"/>
        </w:trPr>
        <w:tc>
          <w:tcPr>
            <w:tcW w:w="7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r>
      <w:tr>
        <w:trPr>
          <w:trHeight w:val="219"/>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(used) by investing activities</w:t>
            </w:r>
          </w:p>
        </w:tc>
        <w:tc>
          <w:tcPr>
            <w:tcW w:w="26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(246.9)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(814.7)</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by 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(191.0)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w:t>
            </w:r>
          </w:p>
        </w:tc>
      </w:tr>
      <w:tr>
        <w:trPr>
          <w:trHeight w:val="21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 and restricted cash</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191.4</w:t>
            </w:r>
          </w:p>
        </w:tc>
      </w:tr>
      <w:tr>
        <w:trPr>
          <w:trHeight w:val="237"/>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increase in cash and cash equivalents and restricted cash</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The decrease in net cash provided by operating activities is primarily attributable to the net effect of (i) a decrease in cash provided due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lower receipts of interest, (ii) a decrease in cash provided due to lower net cash receipts related to derivative instruments, (iii) an increase in cash provided due to lower payments of interest, net of €5.4 million ($6.2 million at the applicable rate) cash paid related to the partial settlement of the Vodafone Collar Loan, and (iv) an increase due to FX.</w:t>
      </w:r>
    </w:p>
    <w:p>
      <w:pPr>
        <w:spacing w:after="0" w:line="19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The change in net cash provided (used) by investing activities is primarily attributable to (i) a decrease in cash of $411.7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the sale of our investment in All3Media during the second quarter of 2024, (ii) a decrease in cash of $258.7 million associated with lower net cash received from the sale of our investments primarily related to the net effect of (a) lower net cash received from the sale of our investments held under SMAs and</w:t>
      </w:r>
    </w:p>
    <w:p>
      <w:pPr>
        <w:spacing w:after="0" w:line="2" w:lineRule="exact"/>
        <w:rPr>
          <w:sz w:val="20"/>
          <w:szCs w:val="20"/>
          <w:color w:val="auto"/>
        </w:rPr>
      </w:pPr>
    </w:p>
    <w:p>
      <w:pPr>
        <w:ind w:firstLine="3"/>
        <w:spacing w:after="0" w:line="266" w:lineRule="auto"/>
        <w:tabs>
          <w:tab w:leader="none" w:pos="24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€82.8 million ($95.5 million at the applicable rate) of net proceeds from the partial sale of our investment in Vodafone, and (iii) a decrease in cash of $171.5 million due to higher capital expenditures.</w:t>
      </w:r>
    </w:p>
    <w:p>
      <w:pPr>
        <w:spacing w:after="0" w:line="19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consolidated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98"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7"/>
        </w:trPr>
        <w:tc>
          <w:tcPr>
            <w:tcW w:w="8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Pr>
          <w:p>
            <w:pPr>
              <w:spacing w:after="0"/>
              <w:rPr>
                <w:sz w:val="17"/>
                <w:szCs w:val="17"/>
                <w:color w:val="auto"/>
              </w:rPr>
            </w:pPr>
          </w:p>
        </w:tc>
      </w:tr>
      <w:tr>
        <w:trPr>
          <w:trHeight w:val="157"/>
        </w:trPr>
        <w:tc>
          <w:tcPr>
            <w:tcW w:w="8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additions</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461.4</w:t>
            </w:r>
          </w:p>
        </w:tc>
      </w:tr>
      <w:tr>
        <w:trPr>
          <w:trHeight w:val="219"/>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 acquired under capital-related vendor financing arrangements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acquired under finance leases</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current liabilities related to capital expenditures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37"/>
        </w:trPr>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expenditures, net</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increase in our property and equipment additions during the six months ended June 30, 2025, as compared to the corresponding period in 2024, is primarily attributable to an increase in local currency expenditures of our subsidiaries primarily due to an increase in new build and upgrade projects.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9" w:name="page80"/>
    <w:bookmarkEnd w:id="79"/>
    <w:p>
      <w:pPr>
        <w:jc w:val="both"/>
        <w:ind w:firstLine="30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The decrease in net cash used by financing activities is primarily attributable to the net effect of (i) a decrease in cash used of $244.5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due to lower repurchases of Liberty Global common shares, (ii) an increase in cash used of $92.0 million due to higher net repayments of debt, including €78.2 million ($90.2 million at the applicable rate) associated with the partial settlement of the Vodafone Collar Loan, and (iii) a decrease in cash used of $84.1 million due to higher net cash receipts related to derivatives, including €71.7 million ($82.7 million at the applicable rate) associated with the partial unwind and restructure of the Vodafone Collar. For additional information regarding the Vodafone Collar and Vodafone Collar Loan, see notes 5 and 9, respectively, to our condensed consolidated financial statements.</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Adjusted Free Cash Flow</w:t>
      </w:r>
    </w:p>
    <w:p>
      <w:pPr>
        <w:spacing w:after="0" w:line="249"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define adjusted free cash flow as net cash provided by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with each item excluding any cash provided or used by our discontinued operations. Net cash provided by operating activities of our continuing operations includes cash paid for third-party costs directly associated with successful and unsuccessful acquisitions and dispositions of $1.1 million and $5.9 million during the six months ended June 30, 2025 and 2024, respectively.</w:t>
      </w:r>
    </w:p>
    <w:p>
      <w:pPr>
        <w:spacing w:after="0" w:line="20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the details of our adjusted free cash flow:</w:t>
      </w:r>
    </w:p>
    <w:p>
      <w:pPr>
        <w:spacing w:after="0" w:line="140"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97"/>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20" w:type="dxa"/>
            <w:vAlign w:val="bottom"/>
          </w:tcPr>
          <w:p>
            <w:pPr>
              <w:spacing w:after="0"/>
              <w:rPr>
                <w:sz w:val="17"/>
                <w:szCs w:val="17"/>
                <w:color w:val="auto"/>
              </w:rPr>
            </w:pPr>
          </w:p>
        </w:tc>
      </w:tr>
      <w:tr>
        <w:trPr>
          <w:trHeight w:val="196"/>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 of our continuing operations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w:t>
            </w: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Operating-related vendor financing additions (a)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capital expenditures,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payments on operating-related vendor financing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Principal payments on finance leases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7"/>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Adjusted free cash flow</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w:t>
      </w:r>
    </w:p>
    <w:p>
      <w:pPr>
        <w:spacing w:after="0" w:line="247" w:lineRule="exact"/>
        <w:rPr>
          <w:sz w:val="20"/>
          <w:szCs w:val="20"/>
          <w:color w:val="auto"/>
        </w:rPr>
      </w:pPr>
    </w:p>
    <w:p>
      <w:pPr>
        <w:jc w:val="both"/>
        <w:ind w:left="460" w:hanging="457"/>
        <w:spacing w:after="0" w:line="260" w:lineRule="auto"/>
        <w:tabs>
          <w:tab w:leader="none" w:pos="45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49"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93"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color w:val="auto"/>
        </w:rPr>
        <w:t xml:space="preserve">The information in this section should be read in conjunction with the more complete discussion that appears under Part II, Item 7A. </w:t>
      </w:r>
      <w:r>
        <w:rPr>
          <w:rFonts w:ascii="Times New Roman" w:cs="Times New Roman" w:eastAsia="Times New Roman" w:hAnsi="Times New Roman"/>
          <w:sz w:val="17"/>
          <w:szCs w:val="17"/>
          <w:i w:val="1"/>
          <w:iCs w:val="1"/>
          <w:color w:val="auto"/>
        </w:rPr>
        <w:t>Quantitative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Qualitative Disclosures About Market Risk </w:t>
      </w:r>
      <w:r>
        <w:rPr>
          <w:rFonts w:ascii="Times New Roman" w:cs="Times New Roman" w:eastAsia="Times New Roman" w:hAnsi="Times New Roman"/>
          <w:sz w:val="17"/>
          <w:szCs w:val="17"/>
          <w:color w:val="auto"/>
        </w:rPr>
        <w:t>in our 2024 10-K. The following discussion updates selected numerical information to June 30, 2025.</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Unless otherwise indicated, convenience translations into U.S. dollars are calculated as of June 30, 2025.</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Cash</w:t>
      </w:r>
    </w:p>
    <w:p>
      <w:pPr>
        <w:spacing w:after="0" w:line="249"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June 30, 2025, $1,309.6 million or 72.1% and $478.9 million or 26.4% of our consolidated cash balance was denominated in euros and U.S. dollars, respectively, and $73.0 million or 88.2% of our consolidated balance of investments held under SMAs was denominated in U.S. dollars.</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2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9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relationships between the primary currencies of the countries in which we operate and the U.S. dollar, which is our reporting currency, are shown below, per one U.S. dollar:</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2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60" w:type="dxa"/>
            <w:vAlign w:val="bottom"/>
          </w:tcPr>
          <w:p>
            <w:pPr>
              <w:spacing w:after="0"/>
              <w:rPr>
                <w:sz w:val="15"/>
                <w:szCs w:val="15"/>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5"/>
        </w:trPr>
        <w:tc>
          <w:tcPr>
            <w:tcW w:w="5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5"/>
        </w:trPr>
        <w:tc>
          <w:tcPr>
            <w:tcW w:w="5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Spot rates: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5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Euro</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gridSpan w:val="3"/>
          </w:tcPr>
          <w:p>
            <w:pPr>
              <w:jc w:val="right"/>
              <w:ind w:right="3"/>
              <w:spacing w:after="0"/>
              <w:rPr>
                <w:sz w:val="20"/>
                <w:szCs w:val="20"/>
                <w:color w:val="auto"/>
              </w:rPr>
            </w:pPr>
            <w:r>
              <w:rPr>
                <w:rFonts w:ascii="Times New Roman" w:cs="Times New Roman" w:eastAsia="Times New Roman" w:hAnsi="Times New Roman"/>
                <w:sz w:val="17"/>
                <w:szCs w:val="17"/>
                <w:color w:val="auto"/>
              </w:rPr>
              <w:t>0.8502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0.9663</w:t>
            </w:r>
          </w:p>
        </w:tc>
      </w:tr>
      <w:tr>
        <w:trPr>
          <w:trHeight w:val="219"/>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British pound sterling</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0.7292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0.7988</w:t>
            </w:r>
          </w:p>
        </w:tc>
      </w:tr>
      <w:tr>
        <w:trPr>
          <w:trHeight w:val="490"/>
        </w:trPr>
        <w:tc>
          <w:tcPr>
            <w:tcW w:w="5880" w:type="dxa"/>
            <w:vAlign w:val="bottom"/>
          </w:tcPr>
          <w:p>
            <w:pPr>
              <w:spacing w:after="0"/>
              <w:rPr>
                <w:sz w:val="24"/>
                <w:szCs w:val="24"/>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ind w:left="720"/>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5880" w:type="dxa"/>
            <w:vAlign w:val="bottom"/>
          </w:tcPr>
          <w:p>
            <w:pPr>
              <w:spacing w:after="0"/>
              <w:rPr>
                <w:sz w:val="17"/>
                <w:szCs w:val="17"/>
                <w:color w:val="auto"/>
              </w:rPr>
            </w:pPr>
          </w:p>
        </w:tc>
        <w:tc>
          <w:tcPr>
            <w:tcW w:w="1720" w:type="dxa"/>
            <w:vAlign w:val="bottom"/>
            <w:tcBorders>
              <w:bottom w:val="single" w:sz="8" w:color="auto"/>
            </w:tcBorders>
            <w:gridSpan w:val="3"/>
          </w:tcPr>
          <w:p>
            <w:pPr>
              <w:jc w:val="center"/>
              <w:ind w:left="839"/>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auto"/>
            </w:tcBorders>
            <w:gridSpan w:val="5"/>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June 30,</w:t>
            </w:r>
          </w:p>
        </w:tc>
      </w:tr>
      <w:tr>
        <w:trPr>
          <w:trHeight w:val="199"/>
        </w:trPr>
        <w:tc>
          <w:tcPr>
            <w:tcW w:w="5880" w:type="dxa"/>
            <w:vAlign w:val="bottom"/>
          </w:tcPr>
          <w:p>
            <w:pPr>
              <w:spacing w:after="0"/>
              <w:rPr>
                <w:sz w:val="17"/>
                <w:szCs w:val="17"/>
                <w:color w:val="auto"/>
              </w:rPr>
            </w:pP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2"/>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36"/>
        </w:trPr>
        <w:tc>
          <w:tcPr>
            <w:tcW w:w="58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r>
      <w:tr>
        <w:trPr>
          <w:trHeight w:val="20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Average rates: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5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Euro</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0.9289</w:t>
            </w:r>
          </w:p>
        </w:tc>
        <w:tc>
          <w:tcPr>
            <w:tcW w:w="134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auto"/>
                <w:w w:val="98"/>
              </w:rPr>
              <w:t>0.9159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0.9250</w:t>
            </w:r>
          </w:p>
        </w:tc>
      </w:tr>
      <w:tr>
        <w:trPr>
          <w:trHeight w:val="219"/>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British pound sterling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0.7922</w:t>
            </w:r>
          </w:p>
        </w:tc>
        <w:tc>
          <w:tcPr>
            <w:tcW w:w="13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98"/>
              </w:rPr>
              <w:t>0.7712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0.7904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1" w:name="page82"/>
    <w:bookmarkEnd w:id="81"/>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Inflation and Foreign Investment Risk</w:t>
      </w:r>
    </w:p>
    <w:p>
      <w:pPr>
        <w:spacing w:after="0" w:line="24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Risks</w:t>
      </w:r>
    </w:p>
    <w:p>
      <w:pPr>
        <w:spacing w:after="0" w:line="2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w:t>
      </w:r>
    </w:p>
    <w:p>
      <w:pPr>
        <w:spacing w:after="0" w:line="191"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or extend further than,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0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use benchmark interest rates to set floating rates on our debt and derivative instruments. For USD, these reference the Secured Overnight Financing Rate administered by the Federal Reserve Bank of New York or Term SOFR administered by CME Group Benchmark Administration Limited. For EUR, these reference EURIBOR administered by the European Money Markets Institute. For GBP, these reference the Sterling Overnight Index Average administered by the Bank of England.</w:t>
      </w:r>
    </w:p>
    <w:p>
      <w:pPr>
        <w:spacing w:after="0" w:line="19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Weighted Average Variable Interest Rate. </w:t>
      </w:r>
      <w:r>
        <w:rPr>
          <w:rFonts w:ascii="Times New Roman" w:cs="Times New Roman" w:eastAsia="Times New Roman" w:hAnsi="Times New Roman"/>
          <w:sz w:val="17"/>
          <w:szCs w:val="17"/>
          <w:color w:val="auto"/>
        </w:rPr>
        <w:t>At June 30, 2025, the outstanding principal amount of our variable-rate indebtedness aggregated $6.8 billion,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weighted average interest rate (including margin) on such variable-rate indebtedness was approximately 5.4%,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$34.0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Sensitivity Information</w:t>
      </w:r>
    </w:p>
    <w:p>
      <w:pPr>
        <w:spacing w:after="0" w:line="24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or the impact of market moves on our credit and debit valuation adjustments. For additional information, see notes 6 and 7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2" w:name="page83"/>
    <w:bookmarkEnd w:id="82"/>
    <w:p>
      <w:pPr>
        <w:ind w:left="320"/>
        <w:spacing w:after="0"/>
        <w:rPr>
          <w:sz w:val="20"/>
          <w:szCs w:val="20"/>
          <w:color w:val="auto"/>
        </w:rPr>
      </w:pPr>
      <w:r>
        <w:rPr>
          <w:rFonts w:ascii="Times New Roman" w:cs="Times New Roman" w:eastAsia="Times New Roman" w:hAnsi="Times New Roman"/>
          <w:sz w:val="17"/>
          <w:szCs w:val="17"/>
          <w:i w:val="1"/>
          <w:iCs w:val="1"/>
          <w:color w:val="auto"/>
        </w:rPr>
        <w:t>Telenet Cross-currency and Interest Rate Derivative Contracts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Holding all other factors constant, at June 30, 2025:</w:t>
      </w:r>
    </w:p>
    <w:p>
      <w:pPr>
        <w:spacing w:after="0" w:line="243" w:lineRule="exact"/>
        <w:rPr>
          <w:sz w:val="20"/>
          <w:szCs w:val="20"/>
          <w:color w:val="auto"/>
        </w:rPr>
      </w:pPr>
    </w:p>
    <w:p>
      <w:pPr>
        <w:ind w:left="780" w:hanging="467"/>
        <w:spacing w:after="0" w:line="287" w:lineRule="auto"/>
        <w:tabs>
          <w:tab w:leader="none" w:pos="77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€308 million ($361 million); and</w:t>
      </w:r>
    </w:p>
    <w:p>
      <w:pPr>
        <w:spacing w:after="0" w:line="177" w:lineRule="exact"/>
        <w:rPr>
          <w:rFonts w:ascii="Times New Roman" w:cs="Times New Roman" w:eastAsia="Times New Roman" w:hAnsi="Times New Roman"/>
          <w:sz w:val="17"/>
          <w:szCs w:val="17"/>
          <w:color w:val="auto"/>
        </w:rPr>
      </w:pPr>
    </w:p>
    <w:p>
      <w:pPr>
        <w:jc w:val="both"/>
        <w:ind w:left="780" w:hanging="467"/>
        <w:spacing w:after="0" w:line="270" w:lineRule="auto"/>
        <w:tabs>
          <w:tab w:leader="none" w:pos="77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instantaneous increase in the relevant base rate of 50 basis points (0.50%) would have increased the aggregate fair value of the Telenet cross-currency and interest rate derivative contracts by approximately €71 million ($83 million) and, conversely, a decrease of 50 basis points would have decreased the aggregate fair value by approximately €73 million ($85 million).</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Projected Cash Flows Associated with Derivative Instruments</w:t>
      </w:r>
    </w:p>
    <w:p>
      <w:pPr>
        <w:spacing w:after="0" w:line="24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following table provides information regarding the projected cash flows associated with our derivative instruments. The U.S. dollar equivalents presented below are based on interest rate projections and exchange rates as of June 30, 2025.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5"/>
                <w:szCs w:val="15"/>
                <w:b w:val="1"/>
                <w:bCs w:val="1"/>
                <w:color w:val="auto"/>
              </w:rPr>
              <w:t>Payments (receipts) due during:</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Remainder</w:t>
            </w:r>
          </w:p>
        </w:tc>
        <w:tc>
          <w:tcPr>
            <w:tcW w:w="200" w:type="dxa"/>
            <w:vAlign w:val="bottom"/>
          </w:tcPr>
          <w:p>
            <w:pPr>
              <w:spacing w:after="0"/>
              <w:rPr>
                <w:sz w:val="18"/>
                <w:szCs w:val="18"/>
                <w:color w:val="auto"/>
              </w:rPr>
            </w:pPr>
          </w:p>
        </w:tc>
        <w:tc>
          <w:tcPr>
            <w:tcW w:w="700" w:type="dxa"/>
            <w:vAlign w:val="bottom"/>
            <w:vMerge w:val="restart"/>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2027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Thereafter</w:t>
            </w:r>
          </w:p>
        </w:tc>
        <w:tc>
          <w:tcPr>
            <w:tcW w:w="260" w:type="dxa"/>
            <w:vAlign w:val="bottom"/>
          </w:tcPr>
          <w:p>
            <w:pPr>
              <w:spacing w:after="0"/>
              <w:rPr>
                <w:sz w:val="18"/>
                <w:szCs w:val="18"/>
                <w:color w:val="auto"/>
              </w:rPr>
            </w:pPr>
          </w:p>
        </w:tc>
        <w:tc>
          <w:tcPr>
            <w:tcW w:w="840" w:type="dxa"/>
            <w:vAlign w:val="bottom"/>
            <w:vMerge w:val="restart"/>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of 2025</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52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Projected derivative cash payments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(receipts), net:</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Interest-related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w:t>
            </w:r>
          </w:p>
        </w:tc>
        <w:tc>
          <w:tcPr>
            <w:tcW w:w="0" w:type="dxa"/>
            <w:vAlign w:val="bottom"/>
          </w:tcPr>
          <w:p>
            <w:pPr>
              <w:spacing w:after="0"/>
              <w:rPr>
                <w:sz w:val="1"/>
                <w:szCs w:val="1"/>
                <w:color w:val="auto"/>
              </w:rPr>
            </w:pPr>
          </w:p>
        </w:tc>
      </w:tr>
      <w:tr>
        <w:trPr>
          <w:trHeight w:val="219"/>
        </w:trPr>
        <w:tc>
          <w:tcPr>
            <w:tcW w:w="2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Principal-related (b)</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2"/>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43" w:lineRule="exact"/>
        <w:rPr>
          <w:sz w:val="20"/>
          <w:szCs w:val="20"/>
          <w:color w:val="auto"/>
        </w:rPr>
      </w:pPr>
    </w:p>
    <w:p>
      <w:pPr>
        <w:ind w:left="460" w:hanging="457"/>
        <w:spacing w:after="0" w:line="287" w:lineRule="auto"/>
        <w:tabs>
          <w:tab w:leader="none" w:pos="45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the cash flows of our interest rate cap, swaption, floor and swap contracts and (ii) the interest-related cash flows of our cross-currency and interest rate swap contracts.</w:t>
      </w:r>
    </w:p>
    <w:p>
      <w:pPr>
        <w:spacing w:after="0" w:line="177"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principal-related cash flows of our cross-currency swap contracts.</w:t>
      </w:r>
    </w:p>
    <w:p>
      <w:pPr>
        <w:spacing w:after="0" w:line="242"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related to our foreign currency forward contracts. As further discussed in note 5 to our condensed consolidated financial statements, we fully settled the Vodafone Collar Loan using the value of the remaining Vodafone shares and the Vodafone Collar in July 2025 and accordingly, there are no amounts related to the Vodafone Collar in the above table.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4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In accordance with Rule 13a-15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xml:space="preserve">), we carried out an evaluation, under the supervision and with the participation of management, including our chief executive officer and chief financial officer (the </w:t>
      </w:r>
      <w:r>
        <w:rPr>
          <w:rFonts w:ascii="Times New Roman" w:cs="Times New Roman" w:eastAsia="Times New Roman" w:hAnsi="Times New Roman"/>
          <w:sz w:val="17"/>
          <w:szCs w:val="17"/>
          <w:b w:val="1"/>
          <w:bCs w:val="1"/>
          <w:color w:val="auto"/>
        </w:rPr>
        <w:t>Executives</w:t>
      </w:r>
      <w:r>
        <w:rPr>
          <w:rFonts w:ascii="Times New Roman" w:cs="Times New Roman" w:eastAsia="Times New Roman" w:hAnsi="Times New Roman"/>
          <w:sz w:val="17"/>
          <w:szCs w:val="17"/>
          <w:color w:val="auto"/>
        </w:rPr>
        <w:t>), of the effectiveness of our disclosure controls and procedures as of June 30, 2025.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June 30, 2025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Controls over Financial Reporting</w:t>
      </w:r>
    </w:p>
    <w:p>
      <w:pPr>
        <w:spacing w:after="0" w:line="2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47"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41" w:lineRule="exact"/>
        <w:rPr>
          <w:sz w:val="20"/>
          <w:szCs w:val="20"/>
          <w:color w:val="auto"/>
        </w:rPr>
      </w:pPr>
    </w:p>
    <w:p>
      <w:pPr>
        <w:ind w:left="680" w:hanging="367"/>
        <w:spacing w:after="0"/>
        <w:tabs>
          <w:tab w:leader="none" w:pos="68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Approximate dollar</w:t>
            </w: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value of shares that</w:t>
            </w: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Total number</w:t>
            </w:r>
          </w:p>
        </w:tc>
        <w:tc>
          <w:tcPr>
            <w:tcW w:w="10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17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purchased as part of</w:t>
            </w:r>
          </w:p>
        </w:tc>
        <w:tc>
          <w:tcPr>
            <w:tcW w:w="15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may yet be purchased</w:t>
            </w:r>
          </w:p>
        </w:tc>
        <w:tc>
          <w:tcPr>
            <w:tcW w:w="0" w:type="dxa"/>
            <w:vAlign w:val="bottom"/>
          </w:tcPr>
          <w:p>
            <w:pPr>
              <w:spacing w:after="0"/>
              <w:rPr>
                <w:sz w:val="1"/>
                <w:szCs w:val="1"/>
                <w:color w:val="auto"/>
              </w:rPr>
            </w:pPr>
          </w:p>
        </w:tc>
      </w:tr>
      <w:tr>
        <w:trPr>
          <w:trHeight w:val="155"/>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7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publicly announced</w:t>
            </w:r>
          </w:p>
        </w:tc>
        <w:tc>
          <w:tcPr>
            <w:tcW w:w="15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under the plans or</w:t>
            </w:r>
          </w:p>
        </w:tc>
        <w:tc>
          <w:tcPr>
            <w:tcW w:w="0" w:type="dxa"/>
            <w:vAlign w:val="bottom"/>
          </w:tcPr>
          <w:p>
            <w:pPr>
              <w:spacing w:after="0"/>
              <w:rPr>
                <w:sz w:val="1"/>
                <w:szCs w:val="1"/>
                <w:color w:val="auto"/>
              </w:rPr>
            </w:pPr>
          </w:p>
        </w:tc>
      </w:tr>
      <w:tr>
        <w:trPr>
          <w:trHeight w:val="205"/>
        </w:trPr>
        <w:tc>
          <w:tcPr>
            <w:tcW w:w="486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of shares purchased</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paid per share (a)</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plans or programs</w:t>
            </w:r>
          </w:p>
        </w:tc>
        <w:tc>
          <w:tcPr>
            <w:tcW w:w="1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programs</w:t>
            </w:r>
          </w:p>
        </w:tc>
        <w:tc>
          <w:tcPr>
            <w:tcW w:w="0" w:type="dxa"/>
            <w:vAlign w:val="bottom"/>
          </w:tcPr>
          <w:p>
            <w:pPr>
              <w:spacing w:after="0"/>
              <w:rPr>
                <w:sz w:val="1"/>
                <w:szCs w:val="1"/>
                <w:color w:val="auto"/>
              </w:rPr>
            </w:pPr>
          </w:p>
        </w:tc>
      </w:tr>
      <w:tr>
        <w:trPr>
          <w:trHeight w:val="123"/>
        </w:trPr>
        <w:tc>
          <w:tcPr>
            <w:tcW w:w="4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2025 through April 30, 2025:</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Class 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Class 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1,881,276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1,881,276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0" w:type="dxa"/>
            <w:vAlign w:val="bottom"/>
          </w:tcPr>
          <w:p>
            <w:pPr>
              <w:spacing w:after="0"/>
              <w:rPr>
                <w:sz w:val="1"/>
                <w:szCs w:val="1"/>
                <w:color w:val="auto"/>
              </w:rPr>
            </w:pPr>
          </w:p>
        </w:tc>
      </w:tr>
      <w:tr>
        <w:trPr>
          <w:trHeight w:val="21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May 1, 2025 through May 31, 2025:</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0" w:type="dxa"/>
            <w:vAlign w:val="bottom"/>
          </w:tcPr>
          <w:p>
            <w:pPr>
              <w:spacing w:after="0"/>
              <w:rPr>
                <w:sz w:val="1"/>
                <w:szCs w:val="1"/>
                <w:color w:val="auto"/>
              </w:rPr>
            </w:pPr>
          </w:p>
        </w:tc>
      </w:tr>
      <w:tr>
        <w:trPr>
          <w:trHeight w:val="219"/>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Class C</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2,288,393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2,288,393</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2025 through June 30, 2025:</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Class 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Class 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2,054,106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2,054,106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0" w:type="dxa"/>
            <w:vAlign w:val="bottom"/>
          </w:tcPr>
          <w:p>
            <w:pPr>
              <w:spacing w:after="0"/>
              <w:rPr>
                <w:sz w:val="1"/>
                <w:szCs w:val="1"/>
                <w:color w:val="auto"/>
              </w:rPr>
            </w:pPr>
          </w:p>
        </w:tc>
      </w:tr>
      <w:tr>
        <w:trPr>
          <w:trHeight w:val="21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 April 1, 2025 through June 30, 2025:</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Class C</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6,223,775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6,223,775</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0" w:type="dxa"/>
            <w:vAlign w:val="bottom"/>
          </w:tcPr>
          <w:p>
            <w:pPr>
              <w:spacing w:after="0"/>
              <w:rPr>
                <w:sz w:val="1"/>
                <w:szCs w:val="1"/>
                <w:color w:val="auto"/>
              </w:rPr>
            </w:pPr>
          </w:p>
        </w:tc>
      </w:tr>
      <w:tr>
        <w:trPr>
          <w:trHeight w:val="293"/>
        </w:trPr>
        <w:tc>
          <w:tcPr>
            <w:tcW w:w="4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_____________</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hanging="457"/>
        <w:spacing w:after="0"/>
        <w:tabs>
          <w:tab w:leader="none" w:pos="4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price paid per share includes direct acquisition costs.</w:t>
      </w:r>
    </w:p>
    <w:p>
      <w:pPr>
        <w:spacing w:after="0" w:line="242" w:lineRule="exact"/>
        <w:rPr>
          <w:rFonts w:ascii="Times New Roman" w:cs="Times New Roman" w:eastAsia="Times New Roman" w:hAnsi="Times New Roman"/>
          <w:sz w:val="17"/>
          <w:szCs w:val="17"/>
          <w:color w:val="auto"/>
        </w:rPr>
      </w:pPr>
    </w:p>
    <w:p>
      <w:pPr>
        <w:jc w:val="both"/>
        <w:ind w:left="460" w:hanging="457"/>
        <w:spacing w:after="0" w:line="260" w:lineRule="auto"/>
        <w:tabs>
          <w:tab w:leader="none" w:pos="45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our current share repurchase program, we are authorized during 2025 to repurchase up to 10% of our total outstanding shares as of December 31, 2024. As of June 30, 2025, the remaining number of our Class A and/or Class C common shares that we are authorized to repurchase during 2025 was 25.5 million. Based on the average of the respective closing share prices as of June 30, 2025, this would equate to additional share repurchases during the remainder of 2025 of approximately $259.1 million. However, the actual U.S. dollar amount of our share repurchases during the remainder of 2025 will be determined by the actual transaction date share prices during the year and could differ significantly from this amount. For additional information, see note 12 to our condensed consolidated financial statements in Part I of this Quarterly Report on Form 10-Q.</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During the quarter ended June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Listed below are the exhibits filed as part of this Quarterly Report (according to the number assigned to them in Item 601 of Regulation S-K):</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 — Instruments Defining the Rights of Securities Holdings, Including Indentures: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52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4.1</w:t>
            </w:r>
          </w:p>
        </w:tc>
        <w:tc>
          <w:tcPr>
            <w:tcW w:w="9740" w:type="dxa"/>
            <w:vAlign w:val="bottom"/>
            <w:gridSpan w:val="9"/>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Supplemental Agreement dated June 30, 2025, between, among others, Telenet BV as company and The Bank of Nova Scotia as facility</w:t>
              </w:r>
            </w:hyperlink>
          </w:p>
        </w:tc>
      </w:tr>
      <w:tr>
        <w:trPr>
          <w:trHeight w:val="148"/>
        </w:trPr>
        <w:tc>
          <w:tcPr>
            <w:tcW w:w="15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agent and attached as a schedule thereto, a copy of the Amended and Restated Credit Agreement dated June 30, 2025, between, among</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520" w:type="dxa"/>
            <w:vAlign w:val="bottom"/>
          </w:tcPr>
          <w:p>
            <w:pPr>
              <w:spacing w:after="0"/>
              <w:rPr>
                <w:sz w:val="12"/>
                <w:szCs w:val="12"/>
                <w:color w:val="auto"/>
              </w:rPr>
            </w:pPr>
          </w:p>
        </w:tc>
        <w:tc>
          <w:tcPr>
            <w:tcW w:w="9720" w:type="dxa"/>
            <w:vAlign w:val="bottom"/>
            <w:gridSpan w:val="8"/>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others, Telenet BV as original borrower and The Bank of Nova Scotia as facility agent and KBC Bank NV as security agent (Incorporated</w:t>
              </w:r>
            </w:hyperlink>
          </w:p>
        </w:tc>
        <w:tc>
          <w:tcPr>
            <w:tcW w:w="20" w:type="dxa"/>
            <w:vAlign w:val="bottom"/>
          </w:tcPr>
          <w:p>
            <w:pPr>
              <w:spacing w:after="0"/>
              <w:rPr>
                <w:sz w:val="12"/>
                <w:szCs w:val="12"/>
                <w:color w:val="auto"/>
              </w:rPr>
            </w:pPr>
          </w:p>
        </w:tc>
      </w:tr>
      <w:tr>
        <w:trPr>
          <w:trHeight w:val="160"/>
        </w:trPr>
        <w:tc>
          <w:tcPr>
            <w:tcW w:w="1520" w:type="dxa"/>
            <w:vAlign w:val="bottom"/>
          </w:tcPr>
          <w:p>
            <w:pPr>
              <w:spacing w:after="0"/>
              <w:rPr>
                <w:sz w:val="13"/>
                <w:szCs w:val="13"/>
                <w:color w:val="auto"/>
              </w:rPr>
            </w:pPr>
          </w:p>
        </w:tc>
        <w:tc>
          <w:tcPr>
            <w:tcW w:w="9700" w:type="dxa"/>
            <w:vAlign w:val="bottom"/>
            <w:tcBorders>
              <w:top w:val="single" w:sz="8" w:color="0000FF"/>
            </w:tcBorders>
            <w:gridSpan w:val="7"/>
          </w:tcPr>
          <w:p>
            <w:pPr>
              <w:spacing w:after="0" w:line="161"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by reference to Exhibit 4.1 to the Registrant’s Current report on Form 8-K filed July 1, 2025 (File No. 001-35961)).</w:t>
              </w:r>
            </w:hyperlink>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4"/>
          </w:tcPr>
          <w:p>
            <w:pPr>
              <w:spacing w:after="0" w:line="20" w:lineRule="exact"/>
              <w:rPr>
                <w:sz w:val="1"/>
                <w:szCs w:val="1"/>
                <w:color w:val="auto"/>
              </w:rPr>
            </w:pPr>
          </w:p>
        </w:tc>
      </w:tr>
      <w:tr>
        <w:trPr>
          <w:trHeight w:val="286"/>
        </w:trPr>
        <w:tc>
          <w:tcPr>
            <w:tcW w:w="112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10 — Material Contracts:</w:t>
            </w:r>
          </w:p>
        </w:tc>
      </w:tr>
      <w:tr>
        <w:trPr>
          <w:trHeight w:val="184"/>
        </w:trPr>
        <w:tc>
          <w:tcPr>
            <w:tcW w:w="1520" w:type="dxa"/>
            <w:vAlign w:val="bottom"/>
          </w:tcPr>
          <w:p>
            <w:pPr>
              <w:jc w:val="center"/>
              <w:ind w:right="294"/>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6620" w:type="dxa"/>
            <w:vAlign w:val="bottom"/>
            <w:tcBorders>
              <w:bottom w:val="single" w:sz="8" w:color="0000FF"/>
            </w:tcBorders>
            <w:gridSpan w:val="4"/>
          </w:tcPr>
          <w:p>
            <w:pPr>
              <w:spacing w:after="0" w:line="184" w:lineRule="exact"/>
              <w:rPr>
                <w:sz w:val="20"/>
                <w:szCs w:val="20"/>
                <w:color w:val="auto"/>
              </w:rPr>
            </w:pPr>
            <w:r>
              <w:rPr>
                <w:rFonts w:ascii="Times New Roman" w:cs="Times New Roman" w:eastAsia="Times New Roman" w:hAnsi="Times New Roman"/>
                <w:sz w:val="17"/>
                <w:szCs w:val="17"/>
                <w:color w:val="0000FF"/>
              </w:rPr>
              <w:t>Form of Non-Qualified Share Option Agreement under the Liberty Global 2023 Incentive Plan*</w:t>
            </w:r>
          </w:p>
        </w:tc>
        <w:tc>
          <w:tcPr>
            <w:tcW w:w="3120" w:type="dxa"/>
            <w:vAlign w:val="bottom"/>
            <w:gridSpan w:val="5"/>
          </w:tcPr>
          <w:p>
            <w:pPr>
              <w:spacing w:after="0"/>
              <w:rPr>
                <w:sz w:val="16"/>
                <w:szCs w:val="16"/>
                <w:color w:val="auto"/>
              </w:rPr>
            </w:pPr>
          </w:p>
        </w:tc>
      </w:tr>
      <w:tr>
        <w:trPr>
          <w:trHeight w:val="199"/>
        </w:trPr>
        <w:tc>
          <w:tcPr>
            <w:tcW w:w="152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10.2</w:t>
            </w: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Form of Non-Executive Director Restricted Share Units Agreement under the Liberty Global 2023 Incentive Plan*</w:t>
            </w:r>
          </w:p>
        </w:tc>
      </w:tr>
      <w:tr>
        <w:trPr>
          <w:trHeight w:val="20"/>
        </w:trPr>
        <w:tc>
          <w:tcPr>
            <w:tcW w:w="15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r>
      <w:tr>
        <w:trPr>
          <w:trHeight w:val="290"/>
        </w:trPr>
        <w:tc>
          <w:tcPr>
            <w:tcW w:w="112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31 — Rule 13a-14(a)/15d-14(a) Certification:</w:t>
            </w:r>
          </w:p>
        </w:tc>
      </w:tr>
      <w:tr>
        <w:trPr>
          <w:trHeight w:val="232"/>
        </w:trPr>
        <w:tc>
          <w:tcPr>
            <w:tcW w:w="152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31.1</w:t>
            </w: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President and Chief Executive Officer*</w:t>
            </w:r>
          </w:p>
        </w:tc>
      </w:tr>
      <w:tr>
        <w:trPr>
          <w:trHeight w:val="20"/>
        </w:trPr>
        <w:tc>
          <w:tcPr>
            <w:tcW w:w="15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r>
      <w:tr>
        <w:trPr>
          <w:trHeight w:val="251"/>
        </w:trPr>
        <w:tc>
          <w:tcPr>
            <w:tcW w:w="152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31.2</w:t>
            </w: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Executive Vice President and Chief Financial Officer*</w:t>
            </w:r>
          </w:p>
        </w:tc>
      </w:tr>
      <w:tr>
        <w:trPr>
          <w:trHeight w:val="20"/>
        </w:trPr>
        <w:tc>
          <w:tcPr>
            <w:tcW w:w="15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r>
      <w:tr>
        <w:trPr>
          <w:trHeight w:val="251"/>
        </w:trPr>
        <w:tc>
          <w:tcPr>
            <w:tcW w:w="2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32 — Section 1350 Certification**</w:t>
            </w:r>
          </w:p>
        </w:tc>
        <w:tc>
          <w:tcPr>
            <w:tcW w:w="8840" w:type="dxa"/>
            <w:vAlign w:val="bottom"/>
            <w:gridSpan w:val="8"/>
          </w:tcPr>
          <w:p>
            <w:pPr>
              <w:spacing w:after="0"/>
              <w:rPr>
                <w:sz w:val="21"/>
                <w:szCs w:val="21"/>
                <w:color w:val="auto"/>
              </w:rPr>
            </w:pPr>
          </w:p>
        </w:tc>
      </w:tr>
      <w:tr>
        <w:trPr>
          <w:trHeight w:val="290"/>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27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1"/>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7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48" w:lineRule="exact"/>
        <w:rPr>
          <w:sz w:val="20"/>
          <w:szCs w:val="20"/>
          <w:color w:val="auto"/>
        </w:rPr>
      </w:pPr>
    </w:p>
    <w:p>
      <w:pPr>
        <w:ind w:left="1540" w:hanging="1520"/>
        <w:spacing w:after="0"/>
        <w:tabs>
          <w:tab w:leader="none" w:pos="15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8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_______________</w:t>
      </w:r>
    </w:p>
    <w:p>
      <w:pPr>
        <w:spacing w:after="0" w:line="204" w:lineRule="exact"/>
        <w:rPr>
          <w:sz w:val="20"/>
          <w:szCs w:val="20"/>
          <w:color w:val="auto"/>
        </w:rPr>
      </w:pPr>
    </w:p>
    <w:p>
      <w:pPr>
        <w:ind w:left="680" w:hanging="660"/>
        <w:spacing w:after="0"/>
        <w:tabs>
          <w:tab w:leader="none" w:pos="6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8" w:lineRule="exact"/>
        <w:rPr>
          <w:sz w:val="20"/>
          <w:szCs w:val="20"/>
          <w:color w:val="auto"/>
        </w:rPr>
      </w:pPr>
    </w:p>
    <w:p>
      <w:pPr>
        <w:ind w:left="680" w:hanging="660"/>
        <w:spacing w:after="0"/>
        <w:tabs>
          <w:tab w:leader="none" w:pos="6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ind w:firstLine="425"/>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7"/>
          <w:szCs w:val="17"/>
          <w:color w:val="auto"/>
        </w:rPr>
        <w:t>LIBERTY GLOBAL LTD.</w:t>
      </w:r>
    </w:p>
    <w:p>
      <w:pPr>
        <w:spacing w:after="0" w:line="282" w:lineRule="exact"/>
        <w:rPr>
          <w:sz w:val="20"/>
          <w:szCs w:val="20"/>
          <w:color w:val="auto"/>
        </w:rPr>
      </w:pPr>
    </w:p>
    <w:p>
      <w:pPr>
        <w:ind w:left="20"/>
        <w:spacing w:after="0"/>
        <w:tabs>
          <w:tab w:leader="none" w:pos="880" w:val="left"/>
          <w:tab w:leader="none" w:pos="7100" w:val="left"/>
          <w:tab w:leader="none" w:pos="744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August 1, 2025</w:t>
      </w:r>
      <w:r>
        <w:rPr>
          <w:sz w:val="20"/>
          <w:szCs w:val="20"/>
          <w:color w:val="auto"/>
        </w:rPr>
        <w:tab/>
      </w:r>
      <w:r>
        <w:rPr>
          <w:rFonts w:ascii="Times New Roman" w:cs="Times New Roman" w:eastAsia="Times New Roman" w:hAnsi="Times New Roman"/>
          <w:sz w:val="17"/>
          <w:szCs w:val="17"/>
          <w:color w:val="auto"/>
        </w:rPr>
        <w:t>/s/</w:t>
        <w:tab/>
        <w:t>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7"/>
          <w:szCs w:val="17"/>
          <w:color w:val="auto"/>
        </w:rPr>
        <w:t xml:space="preserve"> T. F</w:t>
      </w:r>
      <w:r>
        <w:rPr>
          <w:rFonts w:ascii="Times New Roman" w:cs="Times New Roman" w:eastAsia="Times New Roman" w:hAnsi="Times New Roman"/>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33655</wp:posOffset>
            </wp:positionV>
            <wp:extent cx="40360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3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7"/>
          <w:szCs w:val="17"/>
          <w:color w:val="auto"/>
        </w:rPr>
        <w:t>Michael T. Fries</w:t>
      </w:r>
    </w:p>
    <w:p>
      <w:pPr>
        <w:jc w:val="center"/>
        <w:ind w:left="488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89" w:lineRule="exact"/>
        <w:rPr>
          <w:sz w:val="20"/>
          <w:szCs w:val="20"/>
          <w:color w:val="auto"/>
        </w:rPr>
      </w:pPr>
    </w:p>
    <w:p>
      <w:pPr>
        <w:ind w:left="20"/>
        <w:spacing w:after="0"/>
        <w:tabs>
          <w:tab w:leader="none" w:pos="880" w:val="left"/>
          <w:tab w:leader="none" w:pos="6880" w:val="left"/>
          <w:tab w:leader="none" w:pos="720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August 1, 2025</w:t>
      </w:r>
      <w:r>
        <w:rPr>
          <w:sz w:val="20"/>
          <w:szCs w:val="20"/>
          <w:color w:val="auto"/>
        </w:rPr>
        <w:tab/>
      </w:r>
      <w:r>
        <w:rPr>
          <w:rFonts w:ascii="Times New Roman" w:cs="Times New Roman" w:eastAsia="Times New Roman" w:hAnsi="Times New Roman"/>
          <w:sz w:val="17"/>
          <w:szCs w:val="17"/>
          <w:color w:val="auto"/>
        </w:rPr>
        <w:t>/s/</w:t>
        <w:tab/>
        <w:t>C</w:t>
      </w:r>
      <w:r>
        <w:rPr>
          <w:rFonts w:ascii="Times New Roman" w:cs="Times New Roman" w:eastAsia="Times New Roman" w:hAnsi="Times New Roman"/>
          <w:sz w:val="13"/>
          <w:szCs w:val="13"/>
          <w:color w:val="auto"/>
        </w:rPr>
        <w:t>HARLES</w:t>
      </w:r>
      <w:r>
        <w:rPr>
          <w:rFonts w:ascii="Times New Roman" w:cs="Times New Roman" w:eastAsia="Times New Roman" w:hAnsi="Times New Roman"/>
          <w:sz w:val="17"/>
          <w:szCs w:val="17"/>
          <w:color w:val="auto"/>
        </w:rPr>
        <w:t xml:space="preserve"> H.R. B</w:t>
      </w:r>
      <w:r>
        <w:rPr>
          <w:rFonts w:ascii="Times New Roman" w:cs="Times New Roman" w:eastAsia="Times New Roman" w:hAnsi="Times New Roman"/>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33655</wp:posOffset>
            </wp:positionV>
            <wp:extent cx="40360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3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7"/>
          <w:szCs w:val="17"/>
          <w:color w:val="auto"/>
        </w:rPr>
        <w:t>Charles H.R. Bracken</w:t>
      </w:r>
    </w:p>
    <w:p>
      <w:pPr>
        <w:jc w:val="center"/>
        <w:ind w:left="4880"/>
        <w:spacing w:after="0" w:line="205" w:lineRule="auto"/>
        <w:rPr>
          <w:sz w:val="20"/>
          <w:szCs w:val="20"/>
          <w:color w:val="auto"/>
        </w:rPr>
      </w:pPr>
      <w:r>
        <w:rPr>
          <w:rFonts w:ascii="Times New Roman" w:cs="Times New Roman" w:eastAsia="Times New Roman" w:hAnsi="Times New Roman"/>
          <w:sz w:val="17"/>
          <w:szCs w:val="17"/>
          <w:i w:val="1"/>
          <w:iCs w:val="1"/>
          <w:color w:val="auto"/>
        </w:rPr>
        <w:t>Executive Vice President and Chief</w:t>
      </w:r>
    </w:p>
    <w:p>
      <w:pPr>
        <w:spacing w:after="0" w:line="1"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7"/>
          <w:szCs w:val="17"/>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1240"/>
          </w:cols>
          <w:pgMar w:left="320" w:top="89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[Liberty Global Class __]</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LIBERTY GLOBAL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2023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effective November 24, 2023)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NON-QUALIFIED SHARE OPTION AGREEMENT</w:t>
      </w: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THIS NON-QUALIFIED SHARE OPTION AGREEMENT (this “Agreement”) is made as of _____________ ___, 20__ (the</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“Effective Date”), by and between Liberty Global LTD., Bermuda exempted company limited by shares, as successor by scheme of arrangement to Liberty Global plc (the “Company”), and the individual whose name, address, and director number appear on the signature page hereto (the “Grantee”).</w:t>
      </w:r>
    </w:p>
    <w:p>
      <w:pPr>
        <w:spacing w:after="0" w:line="17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The Company has adopted the Liberty Global 2023 Incentive Plan effective November 24, 2023, as may be amended, restated, or otherwise modified (the “Plan”), which by this reference is made a part hereof, for the benefit of eligible Nonemployee Directors of the Company. Capitalized terms used and not otherwise defined herein will have the meaning given to them in the Plan.</w:t>
      </w:r>
    </w:p>
    <w:p>
      <w:pPr>
        <w:spacing w:after="0" w:line="168"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0"/>
          <w:szCs w:val="20"/>
          <w:color w:val="auto"/>
        </w:rPr>
        <w:t>Pursuant to the Plan, the Compensation Committee appointed by the Company’s board of directors (the “Committee”) has determined that it is in the best interest of the Company and its Shareholders to award an option to the Grantee, subject to the conditions and restrictions set forth herein and in the Plan, in order to provide the Grantee additional remuneration for services rendered as a Nonemployee Director and to increase the Grantee’s personal interest in the continued success and progress of the Company.</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Company and the Grantee therefore agree as follows:</w:t>
      </w:r>
    </w:p>
    <w:p>
      <w:pPr>
        <w:spacing w:after="0" w:line="206" w:lineRule="exact"/>
        <w:rPr>
          <w:sz w:val="20"/>
          <w:szCs w:val="20"/>
          <w:color w:val="auto"/>
        </w:rPr>
      </w:pPr>
    </w:p>
    <w:p>
      <w:pPr>
        <w:ind w:firstLine="622"/>
        <w:spacing w:after="0" w:line="273" w:lineRule="auto"/>
        <w:tabs>
          <w:tab w:leader="none" w:pos="1031"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The following terms, when used in this Agreement, have the following meanings and capitalized terms used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not otherwise defined herein shall have the meaning given thereto in the Plan:</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“Act” means the U.K. Companies Act of 2006, as amended from time to time, and the rules and regulations thereunder.</w:t>
      </w:r>
    </w:p>
    <w:p>
      <w:pPr>
        <w:spacing w:after="0" w:line="210" w:lineRule="exact"/>
        <w:rPr>
          <w:sz w:val="20"/>
          <w:szCs w:val="20"/>
          <w:color w:val="auto"/>
        </w:rPr>
      </w:pPr>
    </w:p>
    <w:p>
      <w:pPr>
        <w:ind w:firstLine="451"/>
        <w:spacing w:after="0" w:line="269" w:lineRule="auto"/>
        <w:rPr>
          <w:sz w:val="20"/>
          <w:szCs w:val="20"/>
          <w:color w:val="auto"/>
        </w:rPr>
      </w:pPr>
      <w:r>
        <w:rPr>
          <w:rFonts w:ascii="Times New Roman" w:cs="Times New Roman" w:eastAsia="Times New Roman" w:hAnsi="Times New Roman"/>
          <w:sz w:val="21"/>
          <w:szCs w:val="21"/>
          <w:color w:val="auto"/>
        </w:rPr>
        <w:t>“Annual Meeting Date” means the date on which the annual general meeting of the Shareholders at which directors are elected in accordance with the Act is held in any calendar year.</w:t>
      </w:r>
    </w:p>
    <w:p>
      <w:pPr>
        <w:spacing w:after="0" w:line="155"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“Business Day” means any day other than Saturday, Sunday or a day on which banking institutions in Denver, Colorado, are required or authorized to be closed.</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“Cause” has the meaning specified for “cause” in Section 13.2(c) of the Plan.</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“Close of Business” means, on any day, 5:00 p.m., Denver, Colorado time.</w:t>
      </w:r>
    </w:p>
    <w:p>
      <w:pPr>
        <w:sectPr>
          <w:pgSz w:w="11900" w:h="16838" w:orient="portrait"/>
          <w:cols w:equalWidth="0" w:num="1">
            <w:col w:w="11240"/>
          </w:cols>
          <w:pgMar w:left="320" w:top="123" w:right="339" w:bottom="1440" w:gutter="0" w:footer="0" w:header="0"/>
        </w:sectPr>
      </w:pPr>
    </w:p>
    <w:bookmarkStart w:id="88" w:name="page89"/>
    <w:bookmarkEnd w:id="88"/>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“Code” means the U.S. Internal Revenue Code of 1986, as it may be amended from time to time, or any successor statute thereto. References to any specific Code section shall include any successor section.</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“Committee” has the meaning specified in the preamble to this Agreement.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“Company” has the meaning specified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“Effective Date” has the meaning specified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“Exercise Price” means $_______ per Share.</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“Grantee” has the meaning specified in the preamble to this Agreement.</w:t>
      </w:r>
    </w:p>
    <w:p>
      <w:pPr>
        <w:spacing w:after="0" w:line="210" w:lineRule="exact"/>
        <w:rPr>
          <w:sz w:val="20"/>
          <w:szCs w:val="20"/>
          <w:color w:val="auto"/>
        </w:rPr>
      </w:pPr>
    </w:p>
    <w:p>
      <w:pPr>
        <w:jc w:val="both"/>
        <w:ind w:firstLine="1238"/>
        <w:spacing w:after="0" w:line="282" w:lineRule="auto"/>
        <w:rPr>
          <w:sz w:val="20"/>
          <w:szCs w:val="20"/>
          <w:color w:val="auto"/>
        </w:rPr>
      </w:pPr>
      <w:r>
        <w:rPr>
          <w:rFonts w:ascii="Times New Roman" w:cs="Times New Roman" w:eastAsia="Times New Roman" w:hAnsi="Times New Roman"/>
          <w:sz w:val="21"/>
          <w:szCs w:val="21"/>
          <w:color w:val="auto"/>
        </w:rPr>
        <w:t>“Initial Vesting Date” means the date that is the later of (x) the six-month anniversary of the Effective Date and (y) the Annual Meeting Date first following the Effective Date.</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“LBTY__” or “Share” means the Liberty Global Class __ common shares, nominal value $0.01 per share,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w:t>
      </w:r>
    </w:p>
    <w:p>
      <w:pPr>
        <w:spacing w:after="0" w:line="18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“Option” has the meaning specified in Section 2 of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“Option Shares” has the meaning specified in Section 2 of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“Plan” has the meaning specified in the preamble to this Agreement.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“Required Withholding Amount” has the meaning specified in Section 5 of this Agreement.</w:t>
      </w:r>
    </w:p>
    <w:p>
      <w:pPr>
        <w:spacing w:after="0" w:line="21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“Retirement” means the voluntary termination of the Grantee’s service as a Nonemployee Director on or after the date that the sum of the Grantee’s years of age and years of service as a Nonemployee director is at least 70.</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“Term” has the meaning specified in Section 2 of this Agreement.</w:t>
      </w:r>
    </w:p>
    <w:p>
      <w:pPr>
        <w:spacing w:after="0" w:line="210"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1"/>
          <w:szCs w:val="21"/>
          <w:color w:val="auto"/>
        </w:rPr>
        <w:t>“Third Party Administrator” means the company or successor company that has been selected by the Company to maintain the database of the Plan and to provide related services, including, but not limited to, equity grant information, transaction processing and a grantee interface.</w:t>
      </w:r>
    </w:p>
    <w:p>
      <w:pPr>
        <w:spacing w:after="0" w:line="159" w:lineRule="exact"/>
        <w:rPr>
          <w:sz w:val="20"/>
          <w:szCs w:val="20"/>
          <w:color w:val="auto"/>
        </w:rPr>
      </w:pPr>
    </w:p>
    <w:p>
      <w:pPr>
        <w:jc w:val="both"/>
        <w:ind w:firstLine="622"/>
        <w:spacing w:after="0" w:line="252" w:lineRule="auto"/>
        <w:tabs>
          <w:tab w:leader="none" w:pos="1012"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Grant of the Option. </w:t>
      </w:r>
      <w:r>
        <w:rPr>
          <w:rFonts w:ascii="Times New Roman" w:cs="Times New Roman" w:eastAsia="Times New Roman" w:hAnsi="Times New Roman"/>
          <w:sz w:val="21"/>
          <w:szCs w:val="21"/>
          <w:color w:val="auto"/>
        </w:rPr>
        <w:t>Subject to the terms and conditions herein, pursuant to the Plan, the Company grants to the Grantee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option (the “Option”) to purchase from the Company the number of Shares set forth on the signature page hereof (the “Option Shares”) at a purchase price per Share equal to the Exercise Price. The Option granted herein is a “non-qualified option”. In consideration for the grant of the Option, the Grantee covenants with the Company that he or she shall provide services as a Nonemployee Director through each applicable vesting date. The Option, to the extent it has become exercisable in accordance with Section 3, will be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5" w:right="339" w:bottom="1440" w:gutter="0" w:footer="0" w:header="0"/>
        </w:sectPr>
      </w:pPr>
    </w:p>
    <w:bookmarkStart w:id="89" w:name="page90"/>
    <w:bookmarkEnd w:id="89"/>
    <w:p>
      <w:pPr>
        <w:jc w:val="both"/>
        <w:spacing w:after="0" w:line="251" w:lineRule="auto"/>
        <w:rPr>
          <w:sz w:val="20"/>
          <w:szCs w:val="20"/>
          <w:color w:val="auto"/>
        </w:rPr>
      </w:pPr>
      <w:r>
        <w:rPr>
          <w:rFonts w:ascii="Times New Roman" w:cs="Times New Roman" w:eastAsia="Times New Roman" w:hAnsi="Times New Roman"/>
          <w:sz w:val="21"/>
          <w:szCs w:val="21"/>
          <w:color w:val="auto"/>
        </w:rPr>
        <w:t>exercisable in whole at any time or in part from time to time during the period commencing on the Effective Date and expiring at the Close of Business on ###EXPIRY_DATE### (the “Term”), subject to earlier termination as provided in Section 7. The Exercise Price and number of Option Shares are subject to adjustment pursuant to Section 10. No fractional Shares will be issuable upon exercise of an Option, and the Grantee will receive, in lieu of any fractional Shares that the Grantee otherwise would receive upon such exercise, cash equal to the fraction representing such fractional Share multiplied by the Fair Market Value of a Share as of the date on which such exercise is considered to occur pursuant to Section 4.</w:t>
      </w:r>
    </w:p>
    <w:p>
      <w:pPr>
        <w:spacing w:after="0" w:line="170" w:lineRule="exact"/>
        <w:rPr>
          <w:sz w:val="20"/>
          <w:szCs w:val="20"/>
          <w:color w:val="auto"/>
        </w:rPr>
      </w:pPr>
    </w:p>
    <w:p>
      <w:pPr>
        <w:ind w:firstLine="622"/>
        <w:spacing w:after="0" w:line="273" w:lineRule="auto"/>
        <w:tabs>
          <w:tab w:leader="none" w:pos="1164"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Conditions of Exercise. </w:t>
      </w:r>
      <w:r>
        <w:rPr>
          <w:rFonts w:ascii="Times New Roman" w:cs="Times New Roman" w:eastAsia="Times New Roman" w:hAnsi="Times New Roman"/>
          <w:sz w:val="21"/>
          <w:szCs w:val="21"/>
          <w:color w:val="auto"/>
        </w:rPr>
        <w:t>Unless otherwise determined by the Committee in its sole discretion, the Option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exercisable only in accordance with the conditions stated in this Section 3.</w:t>
      </w:r>
    </w:p>
    <w:p>
      <w:pPr>
        <w:spacing w:after="0" w:line="163" w:lineRule="exact"/>
        <w:rPr>
          <w:rFonts w:ascii="Times New Roman" w:cs="Times New Roman" w:eastAsia="Times New Roman" w:hAnsi="Times New Roman"/>
          <w:sz w:val="21"/>
          <w:szCs w:val="21"/>
          <w:b w:val="1"/>
          <w:bCs w:val="1"/>
          <w:color w:val="auto"/>
        </w:rPr>
      </w:pPr>
    </w:p>
    <w:p>
      <w:pPr>
        <w:jc w:val="both"/>
        <w:ind w:firstLine="1241"/>
        <w:spacing w:after="0" w:line="256" w:lineRule="auto"/>
        <w:tabs>
          <w:tab w:leader="none" w:pos="1707"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13.1(b) of the Plan or in the last sentence of this Section 3(a), the Option will not be exercisable until the Initial Vesting Date and may be exercised thereafter only to the extent it has become exercisable in accordance with the following schedule:</w:t>
      </w:r>
    </w:p>
    <w:p>
      <w:pPr>
        <w:spacing w:after="0" w:line="168" w:lineRule="exact"/>
        <w:rPr>
          <w:rFonts w:ascii="Times New Roman" w:cs="Times New Roman" w:eastAsia="Times New Roman" w:hAnsi="Times New Roman"/>
          <w:sz w:val="21"/>
          <w:szCs w:val="21"/>
          <w:color w:val="auto"/>
        </w:rPr>
      </w:pPr>
    </w:p>
    <w:p>
      <w:pPr>
        <w:ind w:left="2260" w:hanging="400"/>
        <w:spacing w:after="0"/>
        <w:tabs>
          <w:tab w:leader="none" w:pos="2260" w:val="left"/>
        </w:tabs>
        <w:numPr>
          <w:ilvl w:val="2"/>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and after the Initial Vesting Date, the Option shall be exercisable as to 33.34% of the Option Shares;</w:t>
      </w:r>
    </w:p>
    <w:p>
      <w:pPr>
        <w:spacing w:after="0" w:line="209" w:lineRule="exact"/>
        <w:rPr>
          <w:rFonts w:ascii="Times New Roman" w:cs="Times New Roman" w:eastAsia="Times New Roman" w:hAnsi="Times New Roman"/>
          <w:sz w:val="21"/>
          <w:szCs w:val="21"/>
          <w:color w:val="auto"/>
        </w:rPr>
      </w:pPr>
    </w:p>
    <w:p>
      <w:pPr>
        <w:ind w:left="2480" w:hanging="620"/>
        <w:spacing w:after="0" w:line="269" w:lineRule="auto"/>
        <w:tabs>
          <w:tab w:leader="none" w:pos="2335" w:val="left"/>
        </w:tabs>
        <w:numPr>
          <w:ilvl w:val="2"/>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and after the second Annual Meeting Date following the Effective Date, the Option shall be exercisable as to 66.67% of the Option Shares; and</w:t>
      </w:r>
    </w:p>
    <w:p>
      <w:pPr>
        <w:spacing w:after="0" w:line="167" w:lineRule="exact"/>
        <w:rPr>
          <w:rFonts w:ascii="Times New Roman" w:cs="Times New Roman" w:eastAsia="Times New Roman" w:hAnsi="Times New Roman"/>
          <w:sz w:val="21"/>
          <w:szCs w:val="21"/>
          <w:color w:val="auto"/>
        </w:rPr>
      </w:pPr>
    </w:p>
    <w:p>
      <w:pPr>
        <w:ind w:left="2480" w:hanging="620"/>
        <w:spacing w:after="0" w:line="269" w:lineRule="auto"/>
        <w:tabs>
          <w:tab w:leader="none" w:pos="2418" w:val="left"/>
        </w:tabs>
        <w:numPr>
          <w:ilvl w:val="2"/>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and after the third Annual Meeting Date following the Effective Date, the Option shall be exercisable as to 100% of the Option Shares.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Notwithstanding the foregoing, the Option will become exercisable in full on the date of the Grantee’s termination of service as a Nonemployee Director if (A) the Grantee’s service as a Nonemployee Director terminates by reason of Disability, (B) the Grantee dies while serving as a Nonemployee Director or (C) the Grantee’s service as a Nonemployee Director terminates by reason of the Grantee’s Retirement, provided that, in the case of 3(a)(C), only to the extent such Option would vest within one year from the date of the Grantee’s Retirement.</w:t>
      </w:r>
    </w:p>
    <w:p>
      <w:pPr>
        <w:spacing w:after="0" w:line="171" w:lineRule="exact"/>
        <w:rPr>
          <w:sz w:val="20"/>
          <w:szCs w:val="20"/>
          <w:color w:val="auto"/>
        </w:rPr>
      </w:pPr>
    </w:p>
    <w:p>
      <w:pPr>
        <w:ind w:firstLine="1241"/>
        <w:spacing w:after="0" w:line="269" w:lineRule="auto"/>
        <w:tabs>
          <w:tab w:leader="none" w:pos="168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Option becomes exercisable, the Option may be exercised in whole or in part (at any time or from time to time, except as otherwise provided herein) until expiration of the Term or earlier termination thereof.</w:t>
      </w:r>
    </w:p>
    <w:p>
      <w:pPr>
        <w:spacing w:after="0" w:line="154" w:lineRule="exact"/>
        <w:rPr>
          <w:rFonts w:ascii="Times New Roman" w:cs="Times New Roman" w:eastAsia="Times New Roman" w:hAnsi="Times New Roman"/>
          <w:sz w:val="21"/>
          <w:szCs w:val="21"/>
          <w:color w:val="auto"/>
        </w:rPr>
      </w:pPr>
    </w:p>
    <w:p>
      <w:pPr>
        <w:jc w:val="both"/>
        <w:ind w:firstLine="1241"/>
        <w:spacing w:after="0" w:line="256" w:lineRule="auto"/>
        <w:tabs>
          <w:tab w:leader="none" w:pos="167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acknowledges and agrees that the Committee may, in its discretion and as contemplated by Section 3.3 of the Plan, adopt rules and regulations from time to time after the date hereof with respect to the exercise of the Option and that the exercise by the Grantee of the Option will be subject to the further condition that such exercise is made in accordance with all such rules and regulations as the Committee may determine are applicable thereto.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5" w:right="339" w:bottom="1440" w:gutter="0" w:footer="0" w:header="0"/>
        </w:sectPr>
      </w:pPr>
    </w:p>
    <w:bookmarkStart w:id="90" w:name="page91"/>
    <w:bookmarkEnd w:id="90"/>
    <w:p>
      <w:pPr>
        <w:jc w:val="both"/>
        <w:ind w:firstLine="622"/>
        <w:spacing w:after="0" w:line="257" w:lineRule="auto"/>
        <w:tabs>
          <w:tab w:leader="none" w:pos="1024"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Manner of Exercise. </w:t>
      </w:r>
      <w:r>
        <w:rPr>
          <w:rFonts w:ascii="Times New Roman" w:cs="Times New Roman" w:eastAsia="Times New Roman" w:hAnsi="Times New Roman"/>
          <w:sz w:val="21"/>
          <w:szCs w:val="21"/>
          <w:color w:val="auto"/>
        </w:rPr>
        <w:t>The Option will be considered exercised (as to the number of Option Shares specified in the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referred to in Section 4(a) below) on the latest of (i) the date of exercise designated in the written notice referred to in Section 4(a) below, (ii) if the date so designated is not a Business Day, the first Business Day following such date or (iii) the earliest Business Day by which the Company has received all of the following:</w:t>
      </w:r>
    </w:p>
    <w:p>
      <w:pPr>
        <w:spacing w:after="0" w:line="168" w:lineRule="exact"/>
        <w:rPr>
          <w:rFonts w:ascii="Times New Roman" w:cs="Times New Roman" w:eastAsia="Times New Roman" w:hAnsi="Times New Roman"/>
          <w:sz w:val="21"/>
          <w:szCs w:val="21"/>
          <w:b w:val="1"/>
          <w:bCs w:val="1"/>
          <w:color w:val="auto"/>
        </w:rPr>
      </w:pPr>
    </w:p>
    <w:p>
      <w:pPr>
        <w:jc w:val="both"/>
        <w:ind w:firstLine="1241"/>
        <w:spacing w:after="0" w:line="252" w:lineRule="auto"/>
        <w:tabs>
          <w:tab w:leader="none" w:pos="170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has either (i) notified the Third Party Administrator of the exercise (see Section 12), or (ii) submitted to the Company a properly executed written notice of exercise, in such form as the Committee may require, containing such representations and warranties as the Committee may require and designating, among other things, the date of exercise and the number of Option Shares to be purchased; and</w:t>
      </w:r>
    </w:p>
    <w:p>
      <w:pPr>
        <w:spacing w:after="0" w:line="184" w:lineRule="exact"/>
        <w:rPr>
          <w:rFonts w:ascii="Times New Roman" w:cs="Times New Roman" w:eastAsia="Times New Roman" w:hAnsi="Times New Roman"/>
          <w:sz w:val="21"/>
          <w:szCs w:val="21"/>
          <w:color w:val="auto"/>
        </w:rPr>
      </w:pPr>
    </w:p>
    <w:p>
      <w:pPr>
        <w:ind w:left="1740" w:hanging="499"/>
        <w:spacing w:after="0"/>
        <w:tabs>
          <w:tab w:leader="none" w:pos="17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the Exercise Price for each Option Share to be purchased in any (or a combination) of the following</w:t>
      </w:r>
    </w:p>
    <w:p>
      <w:pPr>
        <w:spacing w:after="0" w:line="25" w:lineRule="exact"/>
        <w:rPr>
          <w:rFonts w:ascii="Times New Roman" w:cs="Times New Roman" w:eastAsia="Times New Roman" w:hAnsi="Times New Roman"/>
          <w:sz w:val="21"/>
          <w:szCs w:val="21"/>
          <w:color w:val="auto"/>
        </w:rPr>
      </w:pPr>
    </w:p>
    <w:p>
      <w:pPr>
        <w:jc w:val="both"/>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forms: (i) cash, (ii) check, (iii) the delivery, together with a properly executed exercise notice, of irrevocable instructions to a broker to deliver promptly to the Company the amount of sale or loan proceeds required to pay the Exercise Price (and, if applicable, the Required Withholding Amount, as described in Section 5), and/or (iv) any other form of payment contemplated by the Plan, as the Committee may permit; and</w:t>
      </w:r>
    </w:p>
    <w:p>
      <w:pPr>
        <w:spacing w:after="0" w:line="182" w:lineRule="exact"/>
        <w:rPr>
          <w:rFonts w:ascii="Times New Roman" w:cs="Times New Roman" w:eastAsia="Times New Roman" w:hAnsi="Times New Roman"/>
          <w:sz w:val="21"/>
          <w:szCs w:val="21"/>
          <w:color w:val="auto"/>
        </w:rPr>
      </w:pPr>
    </w:p>
    <w:p>
      <w:pPr>
        <w:ind w:left="1660" w:hanging="419"/>
        <w:spacing w:after="0"/>
        <w:tabs>
          <w:tab w:leader="none" w:pos="166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documentation that the Committee may reasonably require.</w:t>
      </w:r>
    </w:p>
    <w:p>
      <w:pPr>
        <w:spacing w:after="0" w:line="218" w:lineRule="exact"/>
        <w:rPr>
          <w:rFonts w:ascii="Times New Roman" w:cs="Times New Roman" w:eastAsia="Times New Roman" w:hAnsi="Times New Roman"/>
          <w:sz w:val="21"/>
          <w:szCs w:val="21"/>
          <w:color w:val="auto"/>
        </w:rPr>
      </w:pPr>
    </w:p>
    <w:p>
      <w:pPr>
        <w:ind w:left="980" w:hanging="358"/>
        <w:spacing w:after="0"/>
        <w:tabs>
          <w:tab w:leader="none" w:pos="98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Withholding for Taxes.</w:t>
      </w:r>
    </w:p>
    <w:p>
      <w:pPr>
        <w:spacing w:after="0" w:line="213" w:lineRule="exact"/>
        <w:rPr>
          <w:rFonts w:ascii="Times New Roman" w:cs="Times New Roman" w:eastAsia="Times New Roman" w:hAnsi="Times New Roman"/>
          <w:sz w:val="21"/>
          <w:szCs w:val="21"/>
          <w:b w:val="1"/>
          <w:bCs w:val="1"/>
          <w:color w:val="auto"/>
        </w:rPr>
      </w:pPr>
    </w:p>
    <w:p>
      <w:pPr>
        <w:jc w:val="both"/>
        <w:ind w:firstLine="1241"/>
        <w:spacing w:after="0" w:line="252" w:lineRule="auto"/>
        <w:tabs>
          <w:tab w:leader="none" w:pos="1692"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relevant taxable or tax withholding event, as applicable, the Grantee acknowledges and agrees to make adequate arrangements satisfactory to the Company to satisfy all national, state and local tax and employee social security contribution withholding requirements (the “Required Withholding Amount”). In this regard, the Grantee authorizes the Company and/or its agent, at the Company’s discretion, to collect the Required Withholding Amount by one or a combination of the following:</w:t>
      </w:r>
    </w:p>
    <w:p>
      <w:pPr>
        <w:spacing w:after="0" w:line="184" w:lineRule="exact"/>
        <w:rPr>
          <w:rFonts w:ascii="Times New Roman" w:cs="Times New Roman" w:eastAsia="Times New Roman" w:hAnsi="Times New Roman"/>
          <w:sz w:val="21"/>
          <w:szCs w:val="21"/>
          <w:color w:val="auto"/>
        </w:rPr>
      </w:pPr>
    </w:p>
    <w:p>
      <w:pPr>
        <w:ind w:left="2380" w:hanging="520"/>
        <w:spacing w:after="0"/>
        <w:tabs>
          <w:tab w:leader="none" w:pos="2380"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deducting from cash amounts otherwise payable to the Grantee (including retainer fees and other cash</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or</w:t>
      </w:r>
    </w:p>
    <w:p>
      <w:pPr>
        <w:spacing w:after="0" w:line="187" w:lineRule="exact"/>
        <w:rPr>
          <w:rFonts w:ascii="Times New Roman" w:cs="Times New Roman" w:eastAsia="Times New Roman" w:hAnsi="Times New Roman"/>
          <w:sz w:val="21"/>
          <w:szCs w:val="21"/>
          <w:color w:val="auto"/>
        </w:rPr>
      </w:pPr>
    </w:p>
    <w:p>
      <w:pPr>
        <w:ind w:firstLine="1860"/>
        <w:spacing w:after="0" w:line="269" w:lineRule="auto"/>
        <w:tabs>
          <w:tab w:leader="none" w:pos="2402"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(or deemed sale) of Shares acquired upon exercise of the Option through a sale arranged by the Company (on the Grantee’s behalf pursuant to this authorization without further consent).</w:t>
      </w:r>
    </w:p>
    <w:p>
      <w:pPr>
        <w:spacing w:after="0" w:line="154" w:lineRule="exact"/>
        <w:rPr>
          <w:rFonts w:ascii="Times New Roman" w:cs="Times New Roman" w:eastAsia="Times New Roman" w:hAnsi="Times New Roman"/>
          <w:sz w:val="21"/>
          <w:szCs w:val="21"/>
          <w:color w:val="auto"/>
        </w:rPr>
      </w:pPr>
    </w:p>
    <w:p>
      <w:pPr>
        <w:jc w:val="both"/>
        <w:ind w:firstLine="1241"/>
        <w:spacing w:after="0" w:line="249" w:lineRule="auto"/>
        <w:tabs>
          <w:tab w:leader="none" w:pos="1767"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constitute a benefit to the Grantee on which additional income tax and employee national insurance contributions (“NICs”) will be payable and will not be deemed to be an extension of credit in the form of a personal loan for purposes of Section 13(k) of the Exchange Act. The Grantee will be responsible for paying and reporting any income tax due on this additional benefit directly to HM Revenue &amp; Customs under the self-assessment regime and for reimbursing the Company for the value of any NICs due on this additional benefit.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1" w:right="339" w:bottom="1440" w:gutter="0" w:footer="0" w:header="0"/>
        </w:sectPr>
      </w:pPr>
    </w:p>
    <w:bookmarkStart w:id="91" w:name="page92"/>
    <w:bookmarkEnd w:id="91"/>
    <w:p>
      <w:pPr>
        <w:jc w:val="both"/>
        <w:ind w:firstLine="622"/>
        <w:spacing w:after="0" w:line="248" w:lineRule="auto"/>
        <w:tabs>
          <w:tab w:leader="none" w:pos="1089"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Payment or Delivery by the Company</w:t>
      </w:r>
      <w:r>
        <w:rPr>
          <w:rFonts w:ascii="Times New Roman" w:cs="Times New Roman" w:eastAsia="Times New Roman" w:hAnsi="Times New Roman"/>
          <w:sz w:val="21"/>
          <w:szCs w:val="21"/>
          <w:color w:val="auto"/>
        </w:rPr>
        <w:t>. As soon as practicable after receipt of all items required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 and subject to the withholding referred to in Section 5, the Company will deliver or cause to be delivered to or at the direction of the Grantee (i) (a) a certificate representing the number of Option Shares purchased upon exercise of the Option, (b) a statement of holdings reflecting the number of Option Shares purchased upon exercise of the Option and held for the benefit of the Grantee in uncertificated form by a third party service provider designated by the Company, or (c) a confirmation of deposit of the number of Option Shares purchased upon exercise of the Option (including, without limitation, any Option Shares deliverable following the completion of the cashless exercise procedures described in Section 4(b) above) in electronic form into the broker account designated by the Grantee, and (ii) any cash payment to which the Grantee is entitled (a) in lieu of a fractional Share, as provided in Section 2 above, or (b) following the requested sale of his or her Option Shares. Any delivery of Shares will be deemed effected for all purposes when (i) (a) a certificate representing or statement of holdings reflecting such Shares has been delivered personally to the Grantee or, if delivery is by mail, when the certificate or statement of holdings has been deposited in the United States or local country mail, addressed to the Grantee, or (b) confirmation of deposit into the designated broker’s account of such Shares, in written or electronic format, is first made available to the Grantee, and (ii) any cash payment will be deemed effected when (a)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his or her nominee or (b) a successful wire transfer to Grantee’s bank account has been effected.</w:t>
      </w:r>
    </w:p>
    <w:p>
      <w:pPr>
        <w:spacing w:after="0" w:line="171" w:lineRule="exact"/>
        <w:rPr>
          <w:rFonts w:ascii="Times New Roman" w:cs="Times New Roman" w:eastAsia="Times New Roman" w:hAnsi="Times New Roman"/>
          <w:sz w:val="21"/>
          <w:szCs w:val="21"/>
          <w:b w:val="1"/>
          <w:bCs w:val="1"/>
          <w:color w:val="auto"/>
        </w:rPr>
      </w:pPr>
    </w:p>
    <w:p>
      <w:pPr>
        <w:ind w:firstLine="622"/>
        <w:spacing w:after="0" w:line="273" w:lineRule="auto"/>
        <w:tabs>
          <w:tab w:leader="none" w:pos="1037"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Early Termination of the Option. </w:t>
      </w:r>
      <w:r>
        <w:rPr>
          <w:rFonts w:ascii="Times New Roman" w:cs="Times New Roman" w:eastAsia="Times New Roman" w:hAnsi="Times New Roman"/>
          <w:sz w:val="21"/>
          <w:szCs w:val="21"/>
          <w:color w:val="auto"/>
        </w:rPr>
        <w:t>Unless otherwise determined by the Committee in its sole discretion, the Option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 prior to the expiration of the Term, at the time specified below:</w:t>
      </w:r>
    </w:p>
    <w:p>
      <w:pPr>
        <w:spacing w:after="0" w:line="150" w:lineRule="exact"/>
        <w:rPr>
          <w:rFonts w:ascii="Times New Roman" w:cs="Times New Roman" w:eastAsia="Times New Roman" w:hAnsi="Times New Roman"/>
          <w:sz w:val="21"/>
          <w:szCs w:val="21"/>
          <w:b w:val="1"/>
          <w:bCs w:val="1"/>
          <w:color w:val="auto"/>
        </w:rPr>
      </w:pPr>
    </w:p>
    <w:p>
      <w:pPr>
        <w:jc w:val="both"/>
        <w:ind w:firstLine="1241"/>
        <w:spacing w:after="0" w:line="256" w:lineRule="auto"/>
        <w:tabs>
          <w:tab w:leader="none" w:pos="1697"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7(b), if the Grantee’s service as a Nonemployee Director terminates other than by the Company for cause, then (unless otherwise agreed by the Company) the Option will terminate at the Close of Business on the first Business Day following the expiration of the three-year period which began on the date of termination of the Grantee’s service. For purposes of this Section 7, “cause” will have the meaning specified in Section 13.2(c) of the Plan.</w:t>
      </w:r>
    </w:p>
    <w:p>
      <w:pPr>
        <w:spacing w:after="0" w:line="168" w:lineRule="exact"/>
        <w:rPr>
          <w:rFonts w:ascii="Times New Roman" w:cs="Times New Roman" w:eastAsia="Times New Roman" w:hAnsi="Times New Roman"/>
          <w:sz w:val="21"/>
          <w:szCs w:val="21"/>
          <w:color w:val="auto"/>
        </w:rPr>
      </w:pPr>
    </w:p>
    <w:p>
      <w:pPr>
        <w:jc w:val="both"/>
        <w:ind w:firstLine="1241"/>
        <w:spacing w:after="0" w:line="262" w:lineRule="auto"/>
        <w:tabs>
          <w:tab w:leader="none" w:pos="1741"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dies prior to the expiration of the three-year period of time following termination of the Grantee’s service during which the Option remains exercisable as provided in Section 7(a), such Option will terminate at the Close of Business on the first Business Day following the expiration of the three-year period which began on the date of the Grantee’s death.</w:t>
      </w:r>
    </w:p>
    <w:p>
      <w:pPr>
        <w:spacing w:after="0" w:line="163" w:lineRule="exact"/>
        <w:rPr>
          <w:rFonts w:ascii="Times New Roman" w:cs="Times New Roman" w:eastAsia="Times New Roman" w:hAnsi="Times New Roman"/>
          <w:sz w:val="21"/>
          <w:szCs w:val="21"/>
          <w:color w:val="auto"/>
        </w:rPr>
      </w:pPr>
    </w:p>
    <w:p>
      <w:pPr>
        <w:ind w:firstLine="1241"/>
        <w:spacing w:after="0" w:line="269" w:lineRule="auto"/>
        <w:tabs>
          <w:tab w:leader="none" w:pos="1793"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as a Nonemployee Director is terminated by the Company for “cause” (as defined in Section 13.2(c) of the Plan), then the Option will terminate immediately upon such termination of the Grantee’s service.</w:t>
      </w:r>
    </w:p>
    <w:p>
      <w:pPr>
        <w:spacing w:after="0" w:line="154" w:lineRule="exact"/>
        <w:rPr>
          <w:rFonts w:ascii="Times New Roman" w:cs="Times New Roman" w:eastAsia="Times New Roman" w:hAnsi="Times New Roman"/>
          <w:sz w:val="21"/>
          <w:szCs w:val="21"/>
          <w:color w:val="auto"/>
        </w:rPr>
      </w:pPr>
    </w:p>
    <w:p>
      <w:pPr>
        <w:ind w:firstLine="1241"/>
        <w:spacing w:after="0" w:line="269" w:lineRule="auto"/>
        <w:tabs>
          <w:tab w:leader="none" w:pos="1697"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as a Nonemployee Director is terminated due to Grantee’s Retirement, then the Option will terminate unless such Option would have vested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1" w:right="339" w:bottom="1440" w:gutter="0" w:footer="0" w:header="0"/>
        </w:sectPr>
      </w:pPr>
    </w:p>
    <w:bookmarkStart w:id="92" w:name="page93"/>
    <w:bookmarkEnd w:id="92"/>
    <w:p>
      <w:pPr>
        <w:jc w:val="both"/>
        <w:spacing w:after="0" w:line="269" w:lineRule="auto"/>
        <w:rPr>
          <w:sz w:val="20"/>
          <w:szCs w:val="20"/>
          <w:color w:val="auto"/>
        </w:rPr>
      </w:pPr>
      <w:r>
        <w:rPr>
          <w:rFonts w:ascii="Times New Roman" w:cs="Times New Roman" w:eastAsia="Times New Roman" w:hAnsi="Times New Roman"/>
          <w:sz w:val="21"/>
          <w:szCs w:val="21"/>
          <w:color w:val="auto"/>
        </w:rPr>
        <w:t>within one year from the date of Grantee’s Retirement, in which case, it shall immediately vest and be exercisable until the first to occur of the date that is three years after the date of Grantee’s Retirement or the scheduled expiration date of such Option</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In any event in which the Option remains exercisable for a period of time following the date of termination of the Grantee’s service as a Nonemployee Director as provided above, the Option may be exercised during such period of time only to the extent the Option was exercisable as provided in Section 3 above on such date of termination of the Grantee’s service as a Nonemployee Director. Notwithstanding any period of time referenced in this Section 7 or any other provision of this Section 7 that may be construed to the contrary, the Option will in any event terminate upon the expiration of the Term.</w:t>
      </w:r>
    </w:p>
    <w:p>
      <w:pPr>
        <w:spacing w:after="0" w:line="187" w:lineRule="exact"/>
        <w:rPr>
          <w:sz w:val="20"/>
          <w:szCs w:val="20"/>
          <w:color w:val="auto"/>
        </w:rPr>
      </w:pPr>
    </w:p>
    <w:p>
      <w:pPr>
        <w:jc w:val="both"/>
        <w:ind w:firstLine="622"/>
        <w:spacing w:after="0" w:line="248" w:lineRule="auto"/>
        <w:tabs>
          <w:tab w:leader="none" w:pos="1042"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Nontransferability. </w:t>
      </w:r>
      <w:r>
        <w:rPr>
          <w:rFonts w:ascii="Times New Roman" w:cs="Times New Roman" w:eastAsia="Times New Roman" w:hAnsi="Times New Roman"/>
          <w:sz w:val="21"/>
          <w:szCs w:val="21"/>
          <w:color w:val="auto"/>
        </w:rPr>
        <w:t>During the Grantee’s lifetime, the Option is not transferable (voluntarily or involuntarily)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a Domestic Relations Order and, except as otherwise required pursuant to a Domestic Relations Order, is exercisable only by the Grantee or the Grantee’s court appointed legal representative. The Grantee may designate a beneficiary or beneficiaries to whom the Option will pass upon the Grantee’s death and may change such designation from time to time by filing a written designation of beneficiary or beneficiaries with the Company on such form as may be prescribed by the Company, provided that no such designation will be effective unless so filed prior to the death of the Grantee. If no such designation is made or if the designated beneficiary does not survive the Grantee’s death, the Option will pass by will or the laws of descent and distribution. Following the Grantee’s death, the Option, if otherwise exercisable, may be exercised by the person to whom such right passes according to this Section 8 and such person will be deemed the Grantee for purposes of any applicable provisions of this Agreement.</w:t>
      </w:r>
    </w:p>
    <w:p>
      <w:pPr>
        <w:spacing w:after="0" w:line="177" w:lineRule="exact"/>
        <w:rPr>
          <w:rFonts w:ascii="Times New Roman" w:cs="Times New Roman" w:eastAsia="Times New Roman" w:hAnsi="Times New Roman"/>
          <w:sz w:val="21"/>
          <w:szCs w:val="21"/>
          <w:b w:val="1"/>
          <w:bCs w:val="1"/>
          <w:color w:val="auto"/>
        </w:rPr>
      </w:pPr>
    </w:p>
    <w:p>
      <w:pPr>
        <w:jc w:val="both"/>
        <w:ind w:firstLine="622"/>
        <w:spacing w:after="0" w:line="257" w:lineRule="auto"/>
        <w:tabs>
          <w:tab w:leader="none" w:pos="1017"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Shareholder Rights. </w:t>
      </w:r>
      <w:r>
        <w:rPr>
          <w:rFonts w:ascii="Times New Roman" w:cs="Times New Roman" w:eastAsia="Times New Roman" w:hAnsi="Times New Roman"/>
          <w:sz w:val="21"/>
          <w:szCs w:val="21"/>
          <w:color w:val="auto"/>
        </w:rPr>
        <w:t>The Grantee will not, by reason of the Option granted under this Agreement, be deemed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 to be, or to have any of the rights of, a Shareholder with respect to any Option Shares, nor will the existence of this Agreement affect in any way the right or power of the Company or its Shareholders to accomplish any corporate act, including, without limitation, the acts referred to in Section 13.17 of the Plan.</w:t>
      </w:r>
    </w:p>
    <w:p>
      <w:pPr>
        <w:spacing w:after="0" w:line="164" w:lineRule="exact"/>
        <w:rPr>
          <w:rFonts w:ascii="Times New Roman" w:cs="Times New Roman" w:eastAsia="Times New Roman" w:hAnsi="Times New Roman"/>
          <w:sz w:val="21"/>
          <w:szCs w:val="21"/>
          <w:b w:val="1"/>
          <w:bCs w:val="1"/>
          <w:color w:val="auto"/>
        </w:rPr>
      </w:pPr>
    </w:p>
    <w:p>
      <w:pPr>
        <w:jc w:val="both"/>
        <w:ind w:firstLine="622"/>
        <w:spacing w:after="0" w:line="249" w:lineRule="auto"/>
        <w:tabs>
          <w:tab w:leader="none" w:pos="1133"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Adjustments. </w:t>
      </w:r>
      <w:r>
        <w:rPr>
          <w:rFonts w:ascii="Times New Roman" w:cs="Times New Roman" w:eastAsia="Times New Roman" w:hAnsi="Times New Roman"/>
          <w:sz w:val="21"/>
          <w:szCs w:val="21"/>
          <w:color w:val="auto"/>
        </w:rPr>
        <w:t>If the outstanding Shares are subdivided into a greater number of Shares (by Share dividend, Share split,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reclassification, alteration of capital, capitalization of profits, bonus issue or otherwise) or are combined into a smaller number of Shares (by reverse Share split, reclassification or otherwise), or if the Committee determines that any Share dividend, extraordinary cash dividend, alteration of capital, capitalization of profits, bonus issue, reclassification, recapitalization, reorganization, split-up, spin-off, combination, exchange of Shares, warrants or rights offering to purchase Shares, or other similar corporate event (including compromises or arrangements sanctioned by a court under section 899 of the Act, mergers or consolidations other than those which constitute Approved Transactions, which shall be governed by Section 13.1(b) of the Plan) affects the Shares such that an adjustment is required to preserve the benefits or potential benefits intended to be made available under this Agreement, then the Option will be subject to adjustment (including, without limitation, as to the number of Option Shares and the Exercise Price per Share) in the sole discretion of the Committee and in such manner as the Committee may deem equitable and appropriate in connection with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5" w:right="339" w:bottom="1440" w:gutter="0" w:footer="0" w:header="0"/>
        </w:sectPr>
      </w:pPr>
    </w:p>
    <w:bookmarkStart w:id="93" w:name="page94"/>
    <w:bookmarkEnd w:id="93"/>
    <w:p>
      <w:pPr>
        <w:spacing w:after="0" w:line="295" w:lineRule="auto"/>
        <w:rPr>
          <w:sz w:val="20"/>
          <w:szCs w:val="20"/>
          <w:color w:val="auto"/>
        </w:rPr>
      </w:pPr>
      <w:r>
        <w:rPr>
          <w:rFonts w:ascii="Times New Roman" w:cs="Times New Roman" w:eastAsia="Times New Roman" w:hAnsi="Times New Roman"/>
          <w:sz w:val="20"/>
          <w:szCs w:val="20"/>
          <w:color w:val="auto"/>
        </w:rPr>
        <w:t>occurrence of any of the events described in this Section 10 following the Effective Date; provided, however, that such adjustment shall be made in a manner that complies with the requirements of Code Section 409A and relevant authorities, to the extent applicable.</w:t>
      </w:r>
    </w:p>
    <w:p>
      <w:pPr>
        <w:spacing w:after="0" w:line="127" w:lineRule="exact"/>
        <w:rPr>
          <w:sz w:val="20"/>
          <w:szCs w:val="20"/>
          <w:color w:val="auto"/>
        </w:rPr>
      </w:pPr>
    </w:p>
    <w:p>
      <w:pPr>
        <w:jc w:val="both"/>
        <w:ind w:firstLine="622"/>
        <w:spacing w:after="0" w:line="252" w:lineRule="auto"/>
        <w:tabs>
          <w:tab w:leader="none" w:pos="111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Restrictions Imposed by Law. </w:t>
      </w:r>
      <w:r>
        <w:rPr>
          <w:rFonts w:ascii="Times New Roman" w:cs="Times New Roman" w:eastAsia="Times New Roman" w:hAnsi="Times New Roman"/>
          <w:sz w:val="21"/>
          <w:szCs w:val="21"/>
          <w:color w:val="auto"/>
        </w:rPr>
        <w:t>Without limiting the generality of Section 13.9 of the Plan, the Grantee will not exercise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Option, and the Company will not be obligated to make any cash payment or issue or cause to be issued any Shares if counsel to the Company determines that such exercise, payment, or issuance would violate any applicable law or any rule or regulation of any governmental authority or any rule or regulation of, or agreement of the Company with, any securities exchange or association upon which the Shares are listed or quoted. The Company will in no event be obligated to take any affirmative action in order to cause the exercise of the Option or the resulting payment of cash or issuance of Shares upon exercise to comply with any such law, rule, regulation or agreement.</w:t>
      </w:r>
    </w:p>
    <w:p>
      <w:pPr>
        <w:spacing w:after="0" w:line="171" w:lineRule="exact"/>
        <w:rPr>
          <w:rFonts w:ascii="Times New Roman" w:cs="Times New Roman" w:eastAsia="Times New Roman" w:hAnsi="Times New Roman"/>
          <w:sz w:val="21"/>
          <w:szCs w:val="21"/>
          <w:b w:val="1"/>
          <w:bCs w:val="1"/>
          <w:color w:val="auto"/>
        </w:rPr>
      </w:pPr>
    </w:p>
    <w:p>
      <w:pPr>
        <w:ind w:left="1080" w:hanging="458"/>
        <w:spacing w:after="0"/>
        <w:tabs>
          <w:tab w:leader="none" w:pos="108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Notice. </w:t>
      </w:r>
      <w:r>
        <w:rPr>
          <w:rFonts w:ascii="Times New Roman" w:cs="Times New Roman" w:eastAsia="Times New Roman" w:hAnsi="Times New Roman"/>
          <w:sz w:val="21"/>
          <w:szCs w:val="21"/>
          <w:color w:val="auto"/>
        </w:rPr>
        <w:t>Unless the Company notifies the Grantee in writing of a different procedure:</w:t>
      </w:r>
    </w:p>
    <w:p>
      <w:pPr>
        <w:spacing w:after="0" w:line="214" w:lineRule="exact"/>
        <w:rPr>
          <w:sz w:val="20"/>
          <w:szCs w:val="20"/>
          <w:color w:val="auto"/>
        </w:rPr>
      </w:pPr>
    </w:p>
    <w:p>
      <w:pPr>
        <w:jc w:val="both"/>
        <w:ind w:left="620" w:firstLine="621"/>
        <w:spacing w:after="0" w:line="256" w:lineRule="auto"/>
        <w:tabs>
          <w:tab w:leader="none" w:pos="153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 or other communication to the Company with respect to this Agreement (other than a notice of exercise pursuant to Section 4 of this Agreement) will be in writing and will be delivered personally or sent by United States first class or local country mail, postage prepaid, overnight courier, freight prepaid or sent by facsimile and addressed as follows:</w:t>
      </w:r>
    </w:p>
    <w:p>
      <w:pPr>
        <w:spacing w:after="0" w:line="1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Liberty Global Ltd.</w:t>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c/o Liberty Global, Inc.</w:t>
      </w:r>
    </w:p>
    <w:p>
      <w:pPr>
        <w:spacing w:after="0" w:line="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1550 Wewatta Street, Suite 1000</w:t>
      </w:r>
    </w:p>
    <w:p>
      <w:pPr>
        <w:spacing w:after="0" w:line="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Denver, Colorado 80202</w:t>
      </w:r>
    </w:p>
    <w:p>
      <w:pPr>
        <w:spacing w:after="0" w:line="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214" w:lineRule="exact"/>
        <w:rPr>
          <w:sz w:val="20"/>
          <w:szCs w:val="20"/>
          <w:color w:val="auto"/>
        </w:rPr>
      </w:pPr>
    </w:p>
    <w:p>
      <w:pPr>
        <w:ind w:left="620" w:firstLine="621"/>
        <w:spacing w:after="0" w:line="282" w:lineRule="auto"/>
        <w:tabs>
          <w:tab w:leader="none" w:pos="155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 of exercise pursuant to Section 4 will be made to the Third Party Administrator, Solium Capital LLC (Shareworks), either through its Shareworks website at https://shareworks.solium.com/ or by telephone at 1-877-380-7793.</w:t>
      </w:r>
    </w:p>
    <w:p>
      <w:pPr>
        <w:spacing w:after="0" w:line="14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Effective Date, unless the Company has received written notification from the Grantee of a change of address.</w:t>
      </w:r>
    </w:p>
    <w:p>
      <w:pPr>
        <w:spacing w:after="0" w:line="181" w:lineRule="exact"/>
        <w:rPr>
          <w:sz w:val="20"/>
          <w:szCs w:val="20"/>
          <w:color w:val="auto"/>
        </w:rPr>
      </w:pPr>
    </w:p>
    <w:p>
      <w:pPr>
        <w:ind w:firstLine="622"/>
        <w:spacing w:after="0" w:line="273" w:lineRule="auto"/>
        <w:tabs>
          <w:tab w:leader="none" w:pos="1071" w:val="left"/>
        </w:tabs>
        <w:numPr>
          <w:ilvl w:val="1"/>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Amendment. </w:t>
      </w:r>
      <w:r>
        <w:rPr>
          <w:rFonts w:ascii="Times New Roman" w:cs="Times New Roman" w:eastAsia="Times New Roman" w:hAnsi="Times New Roman"/>
          <w:sz w:val="21"/>
          <w:szCs w:val="21"/>
          <w:color w:val="auto"/>
        </w:rPr>
        <w:t>Notwithstanding any other provision hereof, this Agreement may be supplemented or amended from time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as approved by the Committee. Without limiting the generality of the foregoing, without the consent of the Grantee,</w:t>
      </w:r>
    </w:p>
    <w:p>
      <w:pPr>
        <w:spacing w:after="0" w:line="150" w:lineRule="exact"/>
        <w:rPr>
          <w:rFonts w:ascii="Times New Roman" w:cs="Times New Roman" w:eastAsia="Times New Roman" w:hAnsi="Times New Roman"/>
          <w:sz w:val="21"/>
          <w:szCs w:val="21"/>
          <w:b w:val="1"/>
          <w:bCs w:val="1"/>
          <w:color w:val="auto"/>
        </w:rPr>
      </w:pPr>
    </w:p>
    <w:p>
      <w:pPr>
        <w:jc w:val="both"/>
        <w:ind w:firstLine="1241"/>
        <w:spacing w:after="0" w:line="267" w:lineRule="auto"/>
        <w:tabs>
          <w:tab w:leader="none" w:pos="1769"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amended or supplemented from time to time as approved by the Board (i) to cure any ambiguity or to correct or supplement any provision herein which may be defective or inconsistent with any other provision herein, or</w:t>
      </w:r>
    </w:p>
    <w:p>
      <w:pPr>
        <w:ind w:left="300" w:hanging="297"/>
        <w:spacing w:after="0"/>
        <w:tabs>
          <w:tab w:leader="none" w:pos="3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add to the covenants and agreements of the Company for the benefit of the Grantee or surrender any right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5" w:right="339" w:bottom="1440" w:gutter="0" w:footer="0" w:header="0"/>
        </w:sectPr>
      </w:pPr>
    </w:p>
    <w:bookmarkStart w:id="94" w:name="page95"/>
    <w:bookmarkEnd w:id="94"/>
    <w:p>
      <w:pPr>
        <w:jc w:val="both"/>
        <w:spacing w:after="0" w:line="251" w:lineRule="auto"/>
        <w:rPr>
          <w:sz w:val="20"/>
          <w:szCs w:val="20"/>
          <w:color w:val="auto"/>
        </w:rPr>
      </w:pPr>
      <w:r>
        <w:rPr>
          <w:rFonts w:ascii="Times New Roman" w:cs="Times New Roman" w:eastAsia="Times New Roman" w:hAnsi="Times New Roman"/>
          <w:sz w:val="21"/>
          <w:szCs w:val="21"/>
          <w:color w:val="auto"/>
        </w:rPr>
        <w:t>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74" w:lineRule="exact"/>
        <w:rPr>
          <w:sz w:val="20"/>
          <w:szCs w:val="20"/>
          <w:color w:val="auto"/>
        </w:rPr>
      </w:pPr>
    </w:p>
    <w:p>
      <w:pPr>
        <w:jc w:val="both"/>
        <w:ind w:firstLine="1241"/>
        <w:spacing w:after="0" w:line="256" w:lineRule="auto"/>
        <w:tabs>
          <w:tab w:leader="none" w:pos="172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required action by the Board or the Shareholders, the Option granted under this Agreement may be canceled by the Company and a new Award made in substitution therefor, provided that the Award so substituted will satisfy all of the requirements of the Plan as of the date such new Award is made and no such action will adversely affect the Option to the extent then exercisable.</w:t>
      </w:r>
    </w:p>
    <w:p>
      <w:pPr>
        <w:spacing w:after="0" w:line="164" w:lineRule="exact"/>
        <w:rPr>
          <w:rFonts w:ascii="Times New Roman" w:cs="Times New Roman" w:eastAsia="Times New Roman" w:hAnsi="Times New Roman"/>
          <w:sz w:val="21"/>
          <w:szCs w:val="21"/>
          <w:color w:val="auto"/>
        </w:rPr>
      </w:pPr>
    </w:p>
    <w:p>
      <w:pPr>
        <w:jc w:val="both"/>
        <w:ind w:firstLine="622"/>
        <w:spacing w:after="0" w:line="258" w:lineRule="auto"/>
        <w:tabs>
          <w:tab w:leader="none" w:pos="1134"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Status as Director. </w:t>
      </w:r>
      <w:r>
        <w:rPr>
          <w:rFonts w:ascii="Times New Roman" w:cs="Times New Roman" w:eastAsia="Times New Roman" w:hAnsi="Times New Roman"/>
          <w:sz w:val="21"/>
          <w:szCs w:val="21"/>
          <w:color w:val="auto"/>
        </w:rPr>
        <w:t>Nothing contained in this Agreement, and no action of the Company or the Committee with respect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will confer or be construed to confer on the Grantee any right to continue as a director of the Company or interfere in any way with the right of the Company or its Shareholders to terminate the Grantee’s status as a director at any time, with or without cause.</w:t>
      </w:r>
    </w:p>
    <w:p>
      <w:pPr>
        <w:spacing w:after="0" w:line="162" w:lineRule="exact"/>
        <w:rPr>
          <w:rFonts w:ascii="Times New Roman" w:cs="Times New Roman" w:eastAsia="Times New Roman" w:hAnsi="Times New Roman"/>
          <w:sz w:val="21"/>
          <w:szCs w:val="21"/>
          <w:b w:val="1"/>
          <w:bCs w:val="1"/>
          <w:color w:val="auto"/>
        </w:rPr>
      </w:pPr>
    </w:p>
    <w:p>
      <w:pPr>
        <w:jc w:val="both"/>
        <w:ind w:firstLine="622"/>
        <w:spacing w:after="0" w:line="254" w:lineRule="auto"/>
        <w:tabs>
          <w:tab w:leader="none" w:pos="1252"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Nonalienation of Benefits. </w:t>
      </w:r>
      <w:r>
        <w:rPr>
          <w:rFonts w:ascii="Times New Roman" w:cs="Times New Roman" w:eastAsia="Times New Roman" w:hAnsi="Times New Roman"/>
          <w:sz w:val="21"/>
          <w:szCs w:val="21"/>
          <w:color w:val="auto"/>
        </w:rPr>
        <w:t>Except as provided in Section 8 of this Agreement, (i) no right or benefit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66" w:lineRule="exact"/>
        <w:rPr>
          <w:rFonts w:ascii="Times New Roman" w:cs="Times New Roman" w:eastAsia="Times New Roman" w:hAnsi="Times New Roman"/>
          <w:sz w:val="21"/>
          <w:szCs w:val="21"/>
          <w:b w:val="1"/>
          <w:bCs w:val="1"/>
          <w:color w:val="auto"/>
        </w:rPr>
      </w:pPr>
    </w:p>
    <w:p>
      <w:pPr>
        <w:jc w:val="both"/>
        <w:ind w:firstLine="622"/>
        <w:spacing w:after="0" w:line="267" w:lineRule="auto"/>
        <w:tabs>
          <w:tab w:leader="none" w:pos="116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The validity, interpretation, construction and performance of this Agreement shall be governed 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respects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Times New Roman" w:cs="Times New Roman" w:eastAsia="Times New Roman" w:hAnsi="Times New Roman"/>
          <w:sz w:val="20"/>
          <w:szCs w:val="20"/>
          <w:i w:val="1"/>
          <w:iCs w:val="1"/>
          <w:color w:val="auto"/>
        </w:rPr>
        <w:t>forum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non conveniens </w:t>
      </w:r>
      <w:r>
        <w:rPr>
          <w:rFonts w:ascii="Times New Roman" w:cs="Times New Roman" w:eastAsia="Times New Roman" w:hAnsi="Times New Roman"/>
          <w:sz w:val="20"/>
          <w:szCs w:val="20"/>
          <w:color w:val="auto"/>
        </w:rPr>
        <w:t>to any such action brought in such courts. EACH PARTY HEREBY WAIVES ITS RIGHT TO TRIAL BY JURY.</w:t>
      </w:r>
    </w:p>
    <w:p>
      <w:pPr>
        <w:spacing w:after="0" w:line="155" w:lineRule="exact"/>
        <w:rPr>
          <w:rFonts w:ascii="Times New Roman" w:cs="Times New Roman" w:eastAsia="Times New Roman" w:hAnsi="Times New Roman"/>
          <w:sz w:val="20"/>
          <w:szCs w:val="20"/>
          <w:b w:val="1"/>
          <w:bCs w:val="1"/>
          <w:color w:val="auto"/>
        </w:rPr>
      </w:pPr>
    </w:p>
    <w:p>
      <w:pPr>
        <w:jc w:val="both"/>
        <w:ind w:firstLine="622"/>
        <w:spacing w:after="0" w:line="250" w:lineRule="auto"/>
        <w:tabs>
          <w:tab w:leader="none" w:pos="1186"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Construction. </w:t>
      </w:r>
      <w:r>
        <w:rPr>
          <w:rFonts w:ascii="Times New Roman" w:cs="Times New Roman" w:eastAsia="Times New Roman" w:hAnsi="Times New Roman"/>
          <w:sz w:val="21"/>
          <w:szCs w:val="21"/>
          <w:color w:val="auto"/>
        </w:rPr>
        <w:t>References in this Agreement to “this Agreement” and the words “herein,” “hereof,” “hereunder”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similar terms include all Exhibits and Schedules appended hereto, including the Plan.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5" w:right="339" w:bottom="1440" w:gutter="0" w:footer="0" w:header="0"/>
        </w:sectPr>
      </w:pPr>
    </w:p>
    <w:bookmarkStart w:id="95" w:name="page96"/>
    <w:bookmarkEnd w:id="95"/>
    <w:p>
      <w:pPr>
        <w:spacing w:after="0" w:line="269" w:lineRule="auto"/>
        <w:rPr>
          <w:sz w:val="20"/>
          <w:szCs w:val="20"/>
          <w:color w:val="auto"/>
        </w:rPr>
      </w:pPr>
      <w:r>
        <w:rPr>
          <w:rFonts w:ascii="Times New Roman" w:cs="Times New Roman" w:eastAsia="Times New Roman" w:hAnsi="Times New Roman"/>
          <w:sz w:val="21"/>
          <w:szCs w:val="21"/>
          <w:color w:val="auto"/>
        </w:rPr>
        <w:t>convenience of reference only, are not to be considered a part hereof and will in no way modify or restrict any of the terms or provisions hereof.</w:t>
      </w:r>
    </w:p>
    <w:p>
      <w:pPr>
        <w:spacing w:after="0" w:line="151" w:lineRule="exact"/>
        <w:rPr>
          <w:sz w:val="20"/>
          <w:szCs w:val="20"/>
          <w:color w:val="auto"/>
        </w:rPr>
      </w:pPr>
    </w:p>
    <w:p>
      <w:pPr>
        <w:jc w:val="both"/>
        <w:ind w:firstLine="622"/>
        <w:spacing w:after="0" w:line="264" w:lineRule="auto"/>
        <w:tabs>
          <w:tab w:leader="none" w:pos="1091"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Duplicate Originals. </w:t>
      </w:r>
      <w:r>
        <w:rPr>
          <w:rFonts w:ascii="Times New Roman" w:cs="Times New Roman" w:eastAsia="Times New Roman" w:hAnsi="Times New Roman"/>
          <w:sz w:val="21"/>
          <w:szCs w:val="21"/>
          <w:color w:val="auto"/>
        </w:rPr>
        <w:t>The Company and the Grantee may sign any number of copies of this Agreement. Each signed copy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an original, but all of them together represent the same agreement. Counterparts to this Agreement may be delivered via PDF or electronic means.</w:t>
      </w:r>
    </w:p>
    <w:p>
      <w:pPr>
        <w:spacing w:after="0" w:line="157" w:lineRule="exact"/>
        <w:rPr>
          <w:rFonts w:ascii="Times New Roman" w:cs="Times New Roman" w:eastAsia="Times New Roman" w:hAnsi="Times New Roman"/>
          <w:sz w:val="21"/>
          <w:szCs w:val="21"/>
          <w:b w:val="1"/>
          <w:bCs w:val="1"/>
          <w:color w:val="auto"/>
        </w:rPr>
      </w:pPr>
    </w:p>
    <w:p>
      <w:pPr>
        <w:jc w:val="both"/>
        <w:ind w:firstLine="622"/>
        <w:spacing w:after="0" w:line="258" w:lineRule="auto"/>
        <w:tabs>
          <w:tab w:leader="none" w:pos="1149"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Rules by Committee. </w:t>
      </w:r>
      <w:r>
        <w:rPr>
          <w:rFonts w:ascii="Times New Roman" w:cs="Times New Roman" w:eastAsia="Times New Roman" w:hAnsi="Times New Roman"/>
          <w:sz w:val="21"/>
          <w:szCs w:val="21"/>
          <w:color w:val="auto"/>
        </w:rPr>
        <w:t>The rights of the Grantee and the obligations of the Company hereunder will be subject to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reasonable rules and regulations as the Committee, in its discretion and as contemplated by Section 3.3 of the Plan, may adopt from time to time.</w:t>
      </w:r>
    </w:p>
    <w:p>
      <w:pPr>
        <w:spacing w:after="0" w:line="175" w:lineRule="exact"/>
        <w:rPr>
          <w:rFonts w:ascii="Times New Roman" w:cs="Times New Roman" w:eastAsia="Times New Roman" w:hAnsi="Times New Roman"/>
          <w:sz w:val="21"/>
          <w:szCs w:val="21"/>
          <w:b w:val="1"/>
          <w:bCs w:val="1"/>
          <w:color w:val="auto"/>
        </w:rPr>
      </w:pPr>
    </w:p>
    <w:p>
      <w:pPr>
        <w:jc w:val="both"/>
        <w:ind w:firstLine="622"/>
        <w:spacing w:after="0" w:line="249" w:lineRule="auto"/>
        <w:tabs>
          <w:tab w:leader="none" w:pos="1083"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Entire Agreement. </w:t>
      </w:r>
      <w:r>
        <w:rPr>
          <w:rFonts w:ascii="Times New Roman" w:cs="Times New Roman" w:eastAsia="Times New Roman" w:hAnsi="Times New Roman"/>
          <w:sz w:val="21"/>
          <w:szCs w:val="21"/>
          <w:color w:val="auto"/>
        </w:rPr>
        <w:t>This Agreement is in satisfaction of and in lieu of all prior discussions and agreements, oral or written,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permitted assigns.</w:t>
      </w:r>
    </w:p>
    <w:p>
      <w:pPr>
        <w:spacing w:after="0" w:line="185" w:lineRule="exact"/>
        <w:rPr>
          <w:rFonts w:ascii="Times New Roman" w:cs="Times New Roman" w:eastAsia="Times New Roman" w:hAnsi="Times New Roman"/>
          <w:sz w:val="21"/>
          <w:szCs w:val="21"/>
          <w:b w:val="1"/>
          <w:bCs w:val="1"/>
          <w:color w:val="auto"/>
        </w:rPr>
      </w:pPr>
    </w:p>
    <w:p>
      <w:pPr>
        <w:ind w:firstLine="622"/>
        <w:spacing w:after="0" w:line="273" w:lineRule="auto"/>
        <w:tabs>
          <w:tab w:leader="none" w:pos="1117"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Grantee Acceptance. </w:t>
      </w:r>
      <w:r>
        <w:rPr>
          <w:rFonts w:ascii="Times New Roman" w:cs="Times New Roman" w:eastAsia="Times New Roman" w:hAnsi="Times New Roman"/>
          <w:sz w:val="21"/>
          <w:szCs w:val="21"/>
          <w:color w:val="auto"/>
        </w:rPr>
        <w:t>The Grantee will signify acceptance of the terms and conditions of this Agreement by signing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in the space provided below and returning a signed copy to the Company.</w:t>
      </w:r>
    </w:p>
    <w:p>
      <w:pPr>
        <w:spacing w:after="0" w:line="146" w:lineRule="exact"/>
        <w:rPr>
          <w:rFonts w:ascii="Times New Roman" w:cs="Times New Roman" w:eastAsia="Times New Roman" w:hAnsi="Times New Roman"/>
          <w:sz w:val="21"/>
          <w:szCs w:val="21"/>
          <w:b w:val="1"/>
          <w:bCs w:val="1"/>
          <w:color w:val="auto"/>
        </w:rPr>
      </w:pPr>
    </w:p>
    <w:p>
      <w:pPr>
        <w:ind w:left="1080" w:hanging="458"/>
        <w:spacing w:after="0"/>
        <w:tabs>
          <w:tab w:leader="none" w:pos="1080"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Data Privacy</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b w:val="1"/>
          <w:bCs w:val="1"/>
          <w:color w:val="auto"/>
        </w:rPr>
      </w:pPr>
    </w:p>
    <w:p>
      <w:pPr>
        <w:jc w:val="both"/>
        <w:ind w:firstLine="1241"/>
        <w:spacing w:after="0" w:line="265" w:lineRule="auto"/>
        <w:tabs>
          <w:tab w:leader="none" w:pos="193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60" w:lineRule="exact"/>
        <w:rPr>
          <w:rFonts w:ascii="Times New Roman" w:cs="Times New Roman" w:eastAsia="Times New Roman" w:hAnsi="Times New Roman"/>
          <w:sz w:val="20"/>
          <w:szCs w:val="20"/>
          <w:color w:val="auto"/>
        </w:rPr>
      </w:pPr>
    </w:p>
    <w:p>
      <w:pPr>
        <w:jc w:val="both"/>
        <w:ind w:firstLine="1241"/>
        <w:spacing w:after="0" w:line="251" w:lineRule="auto"/>
        <w:tabs>
          <w:tab w:leader="none" w:pos="1852"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5"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21"/>
          <w:szCs w:val="21"/>
          <w:color w:val="auto"/>
        </w:rPr>
        <w:t>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81" w:lineRule="exact"/>
        <w:rPr>
          <w:sz w:val="20"/>
          <w:szCs w:val="20"/>
          <w:color w:val="auto"/>
        </w:rPr>
      </w:pPr>
    </w:p>
    <w:p>
      <w:pPr>
        <w:jc w:val="both"/>
        <w:ind w:firstLine="1241"/>
        <w:spacing w:after="0" w:line="264" w:lineRule="auto"/>
        <w:tabs>
          <w:tab w:leader="none" w:pos="170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Options or other equity awards or administer or maintain such awards. For more information on the privacy of the Data, the Grantee may contact the Grantee’s local human resources representative.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5" w:right="339" w:bottom="1440" w:gutter="0" w:footer="0" w:header="0"/>
        </w:sectPr>
      </w:pPr>
    </w:p>
    <w:bookmarkStart w:id="97" w:name="page98"/>
    <w:bookmarkEnd w:id="97"/>
    <w:p>
      <w:pPr>
        <w:ind w:left="200" w:right="779" w:firstLine="1673"/>
        <w:spacing w:after="0" w:line="273" w:lineRule="auto"/>
        <w:rPr>
          <w:sz w:val="20"/>
          <w:szCs w:val="20"/>
          <w:color w:val="auto"/>
        </w:rPr>
      </w:pPr>
      <w:r>
        <w:rPr>
          <w:rFonts w:ascii="Times New Roman" w:cs="Times New Roman" w:eastAsia="Times New Roman" w:hAnsi="Times New Roman"/>
          <w:sz w:val="21"/>
          <w:szCs w:val="21"/>
          <w:b w:val="1"/>
          <w:bCs w:val="1"/>
          <w:color w:val="auto"/>
        </w:rPr>
        <w:t>Signature Block to Non-Qualified Share Option Agreement (Liberty Global Class __) dated as of _____________ ___, 20__between Liberty Global Ltd. and Grantee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LIBERTY GLOBAL LTD.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-13970</wp:posOffset>
            </wp:positionV>
            <wp:extent cx="1308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5" w:lineRule="exact"/>
        <w:rPr>
          <w:sz w:val="20"/>
          <w:szCs w:val="20"/>
          <w:color w:val="auto"/>
        </w:rPr>
      </w:pPr>
    </w:p>
    <w:p>
      <w:pPr>
        <w:ind w:left="3720"/>
        <w:spacing w:after="0"/>
        <w:tabs>
          <w:tab w:leader="none" w:pos="446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Bryan H. Hall</w:t>
      </w:r>
    </w:p>
    <w:p>
      <w:pPr>
        <w:spacing w:after="0" w:line="3" w:lineRule="exact"/>
        <w:rPr>
          <w:sz w:val="20"/>
          <w:szCs w:val="20"/>
          <w:color w:val="auto"/>
        </w:rPr>
      </w:pPr>
    </w:p>
    <w:p>
      <w:pPr>
        <w:ind w:left="3720"/>
        <w:spacing w:after="0"/>
        <w:tabs>
          <w:tab w:leader="none" w:pos="43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Executive Vice President</w:t>
      </w:r>
    </w:p>
    <w:p>
      <w:pPr>
        <w:spacing w:after="0" w:line="200" w:lineRule="exact"/>
        <w:rPr>
          <w:sz w:val="20"/>
          <w:szCs w:val="20"/>
          <w:color w:val="auto"/>
        </w:rPr>
      </w:pPr>
    </w:p>
    <w:p>
      <w:pPr>
        <w:spacing w:after="0" w:line="24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288290</wp:posOffset>
            </wp:positionV>
            <wp:extent cx="1308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720"/>
        <w:spacing w:after="0"/>
        <w:tabs>
          <w:tab w:leader="none" w:pos="5200" w:val="left"/>
        </w:tabs>
        <w:rPr>
          <w:sz w:val="20"/>
          <w:szCs w:val="20"/>
          <w:color w:val="auto"/>
        </w:rPr>
      </w:pPr>
      <w:r>
        <w:rPr>
          <w:rFonts w:ascii="Times New Roman" w:cs="Times New Roman" w:eastAsia="Times New Roman" w:hAnsi="Times New Roman"/>
          <w:sz w:val="21"/>
          <w:szCs w:val="21"/>
          <w:color w:val="auto"/>
        </w:rPr>
        <w:t>Grantee Name:</w:t>
      </w:r>
      <w:r>
        <w:rPr>
          <w:sz w:val="20"/>
          <w:szCs w:val="20"/>
          <w:color w:val="auto"/>
        </w:rPr>
        <w:tab/>
      </w:r>
      <w:r>
        <w:rPr>
          <w:rFonts w:ascii="Times New Roman" w:cs="Times New Roman" w:eastAsia="Times New Roman" w:hAnsi="Times New Roman"/>
          <w:sz w:val="20"/>
          <w:szCs w:val="20"/>
          <w:color w:val="auto"/>
        </w:rPr>
        <w:t>__________________________</w:t>
      </w:r>
    </w:p>
    <w:p>
      <w:pPr>
        <w:spacing w:after="0" w:line="25" w:lineRule="exact"/>
        <w:rPr>
          <w:sz w:val="20"/>
          <w:szCs w:val="20"/>
          <w:color w:val="auto"/>
        </w:rPr>
      </w:pPr>
    </w:p>
    <w:p>
      <w:pPr>
        <w:ind w:left="3720"/>
        <w:spacing w:after="0"/>
        <w:tabs>
          <w:tab w:leader="none" w:pos="4840" w:val="left"/>
        </w:tabs>
        <w:rPr>
          <w:sz w:val="20"/>
          <w:szCs w:val="20"/>
          <w:color w:val="auto"/>
        </w:rPr>
      </w:pPr>
      <w:r>
        <w:rPr>
          <w:rFonts w:ascii="Times New Roman" w:cs="Times New Roman" w:eastAsia="Times New Roman" w:hAnsi="Times New Roman"/>
          <w:sz w:val="21"/>
          <w:szCs w:val="21"/>
          <w:color w:val="auto"/>
        </w:rPr>
        <w:t>Address:</w:t>
      </w:r>
      <w:r>
        <w:rPr>
          <w:sz w:val="20"/>
          <w:szCs w:val="20"/>
          <w:color w:val="auto"/>
        </w:rPr>
        <w:tab/>
      </w:r>
      <w:r>
        <w:rPr>
          <w:rFonts w:ascii="Times New Roman" w:cs="Times New Roman" w:eastAsia="Times New Roman" w:hAnsi="Times New Roman"/>
          <w:sz w:val="21"/>
          <w:szCs w:val="21"/>
          <w:color w:val="auto"/>
        </w:rPr>
        <w:t>_________________________</w:t>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Director Number: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ID: _________________________</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 of LBTY__ Shares as to which the Option is granted: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139"/>
          </w:cols>
          <w:pgMar w:left="320" w:top="1361"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[Liberty Global Class 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LIBERTY GLOBAL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2023 INCENTIVE PLAN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effective November 24, 2023)</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SHARE UNITS AGREEMENT</w:t>
      </w:r>
    </w:p>
    <w:p>
      <w:pPr>
        <w:spacing w:after="0" w:line="200" w:lineRule="exact"/>
        <w:rPr>
          <w:sz w:val="20"/>
          <w:szCs w:val="20"/>
          <w:color w:val="auto"/>
        </w:rPr>
      </w:pP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THIS RESTRICTED SHARE UNITS AGREEMENT (this “Agreement”) is made as of _____________ ___, 20__ (the “Grant</w:t>
      </w:r>
    </w:p>
    <w:p>
      <w:pPr>
        <w:spacing w:after="0" w:line="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Date”), by and between LIBERTY GLOBAL LTD., a Bermuda exempted company limited by shares, as successor by scheme of arrangement to Liberty Global plc (the “Company”), and the individual whose name, address, and director number appear on the signature page hereto (the “Grantee”).</w:t>
      </w:r>
    </w:p>
    <w:p>
      <w:pPr>
        <w:spacing w:after="0" w:line="17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The Company has adopted the Liberty Global 2023 Incentive Plan effective November 24, 2023, as may be amended, restated, or otherwise modified (the “Plan”), which by this reference is made a part hereof, for the benefit of eligible Nonemployee Directors of the Company. Capitalized terms used and not otherwise defined herein will have the meaning given to them in the Plan.</w:t>
      </w:r>
    </w:p>
    <w:p>
      <w:pPr>
        <w:spacing w:after="0" w:line="168"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0"/>
          <w:szCs w:val="20"/>
          <w:color w:val="auto"/>
        </w:rPr>
        <w:t>Pursuant to the Plan, the Compensation Committee of the Company’s board of directors (the “Committee”) has determined that it is in the best interest of the Company and its Shareholders to award Restricted Share Units to the Grantee, subject to the conditions and restrictions set forth herein and in the Plan, in order to provide the Grantee additional remuneration for services rendered as a nonemployee director and to increase the Grantee’s personal interest in the continued success and progress of the Company.</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Company and the Grantee therefore agree as follows:</w:t>
      </w:r>
    </w:p>
    <w:p>
      <w:pPr>
        <w:spacing w:after="0" w:line="206" w:lineRule="exact"/>
        <w:rPr>
          <w:sz w:val="20"/>
          <w:szCs w:val="20"/>
          <w:color w:val="auto"/>
        </w:rPr>
      </w:pPr>
    </w:p>
    <w:p>
      <w:pPr>
        <w:ind w:firstLine="622"/>
        <w:spacing w:after="0" w:line="273" w:lineRule="auto"/>
        <w:tabs>
          <w:tab w:leader="none" w:pos="1031"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The following terms, when used in this Agreement, have the following meanings and capitalized terms used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not otherwise defined herein shall have the meaning given thereto in the Plan:</w:t>
      </w:r>
    </w:p>
    <w:p>
      <w:pPr>
        <w:spacing w:after="0" w:line="1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“Act” means the U.K. Companies Act 2006, as amended from time to time, and the rules and regulations thereunder.</w:t>
      </w:r>
    </w:p>
    <w:p>
      <w:pPr>
        <w:spacing w:after="0" w:line="210"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“Annual Meeting Date” means the date the annual general meeting of Shareholders at which directors are elected in accordance with the Act is held in any calendar year.</w:t>
      </w:r>
    </w:p>
    <w:p>
      <w:pPr>
        <w:spacing w:after="0" w:line="155"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“Business Day” means any day other than Saturday, Sunday or a day on which banking institutions in Denver, Colorado, are required or authorized to be closed.</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“Cause” has the meaning specified for “cause” in Section 13.2(c) of the Plan.</w:t>
      </w:r>
    </w:p>
    <w:p>
      <w:pPr>
        <w:spacing w:after="0" w:line="200" w:lineRule="exact"/>
        <w:rPr>
          <w:sz w:val="20"/>
          <w:szCs w:val="20"/>
          <w:color w:val="auto"/>
        </w:rPr>
      </w:pPr>
    </w:p>
    <w:p>
      <w:pPr>
        <w:spacing w:after="0" w:line="3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23" w:right="339" w:bottom="1440" w:gutter="0" w:footer="0" w:header="0"/>
        </w:sectPr>
      </w:pPr>
    </w:p>
    <w:bookmarkStart w:id="99" w:name="page100"/>
    <w:bookmarkEnd w:id="99"/>
    <w:p>
      <w:pPr>
        <w:spacing w:after="0" w:line="131"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“Code” means the U.S. Internal Revenue Code of 1986, as it may be amended from time to time, or any successor statute thereto. References to any specific Code section shall include any successor section.</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“Committee” has the meaning specified in the preamble to this Agreement.</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“Company” has the meaning specified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“Grant Date” has the meaning specified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“Grantee” has the meaning specified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“LBTY__” and “Share” means the Liberty Global Class C common shares, nominal value $0.01 per share,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w:t>
      </w:r>
    </w:p>
    <w:p>
      <w:pPr>
        <w:spacing w:after="0" w:line="2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“Plan” has the meaning specified in the preamble to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“Required Withholding Amount” has the meaning specified in Section 13 of this Agreement.</w:t>
      </w:r>
    </w:p>
    <w:p>
      <w:pPr>
        <w:spacing w:after="0" w:line="21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“Retirement” means the voluntary termination of the Grantee’s service as a Nonemployee Director on or after the date that the sum of the Grantee’s years of age and years of service as a Nonemployee director is at least 70.</w:t>
      </w:r>
    </w:p>
    <w:p>
      <w:pPr>
        <w:spacing w:after="0" w:line="155" w:lineRule="exact"/>
        <w:rPr>
          <w:sz w:val="20"/>
          <w:szCs w:val="20"/>
          <w:color w:val="auto"/>
        </w:rPr>
      </w:pPr>
    </w:p>
    <w:p>
      <w:pPr>
        <w:jc w:val="both"/>
        <w:ind w:firstLine="1238"/>
        <w:spacing w:after="0" w:line="262" w:lineRule="auto"/>
        <w:rPr>
          <w:sz w:val="20"/>
          <w:szCs w:val="20"/>
          <w:color w:val="auto"/>
        </w:rPr>
      </w:pPr>
      <w:r>
        <w:rPr>
          <w:rFonts w:ascii="Times New Roman" w:cs="Times New Roman" w:eastAsia="Times New Roman" w:hAnsi="Times New Roman"/>
          <w:sz w:val="21"/>
          <w:szCs w:val="21"/>
          <w:color w:val="auto"/>
        </w:rPr>
        <w:t>“Restricted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 Article IX of the Plan.</w:t>
      </w:r>
    </w:p>
    <w:p>
      <w:pPr>
        <w:spacing w:after="0" w:line="163"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“RSU Dividend Equivalents” means, to the extent specified by the Committee, an amount equal to all dividends and other distributions (or the economic equivalent thereof) which are payable or transferable to Shareholders of record during the Restriction Period on a like number of the Shares represented by the Restricted Share Units.</w:t>
      </w:r>
    </w:p>
    <w:p>
      <w:pPr>
        <w:spacing w:after="0" w:line="168" w:lineRule="exact"/>
        <w:rPr>
          <w:sz w:val="20"/>
          <w:szCs w:val="20"/>
          <w:color w:val="auto"/>
        </w:rPr>
      </w:pPr>
    </w:p>
    <w:p>
      <w:pPr>
        <w:jc w:val="both"/>
        <w:ind w:firstLine="1238"/>
        <w:spacing w:after="0" w:line="282" w:lineRule="auto"/>
        <w:rPr>
          <w:sz w:val="20"/>
          <w:szCs w:val="20"/>
          <w:color w:val="auto"/>
        </w:rPr>
      </w:pPr>
      <w:r>
        <w:rPr>
          <w:rFonts w:ascii="Times New Roman" w:cs="Times New Roman" w:eastAsia="Times New Roman" w:hAnsi="Times New Roman"/>
          <w:sz w:val="21"/>
          <w:szCs w:val="21"/>
          <w:color w:val="auto"/>
        </w:rPr>
        <w:t>“Section 409A Payment Date” means, with respect to any Vesting Date, the March 15 of the calendar year following the calendar year in which such Vesting Date occurred.</w:t>
      </w:r>
    </w:p>
    <w:p>
      <w:pPr>
        <w:spacing w:after="0" w:line="142"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“Vesting Date” means each date on which any Restricted Share Units cease to be subject to a risk of forfeiture, as determined in accordance with this Agreement and the Plan.</w:t>
      </w:r>
    </w:p>
    <w:p>
      <w:pPr>
        <w:spacing w:after="0" w:line="151" w:lineRule="exact"/>
        <w:rPr>
          <w:sz w:val="20"/>
          <w:szCs w:val="20"/>
          <w:color w:val="auto"/>
        </w:rPr>
      </w:pPr>
    </w:p>
    <w:p>
      <w:pPr>
        <w:jc w:val="both"/>
        <w:ind w:firstLine="622"/>
        <w:spacing w:after="0" w:line="257" w:lineRule="auto"/>
        <w:tabs>
          <w:tab w:leader="none" w:pos="993"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Grant of Restricted Share Units</w:t>
      </w:r>
      <w:r>
        <w:rPr>
          <w:rFonts w:ascii="Times New Roman" w:cs="Times New Roman" w:eastAsia="Times New Roman" w:hAnsi="Times New Roman"/>
          <w:sz w:val="21"/>
          <w:szCs w:val="21"/>
          <w:color w:val="auto"/>
        </w:rPr>
        <w:t>. Subject to the terms and conditions herein and pursuant to the Plan, the Company grants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Grantee effective as of the Grant Date an Award of the number of Restricted Share Units set forth on the signature page hereof, each representing the right to receive one Share. The Company reserves the right to deliver such consideration in the form of Shares or cash in an amount equal to the Fair Market Value of the Shares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27" w:lineRule="exact"/>
        <w:rPr>
          <w:sz w:val="20"/>
          <w:szCs w:val="20"/>
          <w:color w:val="auto"/>
        </w:rPr>
      </w:pPr>
    </w:p>
    <w:p>
      <w:pPr>
        <w:jc w:val="both"/>
        <w:ind w:left="-3" w:firstLine="622"/>
        <w:spacing w:after="0" w:line="254" w:lineRule="auto"/>
        <w:tabs>
          <w:tab w:leader="none" w:pos="1002" w:val="left"/>
        </w:tabs>
        <w:numPr>
          <w:ilvl w:val="1"/>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Settlement of Restricted Share Units</w:t>
      </w:r>
      <w:r>
        <w:rPr>
          <w:rFonts w:ascii="Times New Roman" w:cs="Times New Roman" w:eastAsia="Times New Roman" w:hAnsi="Times New Roman"/>
          <w:sz w:val="21"/>
          <w:szCs w:val="21"/>
          <w:color w:val="auto"/>
        </w:rPr>
        <w:t>. Settlement of Restricted Share Units that vest in accordance with Section 5 or 6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or Section 13.1(b) of the Plan shall be made as soon as administratively practicable after the applicable Vesting Date, but in no event later than the Section 409A Payment Date applicable to such Vesting Date. Settlement of vested Restricted Share Units shall be made by issuance of Shares or payment in cash, together with any related RSU Dividend Equivalents, in accordance with Section 7.</w:t>
      </w:r>
    </w:p>
    <w:p>
      <w:pPr>
        <w:spacing w:after="0" w:line="166" w:lineRule="exact"/>
        <w:rPr>
          <w:rFonts w:ascii="Times New Roman" w:cs="Times New Roman" w:eastAsia="Times New Roman" w:hAnsi="Times New Roman"/>
          <w:sz w:val="21"/>
          <w:szCs w:val="21"/>
          <w:b w:val="1"/>
          <w:bCs w:val="1"/>
          <w:color w:val="auto"/>
        </w:rPr>
      </w:pPr>
    </w:p>
    <w:p>
      <w:pPr>
        <w:jc w:val="both"/>
        <w:ind w:left="-3" w:firstLine="622"/>
        <w:spacing w:after="0" w:line="262" w:lineRule="auto"/>
        <w:tabs>
          <w:tab w:leader="none" w:pos="1022" w:val="left"/>
        </w:tabs>
        <w:numPr>
          <w:ilvl w:val="1"/>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Shareholder Rights; RSU Dividend Equivalents</w:t>
      </w:r>
      <w:r>
        <w:rPr>
          <w:rFonts w:ascii="Times New Roman" w:cs="Times New Roman" w:eastAsia="Times New Roman" w:hAnsi="Times New Roman"/>
          <w:sz w:val="20"/>
          <w:szCs w:val="20"/>
          <w:color w:val="auto"/>
        </w:rPr>
        <w:t>. The Grantee shall have no rights of a Shareholder with respect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represented by any Restricted Share Units 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spacing w:after="0" w:line="177" w:lineRule="exact"/>
        <w:rPr>
          <w:rFonts w:ascii="Times New Roman" w:cs="Times New Roman" w:eastAsia="Times New Roman" w:hAnsi="Times New Roman"/>
          <w:sz w:val="20"/>
          <w:szCs w:val="20"/>
          <w:b w:val="1"/>
          <w:bCs w:val="1"/>
          <w:color w:val="auto"/>
        </w:rPr>
      </w:pPr>
    </w:p>
    <w:p>
      <w:pPr>
        <w:jc w:val="both"/>
        <w:ind w:left="-3" w:firstLine="622"/>
        <w:spacing w:after="0" w:line="249" w:lineRule="auto"/>
        <w:tabs>
          <w:tab w:leader="none" w:pos="1050" w:val="left"/>
        </w:tabs>
        <w:numPr>
          <w:ilvl w:val="1"/>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Unless the Committee otherwise determines in its sole discretion, subject to earlier vesting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6 of this Agreement or Section 13.1(b) of the Plan and subject to the last sentence of this Section 5, the Restricted Share Units shall become vested, and the restrictions with respect thereto shall lapse, on the Annual Meeting Date first following the Grant Date (such date being a Vesting Date within the meaning of the Plan). On the Vesting Date, and upon the satisfaction of any other applicable restrictions, terms and conditions, any RSU Dividend Equivalents with respect to the Restricted Share Units that have not theretofore become Vested RSU Dividend Equivalents (“Unpaid RSU Dividend Equivalents”) will become vested to the extent that the Restricted Share Units related thereto shall have become vested in accordance with this Agreement. Notwithstanding the foregoing, Grantee will not vest, pursuant to this Section 5, in Restricted Share Units as to which Grantee would otherwise vest on the Vesting Date if Grantee’s service as a Nonemployee Director terminates, or a breach of any applicable restrictions, terms or conditions with respect to such Restricted Share Units has occurred, at any time after the Grant Date and prior to the Vesting Date (the vesting or forfeiture of such Restricted Share Units to be governed instead by Section 6).</w:t>
      </w:r>
    </w:p>
    <w:p>
      <w:pPr>
        <w:spacing w:after="0" w:line="170" w:lineRule="exact"/>
        <w:rPr>
          <w:rFonts w:ascii="Times New Roman" w:cs="Times New Roman" w:eastAsia="Times New Roman" w:hAnsi="Times New Roman"/>
          <w:sz w:val="21"/>
          <w:szCs w:val="21"/>
          <w:b w:val="1"/>
          <w:bCs w:val="1"/>
          <w:color w:val="auto"/>
        </w:rPr>
      </w:pPr>
    </w:p>
    <w:p>
      <w:pPr>
        <w:ind w:left="977" w:hanging="358"/>
        <w:spacing w:after="0"/>
        <w:tabs>
          <w:tab w:leader="none" w:pos="977" w:val="left"/>
        </w:tabs>
        <w:numPr>
          <w:ilvl w:val="1"/>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Early Vesting or Forfeiture</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b w:val="1"/>
          <w:bCs w:val="1"/>
          <w:color w:val="auto"/>
        </w:rPr>
      </w:pPr>
    </w:p>
    <w:p>
      <w:pPr>
        <w:ind w:left="437" w:hanging="437"/>
        <w:spacing w:after="0"/>
        <w:tabs>
          <w:tab w:leader="none" w:pos="437"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determined by the Committee in its sole discretion:</w:t>
      </w:r>
    </w:p>
    <w:p>
      <w:pPr>
        <w:spacing w:after="0" w:line="209" w:lineRule="exact"/>
        <w:rPr>
          <w:rFonts w:ascii="Times New Roman" w:cs="Times New Roman" w:eastAsia="Times New Roman" w:hAnsi="Times New Roman"/>
          <w:sz w:val="21"/>
          <w:szCs w:val="21"/>
          <w:color w:val="auto"/>
        </w:rPr>
      </w:pPr>
    </w:p>
    <w:p>
      <w:pPr>
        <w:ind w:left="2477" w:hanging="620"/>
        <w:spacing w:after="0" w:line="269" w:lineRule="auto"/>
        <w:tabs>
          <w:tab w:leader="none" w:pos="2259" w:val="left"/>
        </w:tabs>
        <w:numPr>
          <w:ilvl w:val="2"/>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as a Nonemployee Director terminates by reason of Grantee’s death or Disability, the Restricted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97"/>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37"/>
          </w:cols>
          <w:pgMar w:left="323" w:top="1440" w:right="339" w:bottom="1440" w:gutter="0" w:footer="0" w:header="0"/>
        </w:sectPr>
      </w:pPr>
    </w:p>
    <w:bookmarkStart w:id="101" w:name="page102"/>
    <w:bookmarkEnd w:id="101"/>
    <w:p>
      <w:pPr>
        <w:spacing w:after="0" w:line="132" w:lineRule="exact"/>
        <w:rPr>
          <w:sz w:val="20"/>
          <w:szCs w:val="20"/>
          <w:color w:val="auto"/>
        </w:rPr>
      </w:pPr>
    </w:p>
    <w:p>
      <w:pPr>
        <w:ind w:left="2477"/>
        <w:spacing w:after="0" w:line="269" w:lineRule="auto"/>
        <w:rPr>
          <w:sz w:val="20"/>
          <w:szCs w:val="20"/>
          <w:color w:val="auto"/>
        </w:rPr>
      </w:pPr>
      <w:r>
        <w:rPr>
          <w:rFonts w:ascii="Times New Roman" w:cs="Times New Roman" w:eastAsia="Times New Roman" w:hAnsi="Times New Roman"/>
          <w:sz w:val="21"/>
          <w:szCs w:val="21"/>
          <w:color w:val="auto"/>
        </w:rPr>
        <w:t>to the extent not theretofore vested, and any related Unpaid RSU Dividend Equivalents, will immediately become fully vested.</w:t>
      </w:r>
    </w:p>
    <w:p>
      <w:pPr>
        <w:spacing w:after="0" w:line="155" w:lineRule="exact"/>
        <w:rPr>
          <w:sz w:val="20"/>
          <w:szCs w:val="20"/>
          <w:color w:val="auto"/>
        </w:rPr>
      </w:pPr>
    </w:p>
    <w:p>
      <w:pPr>
        <w:ind w:left="2477" w:hanging="620"/>
        <w:spacing w:after="0" w:line="251" w:lineRule="auto"/>
        <w:tabs>
          <w:tab w:leader="none" w:pos="2335" w:val="left"/>
        </w:tabs>
        <w:numPr>
          <w:ilvl w:val="2"/>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as a Nonemployee Director terminates by reason of Grantee’s Retirement, then any unvested Restricted Share Units and Unpaid RSU Dividend Equivalents shall immediately vest to the extent that such Restricted Share Units, together with any related Unpaid RSU Dividend Equivalents, would have become vested had the Grantee remained a Nonemployee Director through the date that is one year after the date of the Grantee’s Retirement. Such Restricted Share Units and any related Unpaid RSU Dividend Equivalents will be settled in accordance with Section 3.</w:t>
      </w:r>
    </w:p>
    <w:p>
      <w:pPr>
        <w:spacing w:after="0" w:line="186" w:lineRule="exact"/>
        <w:rPr>
          <w:rFonts w:ascii="Times New Roman" w:cs="Times New Roman" w:eastAsia="Times New Roman" w:hAnsi="Times New Roman"/>
          <w:sz w:val="21"/>
          <w:szCs w:val="21"/>
          <w:color w:val="auto"/>
        </w:rPr>
      </w:pPr>
    </w:p>
    <w:p>
      <w:pPr>
        <w:jc w:val="both"/>
        <w:ind w:left="2477" w:hanging="620"/>
        <w:spacing w:after="0" w:line="252" w:lineRule="auto"/>
        <w:tabs>
          <w:tab w:leader="none" w:pos="2420" w:val="left"/>
        </w:tabs>
        <w:numPr>
          <w:ilvl w:val="2"/>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Grantee’s service as a Nonemployee Director terminates prior to the Vesting Date for any reason other than as specified in Sections 6(a)(i) and 6(a)(ii) above, then the Restricted Share Units, to the extent not theretofore vested, together with any related Unpaid RSU Dividend Equivalents and all cash amounts related to the Restricted Share Units, will be forfeited immediately.</w:t>
      </w:r>
    </w:p>
    <w:p>
      <w:pPr>
        <w:spacing w:after="0" w:line="171" w:lineRule="exact"/>
        <w:rPr>
          <w:rFonts w:ascii="Times New Roman" w:cs="Times New Roman" w:eastAsia="Times New Roman" w:hAnsi="Times New Roman"/>
          <w:sz w:val="21"/>
          <w:szCs w:val="21"/>
          <w:color w:val="auto"/>
        </w:rPr>
      </w:pPr>
    </w:p>
    <w:p>
      <w:pPr>
        <w:jc w:val="both"/>
        <w:ind w:left="2477" w:hanging="620"/>
        <w:spacing w:after="0" w:line="253" w:lineRule="auto"/>
        <w:tabs>
          <w:tab w:leader="none" w:pos="2408" w:val="left"/>
        </w:tabs>
        <w:numPr>
          <w:ilvl w:val="2"/>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spacing w:after="0" w:line="171" w:lineRule="exact"/>
        <w:rPr>
          <w:rFonts w:ascii="Times New Roman" w:cs="Times New Roman" w:eastAsia="Times New Roman" w:hAnsi="Times New Roman"/>
          <w:sz w:val="21"/>
          <w:szCs w:val="21"/>
          <w:color w:val="auto"/>
        </w:rPr>
      </w:pPr>
    </w:p>
    <w:p>
      <w:pPr>
        <w:jc w:val="both"/>
        <w:ind w:left="-3" w:firstLine="3"/>
        <w:spacing w:after="0" w:line="262" w:lineRule="auto"/>
        <w:tabs>
          <w:tab w:leader="none" w:pos="44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159" w:lineRule="exact"/>
        <w:rPr>
          <w:rFonts w:ascii="Times New Roman" w:cs="Times New Roman" w:eastAsia="Times New Roman" w:hAnsi="Times New Roman"/>
          <w:sz w:val="21"/>
          <w:szCs w:val="21"/>
          <w:color w:val="auto"/>
        </w:rPr>
      </w:pPr>
    </w:p>
    <w:p>
      <w:pPr>
        <w:jc w:val="both"/>
        <w:ind w:left="-3" w:firstLine="622"/>
        <w:spacing w:after="0" w:line="249" w:lineRule="auto"/>
        <w:tabs>
          <w:tab w:leader="none" w:pos="999" w:val="left"/>
        </w:tabs>
        <w:numPr>
          <w:ilvl w:val="1"/>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Delivery by the Company. </w:t>
      </w:r>
      <w:r>
        <w:rPr>
          <w:rFonts w:ascii="Times New Roman" w:cs="Times New Roman" w:eastAsia="Times New Roman" w:hAnsi="Times New Roman"/>
          <w:sz w:val="21"/>
          <w:szCs w:val="21"/>
          <w:color w:val="auto"/>
        </w:rPr>
        <w:t>As soon as practicable after the vesting of Restricted Share Units and any related Unpaid RSU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Equivalents, pursuant to Section 5 or 6 hereof or Section 13.1(b) of the Plan, and subject to the restrictions referred to in Section 12 of this agreement and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(c) a confirmation of deposit of the Shares represented by such vested Restricted Share Units, in book-entry form, into the broker’s account designated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7"/>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37"/>
          </w:cols>
          <w:pgMar w:left="323" w:top="1440" w:right="339" w:bottom="1440" w:gutter="0" w:footer="0" w:header="0"/>
        </w:sectPr>
      </w:pPr>
    </w:p>
    <w:bookmarkStart w:id="102" w:name="page103"/>
    <w:bookmarkEnd w:id="102"/>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Grantee or (d) upon approval of the Committee and in the sole discretion of the Company, cash equal in value to the Shares represented by such vested Restricted Share Units,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Grantee’s nominee.</w:t>
      </w:r>
    </w:p>
    <w:p>
      <w:pPr>
        <w:spacing w:after="0" w:line="172" w:lineRule="exact"/>
        <w:rPr>
          <w:sz w:val="20"/>
          <w:szCs w:val="20"/>
          <w:color w:val="auto"/>
        </w:rPr>
      </w:pPr>
    </w:p>
    <w:p>
      <w:pPr>
        <w:ind w:left="980" w:hanging="358"/>
        <w:spacing w:after="0"/>
        <w:tabs>
          <w:tab w:leader="none" w:pos="980" w:val="left"/>
        </w:tabs>
        <w:numPr>
          <w:ilvl w:val="1"/>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Nontransferability of Restricted Share Units Before Vesting</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b w:val="1"/>
          <w:bCs w:val="1"/>
          <w:color w:val="auto"/>
        </w:rPr>
      </w:pPr>
    </w:p>
    <w:p>
      <w:pPr>
        <w:jc w:val="both"/>
        <w:ind w:firstLine="3"/>
        <w:spacing w:after="0" w:line="251" w:lineRule="auto"/>
        <w:tabs>
          <w:tab w:leader="none" w:pos="47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 is.</w:t>
      </w:r>
    </w:p>
    <w:p>
      <w:pPr>
        <w:spacing w:after="0" w:line="173" w:lineRule="exact"/>
        <w:rPr>
          <w:rFonts w:ascii="Times New Roman" w:cs="Times New Roman" w:eastAsia="Times New Roman" w:hAnsi="Times New Roman"/>
          <w:sz w:val="21"/>
          <w:szCs w:val="21"/>
          <w:color w:val="auto"/>
        </w:rPr>
      </w:pPr>
    </w:p>
    <w:p>
      <w:pPr>
        <w:jc w:val="both"/>
        <w:ind w:firstLine="3"/>
        <w:spacing w:after="0" w:line="250" w:lineRule="auto"/>
        <w:tabs>
          <w:tab w:leader="none" w:pos="48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w:t>
      </w:r>
    </w:p>
    <w:p>
      <w:pPr>
        <w:spacing w:after="0" w:line="175" w:lineRule="exact"/>
        <w:rPr>
          <w:rFonts w:ascii="Times New Roman" w:cs="Times New Roman" w:eastAsia="Times New Roman" w:hAnsi="Times New Roman"/>
          <w:sz w:val="21"/>
          <w:szCs w:val="21"/>
          <w:color w:val="auto"/>
        </w:rPr>
      </w:pPr>
    </w:p>
    <w:p>
      <w:pPr>
        <w:jc w:val="both"/>
        <w:ind w:firstLine="622"/>
        <w:spacing w:after="0" w:line="258" w:lineRule="auto"/>
        <w:tabs>
          <w:tab w:leader="none" w:pos="981" w:val="left"/>
        </w:tabs>
        <w:numPr>
          <w:ilvl w:val="1"/>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The Restricted Share Units and any related Unpaid RSU Dividend Equivalents will be subject to adjustment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Section 4.2 of the Plan in such manner as the Committee may deem equitable and appropriate in connection with the occurrence following the Grant Date of any of the events described in Section 4.2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27" w:lineRule="exact"/>
        <w:rPr>
          <w:sz w:val="20"/>
          <w:szCs w:val="20"/>
          <w:color w:val="auto"/>
        </w:rPr>
      </w:pPr>
    </w:p>
    <w:p>
      <w:pPr>
        <w:ind w:left="-3" w:firstLine="622"/>
        <w:spacing w:after="0" w:line="273" w:lineRule="auto"/>
        <w:tabs>
          <w:tab w:leader="none" w:pos="1080" w:val="left"/>
        </w:tabs>
        <w:numPr>
          <w:ilvl w:val="1"/>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Company’s Rights. </w:t>
      </w:r>
      <w:r>
        <w:rPr>
          <w:rFonts w:ascii="Times New Roman" w:cs="Times New Roman" w:eastAsia="Times New Roman" w:hAnsi="Times New Roman"/>
          <w:sz w:val="21"/>
          <w:szCs w:val="21"/>
          <w:color w:val="auto"/>
        </w:rPr>
        <w:t>The existence of this Agreement will not affect in any way the right or power of the Company or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Shareholders to accomplish any corporate act, including, without limitation, the acts referred to in Section 13.17 of the Plan.</w:t>
      </w:r>
    </w:p>
    <w:p>
      <w:pPr>
        <w:spacing w:after="0" w:line="146" w:lineRule="exact"/>
        <w:rPr>
          <w:rFonts w:ascii="Times New Roman" w:cs="Times New Roman" w:eastAsia="Times New Roman" w:hAnsi="Times New Roman"/>
          <w:sz w:val="21"/>
          <w:szCs w:val="21"/>
          <w:b w:val="1"/>
          <w:bCs w:val="1"/>
          <w:color w:val="auto"/>
        </w:rPr>
      </w:pPr>
    </w:p>
    <w:p>
      <w:pPr>
        <w:jc w:val="both"/>
        <w:ind w:left="-3" w:firstLine="622"/>
        <w:spacing w:after="0" w:line="252" w:lineRule="auto"/>
        <w:tabs>
          <w:tab w:leader="none" w:pos="1146" w:val="left"/>
        </w:tabs>
        <w:numPr>
          <w:ilvl w:val="1"/>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Limitation of Rights. </w:t>
      </w:r>
      <w:r>
        <w:rPr>
          <w:rFonts w:ascii="Times New Roman" w:cs="Times New Roman" w:eastAsia="Times New Roman" w:hAnsi="Times New Roman"/>
          <w:sz w:val="21"/>
          <w:szCs w:val="21"/>
          <w:color w:val="auto"/>
        </w:rPr>
        <w:t>Nothing in this Agreement or the Plan will be construed to give the Grantee any right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granted any future Award other than in the sole discretion of the Committee or to give the Grantee or any other person any interest in any fund or in any specified 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180" w:lineRule="exact"/>
        <w:rPr>
          <w:rFonts w:ascii="Times New Roman" w:cs="Times New Roman" w:eastAsia="Times New Roman" w:hAnsi="Times New Roman"/>
          <w:sz w:val="21"/>
          <w:szCs w:val="21"/>
          <w:b w:val="1"/>
          <w:bCs w:val="1"/>
          <w:color w:val="auto"/>
        </w:rPr>
      </w:pPr>
    </w:p>
    <w:p>
      <w:pPr>
        <w:jc w:val="both"/>
        <w:ind w:left="-3" w:firstLine="622"/>
        <w:spacing w:after="0" w:line="248" w:lineRule="auto"/>
        <w:tabs>
          <w:tab w:leader="none" w:pos="1161" w:val="left"/>
        </w:tabs>
        <w:numPr>
          <w:ilvl w:val="1"/>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Restrictions Imposed by Law. </w:t>
      </w:r>
      <w:r>
        <w:rPr>
          <w:rFonts w:ascii="Times New Roman" w:cs="Times New Roman" w:eastAsia="Times New Roman" w:hAnsi="Times New Roman"/>
          <w:sz w:val="21"/>
          <w:szCs w:val="21"/>
          <w:color w:val="auto"/>
        </w:rPr>
        <w:t>Without limiting the generality of Section 13.9 of the Plan, the Company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obligated to deliver any Shares represented by 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77" w:lineRule="exact"/>
        <w:rPr>
          <w:rFonts w:ascii="Times New Roman" w:cs="Times New Roman" w:eastAsia="Times New Roman" w:hAnsi="Times New Roman"/>
          <w:sz w:val="21"/>
          <w:szCs w:val="21"/>
          <w:b w:val="1"/>
          <w:bCs w:val="1"/>
          <w:color w:val="auto"/>
        </w:rPr>
      </w:pPr>
    </w:p>
    <w:p>
      <w:pPr>
        <w:ind w:left="1077" w:hanging="458"/>
        <w:spacing w:after="0"/>
        <w:tabs>
          <w:tab w:leader="none" w:pos="1077" w:val="left"/>
        </w:tabs>
        <w:numPr>
          <w:ilvl w:val="1"/>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Withholding</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b w:val="1"/>
          <w:bCs w:val="1"/>
          <w:color w:val="auto"/>
        </w:rPr>
      </w:pPr>
    </w:p>
    <w:p>
      <w:pPr>
        <w:jc w:val="both"/>
        <w:ind w:left="-3" w:firstLine="3"/>
        <w:spacing w:after="0" w:line="248" w:lineRule="auto"/>
        <w:tabs>
          <w:tab w:leader="none" w:pos="51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(or, if the Restricted Share Units are settled in cash, an amount of cash otherwise deliverable to the Grantee)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97"/>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37"/>
          </w:cols>
          <w:pgMar w:left="323" w:top="1440" w:right="339" w:bottom="1440" w:gutter="0" w:footer="0" w:header="0"/>
        </w:sectPr>
      </w:pPr>
    </w:p>
    <w:bookmarkStart w:id="104" w:name="page105"/>
    <w:bookmarkEnd w:id="104"/>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spacing w:after="0" w:line="180" w:lineRule="exact"/>
        <w:rPr>
          <w:sz w:val="20"/>
          <w:szCs w:val="20"/>
          <w:color w:val="auto"/>
        </w:rPr>
      </w:pPr>
    </w:p>
    <w:p>
      <w:pPr>
        <w:jc w:val="both"/>
        <w:ind w:firstLine="3"/>
        <w:spacing w:after="0" w:line="251" w:lineRule="auto"/>
        <w:tabs>
          <w:tab w:leader="none" w:pos="484"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for the value of any NICs due on this additional benefit.</w:t>
      </w:r>
    </w:p>
    <w:p>
      <w:pPr>
        <w:spacing w:after="0" w:line="169" w:lineRule="exact"/>
        <w:rPr>
          <w:rFonts w:ascii="Times New Roman" w:cs="Times New Roman" w:eastAsia="Times New Roman" w:hAnsi="Times New Roman"/>
          <w:sz w:val="21"/>
          <w:szCs w:val="21"/>
          <w:color w:val="auto"/>
        </w:rPr>
      </w:pPr>
    </w:p>
    <w:p>
      <w:pPr>
        <w:jc w:val="both"/>
        <w:ind w:firstLine="622"/>
        <w:spacing w:after="0" w:line="264" w:lineRule="auto"/>
        <w:tabs>
          <w:tab w:leader="none" w:pos="1083" w:val="left"/>
        </w:tabs>
        <w:numPr>
          <w:ilvl w:val="1"/>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Unless the Company notifies the Grantee in writing of a different procedure, any notice or other communication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1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Liberty Global Ltd.</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c/o Liberty Global, Inc.</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1550 Wewatta Street, Suite 1000</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Denver, CO 80202</w:t>
      </w:r>
    </w:p>
    <w:p>
      <w:pPr>
        <w:spacing w:after="0" w:line="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3"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71" w:lineRule="exact"/>
        <w:rPr>
          <w:sz w:val="20"/>
          <w:szCs w:val="20"/>
          <w:color w:val="auto"/>
        </w:rPr>
      </w:pPr>
    </w:p>
    <w:p>
      <w:pPr>
        <w:ind w:firstLine="622"/>
        <w:spacing w:after="0" w:line="273" w:lineRule="auto"/>
        <w:tabs>
          <w:tab w:leader="none" w:pos="1071" w:val="left"/>
        </w:tabs>
        <w:numPr>
          <w:ilvl w:val="1"/>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Notwithstanding any other provision hereof, this Agreement may be supplemented or amended from time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as approved by the Committee. Without limiting the generality of the foregoing, without the consent of the Grantee,</w:t>
      </w:r>
    </w:p>
    <w:p>
      <w:pPr>
        <w:spacing w:after="0" w:line="150" w:lineRule="exact"/>
        <w:rPr>
          <w:rFonts w:ascii="Times New Roman" w:cs="Times New Roman" w:eastAsia="Times New Roman" w:hAnsi="Times New Roman"/>
          <w:sz w:val="21"/>
          <w:szCs w:val="21"/>
          <w:b w:val="1"/>
          <w:bCs w:val="1"/>
          <w:color w:val="auto"/>
        </w:rPr>
      </w:pPr>
    </w:p>
    <w:p>
      <w:pPr>
        <w:jc w:val="both"/>
        <w:ind w:firstLine="3"/>
        <w:spacing w:after="0" w:line="256" w:lineRule="auto"/>
        <w:tabs>
          <w:tab w:leader="none" w:pos="44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13.19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80" w:lineRule="exact"/>
        <w:rPr>
          <w:sz w:val="20"/>
          <w:szCs w:val="20"/>
          <w:color w:val="auto"/>
        </w:rPr>
      </w:pPr>
    </w:p>
    <w:p>
      <w:pPr>
        <w:jc w:val="both"/>
        <w:ind w:firstLine="3"/>
        <w:spacing w:after="0" w:line="256" w:lineRule="auto"/>
        <w:tabs>
          <w:tab w:leader="none" w:pos="517"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required action by the Committee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64" w:lineRule="exact"/>
        <w:rPr>
          <w:rFonts w:ascii="Times New Roman" w:cs="Times New Roman" w:eastAsia="Times New Roman" w:hAnsi="Times New Roman"/>
          <w:sz w:val="21"/>
          <w:szCs w:val="21"/>
          <w:color w:val="auto"/>
        </w:rPr>
      </w:pPr>
    </w:p>
    <w:p>
      <w:pPr>
        <w:jc w:val="both"/>
        <w:ind w:firstLine="622"/>
        <w:spacing w:after="0" w:line="258" w:lineRule="auto"/>
        <w:tabs>
          <w:tab w:leader="none" w:pos="1134" w:val="left"/>
        </w:tabs>
        <w:numPr>
          <w:ilvl w:val="1"/>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Status as Director. </w:t>
      </w:r>
      <w:r>
        <w:rPr>
          <w:rFonts w:ascii="Times New Roman" w:cs="Times New Roman" w:eastAsia="Times New Roman" w:hAnsi="Times New Roman"/>
          <w:sz w:val="21"/>
          <w:szCs w:val="21"/>
          <w:color w:val="auto"/>
        </w:rPr>
        <w:t>Nothing contained in this Agreement, and no action of the Company or the Committee with respect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will confer or be construed to confer on the Grantee any right to continue as a director of the Company or interfere in any way with the right of the Company or its Shareholders to terminate the Grantee’s status as a director at any time, with or without cause.</w:t>
      </w:r>
    </w:p>
    <w:p>
      <w:pPr>
        <w:spacing w:after="0" w:line="175" w:lineRule="exact"/>
        <w:rPr>
          <w:rFonts w:ascii="Times New Roman" w:cs="Times New Roman" w:eastAsia="Times New Roman" w:hAnsi="Times New Roman"/>
          <w:sz w:val="21"/>
          <w:szCs w:val="21"/>
          <w:b w:val="1"/>
          <w:bCs w:val="1"/>
          <w:color w:val="auto"/>
        </w:rPr>
      </w:pPr>
    </w:p>
    <w:p>
      <w:pPr>
        <w:jc w:val="both"/>
        <w:ind w:firstLine="622"/>
        <w:spacing w:after="0" w:line="250" w:lineRule="auto"/>
        <w:tabs>
          <w:tab w:leader="none" w:pos="1255" w:val="left"/>
        </w:tabs>
        <w:numPr>
          <w:ilvl w:val="1"/>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Nonalienation of Benefits</w:t>
      </w:r>
      <w:r>
        <w:rPr>
          <w:rFonts w:ascii="Times New Roman" w:cs="Times New Roman" w:eastAsia="Times New Roman" w:hAnsi="Times New Roman"/>
          <w:sz w:val="21"/>
          <w:szCs w:val="21"/>
          <w:color w:val="auto"/>
        </w:rPr>
        <w:t>. Except as provided in Section 8 of this Agreement, (i) no right or benefit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86" w:lineRule="exact"/>
        <w:rPr>
          <w:rFonts w:ascii="Times New Roman" w:cs="Times New Roman" w:eastAsia="Times New Roman" w:hAnsi="Times New Roman"/>
          <w:sz w:val="21"/>
          <w:szCs w:val="21"/>
          <w:b w:val="1"/>
          <w:bCs w:val="1"/>
          <w:color w:val="auto"/>
        </w:rPr>
      </w:pPr>
    </w:p>
    <w:p>
      <w:pPr>
        <w:jc w:val="both"/>
        <w:ind w:firstLine="622"/>
        <w:spacing w:after="0" w:line="249" w:lineRule="auto"/>
        <w:tabs>
          <w:tab w:leader="none" w:pos="1195" w:val="left"/>
        </w:tabs>
        <w:numPr>
          <w:ilvl w:val="1"/>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Jurisdiction</w:t>
      </w:r>
      <w:r>
        <w:rPr>
          <w:rFonts w:ascii="Times New Roman" w:cs="Times New Roman" w:eastAsia="Times New Roman" w:hAnsi="Times New Roman"/>
          <w:sz w:val="21"/>
          <w:szCs w:val="21"/>
          <w:color w:val="auto"/>
        </w:rPr>
        <w:t>. The validity, interpretation, construction and performance of this Agreement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in all respects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forum non conveniens to any such action brought in such courts. EACH PARTY HEREBY WAIVES ITS RIGHT TO TRIAL BY JURY.</w:t>
      </w:r>
    </w:p>
    <w:p>
      <w:pPr>
        <w:spacing w:after="0" w:line="174" w:lineRule="exact"/>
        <w:rPr>
          <w:rFonts w:ascii="Times New Roman" w:cs="Times New Roman" w:eastAsia="Times New Roman" w:hAnsi="Times New Roman"/>
          <w:sz w:val="21"/>
          <w:szCs w:val="21"/>
          <w:b w:val="1"/>
          <w:bCs w:val="1"/>
          <w:color w:val="auto"/>
        </w:rPr>
      </w:pPr>
    </w:p>
    <w:p>
      <w:pPr>
        <w:jc w:val="both"/>
        <w:ind w:firstLine="622"/>
        <w:spacing w:after="0" w:line="258" w:lineRule="auto"/>
        <w:tabs>
          <w:tab w:leader="none" w:pos="1186" w:val="left"/>
        </w:tabs>
        <w:numPr>
          <w:ilvl w:val="1"/>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Construction</w:t>
      </w:r>
      <w:r>
        <w:rPr>
          <w:rFonts w:ascii="Times New Roman" w:cs="Times New Roman" w:eastAsia="Times New Roman" w:hAnsi="Times New Roman"/>
          <w:sz w:val="21"/>
          <w:szCs w:val="21"/>
          <w:color w:val="auto"/>
        </w:rPr>
        <w:t>. References in this Agreement to “this Agreement” and the words “herein,” “hereof,” “hereunder”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similar terms include all Exhibits and Schedules appended hereto, including the Plan. This Agreement is entered into, and the Award evidenced hereby is granted, pursuant to the Plan and shall be governed by and construed in accordance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67" w:lineRule="exact"/>
        <w:rPr>
          <w:sz w:val="20"/>
          <w:szCs w:val="20"/>
          <w:color w:val="auto"/>
        </w:rPr>
      </w:pPr>
    </w:p>
    <w:p>
      <w:pPr>
        <w:jc w:val="both"/>
        <w:ind w:firstLine="622"/>
        <w:spacing w:after="0" w:line="258" w:lineRule="auto"/>
        <w:tabs>
          <w:tab w:leader="none" w:pos="1093"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Duplicate Originals</w:t>
      </w:r>
      <w:r>
        <w:rPr>
          <w:rFonts w:ascii="Times New Roman" w:cs="Times New Roman" w:eastAsia="Times New Roman" w:hAnsi="Times New Roman"/>
          <w:sz w:val="21"/>
          <w:szCs w:val="21"/>
          <w:color w:val="auto"/>
        </w:rPr>
        <w:t>. The Company and the Grantee may sign any number of copies of this Agreement. Each signed copy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an original, but all of them together represent the same agreement. Counterparts to this Agreement may be delivered via pdf or electronic means.</w:t>
      </w:r>
    </w:p>
    <w:p>
      <w:pPr>
        <w:spacing w:after="0" w:line="175" w:lineRule="exact"/>
        <w:rPr>
          <w:rFonts w:ascii="Times New Roman" w:cs="Times New Roman" w:eastAsia="Times New Roman" w:hAnsi="Times New Roman"/>
          <w:sz w:val="21"/>
          <w:szCs w:val="21"/>
          <w:b w:val="1"/>
          <w:bCs w:val="1"/>
          <w:color w:val="auto"/>
        </w:rPr>
      </w:pPr>
    </w:p>
    <w:p>
      <w:pPr>
        <w:jc w:val="both"/>
        <w:ind w:firstLine="622"/>
        <w:spacing w:after="0" w:line="258" w:lineRule="auto"/>
        <w:tabs>
          <w:tab w:leader="none" w:pos="1152"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Rules by Committee</w:t>
      </w:r>
      <w:r>
        <w:rPr>
          <w:rFonts w:ascii="Times New Roman" w:cs="Times New Roman" w:eastAsia="Times New Roman" w:hAnsi="Times New Roman"/>
          <w:sz w:val="21"/>
          <w:szCs w:val="21"/>
          <w:color w:val="auto"/>
        </w:rPr>
        <w:t>. The rights of the Grantee and the obligations of the Company hereunder will be subject to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reasonable rules and regulations as the Committee in its discretion and as contemplated by Section 3.3 of the Plan, may adopt from time to time.</w:t>
      </w:r>
    </w:p>
    <w:p>
      <w:pPr>
        <w:spacing w:after="0" w:line="162" w:lineRule="exact"/>
        <w:rPr>
          <w:rFonts w:ascii="Times New Roman" w:cs="Times New Roman" w:eastAsia="Times New Roman" w:hAnsi="Times New Roman"/>
          <w:sz w:val="21"/>
          <w:szCs w:val="21"/>
          <w:b w:val="1"/>
          <w:bCs w:val="1"/>
          <w:color w:val="auto"/>
        </w:rPr>
      </w:pPr>
    </w:p>
    <w:p>
      <w:pPr>
        <w:jc w:val="both"/>
        <w:ind w:firstLine="622"/>
        <w:spacing w:after="0" w:line="252" w:lineRule="auto"/>
        <w:tabs>
          <w:tab w:leader="none" w:pos="1083"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This Agreement is in satisfaction of and in lieu of all prior discussions and agreements, oral or written,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permitted assigns.</w:t>
      </w:r>
    </w:p>
    <w:p>
      <w:pPr>
        <w:spacing w:after="0" w:line="167" w:lineRule="exact"/>
        <w:rPr>
          <w:rFonts w:ascii="Times New Roman" w:cs="Times New Roman" w:eastAsia="Times New Roman" w:hAnsi="Times New Roman"/>
          <w:sz w:val="21"/>
          <w:szCs w:val="21"/>
          <w:b w:val="1"/>
          <w:bCs w:val="1"/>
          <w:color w:val="auto"/>
        </w:rPr>
      </w:pPr>
    </w:p>
    <w:p>
      <w:pPr>
        <w:jc w:val="both"/>
        <w:ind w:firstLine="622"/>
        <w:spacing w:after="0" w:line="264" w:lineRule="auto"/>
        <w:tabs>
          <w:tab w:leader="none" w:pos="1083"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Grantee Acceptance</w:t>
      </w:r>
      <w:r>
        <w:rPr>
          <w:rFonts w:ascii="Times New Roman" w:cs="Times New Roman" w:eastAsia="Times New Roman" w:hAnsi="Times New Roman"/>
          <w:sz w:val="21"/>
          <w:szCs w:val="21"/>
          <w:color w:val="auto"/>
        </w:rPr>
        <w:t>. The Grantee will signify acceptance of the terms and conditions of this Agreement by signing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space provided at the end hereof and returning a signed copy to the Company. If the Grantee does not execute and return this Agreement within 120 days of the Grant Date, the grant of Restricted Share Units shall be null and void.</w:t>
      </w:r>
    </w:p>
    <w:p>
      <w:pPr>
        <w:spacing w:after="0" w:line="157" w:lineRule="exact"/>
        <w:rPr>
          <w:rFonts w:ascii="Times New Roman" w:cs="Times New Roman" w:eastAsia="Times New Roman" w:hAnsi="Times New Roman"/>
          <w:sz w:val="21"/>
          <w:szCs w:val="21"/>
          <w:b w:val="1"/>
          <w:bCs w:val="1"/>
          <w:color w:val="auto"/>
        </w:rPr>
      </w:pPr>
    </w:p>
    <w:p>
      <w:pPr>
        <w:ind w:left="1080" w:hanging="458"/>
        <w:spacing w:after="0"/>
        <w:tabs>
          <w:tab w:leader="none" w:pos="1080"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Data Privacy</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b w:val="1"/>
          <w:bCs w:val="1"/>
          <w:color w:val="auto"/>
        </w:rPr>
      </w:pPr>
    </w:p>
    <w:p>
      <w:pPr>
        <w:jc w:val="both"/>
        <w:ind w:firstLine="1241"/>
        <w:spacing w:after="0" w:line="263" w:lineRule="auto"/>
        <w:tabs>
          <w:tab w:leader="none" w:pos="193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1" w:lineRule="exact"/>
        <w:rPr>
          <w:sz w:val="20"/>
          <w:szCs w:val="20"/>
          <w:color w:val="auto"/>
        </w:rPr>
      </w:pPr>
    </w:p>
    <w:p>
      <w:pPr>
        <w:jc w:val="both"/>
        <w:ind w:left="-200" w:firstLine="1241"/>
        <w:spacing w:after="0" w:line="249" w:lineRule="auto"/>
        <w:tabs>
          <w:tab w:leader="none" w:pos="1652"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213" w:lineRule="exact"/>
        <w:rPr>
          <w:rFonts w:ascii="Times New Roman" w:cs="Times New Roman" w:eastAsia="Times New Roman" w:hAnsi="Times New Roman"/>
          <w:sz w:val="21"/>
          <w:szCs w:val="21"/>
          <w:color w:val="auto"/>
        </w:rPr>
      </w:pPr>
    </w:p>
    <w:p>
      <w:pPr>
        <w:jc w:val="both"/>
        <w:ind w:left="-200" w:firstLine="1241"/>
        <w:spacing w:after="0" w:line="249" w:lineRule="auto"/>
        <w:tabs>
          <w:tab w:leader="none" w:pos="150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Restricted Share Units or other equity awards or administer or maintain such awards. For more information on the privacy of the Data, the Grantee may contact the Grantee’s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040"/>
          </w:cols>
          <w:pgMar w:left="520" w:top="144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 Page to Restricted Share Units Agreement</w:t>
      </w:r>
    </w:p>
    <w:p>
      <w:pPr>
        <w:spacing w:after="0" w:line="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b w:val="1"/>
          <w:bCs w:val="1"/>
          <w:color w:val="auto"/>
        </w:rPr>
        <w:t>dated as of _____________ ___, 20__, between Liberty Global Ltd. and Grantee</w:t>
      </w:r>
    </w:p>
    <w:p>
      <w:pPr>
        <w:spacing w:after="0" w:line="3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LIBERTY GLOBAL LTD.</w:t>
      </w:r>
    </w:p>
    <w:p>
      <w:pPr>
        <w:spacing w:after="0" w:line="2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Bryan H. Hall</w:t>
      </w:r>
    </w:p>
    <w:p>
      <w:pPr>
        <w:spacing w:after="0" w:line="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Bryan H. Hall</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Executive Vice President</w:t>
      </w:r>
    </w:p>
    <w:p>
      <w:pPr>
        <w:spacing w:after="0" w:line="2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288290</wp:posOffset>
            </wp:positionV>
            <wp:extent cx="1308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720"/>
        <w:spacing w:after="0"/>
        <w:tabs>
          <w:tab w:leader="none" w:pos="5200" w:val="left"/>
        </w:tabs>
        <w:rPr>
          <w:sz w:val="20"/>
          <w:szCs w:val="20"/>
          <w:color w:val="auto"/>
        </w:rPr>
      </w:pPr>
      <w:r>
        <w:rPr>
          <w:rFonts w:ascii="Times New Roman" w:cs="Times New Roman" w:eastAsia="Times New Roman" w:hAnsi="Times New Roman"/>
          <w:sz w:val="21"/>
          <w:szCs w:val="21"/>
          <w:color w:val="auto"/>
        </w:rPr>
        <w:t>Grantee Name:</w:t>
      </w:r>
      <w:r>
        <w:rPr>
          <w:sz w:val="20"/>
          <w:szCs w:val="20"/>
          <w:color w:val="auto"/>
        </w:rPr>
        <w:tab/>
      </w:r>
      <w:r>
        <w:rPr>
          <w:rFonts w:ascii="Times New Roman" w:cs="Times New Roman" w:eastAsia="Times New Roman" w:hAnsi="Times New Roman"/>
          <w:sz w:val="20"/>
          <w:szCs w:val="20"/>
          <w:color w:val="auto"/>
        </w:rPr>
        <w:t>__________________________</w:t>
      </w:r>
    </w:p>
    <w:p>
      <w:pPr>
        <w:spacing w:after="0" w:line="25" w:lineRule="exact"/>
        <w:rPr>
          <w:sz w:val="20"/>
          <w:szCs w:val="20"/>
          <w:color w:val="auto"/>
        </w:rPr>
      </w:pPr>
    </w:p>
    <w:p>
      <w:pPr>
        <w:ind w:left="3720"/>
        <w:spacing w:after="0"/>
        <w:tabs>
          <w:tab w:leader="none" w:pos="4840" w:val="left"/>
        </w:tabs>
        <w:rPr>
          <w:sz w:val="20"/>
          <w:szCs w:val="20"/>
          <w:color w:val="auto"/>
        </w:rPr>
      </w:pPr>
      <w:r>
        <w:rPr>
          <w:rFonts w:ascii="Times New Roman" w:cs="Times New Roman" w:eastAsia="Times New Roman" w:hAnsi="Times New Roman"/>
          <w:sz w:val="21"/>
          <w:szCs w:val="21"/>
          <w:color w:val="auto"/>
        </w:rPr>
        <w:t>Address:</w:t>
      </w:r>
      <w:r>
        <w:rPr>
          <w:sz w:val="20"/>
          <w:szCs w:val="20"/>
          <w:color w:val="auto"/>
        </w:rPr>
        <w:tab/>
      </w:r>
      <w:r>
        <w:rPr>
          <w:rFonts w:ascii="Times New Roman" w:cs="Times New Roman" w:eastAsia="Times New Roman" w:hAnsi="Times New Roman"/>
          <w:sz w:val="21"/>
          <w:szCs w:val="21"/>
          <w:color w:val="auto"/>
        </w:rPr>
        <w:t>_________________________</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Director Number:_______________</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ID: 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 of Restricted Share Units (LBTY__ Shares) awarded: ________________</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2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T. Fries, certify that:</w:t>
      </w:r>
    </w:p>
    <w:p>
      <w:pPr>
        <w:spacing w:after="0" w:line="88" w:lineRule="exact"/>
        <w:rPr>
          <w:sz w:val="20"/>
          <w:szCs w:val="20"/>
          <w:color w:val="auto"/>
        </w:rPr>
      </w:pPr>
    </w:p>
    <w:p>
      <w:pPr>
        <w:ind w:left="620" w:hanging="307"/>
        <w:spacing w:after="0"/>
        <w:tabs>
          <w:tab w:leader="none" w:pos="6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Liberty Global Ltd.;</w:t>
      </w:r>
    </w:p>
    <w:p>
      <w:pPr>
        <w:spacing w:after="0" w:line="10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9"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9"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9"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28"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Times New Roman" w:cs="Times New Roman" w:eastAsia="Times New Roman" w:hAnsi="Times New Roman"/>
          <w:sz w:val="17"/>
          <w:szCs w:val="17"/>
          <w:color w:val="auto"/>
        </w:rPr>
      </w:pPr>
    </w:p>
    <w:p>
      <w:pPr>
        <w:ind w:left="1240" w:hanging="309"/>
        <w:spacing w:after="0" w:line="287" w:lineRule="auto"/>
        <w:tabs>
          <w:tab w:leader="none" w:pos="123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5"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28"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2" w:lineRule="exact"/>
        <w:rPr>
          <w:rFonts w:ascii="Times New Roman" w:cs="Times New Roman" w:eastAsia="Times New Roman" w:hAnsi="Times New Roman"/>
          <w:sz w:val="17"/>
          <w:szCs w:val="17"/>
          <w:color w:val="auto"/>
        </w:rPr>
      </w:pPr>
    </w:p>
    <w:p>
      <w:pPr>
        <w:ind w:left="1240" w:hanging="309"/>
        <w:spacing w:after="0" w:line="287" w:lineRule="auto"/>
        <w:tabs>
          <w:tab w:leader="none" w:pos="123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Times New Roman" w:cs="Times New Roman" w:eastAsia="Times New Roman" w:hAnsi="Times New Roman"/>
          <w:sz w:val="17"/>
          <w:szCs w:val="17"/>
          <w:color w:val="auto"/>
        </w:rPr>
      </w:pPr>
    </w:p>
    <w:p>
      <w:pPr>
        <w:ind w:left="1240" w:hanging="309"/>
        <w:spacing w:after="0" w:line="287" w:lineRule="auto"/>
        <w:tabs>
          <w:tab w:leader="none" w:pos="1228"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 2025</w:t>
      </w:r>
    </w:p>
    <w:p>
      <w:pPr>
        <w:spacing w:after="0" w:line="178"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7"/>
          <w:szCs w:val="17"/>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17145</wp:posOffset>
            </wp:positionV>
            <wp:extent cx="26193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619375" cy="8255"/>
                    </a:xfrm>
                    <a:prstGeom prst="rect">
                      <a:avLst/>
                    </a:prstGeom>
                    <a:noFill/>
                  </pic:spPr>
                </pic:pic>
              </a:graphicData>
            </a:graphic>
          </wp:anchor>
        </w:drawing>
      </w:r>
    </w:p>
    <w:p>
      <w:pPr>
        <w:spacing w:after="0" w:line="42"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7"/>
          <w:szCs w:val="17"/>
          <w:color w:val="auto"/>
        </w:rPr>
        <w:t>Michael T. Fries</w:t>
      </w:r>
    </w:p>
    <w:p>
      <w:pPr>
        <w:spacing w:after="0" w:line="62"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5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Charles H.R. Bracken, certify that:</w:t>
      </w:r>
    </w:p>
    <w:p>
      <w:pPr>
        <w:spacing w:after="0" w:line="88" w:lineRule="exact"/>
        <w:rPr>
          <w:sz w:val="20"/>
          <w:szCs w:val="20"/>
          <w:color w:val="auto"/>
        </w:rPr>
      </w:pPr>
    </w:p>
    <w:p>
      <w:pPr>
        <w:ind w:left="620" w:hanging="307"/>
        <w:spacing w:after="0"/>
        <w:tabs>
          <w:tab w:leader="none" w:pos="6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Liberty Global Ltd.;</w:t>
      </w:r>
    </w:p>
    <w:p>
      <w:pPr>
        <w:spacing w:after="0" w:line="10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9"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9"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3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9"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28"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Times New Roman" w:cs="Times New Roman" w:eastAsia="Times New Roman" w:hAnsi="Times New Roman"/>
          <w:sz w:val="17"/>
          <w:szCs w:val="17"/>
          <w:color w:val="auto"/>
        </w:rPr>
      </w:pPr>
    </w:p>
    <w:p>
      <w:pPr>
        <w:ind w:left="1240" w:hanging="309"/>
        <w:spacing w:after="0" w:line="287" w:lineRule="auto"/>
        <w:tabs>
          <w:tab w:leader="none" w:pos="123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5" w:lineRule="exact"/>
        <w:rPr>
          <w:rFonts w:ascii="Times New Roman" w:cs="Times New Roman" w:eastAsia="Times New Roman" w:hAnsi="Times New Roman"/>
          <w:sz w:val="17"/>
          <w:szCs w:val="17"/>
          <w:color w:val="auto"/>
        </w:rPr>
      </w:pPr>
    </w:p>
    <w:p>
      <w:pPr>
        <w:jc w:val="both"/>
        <w:ind w:left="1240" w:hanging="309"/>
        <w:spacing w:after="0" w:line="270" w:lineRule="auto"/>
        <w:tabs>
          <w:tab w:leader="none" w:pos="1228"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2" w:lineRule="exact"/>
        <w:rPr>
          <w:rFonts w:ascii="Times New Roman" w:cs="Times New Roman" w:eastAsia="Times New Roman" w:hAnsi="Times New Roman"/>
          <w:sz w:val="17"/>
          <w:szCs w:val="17"/>
          <w:color w:val="auto"/>
        </w:rPr>
      </w:pPr>
    </w:p>
    <w:p>
      <w:pPr>
        <w:ind w:left="1240" w:hanging="309"/>
        <w:spacing w:after="0" w:line="287" w:lineRule="auto"/>
        <w:tabs>
          <w:tab w:leader="none" w:pos="123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Times New Roman" w:cs="Times New Roman" w:eastAsia="Times New Roman" w:hAnsi="Times New Roman"/>
          <w:sz w:val="17"/>
          <w:szCs w:val="17"/>
          <w:color w:val="auto"/>
        </w:rPr>
      </w:pPr>
    </w:p>
    <w:p>
      <w:pPr>
        <w:ind w:left="1240" w:hanging="309"/>
        <w:spacing w:after="0" w:line="287" w:lineRule="auto"/>
        <w:tabs>
          <w:tab w:leader="none" w:pos="1228"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 2025</w:t>
      </w:r>
    </w:p>
    <w:p>
      <w:pPr>
        <w:spacing w:after="0" w:line="1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17145</wp:posOffset>
            </wp:positionV>
            <wp:extent cx="26193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619375" cy="8255"/>
                    </a:xfrm>
                    <a:prstGeom prst="rect">
                      <a:avLst/>
                    </a:prstGeom>
                    <a:noFill/>
                  </pic:spPr>
                </pic:pic>
              </a:graphicData>
            </a:graphic>
          </wp:anchor>
        </w:drawing>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Charles H.R. Bracken</w:t>
      </w:r>
    </w:p>
    <w:p>
      <w:pPr>
        <w:spacing w:after="0" w:line="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ectPr>
          <w:pgSz w:w="11900" w:h="16838" w:orient="portrait"/>
          <w:cols w:equalWidth="0" w:num="1">
            <w:col w:w="11240"/>
          </w:cols>
          <w:pgMar w:left="320" w:top="85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(Subsections (a) and (b) of Section 1350, Chapter 63 of Title 18, United States Code)</w:t>
      </w:r>
    </w:p>
    <w:p>
      <w:pPr>
        <w:spacing w:after="0" w:line="200" w:lineRule="exact"/>
        <w:rPr>
          <w:sz w:val="20"/>
          <w:szCs w:val="20"/>
          <w:color w:val="auto"/>
        </w:rPr>
      </w:pPr>
    </w:p>
    <w:p>
      <w:pPr>
        <w:spacing w:after="0" w:line="2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each of the undersigned officers of Liberty Global Ltd. (the "Company"), does hereby certify, to such officer's knowledge, that:</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Quarterly Report on Form 10-Q for the period ended June 30, 2025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June 30, 2025 and December 31, 2024, and for the three and six months ended June 30, 2025 and 2024.</w:t>
      </w:r>
    </w:p>
    <w:p>
      <w:pPr>
        <w:spacing w:after="0" w:line="200" w:lineRule="exact"/>
        <w:rPr>
          <w:sz w:val="20"/>
          <w:szCs w:val="20"/>
          <w:color w:val="auto"/>
        </w:rPr>
      </w:pPr>
    </w:p>
    <w:p>
      <w:pPr>
        <w:spacing w:after="0" w:line="236" w:lineRule="exact"/>
        <w:rPr>
          <w:sz w:val="20"/>
          <w:szCs w:val="20"/>
          <w:color w:val="auto"/>
        </w:rPr>
      </w:pPr>
    </w:p>
    <w:p>
      <w:pPr>
        <w:ind w:left="2080"/>
        <w:spacing w:after="0"/>
        <w:tabs>
          <w:tab w:leader="none" w:pos="6180" w:val="left"/>
        </w:tabs>
        <w:rPr>
          <w:sz w:val="20"/>
          <w:szCs w:val="20"/>
          <w:color w:val="auto"/>
        </w:rPr>
      </w:pPr>
      <w:r>
        <w:rPr>
          <w:rFonts w:ascii="Times New Roman" w:cs="Times New Roman" w:eastAsia="Times New Roman" w:hAnsi="Times New Roman"/>
          <w:sz w:val="17"/>
          <w:szCs w:val="17"/>
          <w:color w:val="auto"/>
        </w:rPr>
        <w:t>Dated: August 1, 2025</w:t>
      </w:r>
      <w:r>
        <w:rPr>
          <w:sz w:val="20"/>
          <w:szCs w:val="20"/>
          <w:color w:val="auto"/>
        </w:rPr>
        <w:tab/>
      </w:r>
      <w:r>
        <w:rPr>
          <w:rFonts w:ascii="Times New Roman" w:cs="Times New Roman" w:eastAsia="Times New Roman" w:hAnsi="Times New Roman"/>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17145</wp:posOffset>
            </wp:positionV>
            <wp:extent cx="29635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42"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7"/>
          <w:szCs w:val="17"/>
          <w:color w:val="auto"/>
        </w:rPr>
        <w:t>Michael T. Fries</w:t>
      </w:r>
    </w:p>
    <w:p>
      <w:pPr>
        <w:spacing w:after="0" w:line="62"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378" w:lineRule="exact"/>
        <w:rPr>
          <w:sz w:val="20"/>
          <w:szCs w:val="20"/>
          <w:color w:val="auto"/>
        </w:rPr>
      </w:pPr>
    </w:p>
    <w:p>
      <w:pPr>
        <w:ind w:left="2080"/>
        <w:spacing w:after="0"/>
        <w:tabs>
          <w:tab w:leader="none" w:pos="5980" w:val="left"/>
        </w:tabs>
        <w:rPr>
          <w:sz w:val="20"/>
          <w:szCs w:val="20"/>
          <w:color w:val="auto"/>
        </w:rPr>
      </w:pPr>
      <w:r>
        <w:rPr>
          <w:rFonts w:ascii="Times New Roman" w:cs="Times New Roman" w:eastAsia="Times New Roman" w:hAnsi="Times New Roman"/>
          <w:sz w:val="17"/>
          <w:szCs w:val="17"/>
          <w:color w:val="auto"/>
        </w:rPr>
        <w:t>Dated: August 1, 2025</w:t>
      </w:r>
      <w:r>
        <w:rPr>
          <w:sz w:val="20"/>
          <w:szCs w:val="20"/>
          <w:color w:val="auto"/>
        </w:rPr>
        <w:tab/>
      </w:r>
      <w:r>
        <w:rPr>
          <w:rFonts w:ascii="Times New Roman" w:cs="Times New Roman" w:eastAsia="Times New Roman" w:hAnsi="Times New Roman"/>
          <w:sz w:val="17"/>
          <w:szCs w:val="17"/>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17145</wp:posOffset>
            </wp:positionV>
            <wp:extent cx="29635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42"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7"/>
          <w:szCs w:val="17"/>
          <w:color w:val="auto"/>
        </w:rPr>
        <w:t>Charles H.R. Bracken</w:t>
      </w:r>
    </w:p>
    <w:p>
      <w:pPr>
        <w:spacing w:after="0" w:line="62"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3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decimal"/>
      <w:start w:val="1"/>
    </w:lvl>
  </w:abstractNum>
  <w:abstractNum w:abstractNumId="3">
    <w:nsid w:val="D34B6A8"/>
    <w:multiLevelType w:val="hybridMultilevel"/>
    <w:lvl w:ilvl="0">
      <w:lvlJc w:val="left"/>
      <w:lvlText w:val="(%1)"/>
      <w:numFmt w:val="decimal"/>
      <w:start w:val="2"/>
    </w:lvl>
  </w:abstractNum>
  <w:abstractNum w:abstractNumId="4">
    <w:nsid w:val="10233C99"/>
    <w:multiLevelType w:val="hybridMultilevel"/>
    <w:lvl w:ilvl="0">
      <w:lvlJc w:val="left"/>
      <w:lvlText w:val="(%1)"/>
      <w:numFmt w:val="decimal"/>
      <w:start w:val="3"/>
    </w:lvl>
  </w:abstractNum>
  <w:abstractNum w:abstractNumId="5">
    <w:nsid w:val="3F6AB60F"/>
    <w:multiLevelType w:val="hybridMultilevel"/>
    <w:lvl w:ilvl="0">
      <w:lvlJc w:val="left"/>
      <w:lvlText w:val="(%1)"/>
      <w:numFmt w:val="decimal"/>
      <w:start w:val="4"/>
    </w:lvl>
  </w:abstractNum>
  <w:abstractNum w:abstractNumId="6">
    <w:nsid w:val="61574095"/>
    <w:multiLevelType w:val="hybridMultilevel"/>
    <w:lvl w:ilvl="0">
      <w:lvlJc w:val="left"/>
      <w:lvlText w:val="(%1)"/>
      <w:numFmt w:val="lowerLetter"/>
      <w:start w:val="1"/>
    </w:lvl>
  </w:abstractNum>
  <w:abstractNum w:abstractNumId="7">
    <w:nsid w:val="7E0C57B1"/>
    <w:multiLevelType w:val="hybridMultilevel"/>
    <w:lvl w:ilvl="0">
      <w:lvlJc w:val="left"/>
      <w:lvlText w:val="(%1)"/>
      <w:numFmt w:val="lowerLetter"/>
      <w:start w:val="3"/>
    </w:lvl>
  </w:abstractNum>
  <w:abstractNum w:abstractNumId="8">
    <w:nsid w:val="77AE35EB"/>
    <w:multiLevelType w:val="hybridMultilevel"/>
    <w:lvl w:ilvl="0">
      <w:lvlJc w:val="left"/>
      <w:lvlText w:val="(%1)"/>
      <w:numFmt w:val="lowerLetter"/>
      <w:start w:val="1"/>
    </w:lvl>
  </w:abstractNum>
  <w:abstractNum w:abstractNumId="9">
    <w:nsid w:val="579BE4F1"/>
    <w:multiLevelType w:val="hybridMultilevel"/>
    <w:lvl w:ilvl="0">
      <w:lvlJc w:val="left"/>
      <w:lvlText w:val="(%1)"/>
      <w:numFmt w:val="lowerLetter"/>
      <w:start w:val="1"/>
    </w:lvl>
  </w:abstractNum>
  <w:abstractNum w:abstractNumId="10">
    <w:nsid w:val="310C50B3"/>
    <w:multiLevelType w:val="hybridMultilevel"/>
    <w:lvl w:ilvl="0">
      <w:lvlJc w:val="left"/>
      <w:lvlText w:val="(%1)"/>
      <w:numFmt w:val="lowerLetter"/>
      <w:start w:val="1"/>
    </w:lvl>
  </w:abstractNum>
  <w:abstractNum w:abstractNumId="11">
    <w:nsid w:val="5FF87E05"/>
    <w:multiLevelType w:val="hybridMultilevel"/>
    <w:lvl w:ilvl="0">
      <w:lvlJc w:val="left"/>
      <w:lvlText w:val="(%1)"/>
      <w:numFmt w:val="decimal"/>
      <w:start w:val="1"/>
    </w:lvl>
  </w:abstractNum>
  <w:abstractNum w:abstractNumId="12">
    <w:nsid w:val="2F305DEF"/>
    <w:multiLevelType w:val="hybridMultilevel"/>
    <w:lvl w:ilvl="0">
      <w:lvlJc w:val="left"/>
      <w:lvlText w:val="(%1)"/>
      <w:numFmt w:val="decimal"/>
      <w:start w:val="6"/>
    </w:lvl>
  </w:abstractNum>
  <w:abstractNum w:abstractNumId="13">
    <w:nsid w:val="25A70BF7"/>
    <w:multiLevelType w:val="hybridMultilevel"/>
    <w:lvl w:ilvl="0">
      <w:lvlJc w:val="left"/>
      <w:lvlText w:val="(%1)"/>
      <w:numFmt w:val="lowerLetter"/>
      <w:start w:val="1"/>
    </w:lvl>
  </w:abstractNum>
  <w:abstractNum w:abstractNumId="14">
    <w:nsid w:val="1DBABF00"/>
    <w:multiLevelType w:val="hybridMultilevel"/>
    <w:lvl w:ilvl="0">
      <w:lvlJc w:val="left"/>
      <w:lvlText w:val="(%1)"/>
      <w:numFmt w:val="lowerLetter"/>
      <w:start w:val="1"/>
    </w:lvl>
  </w:abstractNum>
  <w:abstractNum w:abstractNumId="15">
    <w:nsid w:val="4AD084E9"/>
    <w:multiLevelType w:val="hybridMultilevel"/>
    <w:lvl w:ilvl="0">
      <w:lvlJc w:val="left"/>
      <w:lvlText w:val="(%1)"/>
      <w:numFmt w:val="lowerLetter"/>
      <w:start w:val="1"/>
    </w:lvl>
  </w:abstractNum>
  <w:abstractNum w:abstractNumId="16">
    <w:nsid w:val="1F48EAA1"/>
    <w:multiLevelType w:val="hybridMultilevel"/>
    <w:lvl w:ilvl="0">
      <w:lvlJc w:val="left"/>
      <w:lvlText w:val="(%1)"/>
      <w:numFmt w:val="lowerLetter"/>
      <w:start w:val="1"/>
    </w:lvl>
  </w:abstractNum>
  <w:abstractNum w:abstractNumId="17">
    <w:nsid w:val="1381823A"/>
    <w:multiLevelType w:val="hybridMultilevel"/>
    <w:lvl w:ilvl="0">
      <w:lvlJc w:val="left"/>
      <w:lvlText w:val="(%1)"/>
      <w:numFmt w:val="lowerLetter"/>
      <w:start w:val="1"/>
    </w:lvl>
  </w:abstractNum>
  <w:abstractNum w:abstractNumId="18">
    <w:nsid w:val="5DB70AE5"/>
    <w:multiLevelType w:val="hybridMultilevel"/>
    <w:lvl w:ilvl="0">
      <w:lvlJc w:val="left"/>
      <w:lvlText w:val="(%1)"/>
      <w:numFmt w:val="lowerLetter"/>
      <w:start w:val="1"/>
    </w:lvl>
  </w:abstractNum>
  <w:abstractNum w:abstractNumId="19">
    <w:nsid w:val="100F8FCA"/>
    <w:multiLevelType w:val="hybridMultilevel"/>
    <w:lvl w:ilvl="0">
      <w:lvlJc w:val="left"/>
      <w:lvlText w:val="(%1)"/>
      <w:numFmt w:val="decimal"/>
      <w:start w:val="7"/>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1)"/>
      <w:numFmt w:val="lowerLetter"/>
      <w:start w:val="2"/>
    </w:lvl>
  </w:abstractNum>
  <w:abstractNum w:abstractNumId="22">
    <w:nsid w:val="5F5E7FD0"/>
    <w:multiLevelType w:val="hybridMultilevel"/>
    <w:lvl w:ilvl="0">
      <w:lvlJc w:val="left"/>
      <w:lvlText w:val="(%1)"/>
      <w:numFmt w:val="lowerLetter"/>
      <w:start w:val="1"/>
    </w:lvl>
  </w:abstractNum>
  <w:abstractNum w:abstractNumId="23">
    <w:nsid w:val="98A3148"/>
    <w:multiLevelType w:val="hybridMultilevel"/>
    <w:lvl w:ilvl="0">
      <w:lvlJc w:val="left"/>
      <w:lvlText w:val="(%1)"/>
      <w:numFmt w:val="decimal"/>
      <w:start w:val="9"/>
    </w:lvl>
  </w:abstractNum>
  <w:abstractNum w:abstractNumId="24">
    <w:nsid w:val="799D0247"/>
    <w:multiLevelType w:val="hybridMultilevel"/>
    <w:lvl w:ilvl="0">
      <w:lvlJc w:val="left"/>
      <w:lvlText w:val="(%1)"/>
      <w:numFmt w:val="lowerLetter"/>
      <w:start w:val="1"/>
    </w:lvl>
  </w:abstractNum>
  <w:abstractNum w:abstractNumId="25">
    <w:nsid w:val="6B94764"/>
    <w:multiLevelType w:val="hybridMultilevel"/>
    <w:lvl w:ilvl="0">
      <w:lvlJc w:val="left"/>
      <w:lvlText w:val="(%1)"/>
      <w:numFmt w:val="lowerLetter"/>
      <w:start w:val="3"/>
    </w:lvl>
  </w:abstractNum>
  <w:abstractNum w:abstractNumId="26">
    <w:nsid w:val="42C296BD"/>
    <w:multiLevelType w:val="hybridMultilevel"/>
    <w:lvl w:ilvl="0">
      <w:lvlJc w:val="left"/>
      <w:lvlText w:val="(%1)"/>
      <w:numFmt w:val="lowerLetter"/>
      <w:start w:val="8"/>
    </w:lvl>
  </w:abstractNum>
  <w:abstractNum w:abstractNumId="27">
    <w:nsid w:val="168E121F"/>
    <w:multiLevelType w:val="hybridMultilevel"/>
    <w:lvl w:ilvl="0">
      <w:lvlJc w:val="left"/>
      <w:lvlText w:val="(%1)"/>
      <w:numFmt w:val="lowerLetter"/>
      <w:start w:val="1"/>
    </w:lvl>
  </w:abstractNum>
  <w:abstractNum w:abstractNumId="28">
    <w:nsid w:val="1EBA5D23"/>
    <w:multiLevelType w:val="hybridMultilevel"/>
    <w:lvl w:ilvl="0">
      <w:lvlJc w:val="left"/>
      <w:lvlText w:val="(%1)"/>
      <w:numFmt w:val="lowerLetter"/>
      <w:start w:val="2"/>
    </w:lvl>
  </w:abstractNum>
  <w:abstractNum w:abstractNumId="29">
    <w:nsid w:val="661E3F1E"/>
    <w:multiLevelType w:val="hybridMultilevel"/>
    <w:lvl w:ilvl="0">
      <w:lvlJc w:val="left"/>
      <w:lvlText w:val="(%1)"/>
      <w:numFmt w:val="decimal"/>
      <w:start w:val="10"/>
    </w:lvl>
  </w:abstractNum>
  <w:abstractNum w:abstractNumId="30">
    <w:nsid w:val="5DC79EA8"/>
    <w:multiLevelType w:val="hybridMultilevel"/>
    <w:lvl w:ilvl="0">
      <w:lvlJc w:val="left"/>
      <w:lvlText w:val="(%1)"/>
      <w:numFmt w:val="lowerLetter"/>
      <w:start w:val="1"/>
    </w:lvl>
  </w:abstractNum>
  <w:abstractNum w:abstractNumId="31">
    <w:nsid w:val="540A471C"/>
    <w:multiLevelType w:val="hybridMultilevel"/>
    <w:lvl w:ilvl="0">
      <w:lvlJc w:val="left"/>
      <w:lvlText w:val="(%1)"/>
      <w:numFmt w:val="lowerLetter"/>
      <w:start w:val="1"/>
    </w:lvl>
  </w:abstractNum>
  <w:abstractNum w:abstractNumId="32">
    <w:nsid w:val="7BD3EE7B"/>
    <w:multiLevelType w:val="hybridMultilevel"/>
    <w:lvl w:ilvl="0">
      <w:lvlJc w:val="left"/>
      <w:lvlText w:val="(%1)"/>
      <w:numFmt w:val="lowerLetter"/>
      <w:start w:val="1"/>
    </w:lvl>
  </w:abstractNum>
  <w:abstractNum w:abstractNumId="33">
    <w:nsid w:val="51D9C564"/>
    <w:multiLevelType w:val="hybridMultilevel"/>
    <w:lvl w:ilvl="0">
      <w:lvlJc w:val="left"/>
      <w:lvlText w:val="(%1)"/>
      <w:numFmt w:val="decimal"/>
      <w:start w:val="11"/>
    </w:lvl>
  </w:abstractNum>
  <w:abstractNum w:abstractNumId="34">
    <w:nsid w:val="613EFDC5"/>
    <w:multiLevelType w:val="hybridMultilevel"/>
    <w:lvl w:ilvl="0">
      <w:lvlJc w:val="left"/>
      <w:lvlText w:val="(%1)"/>
      <w:numFmt w:val="decimal"/>
      <w:start w:val="12"/>
    </w:lvl>
  </w:abstractNum>
  <w:abstractNum w:abstractNumId="35">
    <w:nsid w:val="BF72B14"/>
    <w:multiLevelType w:val="hybridMultilevel"/>
    <w:lvl w:ilvl="0">
      <w:lvlJc w:val="left"/>
      <w:lvlText w:val="(%1)"/>
      <w:numFmt w:val="decimal"/>
      <w:start w:val="13"/>
    </w:lvl>
  </w:abstractNum>
  <w:abstractNum w:abstractNumId="36">
    <w:nsid w:val="11447B73"/>
    <w:multiLevelType w:val="hybridMultilevel"/>
    <w:lvl w:ilvl="0">
      <w:lvlJc w:val="left"/>
      <w:lvlText w:val="(%1)"/>
      <w:numFmt w:val="lowerLetter"/>
      <w:start w:val="1"/>
    </w:lvl>
  </w:abstractNum>
  <w:abstractNum w:abstractNumId="37">
    <w:nsid w:val="42963E5A"/>
    <w:multiLevelType w:val="hybridMultilevel"/>
    <w:lvl w:ilvl="0">
      <w:lvlJc w:val="left"/>
      <w:lvlText w:val="(%1)"/>
      <w:numFmt w:val="lowerLetter"/>
      <w:start w:val="1"/>
    </w:lvl>
  </w:abstractNum>
  <w:abstractNum w:abstractNumId="38">
    <w:nsid w:val="A0382C5"/>
    <w:multiLevelType w:val="hybridMultilevel"/>
    <w:lvl w:ilvl="0">
      <w:lvlJc w:val="left"/>
      <w:lvlText w:val="(%1)"/>
      <w:numFmt w:val="lowerLetter"/>
      <w:start w:val="1"/>
    </w:lvl>
  </w:abstractNum>
  <w:abstractNum w:abstractNumId="39">
    <w:nsid w:val="8F2B15E"/>
    <w:multiLevelType w:val="hybridMultilevel"/>
    <w:lvl w:ilvl="0">
      <w:lvlJc w:val="left"/>
      <w:lvlText w:val="(%1)"/>
      <w:numFmt w:val="decimal"/>
      <w:start w:val="14"/>
    </w:lvl>
  </w:abstractNum>
  <w:abstractNum w:abstractNumId="40">
    <w:nsid w:val="1A32234B"/>
    <w:multiLevelType w:val="hybridMultilevel"/>
    <w:lvl w:ilvl="0">
      <w:lvlJc w:val="left"/>
      <w:lvlText w:val="(%1)"/>
      <w:numFmt w:val="lowerLetter"/>
      <w:start w:val="1"/>
    </w:lvl>
  </w:abstractNum>
  <w:abstractNum w:abstractNumId="41">
    <w:nsid w:val="3B0FD379"/>
    <w:multiLevelType w:val="hybridMultilevel"/>
    <w:lvl w:ilvl="0">
      <w:lvlJc w:val="left"/>
      <w:lvlText w:val="(%1)"/>
      <w:numFmt w:val="lowerLetter"/>
      <w:start w:val="2"/>
    </w:lvl>
  </w:abstractNum>
  <w:abstractNum w:abstractNumId="42">
    <w:nsid w:val="68EB2F63"/>
    <w:multiLevelType w:val="hybridMultilevel"/>
    <w:lvl w:ilvl="0">
      <w:lvlJc w:val="left"/>
      <w:lvlText w:val="(%1)"/>
      <w:numFmt w:val="decimal"/>
      <w:start w:val="15"/>
    </w:lvl>
  </w:abstractNum>
  <w:abstractNum w:abstractNumId="43">
    <w:nsid w:val="4962813B"/>
    <w:multiLevelType w:val="hybridMultilevel"/>
    <w:lvl w:ilvl="0">
      <w:lvlJc w:val="left"/>
      <w:lvlText w:val="(%1)"/>
      <w:numFmt w:val="lowerRoman"/>
      <w:start w:val="2"/>
    </w:lvl>
  </w:abstractNum>
  <w:abstractNum w:abstractNumId="44">
    <w:nsid w:val="60B6DF70"/>
    <w:multiLevelType w:val="hybridMultilevel"/>
    <w:lvl w:ilvl="0">
      <w:lvlJc w:val="left"/>
      <w:lvlText w:val="(%1)"/>
      <w:numFmt w:val="decimal"/>
      <w:start w:val="16"/>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1)"/>
      <w:numFmt w:val="lowerLetter"/>
      <w:start w:val="1"/>
    </w:lvl>
  </w:abstractNum>
  <w:abstractNum w:abstractNumId="48">
    <w:nsid w:val="1A27709E"/>
    <w:multiLevelType w:val="hybridMultilevel"/>
    <w:lvl w:ilvl="0">
      <w:lvlJc w:val="left"/>
      <w:lvlText w:val="(%1)"/>
      <w:numFmt w:val="lowerLetter"/>
      <w:start w:val="1"/>
    </w:lvl>
  </w:abstractNum>
  <w:abstractNum w:abstractNumId="49">
    <w:nsid w:val="71EA1109"/>
    <w:multiLevelType w:val="hybridMultilevel"/>
    <w:lvl w:ilvl="0">
      <w:lvlJc w:val="left"/>
      <w:lvlText w:val="(%1)"/>
      <w:numFmt w:val="lowerLetter"/>
      <w:start w:val="1"/>
    </w:lvl>
  </w:abstractNum>
  <w:abstractNum w:abstractNumId="50">
    <w:nsid w:val="100F59DC"/>
    <w:multiLevelType w:val="hybridMultilevel"/>
    <w:lvl w:ilvl="0">
      <w:lvlJc w:val="left"/>
      <w:lvlText w:val="(%1)"/>
      <w:numFmt w:val="lowerLetter"/>
      <w:start w:val="1"/>
    </w:lvl>
  </w:abstractNum>
  <w:abstractNum w:abstractNumId="51">
    <w:nsid w:val="7FB7E0AA"/>
    <w:multiLevelType w:val="hybridMultilevel"/>
    <w:lvl w:ilvl="0">
      <w:lvlJc w:val="left"/>
      <w:lvlText w:val="(%1)"/>
      <w:numFmt w:val="lowerLetter"/>
      <w:start w:val="5"/>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1)"/>
      <w:numFmt w:val="lowerLetter"/>
      <w:start w:val="1"/>
    </w:lvl>
  </w:abstractNum>
  <w:abstractNum w:abstractNumId="57">
    <w:nsid w:val="4C04A8AF"/>
    <w:multiLevelType w:val="hybridMultilevel"/>
    <w:lvl w:ilvl="0">
      <w:lvlJc w:val="left"/>
      <w:lvlText w:val="(%1)"/>
      <w:numFmt w:val="lowerLetter"/>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1)"/>
      <w:numFmt w:val="lowerLetter"/>
      <w:start w:val="1"/>
    </w:lvl>
  </w:abstractNum>
  <w:abstractNum w:abstractNumId="64">
    <w:nsid w:val="46B7D447"/>
    <w:multiLevelType w:val="hybridMultilevel"/>
    <w:lvl w:ilvl="0">
      <w:lvlJc w:val="left"/>
      <w:lvlText w:val="(%1)"/>
      <w:numFmt w:val="lowerLetter"/>
      <w:start w:val="1"/>
    </w:lvl>
  </w:abstractNum>
  <w:abstractNum w:abstractNumId="65">
    <w:nsid w:val="4A2AC315"/>
    <w:multiLevelType w:val="hybridMultilevel"/>
    <w:lvl w:ilvl="0">
      <w:lvlJc w:val="left"/>
      <w:lvlText w:val="(%1)"/>
      <w:numFmt w:val="lowerLetter"/>
      <w:start w:val="1"/>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1"/>
    </w:lvl>
  </w:abstractNum>
  <w:abstractNum w:abstractNumId="68">
    <w:nsid w:val="CC1016F"/>
    <w:multiLevelType w:val="hybridMultilevel"/>
    <w:lvl w:ilvl="0">
      <w:lvlJc w:val="left"/>
      <w:lvlText w:val="(%1)"/>
      <w:numFmt w:val="decimal"/>
      <w:start w:val="1"/>
    </w:lvl>
  </w:abstractNum>
  <w:abstractNum w:abstractNumId="69">
    <w:nsid w:val="43F18422"/>
    <w:multiLevelType w:val="hybridMultilevel"/>
    <w:lvl w:ilvl="0">
      <w:lvlJc w:val="left"/>
      <w:lvlText w:val="(%1)"/>
      <w:numFmt w:val="lowerLetter"/>
      <w:start w:val="2"/>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1)"/>
      <w:numFmt w:val="lowerLetter"/>
      <w:start w:val="4"/>
    </w:lvl>
  </w:abstractNum>
  <w:abstractNum w:abstractNumId="72">
    <w:nsid w:val="7F01579B"/>
    <w:multiLevelType w:val="hybridMultilevel"/>
    <w:lvl w:ilvl="0">
      <w:lvlJc w:val="left"/>
      <w:lvlText w:val="(%1)"/>
      <w:numFmt w:val="lowerLetter"/>
      <w:start w:val="3"/>
    </w:lvl>
  </w:abstractNum>
  <w:abstractNum w:abstractNumId="73">
    <w:nsid w:val="49DA307D"/>
    <w:multiLevelType w:val="hybridMultilevel"/>
    <w:lvl w:ilvl="0">
      <w:lvlJc w:val="left"/>
      <w:lvlText w:val="(%1)"/>
      <w:numFmt w:val="lowerLetter"/>
      <w:start w:val="1"/>
    </w:lvl>
  </w:abstractNum>
  <w:abstractNum w:abstractNumId="74">
    <w:nsid w:val="7055A5F5"/>
    <w:multiLevelType w:val="hybridMultilevel"/>
    <w:lvl w:ilvl="0">
      <w:lvlJc w:val="left"/>
      <w:lvlText w:val="(%1)"/>
      <w:numFmt w:val="lowerLetter"/>
      <w:start w:val="2"/>
    </w:lvl>
  </w:abstractNum>
  <w:abstractNum w:abstractNumId="75">
    <w:nsid w:val="5FB8370B"/>
    <w:multiLevelType w:val="hybridMultilevel"/>
    <w:lvl w:ilvl="0">
      <w:lvlJc w:val="left"/>
      <w:lvlText w:val="(%1)"/>
      <w:numFmt w:val="lowerLetter"/>
      <w:start w:val="1"/>
    </w:lvl>
  </w:abstractNum>
  <w:abstractNum w:abstractNumId="76">
    <w:nsid w:val="50801EE1"/>
    <w:multiLevelType w:val="hybridMultilevel"/>
    <w:lvl w:ilvl="0">
      <w:lvlJc w:val="left"/>
      <w:lvlText w:val="(%1)"/>
      <w:numFmt w:val="lowerRoman"/>
      <w:start w:val="1"/>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3"/>
    </w:lvl>
  </w:abstractNum>
  <w:abstractNum w:abstractNumId="79">
    <w:nsid w:val="6AA78F7F"/>
    <w:multiLevelType w:val="hybridMultilevel"/>
    <w:lvl w:ilvl="0">
      <w:lvlJc w:val="left"/>
      <w:lvlText w:val="(%1)"/>
      <w:numFmt w:val="lowerLetter"/>
      <w:start w:val="1"/>
    </w:lvl>
  </w:abstractNum>
  <w:abstractNum w:abstractNumId="80">
    <w:nsid w:val="7672BD23"/>
    <w:multiLevelType w:val="hybridMultilevel"/>
    <w:lvl w:ilvl="0">
      <w:lvlJc w:val="left"/>
      <w:lvlText w:val="%1"/>
      <w:numFmt w:val="decimal"/>
      <w:start w:val="104"/>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
      <w:numFmt w:val="bullet"/>
      <w:start w:val="1"/>
    </w:lvl>
  </w:abstractNum>
  <w:abstractNum w:abstractNumId="83">
    <w:nsid w:val="7D5E18F8"/>
    <w:multiLevelType w:val="hybridMultilevel"/>
    <w:lvl w:ilvl="0">
      <w:lvlJc w:val="left"/>
      <w:lvlText w:val="%1."/>
      <w:numFmt w:val="decimal"/>
      <w:start w:val="1"/>
    </w:lvl>
  </w:abstractNum>
  <w:abstractNum w:abstractNumId="84">
    <w:nsid w:val="5F3534A4"/>
    <w:multiLevelType w:val="hybridMultilevel"/>
    <w:lvl w:ilvl="0">
      <w:lvlJc w:val="left"/>
      <w:lvlText w:val="%1."/>
      <w:numFmt w:val="decimal"/>
      <w:start w:val="2"/>
    </w:lvl>
  </w:abstractNum>
  <w:abstractNum w:abstractNumId="85">
    <w:nsid w:val="73A1821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6">
    <w:nsid w:val="7DE67713"/>
    <w:multiLevelType w:val="hybridMultilevel"/>
    <w:lvl w:ilvl="0">
      <w:lvlJc w:val="left"/>
      <w:lvlText w:val="(%1)"/>
      <w:numFmt w:val="lowerLetter"/>
      <w:start w:val="2"/>
    </w:lvl>
  </w:abstractNum>
  <w:abstractNum w:abstractNumId="87">
    <w:nsid w:val="555C55B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8">
    <w:nsid w:val="3FA62ACA"/>
    <w:multiLevelType w:val="hybridMultilevel"/>
    <w:lvl w:ilvl="0">
      <w:lvlJc w:val="left"/>
      <w:lvlText w:val="%1."/>
      <w:numFmt w:val="decimal"/>
      <w:start w:val="6"/>
    </w:lvl>
    <w:lvl w:ilvl="1">
      <w:lvlJc w:val="left"/>
      <w:lvlText w:val="(%2)"/>
      <w:numFmt w:val="lowerLetter"/>
      <w:start w:val="1"/>
    </w:lvl>
  </w:abstractNum>
  <w:abstractNum w:abstractNumId="89">
    <w:nsid w:val="14FCE74E"/>
    <w:multiLevelType w:val="hybridMultilevel"/>
    <w:lvl w:ilvl="0">
      <w:lvlJc w:val="left"/>
      <w:lvlText w:val="%1."/>
      <w:numFmt w:val="decimal"/>
      <w:start w:val="8"/>
    </w:lvl>
  </w:abstractNum>
  <w:abstractNum w:abstractNumId="90">
    <w:nsid w:val="6A3DD3E8"/>
    <w:multiLevelType w:val="hybridMultilevel"/>
    <w:lvl w:ilvl="0">
      <w:lvlJc w:val="left"/>
      <w:lvlText w:val="%1."/>
      <w:numFmt w:val="decimal"/>
      <w:start w:val="11"/>
    </w:lvl>
  </w:abstractNum>
  <w:abstractNum w:abstractNumId="91">
    <w:nsid w:val="71C91298"/>
    <w:multiLevelType w:val="hybridMultilevel"/>
    <w:lvl w:ilvl="0">
      <w:lvlJc w:val="left"/>
      <w:lvlText w:val="(%1)"/>
      <w:numFmt w:val="lowerLetter"/>
      <w:start w:val="1"/>
    </w:lvl>
  </w:abstractNum>
  <w:abstractNum w:abstractNumId="92">
    <w:nsid w:val="9DAF632"/>
    <w:multiLevelType w:val="hybridMultilevel"/>
    <w:lvl w:ilvl="0">
      <w:lvlJc w:val="left"/>
      <w:lvlText w:val="(%1)"/>
      <w:numFmt w:val="lowerLetter"/>
      <w:start w:val="2"/>
    </w:lvl>
  </w:abstractNum>
  <w:abstractNum w:abstractNumId="93">
    <w:nsid w:val="53299938"/>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94">
    <w:nsid w:val="1FBFE8E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95">
    <w:nsid w:val="5092CA79"/>
    <w:multiLevelType w:val="hybridMultilevel"/>
    <w:lvl w:ilvl="0">
      <w:lvlJc w:val="left"/>
      <w:lvlText w:val="%1"/>
      <w:numFmt w:val="decimal"/>
      <w:start w:val="1"/>
    </w:lvl>
    <w:lvl w:ilvl="1">
      <w:lvlJc w:val="left"/>
      <w:lvlText w:val="(%2)"/>
      <w:numFmt w:val="lowerLetter"/>
      <w:start w:val="2"/>
    </w:lvl>
  </w:abstractNum>
  <w:abstractNum w:abstractNumId="96">
    <w:nsid w:val="1D545C4D"/>
    <w:multiLevelType w:val="hybridMultilevel"/>
    <w:lvl w:ilvl="0">
      <w:lvlJc w:val="left"/>
      <w:lvlText w:val="%1."/>
      <w:numFmt w:val="decimal"/>
      <w:start w:val="14"/>
    </w:lvl>
    <w:lvl w:ilvl="1">
      <w:lvlJc w:val="left"/>
      <w:lvlText w:val="%2"/>
      <w:numFmt w:val="lowerLetter"/>
      <w:start w:val="1"/>
    </w:lvl>
  </w:abstractNum>
  <w:abstractNum w:abstractNumId="97">
    <w:nsid w:val="59ADEA3D"/>
    <w:multiLevelType w:val="hybridMultilevel"/>
    <w:lvl w:ilvl="0">
      <w:lvlJc w:val="left"/>
      <w:lvlText w:val="%1."/>
      <w:numFmt w:val="decimal"/>
      <w:start w:val="18"/>
    </w:lvl>
    <w:lvl w:ilvl="1">
      <w:lvlJc w:val="left"/>
      <w:lvlText w:val="(%2)"/>
      <w:numFmt w:val="lowerLetter"/>
      <w:start w:val="1"/>
    </w:lvl>
  </w:abstractNum>
  <w:abstractNum w:abstractNumId="98">
    <w:nsid w:val="288F1A34"/>
    <w:multiLevelType w:val="hybridMultilevel"/>
    <w:lvl w:ilvl="0">
      <w:lvlJc w:val="left"/>
      <w:lvlText w:val="(%1)"/>
      <w:numFmt w:val="lowerLetter"/>
      <w:start w:val="3"/>
    </w:lvl>
  </w:abstractNum>
  <w:abstractNum w:abstractNumId="99">
    <w:nsid w:val="2A155DBC"/>
    <w:multiLevelType w:val="hybridMultilevel"/>
    <w:lvl w:ilvl="0">
      <w:lvlJc w:val="left"/>
      <w:lvlText w:val="%1."/>
      <w:numFmt w:val="decimal"/>
      <w:start w:val="1"/>
    </w:lvl>
  </w:abstractNum>
  <w:abstractNum w:abstractNumId="100">
    <w:nsid w:val="1D9F6E5F"/>
    <w:multiLevelType w:val="hybridMultilevel"/>
    <w:lvl w:ilvl="0">
      <w:lvlJc w:val="left"/>
      <w:lvlText w:val="%1."/>
      <w:numFmt w:val="decimal"/>
      <w:start w:val="2"/>
    </w:lvl>
  </w:abstractNum>
  <w:abstractNum w:abstractNumId="101">
    <w:nsid w:val="97E1B4E"/>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02">
    <w:nsid w:val="5108827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03">
    <w:nsid w:val="1CA0C5F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04">
    <w:nsid w:val="53584BCB"/>
    <w:multiLevelType w:val="hybridMultilevel"/>
    <w:lvl w:ilvl="0">
      <w:lvlJc w:val="left"/>
      <w:lvlText w:val="(%1)"/>
      <w:numFmt w:val="lowerLetter"/>
      <w:start w:val="2"/>
    </w:lvl>
    <w:lvl w:ilvl="1">
      <w:lvlJc w:val="left"/>
      <w:lvlText w:val="%2."/>
      <w:numFmt w:val="decimal"/>
      <w:start w:val="7"/>
    </w:lvl>
    <w:lvl w:ilvl="2">
      <w:lvlJc w:val="left"/>
      <w:lvlText w:val="%3"/>
      <w:numFmt w:val="lowerRoman"/>
      <w:start w:val="1"/>
    </w:lvl>
  </w:abstractNum>
  <w:abstractNum w:abstractNumId="105">
    <w:nsid w:val="415E286C"/>
    <w:multiLevelType w:val="hybridMultilevel"/>
    <w:lvl w:ilvl="0">
      <w:lvlJc w:val="left"/>
      <w:lvlText w:val="%1"/>
      <w:numFmt w:val="lowerLetter"/>
      <w:start w:val="1"/>
    </w:lvl>
    <w:lvl w:ilvl="1">
      <w:lvlJc w:val="left"/>
      <w:lvlText w:val="%2."/>
      <w:numFmt w:val="decimal"/>
      <w:start w:val="8"/>
    </w:lvl>
  </w:abstractNum>
  <w:abstractNum w:abstractNumId="106">
    <w:nsid w:val="7C58FD05"/>
    <w:multiLevelType w:val="hybridMultilevel"/>
    <w:lvl w:ilvl="0">
      <w:lvlJc w:val="left"/>
      <w:lvlText w:val="(%1)"/>
      <w:numFmt w:val="lowerLetter"/>
      <w:start w:val="1"/>
    </w:lvl>
    <w:lvl w:ilvl="1">
      <w:lvlJc w:val="left"/>
      <w:lvlText w:val="%2."/>
      <w:numFmt w:val="decimal"/>
      <w:start w:val="9"/>
    </w:lvl>
  </w:abstractNum>
  <w:abstractNum w:abstractNumId="107">
    <w:nsid w:val="23D86AAC"/>
    <w:multiLevelType w:val="hybridMultilevel"/>
    <w:lvl w:ilvl="0">
      <w:lvlJc w:val="left"/>
      <w:lvlText w:val="%1"/>
      <w:numFmt w:val="lowerLetter"/>
      <w:start w:val="1"/>
    </w:lvl>
    <w:lvl w:ilvl="1">
      <w:lvlJc w:val="left"/>
      <w:lvlText w:val="%2."/>
      <w:numFmt w:val="decimal"/>
      <w:start w:val="10"/>
    </w:lvl>
  </w:abstractNum>
  <w:abstractNum w:abstractNumId="108">
    <w:nsid w:val="45E6D486"/>
    <w:multiLevelType w:val="hybridMultilevel"/>
    <w:lvl w:ilvl="0">
      <w:lvlJc w:val="left"/>
      <w:lvlText w:val="(%1)"/>
      <w:numFmt w:val="lowerLetter"/>
      <w:start w:val="1"/>
    </w:lvl>
    <w:lvl w:ilvl="1">
      <w:lvlJc w:val="left"/>
      <w:lvlText w:val="%2"/>
      <w:numFmt w:val="decimal"/>
      <w:start w:val="1"/>
    </w:lvl>
  </w:abstractNum>
  <w:abstractNum w:abstractNumId="109">
    <w:nsid w:val="5C10FE21"/>
    <w:multiLevelType w:val="hybridMultilevel"/>
    <w:lvl w:ilvl="0">
      <w:lvlJc w:val="left"/>
      <w:lvlText w:val="(%1)"/>
      <w:numFmt w:val="lowerLetter"/>
      <w:start w:val="2"/>
    </w:lvl>
    <w:lvl w:ilvl="1">
      <w:lvlJc w:val="left"/>
      <w:lvlText w:val="%2."/>
      <w:numFmt w:val="decimal"/>
      <w:start w:val="14"/>
    </w:lvl>
  </w:abstractNum>
  <w:abstractNum w:abstractNumId="110">
    <w:nsid w:val="E7FFA2B"/>
    <w:multiLevelType w:val="hybridMultilevel"/>
    <w:lvl w:ilvl="0">
      <w:lvlJc w:val="left"/>
      <w:lvlText w:val="%1"/>
      <w:numFmt w:val="lowerLetter"/>
      <w:start w:val="1"/>
    </w:lvl>
    <w:lvl w:ilvl="1">
      <w:lvlJc w:val="left"/>
      <w:lvlText w:val="%2."/>
      <w:numFmt w:val="decimal"/>
      <w:start w:val="15"/>
    </w:lvl>
  </w:abstractNum>
  <w:abstractNum w:abstractNumId="111">
    <w:nsid w:val="3C5991AA"/>
    <w:multiLevelType w:val="hybridMultilevel"/>
    <w:lvl w:ilvl="0">
      <w:lvlJc w:val="left"/>
      <w:lvlText w:val="(%1)"/>
      <w:numFmt w:val="lowerLetter"/>
      <w:start w:val="1"/>
    </w:lvl>
    <w:lvl w:ilvl="1">
      <w:lvlJc w:val="left"/>
      <w:lvlText w:val="%2"/>
      <w:numFmt w:val="decimal"/>
      <w:start w:val="1"/>
    </w:lvl>
  </w:abstractNum>
  <w:abstractNum w:abstractNumId="112">
    <w:nsid w:val="4BD8591A"/>
    <w:multiLevelType w:val="hybridMultilevel"/>
    <w:lvl w:ilvl="0">
      <w:lvlJc w:val="left"/>
      <w:lvlText w:val="(%1)"/>
      <w:numFmt w:val="lowerLetter"/>
      <w:start w:val="2"/>
    </w:lvl>
    <w:lvl w:ilvl="1">
      <w:lvlJc w:val="left"/>
      <w:lvlText w:val="%2."/>
      <w:numFmt w:val="decimal"/>
      <w:start w:val="16"/>
    </w:lvl>
  </w:abstractNum>
  <w:abstractNum w:abstractNumId="113">
    <w:nsid w:val="78DF6A55"/>
    <w:multiLevelType w:val="hybridMultilevel"/>
    <w:lvl w:ilvl="0">
      <w:lvlJc w:val="left"/>
      <w:lvlText w:val="%1."/>
      <w:numFmt w:val="decimal"/>
      <w:start w:val="20"/>
    </w:lvl>
    <w:lvl w:ilvl="1">
      <w:lvlJc w:val="left"/>
      <w:lvlText w:val="(%2)"/>
      <w:numFmt w:val="lowerLetter"/>
      <w:start w:val="1"/>
    </w:lvl>
  </w:abstractNum>
  <w:abstractNum w:abstractNumId="114">
    <w:nsid w:val="39B7AAA2"/>
    <w:multiLevelType w:val="hybridMultilevel"/>
    <w:lvl w:ilvl="0">
      <w:lvlJc w:val="left"/>
      <w:lvlText w:val="(%1)"/>
      <w:numFmt w:val="lowerLetter"/>
      <w:start w:val="2"/>
    </w:lvl>
  </w:abstractNum>
  <w:abstractNum w:abstractNumId="115">
    <w:nsid w:val="2B0D8DBE"/>
    <w:multiLevelType w:val="hybridMultilevel"/>
    <w:lvl w:ilvl="0">
      <w:lvlJc w:val="left"/>
      <w:lvlText w:val="%1."/>
      <w:numFmt w:val="decimal"/>
      <w:start w:val="1"/>
    </w:lvl>
    <w:lvl w:ilvl="1">
      <w:lvlJc w:val="left"/>
      <w:lvlText w:val="%2)"/>
      <w:numFmt w:val="lowerLetter"/>
      <w:start w:val="1"/>
    </w:lvl>
  </w:abstractNum>
  <w:abstractNum w:abstractNumId="116">
    <w:nsid w:val="6C80EC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02" Type="http://schemas.openxmlformats.org/officeDocument/2006/relationships/hyperlink" Target="https://www.sec.gov/Archives/edgar/data/1570585/000157058525000174/exhibit41-combinedtelenet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2025-08-01T07:13:38Z</dcterms:created>
  <dcterms:modified xsi:type="dcterms:W3CDTF">2025-08-01T07:13:38Z</dcterms:modified>
</cp:coreProperties>
</file>