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4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-199390</wp:posOffset>
            </wp:positionV>
            <wp:extent cx="2907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7030" cy="889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186055</wp:posOffset>
            </wp:positionV>
            <wp:extent cx="2907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CURRENT REPORT</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October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180340</wp:posOffset>
            </wp:positionV>
            <wp:extent cx="2907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Liberty Global plc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163830</wp:posOffset>
            </wp:positionV>
            <wp:extent cx="2907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860" w:type="dxa"/>
        <w:tblCellMar>
          <w:top w:w="0" w:type="dxa"/>
          <w:left w:w="0" w:type="dxa"/>
          <w:bottom w:w="0" w:type="dxa"/>
          <w:right w:w="0" w:type="dxa"/>
        </w:tblCellMar>
      </w:tblPr>
      <w:tr>
        <w:trPr>
          <w:trHeight w:val="210"/>
        </w:trPr>
        <w:tc>
          <w:tcPr>
            <w:tcW w:w="2800" w:type="dxa"/>
            <w:vAlign w:val="bottom"/>
          </w:tcPr>
          <w:p>
            <w:pPr>
              <w:jc w:val="center"/>
              <w:ind w:right="1019"/>
              <w:spacing w:after="0"/>
              <w:rPr>
                <w:sz w:val="20"/>
                <w:szCs w:val="20"/>
                <w:color w:val="auto"/>
              </w:rPr>
            </w:pPr>
            <w:r>
              <w:rPr>
                <w:rFonts w:ascii="Arial" w:cs="Arial" w:eastAsia="Arial" w:hAnsi="Arial"/>
                <w:sz w:val="16"/>
                <w:szCs w:val="16"/>
                <w:b w:val="1"/>
                <w:bCs w:val="1"/>
                <w:color w:val="auto"/>
                <w:w w:val="91"/>
              </w:rPr>
              <w:t>England and Wales</w:t>
            </w:r>
          </w:p>
        </w:tc>
        <w:tc>
          <w:tcPr>
            <w:tcW w:w="4160" w:type="dxa"/>
            <w:vAlign w:val="bottom"/>
          </w:tcPr>
          <w:p>
            <w:pPr>
              <w:jc w:val="right"/>
              <w:ind w:right="1739"/>
              <w:spacing w:after="0"/>
              <w:rPr>
                <w:sz w:val="20"/>
                <w:szCs w:val="20"/>
                <w:color w:val="auto"/>
              </w:rPr>
            </w:pPr>
            <w:r>
              <w:rPr>
                <w:rFonts w:ascii="Arial" w:cs="Arial" w:eastAsia="Arial" w:hAnsi="Arial"/>
                <w:sz w:val="16"/>
                <w:szCs w:val="16"/>
                <w:b w:val="1"/>
                <w:bCs w:val="1"/>
                <w:color w:val="auto"/>
              </w:rPr>
              <w:t>001-35961</w:t>
            </w:r>
          </w:p>
        </w:tc>
        <w:tc>
          <w:tcPr>
            <w:tcW w:w="2340" w:type="dxa"/>
            <w:vAlign w:val="bottom"/>
          </w:tcPr>
          <w:p>
            <w:pPr>
              <w:jc w:val="center"/>
              <w:ind w:left="1199"/>
              <w:spacing w:after="0"/>
              <w:rPr>
                <w:sz w:val="20"/>
                <w:szCs w:val="20"/>
                <w:color w:val="auto"/>
              </w:rPr>
            </w:pPr>
            <w:r>
              <w:rPr>
                <w:rFonts w:ascii="Arial" w:cs="Arial" w:eastAsia="Arial" w:hAnsi="Arial"/>
                <w:sz w:val="16"/>
                <w:szCs w:val="16"/>
                <w:b w:val="1"/>
                <w:bCs w:val="1"/>
                <w:color w:val="auto"/>
                <w:w w:val="91"/>
              </w:rPr>
              <w:t>98-1112770</w:t>
            </w:r>
          </w:p>
        </w:tc>
      </w:tr>
      <w:tr>
        <w:trPr>
          <w:trHeight w:val="253"/>
        </w:trPr>
        <w:tc>
          <w:tcPr>
            <w:tcW w:w="2800" w:type="dxa"/>
            <w:vAlign w:val="bottom"/>
          </w:tcPr>
          <w:p>
            <w:pPr>
              <w:jc w:val="center"/>
              <w:ind w:right="1019"/>
              <w:spacing w:after="0"/>
              <w:rPr>
                <w:sz w:val="20"/>
                <w:szCs w:val="20"/>
                <w:color w:val="auto"/>
              </w:rPr>
            </w:pPr>
            <w:r>
              <w:rPr>
                <w:rFonts w:ascii="Arial" w:cs="Arial" w:eastAsia="Arial" w:hAnsi="Arial"/>
                <w:sz w:val="16"/>
                <w:szCs w:val="16"/>
                <w:color w:val="auto"/>
                <w:w w:val="93"/>
              </w:rPr>
              <w:t>(State or other jurisdiction</w:t>
            </w:r>
          </w:p>
        </w:tc>
        <w:tc>
          <w:tcPr>
            <w:tcW w:w="4160" w:type="dxa"/>
            <w:vAlign w:val="bottom"/>
          </w:tcPr>
          <w:p>
            <w:pPr>
              <w:jc w:val="center"/>
              <w:ind w:right="99"/>
              <w:spacing w:after="0"/>
              <w:rPr>
                <w:sz w:val="20"/>
                <w:szCs w:val="20"/>
                <w:color w:val="auto"/>
              </w:rPr>
            </w:pPr>
            <w:r>
              <w:rPr>
                <w:rFonts w:ascii="Arial" w:cs="Arial" w:eastAsia="Arial" w:hAnsi="Arial"/>
                <w:sz w:val="16"/>
                <w:szCs w:val="16"/>
                <w:color w:val="auto"/>
                <w:w w:val="93"/>
              </w:rPr>
              <w:t>(Commission File Number)</w:t>
            </w:r>
          </w:p>
        </w:tc>
        <w:tc>
          <w:tcPr>
            <w:tcW w:w="2340" w:type="dxa"/>
            <w:vAlign w:val="bottom"/>
          </w:tcPr>
          <w:p>
            <w:pPr>
              <w:jc w:val="center"/>
              <w:ind w:left="1199"/>
              <w:spacing w:after="0"/>
              <w:rPr>
                <w:sz w:val="20"/>
                <w:szCs w:val="20"/>
                <w:color w:val="auto"/>
              </w:rPr>
            </w:pPr>
            <w:r>
              <w:rPr>
                <w:rFonts w:ascii="Arial" w:cs="Arial" w:eastAsia="Arial" w:hAnsi="Arial"/>
                <w:sz w:val="16"/>
                <w:szCs w:val="16"/>
                <w:color w:val="auto"/>
                <w:w w:val="94"/>
              </w:rPr>
              <w:t>(IRS Employer</w:t>
            </w:r>
          </w:p>
        </w:tc>
      </w:tr>
      <w:tr>
        <w:trPr>
          <w:trHeight w:val="206"/>
        </w:trPr>
        <w:tc>
          <w:tcPr>
            <w:tcW w:w="2800" w:type="dxa"/>
            <w:vAlign w:val="bottom"/>
          </w:tcPr>
          <w:p>
            <w:pPr>
              <w:jc w:val="center"/>
              <w:ind w:right="1019"/>
              <w:spacing w:after="0"/>
              <w:rPr>
                <w:sz w:val="20"/>
                <w:szCs w:val="20"/>
                <w:color w:val="auto"/>
              </w:rPr>
            </w:pPr>
            <w:r>
              <w:rPr>
                <w:rFonts w:ascii="Arial" w:cs="Arial" w:eastAsia="Arial" w:hAnsi="Arial"/>
                <w:sz w:val="16"/>
                <w:szCs w:val="16"/>
                <w:color w:val="auto"/>
                <w:w w:val="95"/>
              </w:rPr>
              <w:t>of incorporation)</w:t>
            </w:r>
          </w:p>
        </w:tc>
        <w:tc>
          <w:tcPr>
            <w:tcW w:w="4160" w:type="dxa"/>
            <w:vAlign w:val="bottom"/>
          </w:tcPr>
          <w:p>
            <w:pPr>
              <w:spacing w:after="0"/>
              <w:rPr>
                <w:sz w:val="17"/>
                <w:szCs w:val="17"/>
                <w:color w:val="auto"/>
              </w:rPr>
            </w:pPr>
          </w:p>
        </w:tc>
        <w:tc>
          <w:tcPr>
            <w:tcW w:w="2340" w:type="dxa"/>
            <w:vAlign w:val="bottom"/>
          </w:tcPr>
          <w:p>
            <w:pPr>
              <w:jc w:val="center"/>
              <w:ind w:left="1199"/>
              <w:spacing w:after="0"/>
              <w:rPr>
                <w:sz w:val="20"/>
                <w:szCs w:val="20"/>
                <w:color w:val="auto"/>
              </w:rPr>
            </w:pPr>
            <w:r>
              <w:rPr>
                <w:rFonts w:ascii="Arial" w:cs="Arial" w:eastAsia="Arial" w:hAnsi="Arial"/>
                <w:sz w:val="16"/>
                <w:szCs w:val="16"/>
                <w:color w:val="auto"/>
                <w:w w:val="97"/>
              </w:rPr>
              <w:t>Identification #)</w:t>
            </w:r>
          </w:p>
        </w:tc>
      </w:tr>
    </w:tbl>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Griffin House, 161 Hammersmith Rd, London, United Kingdom</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W6 8BS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+44.208.483.6449 or 303.220.6600</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(Registrant’s telephone number, including area code)</w:t>
      </w:r>
    </w:p>
    <w:p>
      <w:pPr>
        <w:spacing w:after="0" w:line="121"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7"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240" w:type="dxa"/>
            <w:vAlign w:val="bottom"/>
          </w:tcPr>
          <w:p>
            <w:pPr>
              <w:jc w:val="center"/>
              <w:ind w:right="619"/>
              <w:spacing w:after="0"/>
              <w:rPr>
                <w:sz w:val="20"/>
                <w:szCs w:val="20"/>
                <w:color w:val="auto"/>
              </w:rPr>
            </w:pPr>
            <w:r>
              <w:rPr>
                <w:rFonts w:ascii="Arial" w:cs="Arial" w:eastAsia="Arial" w:hAnsi="Arial"/>
                <w:sz w:val="16"/>
                <w:szCs w:val="16"/>
                <w:b w:val="1"/>
                <w:bCs w:val="1"/>
                <w:color w:val="auto"/>
                <w:w w:val="88"/>
              </w:rPr>
              <w:t>Title of each class</w:t>
            </w:r>
          </w:p>
        </w:tc>
        <w:tc>
          <w:tcPr>
            <w:tcW w:w="2520" w:type="dxa"/>
            <w:vAlign w:val="bottom"/>
          </w:tcPr>
          <w:p>
            <w:pPr>
              <w:jc w:val="center"/>
              <w:ind w:left="79"/>
              <w:spacing w:after="0"/>
              <w:rPr>
                <w:sz w:val="20"/>
                <w:szCs w:val="20"/>
                <w:color w:val="auto"/>
              </w:rPr>
            </w:pPr>
            <w:r>
              <w:rPr>
                <w:rFonts w:ascii="Arial" w:cs="Arial" w:eastAsia="Arial" w:hAnsi="Arial"/>
                <w:sz w:val="16"/>
                <w:szCs w:val="16"/>
                <w:b w:val="1"/>
                <w:bCs w:val="1"/>
                <w:color w:val="auto"/>
                <w:w w:val="91"/>
              </w:rPr>
              <w:t>Trading Symbol(s)</w:t>
            </w:r>
          </w:p>
        </w:tc>
        <w:tc>
          <w:tcPr>
            <w:tcW w:w="3520" w:type="dxa"/>
            <w:vAlign w:val="bottom"/>
          </w:tcPr>
          <w:p>
            <w:pPr>
              <w:jc w:val="center"/>
              <w:ind w:left="43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78"/>
        </w:trPr>
        <w:tc>
          <w:tcPr>
            <w:tcW w:w="2240" w:type="dxa"/>
            <w:vAlign w:val="bottom"/>
          </w:tcPr>
          <w:p>
            <w:pPr>
              <w:jc w:val="center"/>
              <w:ind w:right="619"/>
              <w:spacing w:after="0"/>
              <w:rPr>
                <w:sz w:val="20"/>
                <w:szCs w:val="20"/>
                <w:color w:val="auto"/>
              </w:rPr>
            </w:pPr>
            <w:r>
              <w:rPr>
                <w:rFonts w:ascii="Arial" w:cs="Arial" w:eastAsia="Arial" w:hAnsi="Arial"/>
                <w:sz w:val="16"/>
                <w:szCs w:val="16"/>
                <w:color w:val="auto"/>
                <w:w w:val="90"/>
              </w:rPr>
              <w:t>Class A ordinary shares</w:t>
            </w:r>
          </w:p>
        </w:tc>
        <w:tc>
          <w:tcPr>
            <w:tcW w:w="2520" w:type="dxa"/>
            <w:vAlign w:val="bottom"/>
          </w:tcPr>
          <w:p>
            <w:pPr>
              <w:jc w:val="center"/>
              <w:ind w:left="79"/>
              <w:spacing w:after="0"/>
              <w:rPr>
                <w:sz w:val="20"/>
                <w:szCs w:val="20"/>
                <w:color w:val="auto"/>
              </w:rPr>
            </w:pPr>
            <w:r>
              <w:rPr>
                <w:rFonts w:ascii="Arial" w:cs="Arial" w:eastAsia="Arial" w:hAnsi="Arial"/>
                <w:sz w:val="16"/>
                <w:szCs w:val="16"/>
                <w:color w:val="auto"/>
              </w:rPr>
              <w:t>LBTYA</w:t>
            </w:r>
          </w:p>
        </w:tc>
        <w:tc>
          <w:tcPr>
            <w:tcW w:w="3520" w:type="dxa"/>
            <w:vAlign w:val="bottom"/>
          </w:tcPr>
          <w:p>
            <w:pPr>
              <w:jc w:val="center"/>
              <w:ind w:left="439"/>
              <w:spacing w:after="0"/>
              <w:rPr>
                <w:sz w:val="20"/>
                <w:szCs w:val="20"/>
                <w:color w:val="auto"/>
              </w:rPr>
            </w:pPr>
            <w:r>
              <w:rPr>
                <w:rFonts w:ascii="Arial" w:cs="Arial" w:eastAsia="Arial" w:hAnsi="Arial"/>
                <w:sz w:val="16"/>
                <w:szCs w:val="16"/>
                <w:color w:val="auto"/>
                <w:w w:val="92"/>
              </w:rPr>
              <w:t>Nasdaq Global Select Market</w:t>
            </w:r>
          </w:p>
        </w:tc>
      </w:tr>
      <w:tr>
        <w:trPr>
          <w:trHeight w:val="257"/>
        </w:trPr>
        <w:tc>
          <w:tcPr>
            <w:tcW w:w="2240" w:type="dxa"/>
            <w:vAlign w:val="bottom"/>
          </w:tcPr>
          <w:p>
            <w:pPr>
              <w:jc w:val="center"/>
              <w:ind w:right="619"/>
              <w:spacing w:after="0"/>
              <w:rPr>
                <w:sz w:val="20"/>
                <w:szCs w:val="20"/>
                <w:color w:val="auto"/>
              </w:rPr>
            </w:pPr>
            <w:r>
              <w:rPr>
                <w:rFonts w:ascii="Arial" w:cs="Arial" w:eastAsia="Arial" w:hAnsi="Arial"/>
                <w:sz w:val="16"/>
                <w:szCs w:val="16"/>
                <w:color w:val="auto"/>
                <w:w w:val="90"/>
              </w:rPr>
              <w:t>Class B ordinary shares</w:t>
            </w:r>
          </w:p>
        </w:tc>
        <w:tc>
          <w:tcPr>
            <w:tcW w:w="2520" w:type="dxa"/>
            <w:vAlign w:val="bottom"/>
          </w:tcPr>
          <w:p>
            <w:pPr>
              <w:jc w:val="center"/>
              <w:ind w:left="79"/>
              <w:spacing w:after="0"/>
              <w:rPr>
                <w:sz w:val="20"/>
                <w:szCs w:val="20"/>
                <w:color w:val="auto"/>
              </w:rPr>
            </w:pPr>
            <w:r>
              <w:rPr>
                <w:rFonts w:ascii="Arial" w:cs="Arial" w:eastAsia="Arial" w:hAnsi="Arial"/>
                <w:sz w:val="16"/>
                <w:szCs w:val="16"/>
                <w:color w:val="auto"/>
              </w:rPr>
              <w:t>LBTYB</w:t>
            </w:r>
          </w:p>
        </w:tc>
        <w:tc>
          <w:tcPr>
            <w:tcW w:w="3520" w:type="dxa"/>
            <w:vAlign w:val="bottom"/>
          </w:tcPr>
          <w:p>
            <w:pPr>
              <w:jc w:val="center"/>
              <w:ind w:left="439"/>
              <w:spacing w:after="0"/>
              <w:rPr>
                <w:sz w:val="20"/>
                <w:szCs w:val="20"/>
                <w:color w:val="auto"/>
              </w:rPr>
            </w:pPr>
            <w:r>
              <w:rPr>
                <w:rFonts w:ascii="Arial" w:cs="Arial" w:eastAsia="Arial" w:hAnsi="Arial"/>
                <w:sz w:val="16"/>
                <w:szCs w:val="16"/>
                <w:color w:val="auto"/>
                <w:w w:val="92"/>
              </w:rPr>
              <w:t>Nasdaq Global Select Market</w:t>
            </w:r>
          </w:p>
        </w:tc>
      </w:tr>
      <w:tr>
        <w:trPr>
          <w:trHeight w:val="257"/>
        </w:trPr>
        <w:tc>
          <w:tcPr>
            <w:tcW w:w="2240" w:type="dxa"/>
            <w:vAlign w:val="bottom"/>
          </w:tcPr>
          <w:p>
            <w:pPr>
              <w:jc w:val="center"/>
              <w:ind w:right="619"/>
              <w:spacing w:after="0"/>
              <w:rPr>
                <w:sz w:val="20"/>
                <w:szCs w:val="20"/>
                <w:color w:val="auto"/>
              </w:rPr>
            </w:pPr>
            <w:r>
              <w:rPr>
                <w:rFonts w:ascii="Arial" w:cs="Arial" w:eastAsia="Arial" w:hAnsi="Arial"/>
                <w:sz w:val="16"/>
                <w:szCs w:val="16"/>
                <w:color w:val="auto"/>
                <w:w w:val="90"/>
              </w:rPr>
              <w:t>Class C ordinary shares</w:t>
            </w:r>
          </w:p>
        </w:tc>
        <w:tc>
          <w:tcPr>
            <w:tcW w:w="2520" w:type="dxa"/>
            <w:vAlign w:val="bottom"/>
          </w:tcPr>
          <w:p>
            <w:pPr>
              <w:jc w:val="center"/>
              <w:ind w:left="99"/>
              <w:spacing w:after="0"/>
              <w:rPr>
                <w:sz w:val="20"/>
                <w:szCs w:val="20"/>
                <w:color w:val="auto"/>
              </w:rPr>
            </w:pPr>
            <w:r>
              <w:rPr>
                <w:rFonts w:ascii="Arial" w:cs="Arial" w:eastAsia="Arial" w:hAnsi="Arial"/>
                <w:sz w:val="16"/>
                <w:szCs w:val="16"/>
                <w:color w:val="auto"/>
              </w:rPr>
              <w:t>LBTYK</w:t>
            </w:r>
          </w:p>
        </w:tc>
        <w:tc>
          <w:tcPr>
            <w:tcW w:w="3520" w:type="dxa"/>
            <w:vAlign w:val="bottom"/>
          </w:tcPr>
          <w:p>
            <w:pPr>
              <w:jc w:val="center"/>
              <w:ind w:left="439"/>
              <w:spacing w:after="0"/>
              <w:rPr>
                <w:sz w:val="20"/>
                <w:szCs w:val="20"/>
                <w:color w:val="auto"/>
              </w:rPr>
            </w:pPr>
            <w:r>
              <w:rPr>
                <w:rFonts w:ascii="Arial" w:cs="Arial" w:eastAsia="Arial" w:hAnsi="Arial"/>
                <w:sz w:val="16"/>
                <w:szCs w:val="16"/>
                <w:color w:val="auto"/>
                <w:w w:val="92"/>
              </w:rPr>
              <w:t>Nasdaq Global Select Market</w:t>
            </w:r>
          </w:p>
        </w:tc>
      </w:tr>
    </w:tbl>
    <w:p>
      <w:pPr>
        <w:spacing w:after="0" w:line="34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4"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01"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22, 2019, Liberty Global plc (“we” or the “Company”), as guarantor, together with our wholly-owned subsidiary Liberty Global CE Holding BV (“Liberty CE”), as seller, and Sunrise Communications Group AG (“Sunrise”) entered into an amendment (the “Amendment”) to the Share Purchase Agreement among the same parties, dated as of February 27, 2019 (the “SPA”). The SPA, which was described in our Current Report on Form 8-K filed on March 1, 2019, relates to the sale to Sunrise of our operations in Switzerland.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Sunrise EGM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SPA, Sunrise was required to convene an extraordinary general meeting of its shareholders (the “EGM”) to vote on a capital increase to secure funding for a portion of the consideration payable in the sale. The EGM was required to be held no later than 30 calendar days after receipt of specified regulatory clearance for the sale. Following that clearance, Sunrise scheduled the EGM for October 23, 2019. Prior to the EGM, Sunrise reviewed the vote tally with us. Freenet, a 24.5% Sunrise shareholder, indicated its intent to vote against the capital increase. Although a majority of votes from other shareholders appeared to be in favor of the capital increase as of that time taking into account the total number of votes expected, without Freenet’s vote, the capital increase was expected to not be approved. Accordingly, Sunrise requested consent from us under the SPA terms to cancel the EGM and we agreed, subject to certain amendments.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 to Convene an EGM; Additional Termination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Amendment provides that Sunrise is obligated to convene a new EGM at our written request. The SPA also includes certain termination provisions, which remain in effect. In addition, the amended SPA provides Liberty CE the right to terminate the SPA at any time, except if we have requested Sunrise to convene a new EGM. The amended SPA also entitles Sunrise to terminate the SPA at any time after November 11, 2019, except if Liberty CE has requested Sunrise to convene a new EGM.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Fee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SPA obligates Sunrise to pay Liberty CE a termination fee of CHF 50 million ($50.7 million at the October 22, 2019 exchange rate) upon termination of the SPA for certain events. Under the amended SPA, these events are preserved, and it is agreed that this termination fee is payable by Sunrise if Liberty CE or Sunrise exercise their additional termination rights described in the preceding paragraph.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Amendments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 also made a clarifying change to the confidentiality provision of the SPA.</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summary of the Amendment in this Current Report on Form 8-K does not purport to be complete and is qualified in its entirety by reference to the full text of the Amendment, which is included as Exhibit 2.1 and incorporated herein by reference. The SPA was previously filed as Exhibit 2.1 to a Current Report on Form 8-K filed by Liberty Global on March 3, 2019.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Material Definitive Agreement</w:t>
      </w:r>
    </w:p>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light of the cancellation of the EGM, pursuant to the Amendment, the parties also terminated the Conditional Rights Purchase Agreement (“CRPA”) that the parties entered into on October 14, 2019, except that the waiver of the SPA’s standstill provision contained in the CRPA will continue to be effective.</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45"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88"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 No.</w:t>
            </w:r>
          </w:p>
        </w:tc>
        <w:tc>
          <w:tcPr>
            <w:tcW w:w="40" w:type="dxa"/>
            <w:vAlign w:val="bottom"/>
          </w:tcPr>
          <w:p>
            <w:pPr>
              <w:spacing w:after="0"/>
              <w:rPr>
                <w:sz w:val="18"/>
                <w:szCs w:val="18"/>
                <w:color w:val="auto"/>
              </w:rPr>
            </w:pPr>
          </w:p>
        </w:tc>
        <w:tc>
          <w:tcPr>
            <w:tcW w:w="8040" w:type="dxa"/>
            <w:vAlign w:val="bottom"/>
            <w:gridSpan w:val="3"/>
          </w:tcPr>
          <w:p>
            <w:pPr>
              <w:ind w:left="3800"/>
              <w:spacing w:after="0"/>
              <w:rPr>
                <w:sz w:val="20"/>
                <w:szCs w:val="20"/>
                <w:color w:val="auto"/>
              </w:rPr>
            </w:pPr>
            <w:r>
              <w:rPr>
                <w:rFonts w:ascii="Arial" w:cs="Arial" w:eastAsia="Arial" w:hAnsi="Arial"/>
                <w:sz w:val="16"/>
                <w:szCs w:val="16"/>
                <w:b w:val="1"/>
                <w:bCs w:val="1"/>
                <w:color w:val="auto"/>
              </w:rPr>
              <w:t>Name</w:t>
            </w:r>
          </w:p>
        </w:tc>
      </w:tr>
      <w:tr>
        <w:trPr>
          <w:trHeight w:val="47"/>
        </w:trPr>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40" w:type="dxa"/>
            <w:vAlign w:val="bottom"/>
            <w:gridSpan w:val="3"/>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Amendment No. 3 to Share Purchase Agreement, dated October 22, 2019, by and between Liberty Global CE</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5">
              <w:r>
                <w:rPr>
                  <w:rFonts w:ascii="Arial" w:cs="Arial" w:eastAsia="Arial" w:hAnsi="Arial"/>
                  <w:sz w:val="18"/>
                  <w:szCs w:val="18"/>
                  <w:color w:val="0000FF"/>
                  <w:w w:val="92"/>
                </w:rPr>
                <w:t>Holding BV, Liberty Global plc and Sunrise Communications Group AG.</w:t>
              </w:r>
            </w:hyperlink>
          </w:p>
        </w:tc>
        <w:tc>
          <w:tcPr>
            <w:tcW w:w="258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r>
      <w:tr>
        <w:trPr>
          <w:trHeight w:val="291"/>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ectPr>
          <w:pgSz w:w="11900" w:h="16838" w:orient="portrait"/>
          <w:cols w:equalWidth="0" w:num="1">
            <w:col w:w="10320"/>
          </w:cols>
          <w:pgMar w:left="240" w:top="580" w:right="1339" w:bottom="1440" w:gutter="0" w:footer="0" w:header="0"/>
        </w:sectPr>
      </w:pPr>
    </w:p>
    <w:bookmarkStart w:id="3" w:name="page4"/>
    <w:bookmarkEnd w:id="3"/>
    <w:p>
      <w:pPr>
        <w:jc w:val="center"/>
        <w:ind w:right="-7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LIBERTY GLOBAL PLC</w:t>
      </w:r>
    </w:p>
    <w:p>
      <w:pPr>
        <w:spacing w:after="0" w:line="333" w:lineRule="exact"/>
        <w:rPr>
          <w:sz w:val="20"/>
          <w:szCs w:val="20"/>
          <w:color w:val="auto"/>
        </w:rPr>
      </w:pPr>
    </w:p>
    <w:p>
      <w:pPr>
        <w:ind w:left="4380"/>
        <w:spacing w:after="0"/>
        <w:tabs>
          <w:tab w:leader="none" w:pos="4880" w:val="left"/>
        </w:tabs>
        <w:rPr>
          <w:sz w:val="20"/>
          <w:szCs w:val="20"/>
          <w:color w:val="auto"/>
        </w:rPr>
      </w:pPr>
      <w:r>
        <w:rPr>
          <w:rFonts w:ascii="Arial" w:cs="Arial" w:eastAsia="Arial" w:hAnsi="Arial"/>
          <w:sz w:val="18"/>
          <w:szCs w:val="18"/>
          <w:color w:val="auto"/>
        </w:rPr>
        <w:t>By:</w:t>
        <w:tab/>
        <w:t>/s/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31750</wp:posOffset>
            </wp:positionV>
            <wp:extent cx="2769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Randy L. Lazzell</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Vice President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2019</w:t>
      </w:r>
    </w:p>
    <w:p>
      <w:pPr>
        <w:sectPr>
          <w:pgSz w:w="11900" w:h="16838" w:orient="portrait"/>
          <w:cols w:equalWidth="0" w:num="1">
            <w:col w:w="10700"/>
          </w:cols>
          <w:pgMar w:left="240" w:top="580" w:right="9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80" w:type="dxa"/>
            <w:vAlign w:val="bottom"/>
          </w:tcPr>
          <w:p>
            <w:pPr>
              <w:spacing w:after="0"/>
              <w:rPr>
                <w:sz w:val="20"/>
                <w:szCs w:val="20"/>
                <w:color w:val="auto"/>
              </w:rPr>
            </w:pPr>
            <w:r>
              <w:rPr>
                <w:rFonts w:ascii="Arial" w:cs="Arial" w:eastAsia="Arial" w:hAnsi="Arial"/>
                <w:sz w:val="18"/>
                <w:szCs w:val="18"/>
                <w:b w:val="1"/>
                <w:bCs w:val="1"/>
                <w:color w:val="auto"/>
              </w:rPr>
              <w:t>Amendment no. 3 to Share Purchase Agreement</w:t>
            </w: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8"/>
                <w:szCs w:val="18"/>
                <w:color w:val="auto"/>
              </w:rPr>
              <w:t>dated October 22, 2019, 2 a.m. Swiss time</w:t>
            </w: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8"/>
                <w:szCs w:val="18"/>
                <w:color w:val="auto"/>
              </w:rPr>
              <w:t>by and between</w:t>
            </w: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880" w:type="dxa"/>
            <w:vAlign w:val="bottom"/>
          </w:tcPr>
          <w:p>
            <w:pPr>
              <w:spacing w:after="0"/>
              <w:rPr>
                <w:sz w:val="20"/>
                <w:szCs w:val="20"/>
                <w:color w:val="auto"/>
              </w:rPr>
            </w:pPr>
            <w:r>
              <w:rPr>
                <w:rFonts w:ascii="Arial" w:cs="Arial" w:eastAsia="Arial" w:hAnsi="Arial"/>
                <w:sz w:val="18"/>
                <w:szCs w:val="18"/>
                <w:b w:val="1"/>
                <w:bCs w:val="1"/>
                <w:color w:val="auto"/>
              </w:rPr>
              <w:t>Liberty Global CE Holding BV</w:t>
            </w:r>
          </w:p>
        </w:tc>
        <w:tc>
          <w:tcPr>
            <w:tcW w:w="4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Boeingavenue 53, NL-1119PE Schiphol Rijk</w:t>
            </w:r>
          </w:p>
        </w:tc>
        <w:tc>
          <w:tcPr>
            <w:tcW w:w="4020" w:type="dxa"/>
            <w:vAlign w:val="bottom"/>
            <w:vMerge w:val="restart"/>
          </w:tcPr>
          <w:p>
            <w:pPr>
              <w:ind w:left="1780"/>
              <w:spacing w:after="0"/>
              <w:rPr>
                <w:sz w:val="20"/>
                <w:szCs w:val="20"/>
                <w:color w:val="auto"/>
              </w:rPr>
            </w:pPr>
            <w:r>
              <w:rPr>
                <w:rFonts w:ascii="Arial" w:cs="Arial" w:eastAsia="Arial" w:hAnsi="Arial"/>
                <w:sz w:val="18"/>
                <w:szCs w:val="18"/>
                <w:color w:val="auto"/>
              </w:rPr>
              <w:t xml:space="preserve">(hereinafter the </w:t>
            </w:r>
            <w:r>
              <w:rPr>
                <w:rFonts w:ascii="Arial" w:cs="Arial" w:eastAsia="Arial" w:hAnsi="Arial"/>
                <w:sz w:val="18"/>
                <w:szCs w:val="18"/>
                <w:b w:val="1"/>
                <w:bCs w:val="1"/>
                <w:color w:val="auto"/>
              </w:rPr>
              <w:t>Seller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880" w:type="dxa"/>
            <w:vAlign w:val="bottom"/>
          </w:tcPr>
          <w:p>
            <w:pPr>
              <w:spacing w:after="0"/>
              <w:rPr>
                <w:sz w:val="20"/>
                <w:szCs w:val="20"/>
                <w:color w:val="auto"/>
              </w:rPr>
            </w:pPr>
            <w:r>
              <w:rPr>
                <w:rFonts w:ascii="Arial" w:cs="Arial" w:eastAsia="Arial" w:hAnsi="Arial"/>
                <w:sz w:val="18"/>
                <w:szCs w:val="18"/>
                <w:color w:val="auto"/>
              </w:rPr>
              <w:t>The Netherlands</w:t>
            </w:r>
          </w:p>
        </w:tc>
        <w:tc>
          <w:tcPr>
            <w:tcW w:w="4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8"/>
                <w:szCs w:val="18"/>
                <w:color w:val="auto"/>
              </w:rPr>
              <w:t>and</w:t>
            </w: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880" w:type="dxa"/>
            <w:vAlign w:val="bottom"/>
          </w:tcPr>
          <w:p>
            <w:pPr>
              <w:spacing w:after="0"/>
              <w:rPr>
                <w:sz w:val="20"/>
                <w:szCs w:val="20"/>
                <w:color w:val="auto"/>
              </w:rPr>
            </w:pPr>
            <w:r>
              <w:rPr>
                <w:rFonts w:ascii="Arial" w:cs="Arial" w:eastAsia="Arial" w:hAnsi="Arial"/>
                <w:sz w:val="18"/>
                <w:szCs w:val="18"/>
                <w:b w:val="1"/>
                <w:bCs w:val="1"/>
                <w:color w:val="auto"/>
              </w:rPr>
              <w:t>Liberty Global plc</w:t>
            </w:r>
          </w:p>
        </w:tc>
        <w:tc>
          <w:tcPr>
            <w:tcW w:w="4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Griffin House, 161 Hammersmith Road, London W6</w:t>
            </w:r>
          </w:p>
        </w:tc>
        <w:tc>
          <w:tcPr>
            <w:tcW w:w="4020" w:type="dxa"/>
            <w:vAlign w:val="bottom"/>
            <w:vMerge w:val="restart"/>
          </w:tcPr>
          <w:p>
            <w:pPr>
              <w:ind w:left="1780"/>
              <w:spacing w:after="0"/>
              <w:rPr>
                <w:sz w:val="20"/>
                <w:szCs w:val="20"/>
                <w:color w:val="auto"/>
              </w:rPr>
            </w:pPr>
            <w:r>
              <w:rPr>
                <w:rFonts w:ascii="Arial" w:cs="Arial" w:eastAsia="Arial" w:hAnsi="Arial"/>
                <w:sz w:val="18"/>
                <w:szCs w:val="18"/>
                <w:color w:val="auto"/>
              </w:rPr>
              <w:t xml:space="preserve">(hereinafter the </w:t>
            </w:r>
            <w:r>
              <w:rPr>
                <w:rFonts w:ascii="Arial" w:cs="Arial" w:eastAsia="Arial" w:hAnsi="Arial"/>
                <w:sz w:val="18"/>
                <w:szCs w:val="18"/>
                <w:b w:val="1"/>
                <w:bCs w:val="1"/>
                <w:color w:val="auto"/>
              </w:rPr>
              <w:t>Guarantor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880" w:type="dxa"/>
            <w:vAlign w:val="bottom"/>
          </w:tcPr>
          <w:p>
            <w:pPr>
              <w:spacing w:after="0"/>
              <w:rPr>
                <w:sz w:val="20"/>
                <w:szCs w:val="20"/>
                <w:color w:val="auto"/>
              </w:rPr>
            </w:pPr>
            <w:r>
              <w:rPr>
                <w:rFonts w:ascii="Arial" w:cs="Arial" w:eastAsia="Arial" w:hAnsi="Arial"/>
                <w:sz w:val="18"/>
                <w:szCs w:val="18"/>
                <w:color w:val="auto"/>
              </w:rPr>
              <w:t>8BS United Kingdom</w:t>
            </w:r>
          </w:p>
        </w:tc>
        <w:tc>
          <w:tcPr>
            <w:tcW w:w="4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8"/>
                <w:szCs w:val="18"/>
                <w:color w:val="auto"/>
              </w:rPr>
              <w:t>and</w:t>
            </w: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880" w:type="dxa"/>
            <w:vAlign w:val="bottom"/>
          </w:tcPr>
          <w:p>
            <w:pPr>
              <w:spacing w:after="0"/>
              <w:rPr>
                <w:sz w:val="20"/>
                <w:szCs w:val="20"/>
                <w:color w:val="auto"/>
              </w:rPr>
            </w:pPr>
            <w:r>
              <w:rPr>
                <w:rFonts w:ascii="Arial" w:cs="Arial" w:eastAsia="Arial" w:hAnsi="Arial"/>
                <w:sz w:val="18"/>
                <w:szCs w:val="18"/>
                <w:b w:val="1"/>
                <w:bCs w:val="1"/>
                <w:color w:val="auto"/>
              </w:rPr>
              <w:t>Sunrise Communications Group AG</w:t>
            </w:r>
          </w:p>
        </w:tc>
        <w:tc>
          <w:tcPr>
            <w:tcW w:w="4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Thurgauerstrasse 101B, 8152 Glattpark (Opfikon)</w:t>
            </w:r>
          </w:p>
        </w:tc>
        <w:tc>
          <w:tcPr>
            <w:tcW w:w="4020" w:type="dxa"/>
            <w:vAlign w:val="bottom"/>
            <w:vMerge w:val="restart"/>
          </w:tcPr>
          <w:p>
            <w:pPr>
              <w:ind w:left="1780"/>
              <w:spacing w:after="0"/>
              <w:rPr>
                <w:sz w:val="20"/>
                <w:szCs w:val="20"/>
                <w:color w:val="auto"/>
              </w:rPr>
            </w:pPr>
            <w:r>
              <w:rPr>
                <w:rFonts w:ascii="Arial" w:cs="Arial" w:eastAsia="Arial" w:hAnsi="Arial"/>
                <w:sz w:val="18"/>
                <w:szCs w:val="18"/>
                <w:color w:val="auto"/>
              </w:rPr>
              <w:t xml:space="preserve">(hereinafter the </w:t>
            </w:r>
            <w:r>
              <w:rPr>
                <w:rFonts w:ascii="Arial" w:cs="Arial" w:eastAsia="Arial" w:hAnsi="Arial"/>
                <w:sz w:val="18"/>
                <w:szCs w:val="18"/>
                <w:b w:val="1"/>
                <w:bCs w:val="1"/>
                <w:color w:val="auto"/>
              </w:rPr>
              <w:t>Buyer)</w:t>
            </w:r>
          </w:p>
        </w:tc>
        <w:tc>
          <w:tcPr>
            <w:tcW w:w="0" w:type="dxa"/>
            <w:vAlign w:val="bottom"/>
          </w:tcPr>
          <w:p>
            <w:pPr>
              <w:spacing w:after="0"/>
              <w:rPr>
                <w:sz w:val="1"/>
                <w:szCs w:val="1"/>
                <w:color w:val="auto"/>
              </w:rPr>
            </w:pPr>
          </w:p>
        </w:tc>
      </w:tr>
      <w:tr>
        <w:trPr>
          <w:trHeight w:val="217"/>
        </w:trPr>
        <w:tc>
          <w:tcPr>
            <w:tcW w:w="5880" w:type="dxa"/>
            <w:vAlign w:val="bottom"/>
          </w:tcPr>
          <w:p>
            <w:pPr>
              <w:spacing w:after="0"/>
              <w:rPr>
                <w:sz w:val="20"/>
                <w:szCs w:val="20"/>
                <w:color w:val="auto"/>
              </w:rPr>
            </w:pPr>
            <w:r>
              <w:rPr>
                <w:rFonts w:ascii="Arial" w:cs="Arial" w:eastAsia="Arial" w:hAnsi="Arial"/>
                <w:sz w:val="18"/>
                <w:szCs w:val="18"/>
                <w:color w:val="auto"/>
              </w:rPr>
              <w:t>Switzerland</w:t>
            </w:r>
          </w:p>
        </w:tc>
        <w:tc>
          <w:tcPr>
            <w:tcW w:w="4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p>
        </w:tc>
        <w:tc>
          <w:tcPr>
            <w:tcW w:w="4020" w:type="dxa"/>
            <w:vAlign w:val="bottom"/>
          </w:tcPr>
          <w:p>
            <w:pPr>
              <w:ind w:left="1780"/>
              <w:spacing w:after="0"/>
              <w:rPr>
                <w:sz w:val="20"/>
                <w:szCs w:val="20"/>
                <w:color w:val="auto"/>
              </w:rPr>
            </w:pPr>
            <w:r>
              <w:rPr>
                <w:rFonts w:ascii="Arial" w:cs="Arial" w:eastAsia="Arial" w:hAnsi="Arial"/>
                <w:sz w:val="18"/>
                <w:szCs w:val="18"/>
                <w:color w:val="auto"/>
                <w:w w:val="88"/>
              </w:rPr>
              <w:t xml:space="preserve">(each a </w:t>
            </w:r>
            <w:r>
              <w:rPr>
                <w:rFonts w:ascii="Arial" w:cs="Arial" w:eastAsia="Arial" w:hAnsi="Arial"/>
                <w:sz w:val="18"/>
                <w:szCs w:val="18"/>
                <w:b w:val="1"/>
                <w:bCs w:val="1"/>
                <w:color w:val="auto"/>
                <w:w w:val="88"/>
              </w:rPr>
              <w:t>Party</w:t>
            </w:r>
            <w:r>
              <w:rPr>
                <w:rFonts w:ascii="Arial" w:cs="Arial" w:eastAsia="Arial" w:hAnsi="Arial"/>
                <w:sz w:val="18"/>
                <w:szCs w:val="18"/>
                <w:color w:val="auto"/>
                <w:w w:val="88"/>
              </w:rPr>
              <w:t>, and together the</w:t>
            </w: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p>
        </w:tc>
        <w:tc>
          <w:tcPr>
            <w:tcW w:w="4020" w:type="dxa"/>
            <w:vAlign w:val="bottom"/>
          </w:tcPr>
          <w:p>
            <w:pPr>
              <w:ind w:left="1780"/>
              <w:spacing w:after="0"/>
              <w:rPr>
                <w:sz w:val="20"/>
                <w:szCs w:val="20"/>
                <w:color w:val="auto"/>
              </w:rPr>
            </w:pPr>
            <w:r>
              <w:rPr>
                <w:rFonts w:ascii="Arial" w:cs="Arial" w:eastAsia="Arial" w:hAnsi="Arial"/>
                <w:sz w:val="18"/>
                <w:szCs w:val="18"/>
                <w:b w:val="1"/>
                <w:bCs w:val="1"/>
                <w:color w:val="auto"/>
              </w:rPr>
              <w:t>Parties</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380"/>
          </w:cols>
          <w:pgMar w:left="280" w:top="337" w:right="239" w:bottom="1440" w:gutter="0" w:footer="0" w:header="0"/>
        </w:sectPr>
      </w:pPr>
    </w:p>
    <w:bookmarkStart w:id="5" w:name="page6"/>
    <w:bookmarkEnd w:id="5"/>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00" w:lineRule="exact"/>
        <w:rPr>
          <w:sz w:val="20"/>
          <w:szCs w:val="20"/>
          <w:color w:val="auto"/>
        </w:rPr>
      </w:pPr>
    </w:p>
    <w:p>
      <w:pPr>
        <w:spacing w:after="0" w:line="213" w:lineRule="exact"/>
        <w:rPr>
          <w:sz w:val="20"/>
          <w:szCs w:val="20"/>
          <w:color w:val="auto"/>
        </w:rPr>
      </w:pPr>
    </w:p>
    <w:p>
      <w:pPr>
        <w:ind w:left="500" w:right="20" w:hanging="492"/>
        <w:spacing w:after="0" w:line="37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On February 27, 2019, the Parties entered into a Share Purchase Agreement regarding the sale and purchase of all Shares of Liberty Global Europe Financing BV (as amended on July 25, and September 29, 2019, the </w:t>
      </w:r>
      <w:r>
        <w:rPr>
          <w:rFonts w:ascii="Arial" w:cs="Arial" w:eastAsia="Arial" w:hAnsi="Arial"/>
          <w:sz w:val="18"/>
          <w:szCs w:val="18"/>
          <w:b w:val="1"/>
          <w:bCs w:val="1"/>
          <w:color w:val="auto"/>
        </w:rPr>
        <w:t>SPA</w:t>
      </w:r>
      <w:r>
        <w:rPr>
          <w:rFonts w:ascii="Arial" w:cs="Arial" w:eastAsia="Arial" w:hAnsi="Arial"/>
          <w:sz w:val="18"/>
          <w:szCs w:val="18"/>
          <w:color w:val="auto"/>
        </w:rPr>
        <w:t>).</w:t>
      </w:r>
    </w:p>
    <w:p>
      <w:pPr>
        <w:spacing w:after="0" w:line="269"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On October 14, 2019, the Guarantor and the Buyer entered into a Conditional Rights Purchase Agreement (the </w:t>
      </w:r>
      <w:r>
        <w:rPr>
          <w:rFonts w:ascii="Arial" w:cs="Arial" w:eastAsia="Arial" w:hAnsi="Arial"/>
          <w:sz w:val="18"/>
          <w:szCs w:val="18"/>
          <w:b w:val="1"/>
          <w:bCs w:val="1"/>
          <w:color w:val="auto"/>
        </w:rPr>
        <w:t>CRPA</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jc w:val="both"/>
        <w:ind w:left="500" w:hanging="492"/>
        <w:spacing w:after="0" w:line="365"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Section 5.7.3(a)(i) of the SPA, the Buyer is required to hold an EGM to vote on the Capital Increase (all as defined in the SPA) no later than 30 calendar days after receipt of the Required Clearances, which themselves had been announced on September 26, 2019. Such EGM is scheduled to be held on October 23, 2019.</w:t>
      </w:r>
    </w:p>
    <w:p>
      <w:pPr>
        <w:spacing w:after="0" w:line="298" w:lineRule="exact"/>
        <w:rPr>
          <w:rFonts w:ascii="Arial" w:cs="Arial" w:eastAsia="Arial" w:hAnsi="Arial"/>
          <w:sz w:val="18"/>
          <w:szCs w:val="18"/>
          <w:color w:val="auto"/>
        </w:rPr>
      </w:pPr>
    </w:p>
    <w:p>
      <w:pPr>
        <w:ind w:left="500" w:hanging="492"/>
        <w:spacing w:after="0" w:line="37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3.3(b)(iii) of the SPA provides that each of the Buyer and the Seller have the right to terminate the SPA if the EGM does not approve the Capital Increase.</w:t>
      </w:r>
    </w:p>
    <w:p>
      <w:pPr>
        <w:spacing w:after="0" w:line="291" w:lineRule="exact"/>
        <w:rPr>
          <w:rFonts w:ascii="Arial" w:cs="Arial" w:eastAsia="Arial" w:hAnsi="Arial"/>
          <w:sz w:val="18"/>
          <w:szCs w:val="18"/>
          <w:color w:val="auto"/>
        </w:rPr>
      </w:pPr>
    </w:p>
    <w:p>
      <w:pPr>
        <w:ind w:left="500" w:hanging="492"/>
        <w:spacing w:after="0" w:line="37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the light of the fact that, according to the Buyer, it is all but certain a majority of shareholders of the Buyer will vote against the Capital Increase at the EGM, the Parties wish to amend the SPA in accordance with this agreement (the </w:t>
      </w:r>
      <w:r>
        <w:rPr>
          <w:rFonts w:ascii="Arial" w:cs="Arial" w:eastAsia="Arial" w:hAnsi="Arial"/>
          <w:sz w:val="18"/>
          <w:szCs w:val="18"/>
          <w:b w:val="1"/>
          <w:bCs w:val="1"/>
          <w:color w:val="auto"/>
        </w:rPr>
        <w:t>Amendment no. 3</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hereto agree as follows: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1"/>
          <w:szCs w:val="21"/>
          <w:b w:val="1"/>
          <w:bCs w:val="1"/>
          <w:color w:val="auto"/>
        </w:rPr>
        <w:t>Definitions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defined in this Amendment no. 3, capitalized terms used herein shall have the meanings ascribed to them in the SPA.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1"/>
          <w:szCs w:val="21"/>
          <w:b w:val="1"/>
          <w:bCs w:val="1"/>
          <w:color w:val="auto"/>
        </w:rPr>
        <w:t>Amendments to the SPA</w:t>
      </w:r>
    </w:p>
    <w:p>
      <w:pPr>
        <w:spacing w:after="0" w:line="14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Seller hereby consents to the cancellation of the EGM scheduled for October 23, 2019.</w:t>
      </w:r>
    </w:p>
    <w:p>
      <w:pPr>
        <w:spacing w:after="0" w:line="347"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Section 3.3(b</w:t>
      </w:r>
      <w:r>
        <w:rPr>
          <w:rFonts w:ascii="Arial" w:cs="Arial" w:eastAsia="Arial" w:hAnsi="Arial"/>
          <w:sz w:val="21"/>
          <w:szCs w:val="21"/>
          <w:i w:val="1"/>
          <w:iCs w:val="1"/>
          <w:color w:val="auto"/>
          <w:vertAlign w:val="superscript"/>
        </w:rPr>
        <w:t>bis</w:t>
      </w:r>
      <w:r>
        <w:rPr>
          <w:rFonts w:ascii="Arial" w:cs="Arial" w:eastAsia="Arial" w:hAnsi="Arial"/>
          <w:sz w:val="18"/>
          <w:szCs w:val="18"/>
          <w:color w:val="auto"/>
        </w:rPr>
        <w:t>) shall be inserted into the SPA as follows:</w:t>
      </w:r>
    </w:p>
    <w:p>
      <w:pPr>
        <w:spacing w:after="0" w:line="135" w:lineRule="exact"/>
        <w:rPr>
          <w:rFonts w:ascii="Arial" w:cs="Arial" w:eastAsia="Arial" w:hAnsi="Arial"/>
          <w:sz w:val="18"/>
          <w:szCs w:val="18"/>
          <w:color w:val="auto"/>
        </w:rPr>
      </w:pPr>
    </w:p>
    <w:p>
      <w:pPr>
        <w:ind w:left="500" w:right="20"/>
        <w:spacing w:after="0" w:line="371" w:lineRule="auto"/>
        <w:rPr>
          <w:rFonts w:ascii="Arial" w:cs="Arial" w:eastAsia="Arial" w:hAnsi="Arial"/>
          <w:sz w:val="18"/>
          <w:szCs w:val="18"/>
          <w:color w:val="auto"/>
        </w:rPr>
      </w:pPr>
      <w:r>
        <w:rPr>
          <w:rFonts w:ascii="Arial" w:cs="Arial" w:eastAsia="Arial" w:hAnsi="Arial"/>
          <w:sz w:val="18"/>
          <w:szCs w:val="18"/>
          <w:color w:val="auto"/>
        </w:rPr>
        <w:t>"The Seller shall have the right to terminate this Agreement at any time with immediate effect by giving written notice to the Buyer, except where the Seller has given notice to the Buyer to convene the EGM pursuant to clause 5.7.3(a)(i)."</w:t>
      </w:r>
    </w:p>
    <w:p>
      <w:pPr>
        <w:spacing w:after="0" w:line="158"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Section 3.3(b</w:t>
      </w:r>
      <w:r>
        <w:rPr>
          <w:rFonts w:ascii="Arial" w:cs="Arial" w:eastAsia="Arial" w:hAnsi="Arial"/>
          <w:sz w:val="21"/>
          <w:szCs w:val="21"/>
          <w:i w:val="1"/>
          <w:iCs w:val="1"/>
          <w:color w:val="auto"/>
          <w:vertAlign w:val="superscript"/>
        </w:rPr>
        <w:t>ter</w:t>
      </w:r>
      <w:r>
        <w:rPr>
          <w:rFonts w:ascii="Arial" w:cs="Arial" w:eastAsia="Arial" w:hAnsi="Arial"/>
          <w:sz w:val="18"/>
          <w:szCs w:val="18"/>
          <w:color w:val="auto"/>
        </w:rPr>
        <w:t>) shall be inserted into the SPA as follows:</w:t>
      </w:r>
    </w:p>
    <w:p>
      <w:pPr>
        <w:spacing w:after="0" w:line="135" w:lineRule="exact"/>
        <w:rPr>
          <w:rFonts w:ascii="Arial" w:cs="Arial" w:eastAsia="Arial" w:hAnsi="Arial"/>
          <w:sz w:val="18"/>
          <w:szCs w:val="18"/>
          <w:color w:val="auto"/>
        </w:rPr>
      </w:pPr>
    </w:p>
    <w:p>
      <w:pPr>
        <w:ind w:left="500"/>
        <w:spacing w:after="0" w:line="371" w:lineRule="auto"/>
        <w:rPr>
          <w:rFonts w:ascii="Arial" w:cs="Arial" w:eastAsia="Arial" w:hAnsi="Arial"/>
          <w:sz w:val="18"/>
          <w:szCs w:val="18"/>
          <w:color w:val="auto"/>
        </w:rPr>
      </w:pPr>
      <w:r>
        <w:rPr>
          <w:rFonts w:ascii="Arial" w:cs="Arial" w:eastAsia="Arial" w:hAnsi="Arial"/>
          <w:sz w:val="18"/>
          <w:szCs w:val="18"/>
          <w:color w:val="auto"/>
        </w:rPr>
        <w:t>"The Buyer shall have the right to terminate this Agreement at any time with immediate effect by giving written notice to the Seller after November 11, 2019, except where the Seller has given notice to the Buyer to convene the EGM pursuant to clause 5.7.3(a)(i)."</w:t>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first sentence of Section 3.3(h) of the SPA shall be replaced in its entirety by the following sentence:</w:t>
      </w:r>
    </w:p>
    <w:p>
      <w:pPr>
        <w:spacing w:after="0" w:line="8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"Subject to Section 3.3(i) below, the Buyer shall pay to the Seller a contractual penalty (</w:t>
      </w:r>
      <w:r>
        <w:rPr>
          <w:rFonts w:ascii="Arial" w:cs="Arial" w:eastAsia="Arial" w:hAnsi="Arial"/>
          <w:sz w:val="18"/>
          <w:szCs w:val="18"/>
          <w:i w:val="1"/>
          <w:iCs w:val="1"/>
          <w:color w:val="auto"/>
        </w:rPr>
        <w:t>Konventionalstrafe</w:t>
      </w:r>
      <w:r>
        <w:rPr>
          <w:rFonts w:ascii="Arial" w:cs="Arial" w:eastAsia="Arial" w:hAnsi="Arial"/>
          <w:sz w:val="18"/>
          <w:szCs w:val="18"/>
          <w:color w:val="auto"/>
        </w:rPr>
        <w:t>) of CHF 50 (fifty) million (the</w:t>
      </w:r>
    </w:p>
    <w:p>
      <w:pPr>
        <w:spacing w:after="0" w:line="99" w:lineRule="exact"/>
        <w:rPr>
          <w:rFonts w:ascii="Arial" w:cs="Arial" w:eastAsia="Arial" w:hAnsi="Arial"/>
          <w:sz w:val="18"/>
          <w:szCs w:val="18"/>
          <w:color w:val="auto"/>
        </w:rPr>
      </w:pPr>
    </w:p>
    <w:p>
      <w:pPr>
        <w:ind w:left="500"/>
        <w:spacing w:after="0" w:line="34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Fee</w:t>
      </w:r>
      <w:r>
        <w:rPr>
          <w:rFonts w:ascii="Arial" w:cs="Arial" w:eastAsia="Arial" w:hAnsi="Arial"/>
          <w:sz w:val="18"/>
          <w:szCs w:val="18"/>
          <w:color w:val="auto"/>
        </w:rPr>
        <w:t>") if this Agreement is terminated by the Seller or, where permissible, by the Buyer, in accordance with Section 3.3(b), Section 3.3(b</w:t>
      </w:r>
      <w:r>
        <w:rPr>
          <w:rFonts w:ascii="Arial" w:cs="Arial" w:eastAsia="Arial" w:hAnsi="Arial"/>
          <w:sz w:val="21"/>
          <w:szCs w:val="21"/>
          <w:i w:val="1"/>
          <w:iCs w:val="1"/>
          <w:color w:val="auto"/>
          <w:vertAlign w:val="superscript"/>
        </w:rPr>
        <w:t>bis</w:t>
      </w:r>
      <w:r>
        <w:rPr>
          <w:rFonts w:ascii="Arial" w:cs="Arial" w:eastAsia="Arial" w:hAnsi="Arial"/>
          <w:sz w:val="18"/>
          <w:szCs w:val="18"/>
          <w:color w:val="auto"/>
        </w:rPr>
        <w:t>), Section 3.3(b</w:t>
      </w:r>
      <w:r>
        <w:rPr>
          <w:rFonts w:ascii="Arial" w:cs="Arial" w:eastAsia="Arial" w:hAnsi="Arial"/>
          <w:sz w:val="21"/>
          <w:szCs w:val="21"/>
          <w:i w:val="1"/>
          <w:iCs w:val="1"/>
          <w:color w:val="auto"/>
          <w:vertAlign w:val="superscript"/>
        </w:rPr>
        <w:t>ter</w:t>
      </w:r>
      <w:r>
        <w:rPr>
          <w:rFonts w:ascii="Arial" w:cs="Arial" w:eastAsia="Arial" w:hAnsi="Arial"/>
          <w:sz w:val="18"/>
          <w:szCs w:val="18"/>
          <w:color w:val="auto"/>
        </w:rPr>
        <w:t>) or Section 3.3(e)."</w:t>
      </w:r>
    </w:p>
    <w:p>
      <w:pPr>
        <w:spacing w:after="0" w:line="245"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5.7.3(a)(i) of the SPA shall be replaced in its entirety by the following clause:</w:t>
      </w:r>
    </w:p>
    <w:p>
      <w:pPr>
        <w:spacing w:after="0" w:line="81" w:lineRule="exact"/>
        <w:rPr>
          <w:rFonts w:ascii="Arial" w:cs="Arial" w:eastAsia="Arial" w:hAnsi="Arial"/>
          <w:sz w:val="18"/>
          <w:szCs w:val="18"/>
          <w:color w:val="auto"/>
        </w:rPr>
      </w:pPr>
    </w:p>
    <w:p>
      <w:pPr>
        <w:ind w:left="500"/>
        <w:spacing w:after="0" w:line="397" w:lineRule="auto"/>
        <w:rPr>
          <w:rFonts w:ascii="Arial" w:cs="Arial" w:eastAsia="Arial" w:hAnsi="Arial"/>
          <w:sz w:val="18"/>
          <w:szCs w:val="18"/>
          <w:color w:val="auto"/>
        </w:rPr>
      </w:pPr>
      <w:r>
        <w:rPr>
          <w:rFonts w:ascii="Arial" w:cs="Arial" w:eastAsia="Arial" w:hAnsi="Arial"/>
          <w:sz w:val="18"/>
          <w:szCs w:val="18"/>
          <w:color w:val="auto"/>
        </w:rPr>
        <w:t>"convene an extraordinary general meeting of its shareholders (the "</w:t>
      </w:r>
      <w:r>
        <w:rPr>
          <w:rFonts w:ascii="Arial" w:cs="Arial" w:eastAsia="Arial" w:hAnsi="Arial"/>
          <w:sz w:val="18"/>
          <w:szCs w:val="18"/>
          <w:b w:val="1"/>
          <w:bCs w:val="1"/>
          <w:color w:val="auto"/>
        </w:rPr>
        <w:t>EGM</w:t>
      </w:r>
      <w:r>
        <w:rPr>
          <w:rFonts w:ascii="Arial" w:cs="Arial" w:eastAsia="Arial" w:hAnsi="Arial"/>
          <w:sz w:val="18"/>
          <w:szCs w:val="18"/>
          <w:color w:val="auto"/>
        </w:rPr>
        <w:t>") to be held no later than 30 calendar days after receipt of a written request of the Seller to convene the EGM; and"</w:t>
      </w:r>
    </w:p>
    <w:p>
      <w:pPr>
        <w:spacing w:after="0" w:line="201" w:lineRule="exact"/>
        <w:rPr>
          <w:rFonts w:ascii="Arial" w:cs="Arial" w:eastAsia="Arial" w:hAnsi="Arial"/>
          <w:sz w:val="18"/>
          <w:szCs w:val="18"/>
          <w:color w:val="auto"/>
        </w:rPr>
      </w:pPr>
    </w:p>
    <w:p>
      <w:pPr>
        <w:jc w:val="both"/>
        <w:ind w:left="500" w:hanging="492"/>
        <w:spacing w:after="0" w:line="365"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Parties acknowledge and agree that if an EGM convened in accordance with Section 5.7.3(a)(i) of the SPA (as amended above) does not approve the Capital Increase, Section 3.3(b)(iii) of the SPA will apply and a Break Fee will become payable in case of a termination of the SPA.</w:t>
      </w:r>
    </w:p>
    <w:p>
      <w:pPr>
        <w:spacing w:after="0" w:line="298"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Subclause (ii) of Section 10.8(a) of the SPA shall be replaced in its entirety by the following clause:</w:t>
      </w:r>
    </w:p>
    <w:p>
      <w:pPr>
        <w:spacing w:after="0" w:line="396" w:lineRule="exact"/>
        <w:rPr>
          <w:rFonts w:ascii="Arial" w:cs="Arial" w:eastAsia="Arial" w:hAnsi="Arial"/>
          <w:sz w:val="18"/>
          <w:szCs w:val="18"/>
          <w:color w:val="auto"/>
        </w:rPr>
      </w:pPr>
    </w:p>
    <w:p>
      <w:pPr>
        <w:ind w:left="500"/>
        <w:spacing w:after="0" w:line="392" w:lineRule="auto"/>
        <w:rPr>
          <w:rFonts w:ascii="Arial" w:cs="Arial" w:eastAsia="Arial" w:hAnsi="Arial"/>
          <w:sz w:val="18"/>
          <w:szCs w:val="18"/>
          <w:color w:val="auto"/>
        </w:rPr>
      </w:pPr>
      <w:r>
        <w:rPr>
          <w:rFonts w:ascii="Arial" w:cs="Arial" w:eastAsia="Arial" w:hAnsi="Arial"/>
          <w:sz w:val="18"/>
          <w:szCs w:val="18"/>
          <w:color w:val="auto"/>
        </w:rPr>
        <w:t xml:space="preserve">"… (ii) in relation to the Target Group, its business and affairs,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subclause (ii) shall only apply to the Buyer and the Buyer's Affiliates."</w:t>
      </w:r>
    </w:p>
    <w:p>
      <w:pPr>
        <w:spacing w:after="0" w:line="206"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other provisions of the SPA shall remain unchanged.</w:t>
      </w:r>
    </w:p>
    <w:p>
      <w:pPr>
        <w:spacing w:after="0" w:line="86"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22"/>
          <w:szCs w:val="22"/>
          <w:b w:val="1"/>
          <w:bCs w:val="1"/>
          <w:color w:val="auto"/>
        </w:rPr>
        <w:t>Termination of CRPA</w:t>
      </w:r>
    </w:p>
    <w:p>
      <w:pPr>
        <w:spacing w:after="0" w:line="130"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The Parties hereby terminate the CRPA with immediate effect, except that the waiver of the standstill provision set forth in Section 8.3 of the SPA shall continue to be effective among the Parties.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1"/>
          <w:szCs w:val="21"/>
          <w:b w:val="1"/>
          <w:bCs w:val="1"/>
          <w:color w:val="auto"/>
        </w:rPr>
        <w:t>General Provisions, Applicable Law and Dispute Resolution</w:t>
      </w:r>
    </w:p>
    <w:p>
      <w:pPr>
        <w:spacing w:after="0" w:line="12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Section 10 of the SPA shall apply to this Amendment no. 3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11 of the SPA shall apply to this Amendment no. 3.</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[next page is signature page]</w:t>
      </w:r>
    </w:p>
    <w:p>
      <w:pPr>
        <w:sectPr>
          <w:pgSz w:w="11900" w:h="16838" w:orient="portrait"/>
          <w:cols w:equalWidth="0" w:num="1">
            <w:col w:w="11420"/>
          </w:cols>
          <w:pgMar w:left="240" w:top="1440" w:right="239" w:bottom="1440" w:gutter="0" w:footer="0" w:header="0"/>
        </w:sectPr>
      </w:pPr>
    </w:p>
    <w:bookmarkStart w:id="7" w:name="page8"/>
    <w:bookmarkEnd w:id="7"/>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Amendment no. 3 on the date first above written.</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Seller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Liberty Global CE Holding BV</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Authorized Signatory</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ind w:left="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Guarantor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Liberty Global plc</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Authorized Signatory</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ind w:left="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The Buyer</w:t>
            </w:r>
          </w:p>
        </w:tc>
        <w:tc>
          <w:tcPr>
            <w:tcW w:w="1560" w:type="dxa"/>
            <w:vAlign w:val="bottom"/>
          </w:tcPr>
          <w:p>
            <w:pPr>
              <w:spacing w:after="0"/>
              <w:rPr>
                <w:sz w:val="20"/>
                <w:szCs w:val="20"/>
                <w:color w:val="auto"/>
              </w:rPr>
            </w:pPr>
          </w:p>
        </w:tc>
      </w:tr>
      <w:tr>
        <w:trPr>
          <w:trHeight w:val="419"/>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Sunrise Communications Group AG</w:t>
            </w:r>
          </w:p>
        </w:tc>
        <w:tc>
          <w:tcPr>
            <w:tcW w:w="1560" w:type="dxa"/>
            <w:vAlign w:val="bottom"/>
          </w:tcPr>
          <w:p>
            <w:pPr>
              <w:spacing w:after="0"/>
              <w:rPr>
                <w:sz w:val="24"/>
                <w:szCs w:val="24"/>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Authorized Signatory</w:t>
            </w:r>
          </w:p>
        </w:tc>
        <w:tc>
          <w:tcPr>
            <w:tcW w:w="1560" w:type="dxa"/>
            <w:vAlign w:val="bottom"/>
          </w:tcPr>
          <w:p>
            <w:pPr>
              <w:spacing w:after="0"/>
              <w:rPr>
                <w:sz w:val="20"/>
                <w:szCs w:val="20"/>
                <w:color w:val="auto"/>
              </w:rPr>
            </w:pPr>
            <w:r>
              <w:rPr>
                <w:rFonts w:ascii="Arial" w:cs="Arial" w:eastAsia="Arial" w:hAnsi="Arial"/>
                <w:sz w:val="18"/>
                <w:szCs w:val="18"/>
                <w:color w:val="auto"/>
                <w:w w:val="92"/>
              </w:rPr>
              <w:t>Authorized Signatory</w:t>
            </w:r>
          </w:p>
        </w:tc>
      </w:tr>
      <w:tr>
        <w:trPr>
          <w:trHeight w:val="276"/>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4"/>
                <w:szCs w:val="24"/>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17"/>
        </w:trPr>
        <w:tc>
          <w:tcPr>
            <w:tcW w:w="5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156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1" w:lineRule="exact"/>
        <w:rPr>
          <w:sz w:val="20"/>
          <w:szCs w:val="20"/>
          <w:color w:val="auto"/>
        </w:rPr>
      </w:pPr>
    </w:p>
    <w:sectPr>
      <w:pgSz w:w="11900" w:h="16838" w:orient="portrait"/>
      <w:cols w:equalWidth="0" w:num="1">
        <w:col w:w="10219"/>
      </w:cols>
      <w:pgMar w:left="2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2019-12-28T04:54:13Z</dcterms:created>
  <dcterms:modified xsi:type="dcterms:W3CDTF">2019-12-28T04:54:13Z</dcterms:modified>
</cp:coreProperties>
</file>