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706120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662940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4"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4" w:lineRule="exact"/>
        <w:rPr>
          <w:sz w:val="24"/>
          <w:szCs w:val="24"/>
          <w:color w:val="auto"/>
        </w:rPr>
      </w:pPr>
    </w:p>
    <w:p>
      <w:pPr>
        <w:ind w:left="880"/>
        <w:spacing w:after="0"/>
        <w:tabs>
          <w:tab w:leader="none" w:pos="38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20320</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46" w:right="339" w:bottom="1440" w:gutter="0" w:footer="0" w:header="0"/>
        </w:sectPr>
      </w:pPr>
    </w:p>
    <w:p>
      <w:pPr>
        <w:spacing w:after="0" w:line="146"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England and Wales</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68" w:lineRule="exact"/>
        <w:rPr>
          <w:sz w:val="24"/>
          <w:szCs w:val="24"/>
          <w:color w:val="auto"/>
        </w:rPr>
      </w:pPr>
    </w:p>
    <w:p>
      <w:pPr>
        <w:sectPr>
          <w:pgSz w:w="11900" w:h="16838" w:orient="portrait"/>
          <w:cols w:equalWidth="0" w:num="2">
            <w:col w:w="6320" w:space="720"/>
            <w:col w:w="4200"/>
          </w:cols>
          <w:pgMar w:left="320" w:top="1246" w:right="339" w:bottom="1440" w:gutter="0" w:footer="0" w:header="0"/>
          <w:type w:val="continuous"/>
        </w:sect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spacing w:after="0" w:line="11" w:lineRule="exact"/>
        <w:rPr>
          <w:sz w:val="24"/>
          <w:szCs w:val="24"/>
          <w:color w:val="auto"/>
        </w:rPr>
      </w:pPr>
    </w:p>
    <w:p>
      <w:pPr>
        <w:ind w:left="296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20"/>
        <w:spacing w:after="0"/>
        <w:rPr>
          <w:sz w:val="20"/>
          <w:szCs w:val="20"/>
          <w:color w:val="auto"/>
        </w:rPr>
      </w:pPr>
      <w:r>
        <w:rPr>
          <w:rFonts w:ascii="Arial" w:cs="Arial" w:eastAsia="Arial" w:hAnsi="Arial"/>
          <w:sz w:val="14"/>
          <w:szCs w:val="14"/>
          <w:i w:val="1"/>
          <w:iCs w:val="1"/>
          <w:color w:val="auto"/>
        </w:rPr>
        <w:t>(I.R.S. Employer</w:t>
      </w:r>
    </w:p>
    <w:p>
      <w:pPr>
        <w:jc w:val="center"/>
        <w:ind w:right="3320"/>
        <w:spacing w:after="0"/>
        <w:rPr>
          <w:sz w:val="20"/>
          <w:szCs w:val="20"/>
          <w:color w:val="auto"/>
        </w:rPr>
      </w:pPr>
      <w:r>
        <w:rPr>
          <w:rFonts w:ascii="Arial" w:cs="Arial" w:eastAsia="Arial" w:hAnsi="Arial"/>
          <w:sz w:val="13"/>
          <w:szCs w:val="13"/>
          <w:i w:val="1"/>
          <w:iCs w:val="1"/>
          <w:color w:val="auto"/>
        </w:rPr>
        <w:t>Identification No.)</w:t>
      </w:r>
    </w:p>
    <w:p>
      <w:pPr>
        <w:spacing w:after="0" w:line="78" w:lineRule="exact"/>
        <w:rPr>
          <w:sz w:val="24"/>
          <w:szCs w:val="24"/>
          <w:color w:val="auto"/>
        </w:rPr>
      </w:pPr>
    </w:p>
    <w:p>
      <w:pPr>
        <w:sectPr>
          <w:pgSz w:w="11900" w:h="16838" w:orient="portrait"/>
          <w:cols w:equalWidth="0" w:num="2">
            <w:col w:w="6140" w:space="720"/>
            <w:col w:w="4380"/>
          </w:cols>
          <w:pgMar w:left="320" w:top="1246" w:right="339" w:bottom="1440" w:gutter="0" w:footer="0" w:header="0"/>
          <w:type w:val="continuous"/>
        </w:sectPr>
      </w:pPr>
    </w:p>
    <w:p>
      <w:pPr>
        <w:jc w:val="center"/>
        <w:ind w:right="3520"/>
        <w:spacing w:after="0"/>
        <w:rPr>
          <w:sz w:val="20"/>
          <w:szCs w:val="20"/>
          <w:color w:val="auto"/>
        </w:rPr>
      </w:pPr>
      <w:r>
        <w:rPr>
          <w:rFonts w:ascii="Arial" w:cs="Arial" w:eastAsia="Arial" w:hAnsi="Arial"/>
          <w:sz w:val="14"/>
          <w:szCs w:val="14"/>
          <w:b w:val="1"/>
          <w:bCs w:val="1"/>
          <w:color w:val="auto"/>
        </w:rPr>
        <w:t>Griffin House</w:t>
      </w:r>
    </w:p>
    <w:p>
      <w:pPr>
        <w:spacing w:after="0" w:line="42" w:lineRule="exact"/>
        <w:rPr>
          <w:sz w:val="24"/>
          <w:szCs w:val="24"/>
          <w:color w:val="auto"/>
        </w:rPr>
      </w:pPr>
    </w:p>
    <w:p>
      <w:pPr>
        <w:jc w:val="center"/>
        <w:ind w:right="3520"/>
        <w:spacing w:after="0"/>
        <w:rPr>
          <w:sz w:val="20"/>
          <w:szCs w:val="20"/>
          <w:color w:val="auto"/>
        </w:rPr>
      </w:pPr>
      <w:r>
        <w:rPr>
          <w:rFonts w:ascii="Arial" w:cs="Arial" w:eastAsia="Arial" w:hAnsi="Arial"/>
          <w:sz w:val="13"/>
          <w:szCs w:val="13"/>
          <w:b w:val="1"/>
          <w:bCs w:val="1"/>
          <w:color w:val="auto"/>
        </w:rPr>
        <w:t>161 Hammersmith Rd</w:t>
      </w:r>
    </w:p>
    <w:p>
      <w:pPr>
        <w:spacing w:after="0" w:line="53" w:lineRule="exact"/>
        <w:rPr>
          <w:sz w:val="24"/>
          <w:szCs w:val="24"/>
          <w:color w:val="auto"/>
        </w:rPr>
      </w:pPr>
    </w:p>
    <w:p>
      <w:pPr>
        <w:jc w:val="center"/>
        <w:ind w:right="352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240"/>
          </w:cols>
          <w:pgMar w:left="320" w:top="1246" w:right="339" w:bottom="1440" w:gutter="0" w:footer="0" w:header="0"/>
          <w:type w:val="continuous"/>
        </w:sectPr>
      </w:pPr>
    </w:p>
    <w:p>
      <w:pPr>
        <w:spacing w:after="0" w:line="42"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7" w:lineRule="exact"/>
        <w:rPr>
          <w:sz w:val="24"/>
          <w:szCs w:val="24"/>
          <w:color w:val="auto"/>
        </w:rPr>
      </w:pPr>
    </w:p>
    <w:p>
      <w:pPr>
        <w:sectPr>
          <w:pgSz w:w="11900" w:h="16838" w:orient="portrait"/>
          <w:cols w:equalWidth="0" w:num="2">
            <w:col w:w="6420" w:space="720"/>
            <w:col w:w="4100"/>
          </w:cols>
          <w:pgMar w:left="320" w:top="1246" w:right="339" w:bottom="1440" w:gutter="0" w:footer="0" w:header="0"/>
          <w:type w:val="continuous"/>
        </w:sectPr>
      </w:pPr>
    </w:p>
    <w:p>
      <w:pPr>
        <w:ind w:left="274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46" w:right="339" w:bottom="1440" w:gutter="0" w:footer="0" w:header="0"/>
          <w:type w:val="continuous"/>
        </w:sectPr>
      </w:pP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46" w:right="339" w:bottom="1440" w:gutter="0" w:footer="0" w:header="0"/>
          <w:type w:val="continuous"/>
        </w:sectPr>
      </w:pPr>
    </w:p>
    <w:p>
      <w:pPr>
        <w:spacing w:after="0" w:line="173"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13" w:lineRule="exact"/>
        <w:rPr>
          <w:sz w:val="24"/>
          <w:szCs w:val="24"/>
          <w:color w:val="auto"/>
        </w:rPr>
      </w:pPr>
    </w:p>
    <w:p>
      <w:pPr>
        <w:sectPr>
          <w:pgSz w:w="11900" w:h="16838" w:orient="portrait"/>
          <w:cols w:equalWidth="0" w:num="3">
            <w:col w:w="3880" w:space="720"/>
            <w:col w:w="1540" w:space="720"/>
            <w:col w:w="4380"/>
          </w:cols>
          <w:pgMar w:left="320" w:top="1246"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80" w:space="720"/>
            <w:col w:w="1680" w:space="720"/>
            <w:col w:w="3840"/>
          </w:cols>
          <w:pgMar w:left="320" w:top="1246"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54" w:lineRule="exact"/>
        <w:rPr>
          <w:sz w:val="24"/>
          <w:szCs w:val="24"/>
          <w:color w:val="auto"/>
        </w:rPr>
      </w:pPr>
    </w:p>
    <w:p>
      <w:pPr>
        <w:sectPr>
          <w:pgSz w:w="11900" w:h="16838" w:orient="portrait"/>
          <w:cols w:equalWidth="0" w:num="3">
            <w:col w:w="4260" w:space="720"/>
            <w:col w:w="1700" w:space="720"/>
            <w:col w:w="3840"/>
          </w:cols>
          <w:pgMar w:left="320" w:top="1246"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60" w:space="720"/>
            <w:col w:w="1700" w:space="720"/>
            <w:col w:w="3840"/>
          </w:cols>
          <w:pgMar w:left="320" w:top="1246" w:right="339" w:bottom="1440" w:gutter="0" w:footer="0" w:header="0"/>
          <w:type w:val="continuous"/>
        </w:sectPr>
      </w:pPr>
    </w:p>
    <w:p>
      <w:pPr>
        <w:spacing w:after="0" w:line="75" w:lineRule="exact"/>
        <w:rPr>
          <w:sz w:val="24"/>
          <w:szCs w:val="24"/>
          <w:color w:val="auto"/>
        </w:rPr>
      </w:pPr>
    </w:p>
    <w:p>
      <w:pPr>
        <w:ind w:right="42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p>
      <w:pPr>
        <w:ind w:left="3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85" w:lineRule="exact"/>
        <w:rPr>
          <w:sz w:val="24"/>
          <w:szCs w:val="24"/>
          <w:color w:val="auto"/>
        </w:rPr>
      </w:pPr>
    </w:p>
    <w:p>
      <w:pPr>
        <w:ind w:left="352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50"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number of outstanding ordinary shares of Liberty Global plc as of April 30, 2023 was: 171,141,531 class A ordinary shares, 12,994,000 class B ordinary shares and 261,113,677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1" w:name="page2"/>
    <w:bookmarkEnd w:id="1"/>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10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6"/>
        </w:trPr>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15"/>
        </w:trPr>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90"/>
        </w:trPr>
        <w:tc>
          <w:tcPr>
            <w:tcW w:w="1060" w:type="dxa"/>
            <w:vAlign w:val="bottom"/>
          </w:tcPr>
          <w:p>
            <w:pPr>
              <w:spacing w:after="0"/>
              <w:rPr>
                <w:sz w:val="16"/>
                <w:szCs w:val="16"/>
                <w:color w:val="auto"/>
              </w:rPr>
            </w:pPr>
          </w:p>
        </w:tc>
        <w:tc>
          <w:tcPr>
            <w:tcW w:w="7160" w:type="dxa"/>
            <w:vAlign w:val="bottom"/>
            <w:tcBorders>
              <w:bottom w:val="single" w:sz="8" w:color="0000FF"/>
            </w:tcBorders>
            <w:gridSpan w:val="6"/>
          </w:tcPr>
          <w:p>
            <w:pPr>
              <w:spacing w:after="0" w:line="190" w:lineRule="exact"/>
              <w:rPr>
                <w:sz w:val="20"/>
                <w:szCs w:val="20"/>
                <w:color w:val="auto"/>
              </w:rPr>
            </w:pPr>
            <w:r>
              <w:rPr>
                <w:rFonts w:ascii="Arial" w:cs="Arial" w:eastAsia="Arial" w:hAnsi="Arial"/>
                <w:sz w:val="18"/>
                <w:szCs w:val="18"/>
                <w:color w:val="0000FF"/>
                <w:w w:val="89"/>
              </w:rPr>
              <w:t>Condensed Consolidated Balance Sheets as of March 31, 2023 and December 31, 2022 (unaudited)</w:t>
            </w:r>
          </w:p>
        </w:tc>
        <w:tc>
          <w:tcPr>
            <w:tcW w:w="2240" w:type="dxa"/>
            <w:vAlign w:val="bottom"/>
            <w:gridSpan w:val="6"/>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0" w:lineRule="exact"/>
              <w:rPr>
                <w:sz w:val="20"/>
                <w:szCs w:val="20"/>
                <w:color w:val="auto"/>
              </w:rPr>
            </w:pPr>
            <w:r>
              <w:rPr>
                <w:rFonts w:ascii="Arial" w:cs="Arial" w:eastAsia="Arial" w:hAnsi="Arial"/>
                <w:sz w:val="18"/>
                <w:szCs w:val="18"/>
                <w:color w:val="0000FF"/>
                <w:w w:val="99"/>
              </w:rPr>
              <w:t>1</w:t>
            </w:r>
          </w:p>
        </w:tc>
        <w:tc>
          <w:tcPr>
            <w:tcW w:w="340" w:type="dxa"/>
            <w:vAlign w:val="bottom"/>
          </w:tcPr>
          <w:p>
            <w:pPr>
              <w:spacing w:after="0"/>
              <w:rPr>
                <w:sz w:val="16"/>
                <w:szCs w:val="16"/>
                <w:color w:val="auto"/>
              </w:rPr>
            </w:pPr>
          </w:p>
        </w:tc>
      </w:tr>
      <w:tr>
        <w:trPr>
          <w:trHeight w:val="209"/>
        </w:trPr>
        <w:tc>
          <w:tcPr>
            <w:tcW w:w="1060" w:type="dxa"/>
            <w:vAlign w:val="bottom"/>
          </w:tcPr>
          <w:p>
            <w:pPr>
              <w:spacing w:after="0"/>
              <w:rPr>
                <w:sz w:val="18"/>
                <w:szCs w:val="18"/>
                <w:color w:val="auto"/>
              </w:rPr>
            </w:pPr>
          </w:p>
        </w:tc>
        <w:tc>
          <w:tcPr>
            <w:tcW w:w="9400" w:type="dxa"/>
            <w:vAlign w:val="bottom"/>
            <w:gridSpan w:val="12"/>
          </w:tcPr>
          <w:p>
            <w:pPr>
              <w:spacing w:after="0"/>
              <w:rPr>
                <w:sz w:val="20"/>
                <w:szCs w:val="20"/>
                <w:color w:val="auto"/>
              </w:rPr>
            </w:pPr>
            <w:r>
              <w:rPr>
                <w:rFonts w:ascii="Arial" w:cs="Arial" w:eastAsia="Arial" w:hAnsi="Arial"/>
                <w:sz w:val="18"/>
                <w:szCs w:val="18"/>
                <w:color w:val="0000FF"/>
                <w:w w:val="99"/>
              </w:rPr>
              <w:t>Condensed Consolidated Statements of Operations for the Three Months Ended March 31, 2023 and 2022 (unaudited)</w:t>
            </w: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3</w:t>
            </w:r>
          </w:p>
        </w:tc>
        <w:tc>
          <w:tcPr>
            <w:tcW w:w="34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9400" w:type="dxa"/>
            <w:vAlign w:val="bottom"/>
            <w:gridSpan w:val="12"/>
          </w:tcPr>
          <w:p>
            <w:pPr>
              <w:spacing w:after="0"/>
              <w:rPr>
                <w:sz w:val="20"/>
                <w:szCs w:val="20"/>
                <w:color w:val="auto"/>
              </w:rPr>
            </w:pPr>
            <w:r>
              <w:rPr>
                <w:rFonts w:ascii="Arial" w:cs="Arial" w:eastAsia="Arial" w:hAnsi="Arial"/>
                <w:sz w:val="18"/>
                <w:szCs w:val="18"/>
                <w:color w:val="0000FF"/>
                <w:w w:val="91"/>
              </w:rPr>
              <w:t>Condensed Consolidated Statements of Comprehensive Loss for the Three Months Ended March 31, 2023 and 2022 (unaudited)</w:t>
            </w:r>
          </w:p>
        </w:tc>
        <w:tc>
          <w:tcPr>
            <w:tcW w:w="440" w:type="dxa"/>
            <w:vAlign w:val="bottom"/>
            <w:gridSpan w:val="2"/>
          </w:tcPr>
          <w:p>
            <w:pPr>
              <w:jc w:val="center"/>
              <w:ind w:left="253"/>
              <w:spacing w:after="0"/>
              <w:rPr>
                <w:sz w:val="20"/>
                <w:szCs w:val="20"/>
                <w:color w:val="auto"/>
              </w:rPr>
            </w:pPr>
            <w:r>
              <w:rPr>
                <w:rFonts w:ascii="Arial" w:cs="Arial" w:eastAsia="Arial" w:hAnsi="Arial"/>
                <w:sz w:val="18"/>
                <w:szCs w:val="18"/>
                <w:color w:val="0000FF"/>
                <w:w w:val="99"/>
              </w:rPr>
              <w:t>4</w:t>
            </w:r>
          </w:p>
        </w:tc>
        <w:tc>
          <w:tcPr>
            <w:tcW w:w="340" w:type="dxa"/>
            <w:vAlign w:val="bottom"/>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82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Condensed Consolidated Statements of Equity for the Three Months Ended March 31, 2023 and 2022 (unaudited)</w:t>
            </w:r>
          </w:p>
        </w:tc>
        <w:tc>
          <w:tcPr>
            <w:tcW w:w="1020" w:type="dxa"/>
            <w:vAlign w:val="bottom"/>
            <w:tcBorders>
              <w:top w:val="single" w:sz="8" w:color="0000FF"/>
            </w:tcBorders>
            <w:gridSpan w:val="4"/>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340" w:type="dxa"/>
            <w:vAlign w:val="bottom"/>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85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March 31, 2023 and 2022 (unaudited)</w:t>
            </w:r>
          </w:p>
        </w:tc>
        <w:tc>
          <w:tcPr>
            <w:tcW w:w="82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34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4880" w:type="dxa"/>
            <w:vAlign w:val="bottom"/>
            <w:gridSpan w:val="4"/>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4520" w:type="dxa"/>
            <w:vAlign w:val="bottom"/>
            <w:gridSpan w:val="8"/>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10</w:t>
            </w:r>
          </w:p>
        </w:tc>
      </w:tr>
      <w:tr>
        <w:trPr>
          <w:trHeight w:val="20"/>
        </w:trPr>
        <w:tc>
          <w:tcPr>
            <w:tcW w:w="10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gridSpan w:val="10"/>
          </w:tcPr>
          <w:p>
            <w:pPr>
              <w:spacing w:after="0"/>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480" w:type="dxa"/>
            <w:vAlign w:val="bottom"/>
            <w:gridSpan w:val="2"/>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49</w:t>
            </w:r>
          </w:p>
        </w:tc>
      </w:tr>
      <w:tr>
        <w:trPr>
          <w:trHeight w:val="20"/>
        </w:trPr>
        <w:tc>
          <w:tcPr>
            <w:tcW w:w="10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8920" w:type="dxa"/>
            <w:vAlign w:val="bottom"/>
            <w:gridSpan w:val="1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480" w:type="dxa"/>
            <w:vAlign w:val="bottom"/>
            <w:gridSpan w:val="2"/>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76</w:t>
            </w:r>
          </w:p>
        </w:tc>
      </w:tr>
      <w:tr>
        <w:trPr>
          <w:trHeight w:val="20"/>
        </w:trPr>
        <w:tc>
          <w:tcPr>
            <w:tcW w:w="10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6080" w:type="dxa"/>
            <w:vAlign w:val="bottom"/>
            <w:gridSpan w:val="5"/>
          </w:tcPr>
          <w:p>
            <w:pPr>
              <w:spacing w:after="0"/>
              <w:rPr>
                <w:sz w:val="20"/>
                <w:szCs w:val="20"/>
                <w:color w:val="auto"/>
              </w:rPr>
            </w:pPr>
            <w:r>
              <w:rPr>
                <w:rFonts w:ascii="Arial" w:cs="Arial" w:eastAsia="Arial" w:hAnsi="Arial"/>
                <w:sz w:val="18"/>
                <w:szCs w:val="18"/>
                <w:color w:val="0000FF"/>
              </w:rPr>
              <w:t>CONTROLS AND PROCEDURES</w:t>
            </w:r>
          </w:p>
        </w:tc>
        <w:tc>
          <w:tcPr>
            <w:tcW w:w="3320" w:type="dxa"/>
            <w:vAlign w:val="bottom"/>
            <w:gridSpan w:val="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79</w:t>
            </w:r>
          </w:p>
        </w:tc>
      </w:tr>
      <w:tr>
        <w:trPr>
          <w:trHeight w:val="249"/>
        </w:trPr>
        <w:tc>
          <w:tcPr>
            <w:tcW w:w="1060" w:type="dxa"/>
            <w:vAlign w:val="bottom"/>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rPr>
              <w:t>PART II — OTHER INFORMATION</w:t>
            </w:r>
          </w:p>
        </w:tc>
        <w:tc>
          <w:tcPr>
            <w:tcW w:w="3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r>
      <w:tr>
        <w:trPr>
          <w:trHeight w:val="190"/>
        </w:trPr>
        <w:tc>
          <w:tcPr>
            <w:tcW w:w="1060" w:type="dxa"/>
            <w:vAlign w:val="bottom"/>
          </w:tcPr>
          <w:p>
            <w:pPr>
              <w:ind w:left="20"/>
              <w:spacing w:after="0" w:line="190" w:lineRule="exact"/>
              <w:rPr>
                <w:sz w:val="20"/>
                <w:szCs w:val="20"/>
                <w:color w:val="auto"/>
              </w:rPr>
            </w:pPr>
            <w:r>
              <w:rPr>
                <w:rFonts w:ascii="Arial" w:cs="Arial" w:eastAsia="Arial" w:hAnsi="Arial"/>
                <w:sz w:val="18"/>
                <w:szCs w:val="18"/>
                <w:color w:val="auto"/>
              </w:rPr>
              <w:t>ITEM 1.</w:t>
            </w:r>
          </w:p>
        </w:tc>
        <w:tc>
          <w:tcPr>
            <w:tcW w:w="1880" w:type="dxa"/>
            <w:vAlign w:val="bottom"/>
            <w:gridSpan w:val="2"/>
          </w:tcPr>
          <w:p>
            <w:pPr>
              <w:spacing w:after="0" w:line="190" w:lineRule="exact"/>
              <w:rPr>
                <w:sz w:val="20"/>
                <w:szCs w:val="20"/>
                <w:color w:val="auto"/>
              </w:rPr>
            </w:pPr>
            <w:r>
              <w:rPr>
                <w:rFonts w:ascii="Arial" w:cs="Arial" w:eastAsia="Arial" w:hAnsi="Arial"/>
                <w:sz w:val="18"/>
                <w:szCs w:val="18"/>
                <w:color w:val="0000FF"/>
                <w:w w:val="94"/>
              </w:rPr>
              <w:t>LEGAL PROCEEDINGS</w:t>
            </w:r>
          </w:p>
        </w:tc>
        <w:tc>
          <w:tcPr>
            <w:tcW w:w="7520" w:type="dxa"/>
            <w:vAlign w:val="bottom"/>
            <w:gridSpan w:val="10"/>
          </w:tcPr>
          <w:p>
            <w:pPr>
              <w:spacing w:after="0"/>
              <w:rPr>
                <w:sz w:val="16"/>
                <w:szCs w:val="16"/>
                <w:color w:val="auto"/>
              </w:rPr>
            </w:pPr>
          </w:p>
        </w:tc>
        <w:tc>
          <w:tcPr>
            <w:tcW w:w="780" w:type="dxa"/>
            <w:vAlign w:val="bottom"/>
            <w:gridSpan w:val="3"/>
          </w:tcPr>
          <w:p>
            <w:pPr>
              <w:jc w:val="center"/>
              <w:spacing w:after="0" w:line="190" w:lineRule="exact"/>
              <w:rPr>
                <w:sz w:val="20"/>
                <w:szCs w:val="20"/>
                <w:color w:val="auto"/>
              </w:rPr>
            </w:pPr>
            <w:r>
              <w:rPr>
                <w:rFonts w:ascii="Arial" w:cs="Arial" w:eastAsia="Arial" w:hAnsi="Arial"/>
                <w:sz w:val="18"/>
                <w:szCs w:val="18"/>
                <w:color w:val="0000FF"/>
                <w:w w:val="89"/>
              </w:rPr>
              <w:t>81</w:t>
            </w:r>
          </w:p>
        </w:tc>
      </w:tr>
      <w:tr>
        <w:trPr>
          <w:trHeight w:val="20"/>
        </w:trPr>
        <w:tc>
          <w:tcPr>
            <w:tcW w:w="10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6080" w:type="dxa"/>
            <w:vAlign w:val="bottom"/>
            <w:gridSpan w:val="5"/>
          </w:tcPr>
          <w:p>
            <w:pPr>
              <w:spacing w:after="0"/>
              <w:rPr>
                <w:sz w:val="20"/>
                <w:szCs w:val="20"/>
                <w:color w:val="auto"/>
              </w:rPr>
            </w:pPr>
            <w:r>
              <w:rPr>
                <w:rFonts w:ascii="Arial" w:cs="Arial" w:eastAsia="Arial" w:hAnsi="Arial"/>
                <w:sz w:val="18"/>
                <w:szCs w:val="18"/>
                <w:color w:val="0000FF"/>
                <w:w w:val="94"/>
              </w:rPr>
              <w:t>UNREGISTERED SALES OF EQUITY SECURITIES AND USE OF PROCEEDS</w:t>
            </w:r>
          </w:p>
        </w:tc>
        <w:tc>
          <w:tcPr>
            <w:tcW w:w="3320" w:type="dxa"/>
            <w:vAlign w:val="bottom"/>
            <w:gridSpan w:val="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81</w:t>
            </w:r>
          </w:p>
        </w:tc>
      </w:tr>
      <w:tr>
        <w:trPr>
          <w:trHeight w:val="20"/>
        </w:trPr>
        <w:tc>
          <w:tcPr>
            <w:tcW w:w="10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608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3320" w:type="dxa"/>
            <w:vAlign w:val="bottom"/>
            <w:gridSpan w:val="7"/>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0000FF"/>
                <w:w w:val="89"/>
              </w:rPr>
              <w:t>82</w:t>
            </w:r>
          </w:p>
        </w:tc>
      </w:tr>
      <w:tr>
        <w:trPr>
          <w:trHeight w:val="1229"/>
        </w:trPr>
        <w:tc>
          <w:tcPr>
            <w:tcW w:w="106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8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r>
      <w:tr>
        <w:trPr>
          <w:trHeight w:val="207"/>
        </w:trPr>
        <w:tc>
          <w:tcPr>
            <w:tcW w:w="8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4"/>
          </w:tcPr>
          <w:p>
            <w:pPr>
              <w:jc w:val="right"/>
              <w:ind w:right="97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8380" w:type="dxa"/>
            <w:vAlign w:val="bottom"/>
          </w:tcPr>
          <w:p>
            <w:pPr>
              <w:ind w:left="39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1,726.2</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2,621.6</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and 5)</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6,297.4</w:t>
            </w:r>
          </w:p>
        </w:tc>
      </w:tr>
      <w:tr>
        <w:trPr>
          <w:trHeight w:val="176"/>
        </w:trPr>
        <w:tc>
          <w:tcPr>
            <w:tcW w:w="8380" w:type="dxa"/>
            <w:vAlign w:val="bottom"/>
          </w:tcPr>
          <w:p>
            <w:pPr>
              <w:ind w:left="20"/>
              <w:spacing w:after="0" w:line="176" w:lineRule="exact"/>
              <w:rPr>
                <w:sz w:val="20"/>
                <w:szCs w:val="20"/>
                <w:color w:val="auto"/>
              </w:rPr>
            </w:pPr>
            <w:r>
              <w:rPr>
                <w:rFonts w:ascii="Arial" w:cs="Arial" w:eastAsia="Arial" w:hAnsi="Arial"/>
                <w:sz w:val="18"/>
                <w:szCs w:val="18"/>
                <w:color w:val="auto"/>
                <w:w w:val="92"/>
              </w:rPr>
              <w:t>Investments and related notes receivable (including $3,807.4 million and $2,271.4 million, respectively, measured</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380" w:type="dxa"/>
            <w:vAlign w:val="bottom"/>
          </w:tcPr>
          <w:p>
            <w:pPr>
              <w:ind w:left="180"/>
              <w:spacing w:after="0"/>
              <w:rPr>
                <w:sz w:val="20"/>
                <w:szCs w:val="20"/>
                <w:color w:val="auto"/>
              </w:rPr>
            </w:pPr>
            <w:r>
              <w:rPr>
                <w:rFonts w:ascii="Arial" w:cs="Arial" w:eastAsia="Arial" w:hAnsi="Arial"/>
                <w:sz w:val="18"/>
                <w:szCs w:val="18"/>
                <w:color w:val="auto"/>
              </w:rPr>
              <w:t>at fair value on a recurring basis) (note 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14,948.5</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6,504.5</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9,316.1</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6 and 10)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3,486.1</w:t>
            </w:r>
          </w:p>
        </w:tc>
      </w:tr>
      <w:tr>
        <w:trPr>
          <w:trHeight w:val="248"/>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42,895.0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07"/>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gridSpan w:val="4"/>
          </w:tcPr>
          <w:p>
            <w:pPr>
              <w:jc w:val="right"/>
              <w:ind w:right="99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8360" w:type="dxa"/>
            <w:vAlign w:val="bottom"/>
          </w:tcPr>
          <w:p>
            <w:pPr>
              <w:ind w:left="314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610.1</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799.7</w:t>
            </w: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Derivative instruments (note 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 10)</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3,921.0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12,963.5</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 10)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1,645.9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3 and 6)</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w:t>
            </w:r>
          </w:p>
        </w:tc>
      </w:tr>
      <w:tr>
        <w:trPr>
          <w:trHeight w:val="223"/>
        </w:trPr>
        <w:tc>
          <w:tcPr>
            <w:tcW w:w="8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20,321.6</w:t>
            </w:r>
          </w:p>
        </w:tc>
      </w:tr>
      <w:tr>
        <w:trPr>
          <w:trHeight w:val="183"/>
        </w:trPr>
        <w:tc>
          <w:tcPr>
            <w:tcW w:w="8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 (notes 6, 9, 10, 11 and 15)</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3"/>
        </w:trPr>
        <w:tc>
          <w:tcPr>
            <w:tcW w:w="8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Equity (note 12):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8"/>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w w:val="93"/>
              </w:rPr>
              <w:t>Class A ordinary shares, $0.01 nominal value. Issued and outstanding 171,742,304 and 171,917,370 shares,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836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88"/>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5"/>
              </w:rPr>
              <w:t>Class B ordinary shares, $0.01 nominal value. Issued and outstanding 12,994,000 and 12,994,000 shares,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0"/>
        </w:trPr>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88"/>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w w:val="93"/>
              </w:rPr>
              <w:t>Class C ordinary shares, $0.01 nominal value. Issued and outstanding 264,184,980 and 274,436,585 shares,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836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Accumulated earnings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19,617.7</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r>
      <w:tr>
        <w:trPr>
          <w:trHeight w:val="230"/>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shares, at cost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Liberty Global shareholders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22,436.4</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22,573.4</w:t>
            </w:r>
          </w:p>
        </w:tc>
      </w:tr>
      <w:tr>
        <w:trPr>
          <w:trHeight w:val="223"/>
        </w:trPr>
        <w:tc>
          <w:tcPr>
            <w:tcW w:w="836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42,895.0</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340"/>
        <w:spacing w:after="0"/>
        <w:rPr>
          <w:sz w:val="20"/>
          <w:szCs w:val="20"/>
          <w:color w:val="auto"/>
        </w:rPr>
      </w:pPr>
      <w:r>
        <w:rPr>
          <w:rFonts w:ascii="Arial" w:cs="Arial" w:eastAsia="Arial" w:hAnsi="Arial"/>
          <w:sz w:val="16"/>
          <w:szCs w:val="16"/>
          <w:b w:val="1"/>
          <w:bCs w:val="1"/>
          <w:color w:val="auto"/>
        </w:rPr>
        <w:t>Three months ended</w:t>
      </w:r>
    </w:p>
    <w:p>
      <w:pPr>
        <w:jc w:val="center"/>
        <w:ind w:left="83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0" w:type="dxa"/>
            <w:vAlign w:val="bottom"/>
          </w:tcPr>
          <w:p>
            <w:pPr>
              <w:spacing w:after="0"/>
              <w:rPr>
                <w:sz w:val="1"/>
                <w:szCs w:val="1"/>
                <w:color w:val="auto"/>
              </w:rPr>
            </w:pPr>
          </w:p>
        </w:tc>
      </w:tr>
      <w:tr>
        <w:trPr>
          <w:trHeight w:val="208"/>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w:t>
            </w:r>
          </w:p>
        </w:tc>
        <w:tc>
          <w:tcPr>
            <w:tcW w:w="0" w:type="dxa"/>
            <w:vAlign w:val="bottom"/>
          </w:tcPr>
          <w:p>
            <w:pPr>
              <w:spacing w:after="0"/>
              <w:rPr>
                <w:sz w:val="1"/>
                <w:szCs w:val="1"/>
                <w:color w:val="auto"/>
              </w:rPr>
            </w:pPr>
          </w:p>
        </w:tc>
      </w:tr>
      <w:tr>
        <w:trPr>
          <w:trHeight w:val="209"/>
        </w:trPr>
        <w:tc>
          <w:tcPr>
            <w:tcW w:w="8360" w:type="dxa"/>
            <w:vAlign w:val="bottom"/>
          </w:tcPr>
          <w:p>
            <w:pPr>
              <w:ind w:left="40"/>
              <w:spacing w:after="0"/>
              <w:rPr>
                <w:sz w:val="20"/>
                <w:szCs w:val="20"/>
                <w:color w:val="auto"/>
              </w:rPr>
            </w:pPr>
            <w:r>
              <w:rPr>
                <w:rFonts w:ascii="Arial" w:cs="Arial" w:eastAsia="Arial" w:hAnsi="Arial"/>
                <w:sz w:val="18"/>
                <w:szCs w:val="18"/>
                <w:color w:val="auto"/>
              </w:rPr>
              <w:t>Operating costs and expenses (exclusive of depreciation and amortization, shown separately below):</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 (note 10)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Other operating (notes 10 and 13)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(notes 10 and 13)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 (note 10)</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9"/>
        </w:trPr>
        <w:tc>
          <w:tcPr>
            <w:tcW w:w="83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Realized and unrealized gains (losses) on derivative instruments, net (note 6)</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w w:val="99"/>
              </w:rPr>
              <w:t>Realized and unrealized losses due to changes in fair values of certain investments, net (notes 5 and 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23"/>
        </w:trPr>
        <w:tc>
          <w:tcPr>
            <w:tcW w:w="836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 before income taxes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(note 11)</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836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Earnings from discontinued operations, net of taxes (note 4)</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8360" w:type="dxa"/>
            <w:vAlign w:val="bottom"/>
          </w:tcPr>
          <w:p>
            <w:pPr>
              <w:ind w:left="260"/>
              <w:spacing w:after="0"/>
              <w:rPr>
                <w:sz w:val="20"/>
                <w:szCs w:val="20"/>
                <w:color w:val="auto"/>
              </w:rPr>
            </w:pPr>
            <w:r>
              <w:rPr>
                <w:rFonts w:ascii="Arial" w:cs="Arial" w:eastAsia="Arial" w:hAnsi="Arial"/>
                <w:sz w:val="18"/>
                <w:szCs w:val="18"/>
                <w:color w:val="auto"/>
              </w:rPr>
              <w:t>Net earnings (loss)</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8360" w:type="dxa"/>
            <w:vAlign w:val="bottom"/>
          </w:tcPr>
          <w:p>
            <w:pPr>
              <w:ind w:left="260"/>
              <w:spacing w:after="0"/>
              <w:rPr>
                <w:sz w:val="20"/>
                <w:szCs w:val="20"/>
                <w:color w:val="auto"/>
              </w:rPr>
            </w:pPr>
            <w:r>
              <w:rPr>
                <w:rFonts w:ascii="Arial" w:cs="Arial" w:eastAsia="Arial" w:hAnsi="Arial"/>
                <w:sz w:val="18"/>
                <w:szCs w:val="18"/>
                <w:color w:val="auto"/>
              </w:rPr>
              <w:t>Net earnings (loss) attributable to Liberty Global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Basic earnings (loss) attributable to Liberty Global shareholders per share (note 14):</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8"/>
        </w:trPr>
        <w:tc>
          <w:tcPr>
            <w:tcW w:w="83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(loss) attributable to Liberty Global shareholders per share (note 14):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8"/>
        </w:trPr>
        <w:tc>
          <w:tcPr>
            <w:tcW w:w="83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jc w:val="center"/>
        <w:ind w:left="8340"/>
        <w:spacing w:after="0"/>
        <w:rPr>
          <w:sz w:val="20"/>
          <w:szCs w:val="20"/>
          <w:color w:val="auto"/>
        </w:rPr>
      </w:pPr>
      <w:r>
        <w:rPr>
          <w:rFonts w:ascii="Arial" w:cs="Arial" w:eastAsia="Arial" w:hAnsi="Arial"/>
          <w:sz w:val="16"/>
          <w:szCs w:val="16"/>
          <w:b w:val="1"/>
          <w:bCs w:val="1"/>
          <w:color w:val="auto"/>
        </w:rPr>
        <w:t>Three months ended</w:t>
      </w:r>
    </w:p>
    <w:p>
      <w:pPr>
        <w:jc w:val="center"/>
        <w:ind w:left="83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06"/>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r>
      <w:tr>
        <w:trPr>
          <w:trHeight w:val="222"/>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r>
      <w:tr>
        <w:trPr>
          <w:trHeight w:val="209"/>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earnings (loss), net of taxes: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(1,185.3)</w:t>
            </w: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included in net earnings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earnings (loss) from continuing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 (note 4)</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83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earnings (loss)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w:t>
            </w:r>
          </w:p>
        </w:tc>
      </w:tr>
      <w:tr>
        <w:trPr>
          <w:trHeight w:val="223"/>
        </w:trPr>
        <w:tc>
          <w:tcPr>
            <w:tcW w:w="8360" w:type="dxa"/>
            <w:vAlign w:val="bottom"/>
          </w:tcPr>
          <w:p>
            <w:pPr>
              <w:ind w:left="60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3"/>
        </w:trPr>
        <w:tc>
          <w:tcPr>
            <w:tcW w:w="8360" w:type="dxa"/>
            <w:vAlign w:val="bottom"/>
          </w:tcPr>
          <w:p>
            <w:pPr>
              <w:ind w:left="520"/>
              <w:spacing w:after="0"/>
              <w:rPr>
                <w:sz w:val="20"/>
                <w:szCs w:val="20"/>
                <w:color w:val="auto"/>
              </w:rPr>
            </w:pPr>
            <w:r>
              <w:rPr>
                <w:rFonts w:ascii="Arial" w:cs="Arial" w:eastAsia="Arial" w:hAnsi="Arial"/>
                <w:sz w:val="18"/>
                <w:szCs w:val="18"/>
                <w:color w:val="auto"/>
              </w:rPr>
              <w:t>Comprehensive loss attributable to Liberty Global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6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w w:val="94"/>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w w:val="92"/>
              </w:rPr>
              <w:t>Ordinary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paid-in</w:t>
            </w:r>
          </w:p>
        </w:tc>
        <w:tc>
          <w:tcPr>
            <w:tcW w:w="9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earnings, net</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Global</w:t>
            </w:r>
          </w:p>
        </w:tc>
        <w:tc>
          <w:tcPr>
            <w:tcW w:w="8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controlling</w:t>
            </w:r>
          </w:p>
        </w:tc>
        <w:tc>
          <w:tcPr>
            <w:tcW w:w="140" w:type="dxa"/>
            <w:vAlign w:val="bottom"/>
          </w:tcPr>
          <w:p>
            <w:pPr>
              <w:spacing w:after="0"/>
              <w:rPr>
                <w:sz w:val="12"/>
                <w:szCs w:val="12"/>
                <w:color w:val="auto"/>
              </w:rPr>
            </w:pPr>
          </w:p>
        </w:tc>
        <w:tc>
          <w:tcPr>
            <w:tcW w:w="6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B</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9"/>
              </w:rPr>
              <w:t>shareholders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6"/>
              </w:rPr>
              <w:t>interests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gridSpan w:val="4"/>
          </w:tcPr>
          <w:p>
            <w:pPr>
              <w:ind w:left="8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2022</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25,598.0</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1,110.3</w:t>
            </w: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Other comprehensive loss, net of</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(1,217.8)</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line="162" w:lineRule="exact"/>
              <w:rPr>
                <w:sz w:val="20"/>
                <w:szCs w:val="20"/>
                <w:color w:val="auto"/>
              </w:rPr>
            </w:pPr>
            <w:r>
              <w:rPr>
                <w:rFonts w:ascii="Arial" w:cs="Arial" w:eastAsia="Arial" w:hAnsi="Arial"/>
                <w:sz w:val="16"/>
                <w:szCs w:val="16"/>
                <w:color w:val="auto"/>
              </w:rPr>
              <w:t>Liberty Global ordinary shares</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209"/>
        </w:trPr>
        <w:tc>
          <w:tcPr>
            <w:tcW w:w="2660" w:type="dxa"/>
            <w:vAlign w:val="bottom"/>
          </w:tcPr>
          <w:p>
            <w:pPr>
              <w:ind w:left="300"/>
              <w:spacing w:after="0"/>
              <w:rPr>
                <w:sz w:val="20"/>
                <w:szCs w:val="20"/>
                <w:color w:val="auto"/>
              </w:rPr>
            </w:pPr>
            <w:r>
              <w:rPr>
                <w:rFonts w:ascii="Arial" w:cs="Arial" w:eastAsia="Arial" w:hAnsi="Arial"/>
                <w:sz w:val="16"/>
                <w:szCs w:val="16"/>
                <w:color w:val="auto"/>
              </w:rPr>
              <w:t>(note 12)</w:t>
            </w: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Share-based compensation (note 13)</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66"/>
        </w:trPr>
        <w:tc>
          <w:tcPr>
            <w:tcW w:w="2660" w:type="dxa"/>
            <w:vAlign w:val="bottom"/>
          </w:tcPr>
          <w:p>
            <w:pPr>
              <w:ind w:left="140"/>
              <w:spacing w:after="0" w:line="166" w:lineRule="exact"/>
              <w:rPr>
                <w:sz w:val="20"/>
                <w:szCs w:val="20"/>
                <w:color w:val="auto"/>
              </w:rPr>
            </w:pPr>
            <w:r>
              <w:rPr>
                <w:rFonts w:ascii="Arial" w:cs="Arial" w:eastAsia="Arial" w:hAnsi="Arial"/>
                <w:sz w:val="16"/>
                <w:szCs w:val="16"/>
                <w:color w:val="auto"/>
              </w:rPr>
              <w:t>Repurchases by Telenet of its</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9"/>
        </w:trPr>
        <w:tc>
          <w:tcPr>
            <w:tcW w:w="2660" w:type="dxa"/>
            <w:vAlign w:val="bottom"/>
          </w:tcPr>
          <w:p>
            <w:pPr>
              <w:ind w:left="300"/>
              <w:spacing w:after="0"/>
              <w:rPr>
                <w:sz w:val="20"/>
                <w:szCs w:val="20"/>
                <w:color w:val="auto"/>
              </w:rPr>
            </w:pPr>
            <w:r>
              <w:rPr>
                <w:rFonts w:ascii="Arial" w:cs="Arial" w:eastAsia="Arial" w:hAnsi="Arial"/>
                <w:sz w:val="16"/>
                <w:szCs w:val="16"/>
                <w:color w:val="auto"/>
              </w:rPr>
              <w:t>outstanding shares</w:t>
            </w: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due to changes in</w:t>
            </w: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subsidiaries’ equity and other, net</w:t>
            </w: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3,406.1</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19,182.8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2,673.9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25,267.8</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(260.7)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6"/>
              </w:rPr>
              <w:t>25,007.1</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w w:val="94"/>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w w:val="92"/>
              </w:rPr>
              <w:t>Ordinary shares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paid-in</w:t>
            </w:r>
          </w:p>
        </w:tc>
        <w:tc>
          <w:tcPr>
            <w:tcW w:w="10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Accumulated</w:t>
            </w:r>
          </w:p>
        </w:tc>
        <w:tc>
          <w:tcPr>
            <w:tcW w:w="116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earnings, net</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Global</w:t>
            </w:r>
          </w:p>
        </w:tc>
        <w:tc>
          <w:tcPr>
            <w:tcW w:w="8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controlling</w:t>
            </w:r>
          </w:p>
        </w:tc>
        <w:tc>
          <w:tcPr>
            <w:tcW w:w="140" w:type="dxa"/>
            <w:vAlign w:val="bottom"/>
          </w:tcPr>
          <w:p>
            <w:pPr>
              <w:spacing w:after="0"/>
              <w:rPr>
                <w:sz w:val="12"/>
                <w:szCs w:val="12"/>
                <w:color w:val="auto"/>
              </w:rPr>
            </w:pPr>
          </w:p>
        </w:tc>
        <w:tc>
          <w:tcPr>
            <w:tcW w:w="6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700" w:type="dxa"/>
            <w:vAlign w:val="bottom"/>
          </w:tcPr>
          <w:p>
            <w:pPr>
              <w:spacing w:after="0"/>
              <w:rPr>
                <w:sz w:val="17"/>
                <w:szCs w:val="17"/>
                <w:color w:val="auto"/>
              </w:rPr>
            </w:pP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B</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9"/>
              </w:rPr>
              <w:t>shareholders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6"/>
              </w:rPr>
              <w:t>interests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equity</w:t>
            </w:r>
          </w:p>
        </w:tc>
        <w:tc>
          <w:tcPr>
            <w:tcW w:w="0" w:type="dxa"/>
            <w:vAlign w:val="bottom"/>
          </w:tcPr>
          <w:p>
            <w:pPr>
              <w:spacing w:after="0"/>
              <w:rPr>
                <w:sz w:val="1"/>
                <w:szCs w:val="1"/>
                <w:color w:val="auto"/>
              </w:rPr>
            </w:pPr>
          </w:p>
        </w:tc>
      </w:tr>
      <w:tr>
        <w:trPr>
          <w:trHeight w:val="207"/>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2023</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22,573.4</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(713.5)</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Other comprehensive earnings, net of</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taxes</w:t>
            </w: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Repurchases and cancellations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line="162" w:lineRule="exact"/>
              <w:rPr>
                <w:sz w:val="20"/>
                <w:szCs w:val="20"/>
                <w:color w:val="auto"/>
              </w:rPr>
            </w:pPr>
            <w:r>
              <w:rPr>
                <w:rFonts w:ascii="Arial" w:cs="Arial" w:eastAsia="Arial" w:hAnsi="Arial"/>
                <w:sz w:val="16"/>
                <w:szCs w:val="16"/>
                <w:color w:val="auto"/>
                <w:w w:val="93"/>
              </w:rPr>
              <w:t>Liberty Global ordinary shares (note</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w w:val="91"/>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(236.7)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9"/>
        </w:trPr>
        <w:tc>
          <w:tcPr>
            <w:tcW w:w="2700" w:type="dxa"/>
            <w:vAlign w:val="bottom"/>
          </w:tcPr>
          <w:p>
            <w:pPr>
              <w:ind w:left="30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Share-based compensation (note 13)</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66"/>
        </w:trPr>
        <w:tc>
          <w:tcPr>
            <w:tcW w:w="2700" w:type="dxa"/>
            <w:vAlign w:val="bottom"/>
          </w:tcPr>
          <w:p>
            <w:pPr>
              <w:ind w:left="140"/>
              <w:spacing w:after="0" w:line="166" w:lineRule="exact"/>
              <w:rPr>
                <w:sz w:val="20"/>
                <w:szCs w:val="20"/>
                <w:color w:val="auto"/>
              </w:rPr>
            </w:pPr>
            <w:r>
              <w:rPr>
                <w:rFonts w:ascii="Arial" w:cs="Arial" w:eastAsia="Arial" w:hAnsi="Arial"/>
                <w:sz w:val="16"/>
                <w:szCs w:val="16"/>
                <w:color w:val="auto"/>
              </w:rPr>
              <w:t>Adjustments due to changes in</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9"/>
        </w:trPr>
        <w:tc>
          <w:tcPr>
            <w:tcW w:w="2700" w:type="dxa"/>
            <w:vAlign w:val="bottom"/>
          </w:tcPr>
          <w:p>
            <w:pPr>
              <w:ind w:left="300"/>
              <w:spacing w:after="0"/>
              <w:rPr>
                <w:sz w:val="20"/>
                <w:szCs w:val="20"/>
                <w:color w:val="auto"/>
              </w:rPr>
            </w:pPr>
            <w:r>
              <w:rPr>
                <w:rFonts w:ascii="Arial" w:cs="Arial" w:eastAsia="Arial" w:hAnsi="Arial"/>
                <w:sz w:val="16"/>
                <w:szCs w:val="16"/>
                <w:color w:val="auto"/>
                <w:w w:val="99"/>
              </w:rPr>
              <w:t>subsidiaries’ equity and other, net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22,369.5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Three months ended</w:t>
      </w:r>
    </w:p>
    <w:p>
      <w:pPr>
        <w:jc w:val="center"/>
        <w:ind w:left="84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r>
      <w:tr>
        <w:trPr>
          <w:trHeight w:val="206"/>
        </w:trPr>
        <w:tc>
          <w:tcPr>
            <w:tcW w:w="8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42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1,110.3</w:t>
            </w: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8420" w:type="dxa"/>
            <w:vAlign w:val="bottom"/>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1,075.7</w:t>
            </w:r>
          </w:p>
        </w:tc>
      </w:tr>
      <w:tr>
        <w:trPr>
          <w:trHeight w:val="176"/>
        </w:trPr>
        <w:tc>
          <w:tcPr>
            <w:tcW w:w="84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Adjustments to reconcile earnings (loss) from continuing operations to net cash provided by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continuing operations: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842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r>
      <w:tr>
        <w:trPr>
          <w:trHeight w:val="230"/>
        </w:trPr>
        <w:tc>
          <w:tcPr>
            <w:tcW w:w="842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420" w:type="dxa"/>
            <w:vAlign w:val="bottom"/>
          </w:tcPr>
          <w:p>
            <w:pPr>
              <w:ind w:left="38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(508.3)</w:t>
            </w:r>
          </w:p>
        </w:tc>
      </w:tr>
      <w:tr>
        <w:trPr>
          <w:trHeight w:val="230"/>
        </w:trPr>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29"/>
        </w:trPr>
        <w:tc>
          <w:tcPr>
            <w:tcW w:w="8420" w:type="dxa"/>
            <w:vAlign w:val="bottom"/>
          </w:tcPr>
          <w:p>
            <w:pPr>
              <w:ind w:left="380"/>
              <w:spacing w:after="0"/>
              <w:rPr>
                <w:sz w:val="20"/>
                <w:szCs w:val="20"/>
                <w:color w:val="auto"/>
              </w:rPr>
            </w:pPr>
            <w:r>
              <w:rPr>
                <w:rFonts w:ascii="Arial" w:cs="Arial" w:eastAsia="Arial" w:hAnsi="Arial"/>
                <w:sz w:val="18"/>
                <w:szCs w:val="18"/>
                <w:color w:val="auto"/>
              </w:rPr>
              <w:t>Realized and unrealized losses due to changes in fair values of certain investments,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 of results of affiliates,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8420" w:type="dxa"/>
            <w:vAlign w:val="bottom"/>
          </w:tcPr>
          <w:p>
            <w:pPr>
              <w:ind w:left="38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8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8420" w:type="dxa"/>
            <w:vAlign w:val="bottom"/>
          </w:tcPr>
          <w:p>
            <w:pPr>
              <w:ind w:left="380"/>
              <w:spacing w:after="0"/>
              <w:rPr>
                <w:sz w:val="20"/>
                <w:szCs w:val="20"/>
                <w:color w:val="auto"/>
              </w:rPr>
            </w:pPr>
            <w:r>
              <w:rPr>
                <w:rFonts w:ascii="Arial" w:cs="Arial" w:eastAsia="Arial" w:hAnsi="Arial"/>
                <w:sz w:val="18"/>
                <w:szCs w:val="18"/>
                <w:color w:val="auto"/>
              </w:rPr>
              <w:t>Dividend distributions received from the VodafoneZiggo JV</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23"/>
        </w:trPr>
        <w:tc>
          <w:tcPr>
            <w:tcW w:w="84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r>
      <w:tr>
        <w:trPr>
          <w:trHeight w:val="229"/>
        </w:trPr>
        <w:tc>
          <w:tcPr>
            <w:tcW w:w="842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84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 w:name="page10"/>
    <w:bookmarkEnd w:id="9"/>
    <w:p>
      <w:pPr>
        <w:ind w:left="462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r>
      <w:tr>
        <w:trPr>
          <w:trHeight w:val="206"/>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Cash paid for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(3,631.7)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(2,200.7)</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(372.8)</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distributions received from the VMO2 JV</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Cash paid in connection with acquisitions, net of cash acquired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8400" w:type="dxa"/>
            <w:vAlign w:val="bottom"/>
          </w:tcPr>
          <w:p>
            <w:pPr>
              <w:ind w:left="260"/>
              <w:spacing w:after="0"/>
              <w:rPr>
                <w:sz w:val="20"/>
                <w:szCs w:val="20"/>
                <w:color w:val="auto"/>
              </w:rPr>
            </w:pPr>
            <w:r>
              <w:rPr>
                <w:rFonts w:ascii="Arial" w:cs="Arial" w:eastAsia="Arial" w:hAnsi="Arial"/>
                <w:sz w:val="18"/>
                <w:szCs w:val="18"/>
                <w:color w:val="auto"/>
              </w:rPr>
              <w:t>Net cash used by investing activities of continuing operations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by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(1,423.2)</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50"/>
        </w:trPr>
        <w:tc>
          <w:tcPr>
            <w:tcW w:w="8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00" w:type="dxa"/>
            <w:vAlign w:val="bottom"/>
          </w:tcPr>
          <w:p>
            <w:pPr>
              <w:ind w:left="260"/>
              <w:spacing w:after="0"/>
              <w:rPr>
                <w:sz w:val="20"/>
                <w:szCs w:val="20"/>
                <w:color w:val="auto"/>
              </w:rPr>
            </w:pPr>
            <w:r>
              <w:rPr>
                <w:rFonts w:ascii="Arial" w:cs="Arial" w:eastAsia="Arial" w:hAnsi="Arial"/>
                <w:sz w:val="18"/>
                <w:szCs w:val="18"/>
                <w:color w:val="auto"/>
              </w:rPr>
              <w:t>Debt (excluding vendor financing)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30"/>
        </w:trPr>
        <w:tc>
          <w:tcPr>
            <w:tcW w:w="8400" w:type="dxa"/>
            <w:vAlign w:val="bottom"/>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finance leases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(480.6)</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paid related to derivative instruments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8400" w:type="dxa"/>
            <w:vAlign w:val="bottom"/>
          </w:tcPr>
          <w:p>
            <w:pPr>
              <w:ind w:left="260"/>
              <w:spacing w:after="0"/>
              <w:rPr>
                <w:sz w:val="20"/>
                <w:szCs w:val="20"/>
                <w:color w:val="auto"/>
              </w:rPr>
            </w:pPr>
            <w:r>
              <w:rPr>
                <w:rFonts w:ascii="Arial" w:cs="Arial" w:eastAsia="Arial" w:hAnsi="Arial"/>
                <w:sz w:val="18"/>
                <w:szCs w:val="18"/>
                <w:color w:val="auto"/>
              </w:rPr>
              <w:t>Net cash provided (used) by financing activities of continuing operations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(655.7)</w:t>
            </w:r>
          </w:p>
        </w:tc>
      </w:tr>
      <w:tr>
        <w:trPr>
          <w:trHeight w:val="230"/>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Net cash provided (used) by financing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ind w:left="4560"/>
        <w:spacing w:after="0"/>
        <w:rPr>
          <w:sz w:val="20"/>
          <w:szCs w:val="20"/>
          <w:color w:val="auto"/>
        </w:rPr>
      </w:pPr>
      <w:r>
        <w:rPr>
          <w:rFonts w:ascii="Arial" w:cs="Arial" w:eastAsia="Arial" w:hAnsi="Arial"/>
          <w:sz w:val="18"/>
          <w:szCs w:val="18"/>
          <w:b w:val="1"/>
          <w:bCs w:val="1"/>
          <w:color w:val="auto"/>
        </w:rPr>
        <w:t>LIBERTY GLOBAL PLC</w:t>
      </w:r>
    </w:p>
    <w:p>
      <w:pPr>
        <w:spacing w:after="0" w:line="6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w:t>
      </w:r>
    </w:p>
    <w:p>
      <w:pPr>
        <w:jc w:val="center"/>
        <w:ind w:left="83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832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832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83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paid for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8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1,446.2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8320" w:type="dxa"/>
            <w:vAlign w:val="bottom"/>
          </w:tcPr>
          <w:p>
            <w:pPr>
              <w:ind w:left="320"/>
              <w:spacing w:after="0"/>
              <w:rPr>
                <w:sz w:val="20"/>
                <w:szCs w:val="20"/>
                <w:color w:val="auto"/>
              </w:rPr>
            </w:pPr>
            <w:r>
              <w:rPr>
                <w:rFonts w:ascii="Arial" w:cs="Arial" w:eastAsia="Arial" w:hAnsi="Arial"/>
                <w:sz w:val="18"/>
                <w:szCs w:val="18"/>
                <w:color w:val="auto"/>
              </w:rPr>
              <w:t>Total cash and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255"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2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continuing operations comprise businesses that provide residential and business-to-business (</w:t>
      </w:r>
      <w:r>
        <w:rPr>
          <w:rFonts w:ascii="Arial" w:cs="Arial" w:eastAsia="Arial" w:hAnsi="Arial"/>
          <w:sz w:val="17"/>
          <w:szCs w:val="17"/>
          <w:b w:val="1"/>
          <w:bCs w:val="1"/>
          <w:color w:val="auto"/>
        </w:rPr>
        <w:t>B2B</w:t>
      </w:r>
      <w:r>
        <w:rPr>
          <w:rFonts w:ascii="Arial" w:cs="Arial" w:eastAsia="Arial" w:hAnsi="Arial"/>
          <w:sz w:val="17"/>
          <w:szCs w:val="17"/>
          <w:color w:val="auto"/>
        </w:rPr>
        <w:t>) communications services in (i) Switzerland and Slovakia through certain wholly-owned subsidiaries that we collectively refer to as “</w:t>
      </w:r>
      <w:r>
        <w:rPr>
          <w:rFonts w:ascii="Arial" w:cs="Arial" w:eastAsia="Arial" w:hAnsi="Arial"/>
          <w:sz w:val="17"/>
          <w:szCs w:val="17"/>
          <w:b w:val="1"/>
          <w:bCs w:val="1"/>
          <w:color w:val="auto"/>
        </w:rPr>
        <w:t>UPC Holding</w:t>
      </w:r>
      <w:r>
        <w:rPr>
          <w:rFonts w:ascii="Arial" w:cs="Arial" w:eastAsia="Arial" w:hAnsi="Arial"/>
          <w:sz w:val="17"/>
          <w:szCs w:val="17"/>
          <w:color w:val="auto"/>
        </w:rPr>
        <w:t>”, (ii) Belgium and Luxembourg through Telenet Group Holding N.V. (</w:t>
      </w:r>
      <w:r>
        <w:rPr>
          <w:rFonts w:ascii="Arial" w:cs="Arial" w:eastAsia="Arial" w:hAnsi="Arial"/>
          <w:sz w:val="17"/>
          <w:szCs w:val="17"/>
          <w:b w:val="1"/>
          <w:bCs w:val="1"/>
          <w:color w:val="auto"/>
        </w:rPr>
        <w:t>Telenet</w:t>
      </w:r>
      <w:r>
        <w:rPr>
          <w:rFonts w:ascii="Arial" w:cs="Arial" w:eastAsia="Arial" w:hAnsi="Arial"/>
          <w:sz w:val="17"/>
          <w:szCs w:val="17"/>
          <w:color w:val="auto"/>
        </w:rPr>
        <w:t>), a 61.1%-owned subsidiary, and (iii) Ireland through another wholly-owned subsidiary (</w:t>
      </w:r>
      <w:r>
        <w:rPr>
          <w:rFonts w:ascii="Arial" w:cs="Arial" w:eastAsia="Arial" w:hAnsi="Arial"/>
          <w:sz w:val="17"/>
          <w:szCs w:val="17"/>
          <w:b w:val="1"/>
          <w:bCs w:val="1"/>
          <w:color w:val="auto"/>
        </w:rPr>
        <w:t>VM Ireland</w:t>
      </w:r>
      <w:r>
        <w:rPr>
          <w:rFonts w:ascii="Arial" w:cs="Arial" w:eastAsia="Arial" w:hAnsi="Arial"/>
          <w:sz w:val="17"/>
          <w:szCs w:val="17"/>
          <w:color w:val="auto"/>
        </w:rPr>
        <w:t xml:space="preserve">). In addition, we own 50% noncontrolling interests in (a) a 50:50 joint venture (the </w:t>
      </w:r>
      <w:r>
        <w:rPr>
          <w:rFonts w:ascii="Arial" w:cs="Arial" w:eastAsia="Arial" w:hAnsi="Arial"/>
          <w:sz w:val="17"/>
          <w:szCs w:val="17"/>
          <w:b w:val="1"/>
          <w:bCs w:val="1"/>
          <w:color w:val="auto"/>
        </w:rPr>
        <w:t>VMO2 JV</w:t>
      </w:r>
      <w:r>
        <w:rPr>
          <w:rFonts w:ascii="Arial" w:cs="Arial" w:eastAsia="Arial" w:hAnsi="Arial"/>
          <w:sz w:val="17"/>
          <w:szCs w:val="17"/>
          <w:color w:val="auto"/>
        </w:rPr>
        <w:t>) with Telefónica SA (</w:t>
      </w:r>
      <w:r>
        <w:rPr>
          <w:rFonts w:ascii="Arial" w:cs="Arial" w:eastAsia="Arial" w:hAnsi="Arial"/>
          <w:sz w:val="17"/>
          <w:szCs w:val="17"/>
          <w:b w:val="1"/>
          <w:bCs w:val="1"/>
          <w:color w:val="auto"/>
        </w:rPr>
        <w:t>Telefónica</w:t>
      </w:r>
      <w:r>
        <w:rPr>
          <w:rFonts w:ascii="Arial" w:cs="Arial" w:eastAsia="Arial" w:hAnsi="Arial"/>
          <w:sz w:val="17"/>
          <w:szCs w:val="17"/>
          <w:color w:val="auto"/>
        </w:rPr>
        <w:t>), which provides residential and B2B communications services in the United Kingdom (</w:t>
      </w:r>
      <w:r>
        <w:rPr>
          <w:rFonts w:ascii="Arial" w:cs="Arial" w:eastAsia="Arial" w:hAnsi="Arial"/>
          <w:sz w:val="17"/>
          <w:szCs w:val="17"/>
          <w:b w:val="1"/>
          <w:bCs w:val="1"/>
          <w:color w:val="auto"/>
        </w:rPr>
        <w:t>U.K.</w:t>
      </w:r>
      <w:r>
        <w:rPr>
          <w:rFonts w:ascii="Arial" w:cs="Arial" w:eastAsia="Arial" w:hAnsi="Arial"/>
          <w:sz w:val="17"/>
          <w:szCs w:val="17"/>
          <w:color w:val="auto"/>
        </w:rPr>
        <w:t xml:space="preserve">), and (b) a 50:50 joint venture (the </w:t>
      </w:r>
      <w:r>
        <w:rPr>
          <w:rFonts w:ascii="Arial" w:cs="Arial" w:eastAsia="Arial" w:hAnsi="Arial"/>
          <w:sz w:val="17"/>
          <w:szCs w:val="17"/>
          <w:b w:val="1"/>
          <w:bCs w:val="1"/>
          <w:color w:val="auto"/>
        </w:rPr>
        <w:t>VodafoneZiggo JV</w:t>
      </w:r>
      <w:r>
        <w:rPr>
          <w:rFonts w:ascii="Arial" w:cs="Arial" w:eastAsia="Arial" w:hAnsi="Arial"/>
          <w:sz w:val="17"/>
          <w:szCs w:val="17"/>
          <w:color w:val="auto"/>
        </w:rPr>
        <w:t>) with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xml:space="preserve">), which provides residential and B2B communications services in the Netherlands. We also own (1) a 50% noncontrolling voting interest in a joint venture (the </w:t>
      </w:r>
      <w:r>
        <w:rPr>
          <w:rFonts w:ascii="Arial" w:cs="Arial" w:eastAsia="Arial" w:hAnsi="Arial"/>
          <w:sz w:val="17"/>
          <w:szCs w:val="17"/>
          <w:b w:val="1"/>
          <w:bCs w:val="1"/>
          <w:color w:val="auto"/>
        </w:rPr>
        <w:t>AtlasEdge</w:t>
      </w:r>
      <w:r>
        <w:rPr>
          <w:rFonts w:ascii="Arial" w:cs="Arial" w:eastAsia="Arial" w:hAnsi="Arial"/>
          <w:sz w:val="17"/>
          <w:szCs w:val="17"/>
          <w:color w:val="auto"/>
        </w:rPr>
        <w:t xml:space="preserve"> </w:t>
      </w:r>
      <w:r>
        <w:rPr>
          <w:rFonts w:ascii="Arial" w:cs="Arial" w:eastAsia="Arial" w:hAnsi="Arial"/>
          <w:sz w:val="17"/>
          <w:szCs w:val="17"/>
          <w:b w:val="1"/>
          <w:bCs w:val="1"/>
          <w:color w:val="auto"/>
        </w:rPr>
        <w:t>JV</w:t>
      </w:r>
      <w:r>
        <w:rPr>
          <w:rFonts w:ascii="Arial" w:cs="Arial" w:eastAsia="Arial" w:hAnsi="Arial"/>
          <w:sz w:val="17"/>
          <w:szCs w:val="17"/>
          <w:color w:val="auto"/>
        </w:rPr>
        <w:t>), which is a leading European Edge data center platform, and (2) a 25% noncontrolling interest in a joint venture (the</w:t>
      </w:r>
      <w:r>
        <w:rPr>
          <w:rFonts w:ascii="Arial" w:cs="Arial" w:eastAsia="Arial" w:hAnsi="Arial"/>
          <w:sz w:val="17"/>
          <w:szCs w:val="17"/>
          <w:b w:val="1"/>
          <w:bCs w:val="1"/>
          <w:color w:val="auto"/>
        </w:rPr>
        <w:t xml:space="preserve"> nexfibre JV</w:t>
      </w:r>
      <w:r>
        <w:rPr>
          <w:rFonts w:ascii="Arial" w:cs="Arial" w:eastAsia="Arial" w:hAnsi="Arial"/>
          <w:sz w:val="17"/>
          <w:szCs w:val="17"/>
          <w:color w:val="auto"/>
        </w:rPr>
        <w:t>),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constructing a new fiber network in the U.K. outside of the existing footprint of the VMO2 JV.</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in these condensed consolidated financial statements, our operations in Poland are reflected as discontinued operations for all applicable periods. For additional information, see note 4.</w:t>
      </w:r>
    </w:p>
    <w:p>
      <w:pPr>
        <w:spacing w:after="0" w:line="2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2022 consolidated financial statements and notes thereto included in our 2022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March 31, 2023. Certain prior year amounts have been reclassified to conform to the current year presentation.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2022-04</w:t>
      </w:r>
    </w:p>
    <w:p>
      <w:pPr>
        <w:spacing w:after="0" w:line="2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 xml:space="preserve">In September 2022, the Financial Accounting Standards Board (the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2022-04, </w:t>
      </w:r>
      <w:r>
        <w:rPr>
          <w:rFonts w:ascii="Arial" w:cs="Arial" w:eastAsia="Arial" w:hAnsi="Arial"/>
          <w:sz w:val="18"/>
          <w:szCs w:val="18"/>
          <w:i w:val="1"/>
          <w:iCs w:val="1"/>
          <w:color w:val="auto"/>
        </w:rPr>
        <w:t>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Supplier Finance Programs </w:t>
      </w:r>
      <w:r>
        <w:rPr>
          <w:rFonts w:ascii="Arial" w:cs="Arial" w:eastAsia="Arial" w:hAnsi="Arial"/>
          <w:sz w:val="18"/>
          <w:szCs w:val="18"/>
          <w:color w:val="auto"/>
        </w:rPr>
        <w:t>(</w:t>
      </w:r>
      <w:r>
        <w:rPr>
          <w:rFonts w:ascii="Arial" w:cs="Arial" w:eastAsia="Arial" w:hAnsi="Arial"/>
          <w:sz w:val="18"/>
          <w:szCs w:val="18"/>
          <w:b w:val="1"/>
          <w:bCs w:val="1"/>
          <w:color w:val="auto"/>
        </w:rPr>
        <w:t>ASU 2022-04</w:t>
      </w:r>
      <w:r>
        <w:rPr>
          <w:rFonts w:ascii="Arial" w:cs="Arial" w:eastAsia="Arial" w:hAnsi="Arial"/>
          <w:sz w:val="18"/>
          <w:szCs w:val="18"/>
          <w:color w:val="auto"/>
        </w:rPr>
        <w:t>), which requires additional disclosures for buyers participating in supplier financing programs, which we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as vendor financing, including (i) the key terms of the arrangement, (ii) the confirmed amount outstanding at the end of the period, (iii) the balance sheet presentation of related amounts and (iv) a reconciliation of the balances from period to period. We adopted ASU 2022-04 on January 1, 2023, and such adoption did not have a significant impact on our consolidated financial statements. For additional information regarding our vendor financing obligations, see note 9.</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2021-08</w:t>
      </w:r>
    </w:p>
    <w:p>
      <w:pPr>
        <w:spacing w:after="0" w:line="23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Accounting for Contract Assets and Contract Liabilities from Contracts with Customers</w:t>
      </w:r>
      <w:r>
        <w:rPr>
          <w:rFonts w:ascii="Arial" w:cs="Arial" w:eastAsia="Arial" w:hAnsi="Arial"/>
          <w:sz w:val="16"/>
          <w:szCs w:val="16"/>
          <w:color w:val="auto"/>
        </w:rPr>
        <w:t xml:space="preserve"> (</w:t>
      </w:r>
      <w:r>
        <w:rPr>
          <w:rFonts w:ascii="Arial" w:cs="Arial" w:eastAsia="Arial" w:hAnsi="Arial"/>
          <w:sz w:val="16"/>
          <w:szCs w:val="16"/>
          <w:b w:val="1"/>
          <w:bCs w:val="1"/>
          <w:color w:val="auto"/>
        </w:rPr>
        <w:t>ASU</w:t>
      </w:r>
      <w:r>
        <w:rPr>
          <w:rFonts w:ascii="Arial" w:cs="Arial" w:eastAsia="Arial" w:hAnsi="Arial"/>
          <w:sz w:val="16"/>
          <w:szCs w:val="16"/>
          <w:color w:val="auto"/>
        </w:rPr>
        <w:t xml:space="preserve"> </w:t>
      </w:r>
      <w:r>
        <w:rPr>
          <w:rFonts w:ascii="Arial" w:cs="Arial" w:eastAsia="Arial" w:hAnsi="Arial"/>
          <w:sz w:val="16"/>
          <w:szCs w:val="16"/>
          <w:b w:val="1"/>
          <w:bCs w:val="1"/>
          <w:color w:val="auto"/>
        </w:rPr>
        <w:t>2021-08</w:t>
      </w:r>
      <w:r>
        <w:rPr>
          <w:rFonts w:ascii="Arial" w:cs="Arial" w:eastAsia="Arial" w:hAnsi="Arial"/>
          <w:sz w:val="16"/>
          <w:szCs w:val="16"/>
          <w:color w:val="auto"/>
        </w:rPr>
        <w:t>), which requires contract assets and contract liabilities acquired in a business combination to be recognized and measured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if the acquirer had originated the contracts. We adopted ASU 2021-08 on January 1, 2023. The main impact of the adoption of ASU 2021-08 is the recognition of contract assets and contract liabilities in business combinations at amounts generally consistent with the carrying value of such assets and liabilities of the acquiree immediately before the acquisition date.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2020-04</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w:t>
      </w:r>
      <w:r>
        <w:rPr>
          <w:rFonts w:ascii="Arial" w:cs="Arial" w:eastAsia="Arial" w:hAnsi="Arial"/>
          <w:sz w:val="17"/>
          <w:szCs w:val="17"/>
          <w:b w:val="1"/>
          <w:bCs w:val="1"/>
          <w:color w:val="auto"/>
        </w:rPr>
        <w:t>ASU 2020-04</w:t>
      </w:r>
      <w:r>
        <w:rPr>
          <w:rFonts w:ascii="Arial" w:cs="Arial" w:eastAsia="Arial" w:hAnsi="Arial"/>
          <w:sz w:val="17"/>
          <w:szCs w:val="17"/>
          <w:color w:val="auto"/>
        </w:rPr>
        <w:t>), which provides, for a limited time, optional expedients and exceptions for certain contract modifications that reference the</w:t>
      </w:r>
      <w:r>
        <w:rPr>
          <w:rFonts w:ascii="Arial" w:cs="Arial" w:eastAsia="Arial" w:hAnsi="Arial"/>
          <w:sz w:val="17"/>
          <w:szCs w:val="17"/>
          <w:i w:val="1"/>
          <w:iCs w:val="1"/>
          <w:color w:val="auto"/>
        </w:rPr>
        <w:t xml:space="preserve"> </w:t>
      </w:r>
      <w:r>
        <w:rPr>
          <w:rFonts w:ascii="Arial" w:cs="Arial" w:eastAsia="Arial" w:hAnsi="Arial"/>
          <w:sz w:val="17"/>
          <w:szCs w:val="17"/>
          <w:color w:val="auto"/>
        </w:rPr>
        <w:t>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or another reference rate expected to be discontinued. In December 2022, the FASB deferred the expiration date of ASU 2020-04 from December 31, 2022 to December 31, 2024. In accordance with the optional expedients in ASU 2020-04, we have modified certain debt agreements to replace LIBOR with another reference rate and applied the practical expedient to account for the modification as a continuation of the existing contract, and we expect to modify certain additional debt agreements in the future. The use of optional expedients in ASU 2020-04 has not had a significant impact on our consolidated financial statements to date. For additional information regarding our debt, see note 9.</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$47.1 million and $43.1 million at March 31, 2023 and December 31, 2022, respectively.</w:t>
      </w:r>
    </w:p>
    <w:p>
      <w:pPr>
        <w:spacing w:after="0" w:line="3"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$35.5 million and $33.3 million as of March 31, 2023 and December 31, 2022,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$352.4 million and $272.5 million as of March 31, 2023 and December 31, 2022, respectively. The increase in deferred revenue for the three months ended March 31, 2023 is primarily due to the net effect of (a) the impact of additions during the period and (b) the recognition of $148.9 million of revenue that was included in our deferred revenue balance at December 31, 2022. The long-term portions of our deferred revenue balances are included within other long-term liabilities on our condensed consolidated balance sheets.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aggregate assets associated with incremental costs to obtain and fulfill our contracts were $72.8 million and $69.4 million at March 31, 2023 and December 31, 2022, respectively. The current and long-term portions of our assets related to contract costs are included within other current assets and other assets, net, respectively, on our condensed consolidated balance sheets. We amortized $3.1 million and $4.4 million during the three months ended March 31, 2023 and 2022, respectively, to operating costs and expenses related to these assets.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2022 Disposition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UPC Poland. </w:t>
      </w:r>
      <w:r>
        <w:rPr>
          <w:rFonts w:ascii="Arial" w:cs="Arial" w:eastAsia="Arial" w:hAnsi="Arial"/>
          <w:sz w:val="17"/>
          <w:szCs w:val="17"/>
          <w:color w:val="auto"/>
        </w:rPr>
        <w:t>On April 1, 2022, we completed the sale of 100% of our operations in Poland (</w:t>
      </w:r>
      <w:r>
        <w:rPr>
          <w:rFonts w:ascii="Arial" w:cs="Arial" w:eastAsia="Arial" w:hAnsi="Arial"/>
          <w:sz w:val="17"/>
          <w:szCs w:val="17"/>
          <w:b w:val="1"/>
          <w:bCs w:val="1"/>
          <w:color w:val="auto"/>
        </w:rPr>
        <w:t>UPC Poland</w:t>
      </w:r>
      <w:r>
        <w:rPr>
          <w:rFonts w:ascii="Arial" w:cs="Arial" w:eastAsia="Arial" w:hAnsi="Arial"/>
          <w:sz w:val="17"/>
          <w:szCs w:val="17"/>
          <w:color w:val="auto"/>
        </w:rPr>
        <w:t>) to a subsidiary of iliad S.A. (</w:t>
      </w:r>
      <w:r>
        <w:rPr>
          <w:rFonts w:ascii="Arial" w:cs="Arial" w:eastAsia="Arial" w:hAnsi="Arial"/>
          <w:sz w:val="17"/>
          <w:szCs w:val="17"/>
          <w:b w:val="1"/>
          <w:bCs w:val="1"/>
          <w:color w:val="auto"/>
        </w:rPr>
        <w:t>iliad</w:t>
      </w:r>
      <w:r>
        <w:rPr>
          <w:rFonts w:ascii="Arial" w:cs="Arial" w:eastAsia="Arial" w:hAnsi="Arial"/>
          <w:sz w:val="17"/>
          <w:szCs w:val="17"/>
          <w:color w:val="auto"/>
        </w:rPr>
        <w:t>).</w:t>
      </w:r>
    </w:p>
    <w:p>
      <w:pPr>
        <w:spacing w:after="0" w:line="2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sale of UPC Poland, we have agreed to provide certain transitional services to iliad for a period of up to five years, depending on the service. These services principally comprise network and information technology-related functions. During the three months ended March 31, 2023, we recorded revenue of $9.3 million associated with these transitional services.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UPC Poland is presented as a discontinued operation in our condensed consolidated financial statements for all applicable periods. Effective with the signing of the sale and purchase agreement on September 22, 2021, we ceased to depreciate or amortize the associated long-lived assets. Our operations in Poland were held through UPC Holding prior to the disposal date. No debt, interest or derivative instruments of the UPC Holding borrowing group have been allocated to discontinued operations.</w:t>
      </w:r>
    </w:p>
    <w:p>
      <w:pPr>
        <w:spacing w:after="0" w:line="2" w:lineRule="exact"/>
        <w:rPr>
          <w:sz w:val="20"/>
          <w:szCs w:val="20"/>
          <w:color w:val="auto"/>
        </w:rPr>
      </w:pPr>
    </w:p>
    <w:p>
      <w:pPr>
        <w:jc w:val="both"/>
        <w:ind w:right="20" w:firstLine="324"/>
        <w:spacing w:after="0" w:line="290" w:lineRule="auto"/>
        <w:rPr>
          <w:sz w:val="20"/>
          <w:szCs w:val="20"/>
          <w:color w:val="auto"/>
        </w:rPr>
      </w:pPr>
      <w:r>
        <w:rPr>
          <w:rFonts w:ascii="Arial" w:cs="Arial" w:eastAsia="Arial" w:hAnsi="Arial"/>
          <w:sz w:val="17"/>
          <w:szCs w:val="17"/>
          <w:color w:val="auto"/>
        </w:rPr>
        <w:t>The operating results of UPC Poland for the three months ended March 31, 2022 are summarized in the following table (in millions). These amounts exclude intercompany revenue and expenses that are eliminated within our condensed consolidated statement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72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Transaction</w:t>
      </w:r>
    </w:p>
    <w:p>
      <w:pPr>
        <w:spacing w:after="0" w:line="24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Telenet NetCo Transaction. </w:t>
      </w:r>
      <w:r>
        <w:rPr>
          <w:rFonts w:ascii="Arial" w:cs="Arial" w:eastAsia="Arial" w:hAnsi="Arial"/>
          <w:sz w:val="18"/>
          <w:szCs w:val="18"/>
          <w:color w:val="auto"/>
        </w:rPr>
        <w:t>On July 19, 2022, Telenet and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entered into an agreement to create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self-funding infrastructure company (</w:t>
      </w:r>
      <w:r>
        <w:rPr>
          <w:rFonts w:ascii="Arial" w:cs="Arial" w:eastAsia="Arial" w:hAnsi="Arial"/>
          <w:sz w:val="18"/>
          <w:szCs w:val="18"/>
          <w:b w:val="1"/>
          <w:bCs w:val="1"/>
          <w:color w:val="auto"/>
        </w:rPr>
        <w:t>NetCo</w:t>
      </w:r>
      <w:r>
        <w:rPr>
          <w:rFonts w:ascii="Arial" w:cs="Arial" w:eastAsia="Arial" w:hAnsi="Arial"/>
          <w:sz w:val="18"/>
          <w:szCs w:val="18"/>
          <w:color w:val="auto"/>
        </w:rPr>
        <w:t>) within their combined geographic footprint in Belgium. The companies will each contribute certain cable infrastructure assets with Telenet and Fluvius initially owning 66.8% and 33.2% of NetCo, respectively. Telenet and Liberty Global will consolidate NetCo upon closing of the transaction, which we currently expect to occur in mid-2023. The closing of the transaction is subject to the satisfaction of certain conditions, including regulatory conditions and approval from Fluvius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Accounting Method</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32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Equity (b):</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VMO2 JV</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VodafoneZiggo JV (c)</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2,345.8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AtlasEdge JV</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47.9</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All3Media Ltd.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143.9</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Formula E Holdings Ltd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rPr>
              <w:t>nexfibre JV</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25.0</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 equity</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12,677.1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60"/>
              <w:spacing w:after="0"/>
              <w:rPr>
                <w:sz w:val="20"/>
                <w:szCs w:val="20"/>
                <w:color w:val="auto"/>
              </w:rPr>
            </w:pPr>
            <w:r>
              <w:rPr>
                <w:rFonts w:ascii="Arial" w:cs="Arial" w:eastAsia="Arial" w:hAnsi="Arial"/>
                <w:sz w:val="18"/>
                <w:szCs w:val="18"/>
                <w:color w:val="auto"/>
              </w:rPr>
              <w:t>Short-term:</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Vodafone - subject to re-use rights (e)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Televisa Univision, Inc.</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SMAs (d)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 (f)</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Pax8, Inc.</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Aviatrix Systems, Inc.</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CANAL+ Polska S.A.</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 fair value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500"/>
              <w:spacing w:after="0"/>
              <w:rPr>
                <w:sz w:val="20"/>
                <w:szCs w:val="20"/>
                <w:color w:val="auto"/>
              </w:rPr>
            </w:pPr>
            <w:r>
              <w:rPr>
                <w:rFonts w:ascii="Arial" w:cs="Arial" w:eastAsia="Arial" w:hAnsi="Arial"/>
                <w:sz w:val="18"/>
                <w:szCs w:val="18"/>
                <w:color w:val="auto"/>
              </w:rPr>
              <w:t>Total investments (g)</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17,570.1</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16,384.7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14,948.5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197" w:lineRule="exact"/>
        <w:rPr>
          <w:rFonts w:ascii="Arial" w:cs="Arial" w:eastAsia="Arial" w:hAnsi="Arial"/>
          <w:sz w:val="18"/>
          <w:szCs w:val="18"/>
          <w:color w:val="auto"/>
        </w:rPr>
      </w:pPr>
    </w:p>
    <w:p>
      <w:pPr>
        <w:jc w:val="both"/>
        <w:ind w:left="500" w:hanging="492"/>
        <w:spacing w:after="0" w:line="296" w:lineRule="auto"/>
        <w:tabs>
          <w:tab w:leader="none" w:pos="494"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March 31, 2023 and December 31, 2022, the aggregate carrying amounts of our equity method investments exceeded our proportionate share of the respective investee’s net assets by $1,206.0 million and $1,196.8 million, respectively, which primarily includes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amounts associated with the VodafoneZiggo JV Receivables, as defined below, and amounts we are owed under a long-term note receivable from All3Media.</w:t>
      </w:r>
    </w:p>
    <w:p>
      <w:pPr>
        <w:spacing w:after="0" w:line="197" w:lineRule="exact"/>
        <w:rPr>
          <w:sz w:val="20"/>
          <w:szCs w:val="20"/>
          <w:color w:val="auto"/>
        </w:rPr>
      </w:pPr>
    </w:p>
    <w:p>
      <w:pPr>
        <w:jc w:val="both"/>
        <w:ind w:left="500" w:hanging="492"/>
        <w:spacing w:after="0" w:line="254" w:lineRule="auto"/>
        <w:tabs>
          <w:tab w:leader="none" w:pos="49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Amounts include certain notes receivable due from a subsidiary of the VodafoneZiggo JV to a subsidiary of Liberty Global comprising (i) a euro-denominated note receivable with a principal amount of $760.9 million and $749.7 million at March 31, 2023 and December 31, 2022, respectively, (the </w:t>
      </w:r>
      <w:r>
        <w:rPr>
          <w:rFonts w:ascii="Arial" w:cs="Arial" w:eastAsia="Arial" w:hAnsi="Arial"/>
          <w:sz w:val="18"/>
          <w:szCs w:val="18"/>
          <w:b w:val="1"/>
          <w:bCs w:val="1"/>
          <w:color w:val="auto"/>
        </w:rPr>
        <w:t>VodafoneZiggo JV Receivable I</w:t>
      </w:r>
      <w:r>
        <w:rPr>
          <w:rFonts w:ascii="Arial" w:cs="Arial" w:eastAsia="Arial" w:hAnsi="Arial"/>
          <w:sz w:val="18"/>
          <w:szCs w:val="18"/>
          <w:color w:val="auto"/>
        </w:rPr>
        <w:t xml:space="preserve">) and (ii) a euro-denominated note receivable with a principal amount of $226.0 million and $222.7 million at March 31, 2023 and December 31, 2022, respectively, (the </w:t>
      </w:r>
      <w:r>
        <w:rPr>
          <w:rFonts w:ascii="Arial" w:cs="Arial" w:eastAsia="Arial" w:hAnsi="Arial"/>
          <w:sz w:val="18"/>
          <w:szCs w:val="18"/>
          <w:b w:val="1"/>
          <w:bCs w:val="1"/>
          <w:color w:val="auto"/>
        </w:rPr>
        <w:t>VodafoneZiggo JV Receivable II</w:t>
      </w:r>
      <w:r>
        <w:rPr>
          <w:rFonts w:ascii="Arial" w:cs="Arial" w:eastAsia="Arial" w:hAnsi="Arial"/>
          <w:sz w:val="18"/>
          <w:szCs w:val="18"/>
          <w:color w:val="auto"/>
        </w:rPr>
        <w:t xml:space="preserve"> and, together with the 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The VodafoneZiggo JV Receivables bear interest at 5.55% and have a final maturity date of December 31, 2030. During the three months ended March 31, 2023, interest accrued on the VodafoneZiggo JV Receivables was $13.5 million, all of which has been cash settled.</w:t>
      </w:r>
    </w:p>
    <w:p>
      <w:pPr>
        <w:spacing w:after="0" w:line="221" w:lineRule="exact"/>
        <w:rPr>
          <w:rFonts w:ascii="Arial" w:cs="Arial" w:eastAsia="Arial" w:hAnsi="Arial"/>
          <w:sz w:val="18"/>
          <w:szCs w:val="18"/>
          <w:color w:val="auto"/>
        </w:rPr>
      </w:pPr>
    </w:p>
    <w:p>
      <w:pPr>
        <w:jc w:val="both"/>
        <w:ind w:left="500" w:hanging="492"/>
        <w:spacing w:after="0" w:line="257" w:lineRule="auto"/>
        <w:tabs>
          <w:tab w:leader="none" w:pos="49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March 31, 2023, all of our investments held under SMAs were classified as available-for-sale debt securities. At March 31, 2023 and December 31, 2022, interest accrued on our debt securities, which is included in other current assets on our condensed consolidated balance sheets, was $24.0 million and $18.5 million, respectively.</w:t>
      </w:r>
    </w:p>
    <w:p>
      <w:pPr>
        <w:spacing w:after="0" w:line="214" w:lineRule="exact"/>
        <w:rPr>
          <w:rFonts w:ascii="Arial" w:cs="Arial" w:eastAsia="Arial" w:hAnsi="Arial"/>
          <w:sz w:val="18"/>
          <w:szCs w:val="18"/>
          <w:color w:val="auto"/>
        </w:rPr>
      </w:pPr>
    </w:p>
    <w:p>
      <w:pPr>
        <w:jc w:val="both"/>
        <w:ind w:left="500" w:hanging="492"/>
        <w:spacing w:after="0" w:line="271" w:lineRule="auto"/>
        <w:tabs>
          <w:tab w:leader="none" w:pos="497"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During the first quarter of 2023, we acquired 1,335 million shares of Vodafone at an average purchase price of £0.9195 ($1.1151 at the applicable rate) per share. The aggregate purchase price of £1,227.6 million ($1,488.7 million at the applicable rate) was funded with $269.2 million of cash on hand, net of a $0.3 million collar premium, and the remainder through a collar transaction (the </w:t>
      </w:r>
      <w:r>
        <w:rPr>
          <w:rFonts w:ascii="Arial" w:cs="Arial" w:eastAsia="Arial" w:hAnsi="Arial"/>
          <w:sz w:val="17"/>
          <w:szCs w:val="17"/>
          <w:b w:val="1"/>
          <w:bCs w:val="1"/>
          <w:color w:val="auto"/>
        </w:rPr>
        <w:t>Vodafone Collar Transaction</w:t>
      </w:r>
      <w:r>
        <w:rPr>
          <w:rFonts w:ascii="Arial" w:cs="Arial" w:eastAsia="Arial" w:hAnsi="Arial"/>
          <w:sz w:val="17"/>
          <w:szCs w:val="17"/>
          <w:color w:val="auto"/>
        </w:rPr>
        <w:t xml:space="preserve">). The Vodafone Collar Transaction includes a collar on the full amount of our Vodafone shares (the </w:t>
      </w:r>
      <w:r>
        <w:rPr>
          <w:rFonts w:ascii="Arial" w:cs="Arial" w:eastAsia="Arial" w:hAnsi="Arial"/>
          <w:sz w:val="17"/>
          <w:szCs w:val="17"/>
          <w:b w:val="1"/>
          <w:bCs w:val="1"/>
          <w:color w:val="auto"/>
        </w:rPr>
        <w:t>Vodafone Collar</w:t>
      </w:r>
      <w:r>
        <w:rPr>
          <w:rFonts w:ascii="Arial" w:cs="Arial" w:eastAsia="Arial" w:hAnsi="Arial"/>
          <w:sz w:val="17"/>
          <w:szCs w:val="17"/>
          <w:color w:val="auto"/>
        </w:rPr>
        <w:t xml:space="preserve">) and a loan (the </w:t>
      </w:r>
      <w:r>
        <w:rPr>
          <w:rFonts w:ascii="Arial" w:cs="Arial" w:eastAsia="Arial" w:hAnsi="Arial"/>
          <w:sz w:val="17"/>
          <w:szCs w:val="17"/>
          <w:b w:val="1"/>
          <w:bCs w:val="1"/>
          <w:color w:val="auto"/>
        </w:rPr>
        <w:t>Vodafone Collar Loan</w:t>
      </w:r>
      <w:r>
        <w:rPr>
          <w:rFonts w:ascii="Arial" w:cs="Arial" w:eastAsia="Arial" w:hAnsi="Arial"/>
          <w:sz w:val="17"/>
          <w:szCs w:val="17"/>
          <w:color w:val="auto"/>
        </w:rPr>
        <w:t>) collateralized by the Vodafone shares. Under the terms of the Vodafone Collar, the counterparty has the right to re-use pledged Vodafone shares. At March 31, 2023, after consideration of the Vodafone Collar Transaction, the net fair value of our investment in Vodafone is $249.2 million. For additional information regarding the Vodafone Collar Transaction, including a description of the related re-use rights and the impact on the dividends we receive on our Vodafone shares, see note 6.</w:t>
      </w:r>
    </w:p>
    <w:p>
      <w:pPr>
        <w:spacing w:after="0" w:line="205" w:lineRule="exact"/>
        <w:rPr>
          <w:rFonts w:ascii="Arial" w:cs="Arial" w:eastAsia="Arial" w:hAnsi="Arial"/>
          <w:sz w:val="17"/>
          <w:szCs w:val="17"/>
          <w:color w:val="auto"/>
        </w:rPr>
      </w:pPr>
    </w:p>
    <w:p>
      <w:pPr>
        <w:ind w:left="500" w:hanging="492"/>
        <w:spacing w:after="0" w:line="277" w:lineRule="auto"/>
        <w:tabs>
          <w:tab w:leader="none" w:pos="49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in Plume includes warrants with a fair value of $85.2 million and $92.2 million at March 31, 2023 and December 31, 2022, respectively.</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condensed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4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22"/>
        </w:trPr>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nexfibre JV</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6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spacing w:after="0" w:line="210"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VMO2 JV</w:t>
      </w:r>
    </w:p>
    <w:p>
      <w:pPr>
        <w:spacing w:after="0" w:line="2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U.K. JV Framework Agreement</w:t>
      </w:r>
      <w:r>
        <w:rPr>
          <w:rFonts w:ascii="Arial" w:cs="Arial" w:eastAsia="Arial" w:hAnsi="Arial"/>
          <w:sz w:val="17"/>
          <w:szCs w:val="17"/>
          <w:color w:val="auto"/>
        </w:rPr>
        <w:t xml:space="preserve">), Liberty Global provides certain services to the VMO2 JV on a transitional or ongoing basis (collectively, the </w:t>
      </w:r>
      <w:r>
        <w:rPr>
          <w:rFonts w:ascii="Arial" w:cs="Arial" w:eastAsia="Arial" w:hAnsi="Arial"/>
          <w:sz w:val="17"/>
          <w:szCs w:val="17"/>
          <w:b w:val="1"/>
          <w:bCs w:val="1"/>
          <w:color w:val="auto"/>
        </w:rPr>
        <w:t>U.K. JV Services</w:t>
      </w:r>
      <w:r>
        <w:rPr>
          <w:rFonts w:ascii="Arial" w:cs="Arial" w:eastAsia="Arial" w:hAnsi="Arial"/>
          <w:sz w:val="17"/>
          <w:szCs w:val="17"/>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$65.8 million and $68.7 million during the three months ended March 31, 2023 and 2022, respectively. At March 31, 2023 and December 31, 2022, $39.2 million and $37.0 million, respectively, was due from the VMO2 JV, primarily related to (a) services performed under the U.K. JV Framework Agreement and (b) amounts incurred by Liberty Global for certain equipment and licenses purchased on behalf of the VMO2 JV. The amounts due from the VMO2 JV, which are periodically cash settled, are included in other current assets on our condensed consolidated balance sheets. In addition, during the three months ended March 31, 2023, we received a dividend distribution from the VMO2 JV aggregating $198.3 million, which was accounted for as a return of capital for purposes of our condensed consolidated statement of cash flows.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VMO2 JV are set forth below:</w:t>
      </w:r>
    </w:p>
    <w:p>
      <w:pPr>
        <w:spacing w:after="0" w:line="141"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Three months ended</w:t>
      </w: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VodafoneZiggo JV</w:t>
      </w:r>
    </w:p>
    <w:p>
      <w:pPr>
        <w:spacing w:after="0" w:line="2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NL JV 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NL JV Services</w:t>
      </w:r>
      <w:r>
        <w:rPr>
          <w:rFonts w:ascii="Arial" w:cs="Arial" w:eastAsia="Arial" w:hAnsi="Arial"/>
          <w:sz w:val="17"/>
          <w:szCs w:val="17"/>
          <w:color w:val="auto"/>
        </w:rPr>
        <w:t>). The NL JV Services provided by Liberty Global consist primarily of (i) technology and other services and (ii) capital-related</w:t>
      </w:r>
      <w:r>
        <w:rPr>
          <w:rFonts w:ascii="Arial" w:cs="Arial" w:eastAsia="Arial" w:hAnsi="Arial"/>
          <w:sz w:val="17"/>
          <w:szCs w:val="17"/>
          <w:b w:val="1"/>
          <w:bCs w:val="1"/>
          <w:color w:val="auto"/>
        </w:rPr>
        <w:t xml:space="preserve"> </w:t>
      </w:r>
      <w:r>
        <w:rPr>
          <w:rFonts w:ascii="Arial" w:cs="Arial" w:eastAsia="Arial" w:hAnsi="Arial"/>
          <w:sz w:val="17"/>
          <w:szCs w:val="17"/>
          <w:color w:val="auto"/>
        </w:rPr>
        <w:t>expenditures for 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$65.0 million and $60.0 million during the three months ended March 31, 2023 and 2022, respectively, primarily related to (a) the NL JV Services and (b) the sale of customer premises equipment (</w:t>
      </w:r>
      <w:r>
        <w:rPr>
          <w:rFonts w:ascii="Arial" w:cs="Arial" w:eastAsia="Arial" w:hAnsi="Arial"/>
          <w:sz w:val="17"/>
          <w:szCs w:val="17"/>
          <w:b w:val="1"/>
          <w:bCs w:val="1"/>
          <w:color w:val="auto"/>
        </w:rPr>
        <w:t>CPE</w:t>
      </w:r>
      <w:r>
        <w:rPr>
          <w:rFonts w:ascii="Arial" w:cs="Arial" w:eastAsia="Arial" w:hAnsi="Arial"/>
          <w:sz w:val="17"/>
          <w:szCs w:val="17"/>
          <w:color w:val="auto"/>
        </w:rPr>
        <w:t>) to the VodafoneZiggo JV at a mark-up. At March 31, 2023 and December 31, 2022, $44.1 million and $35.0 million, respectively, was due from the VodafoneZiggo JV related to the aforementioned transactions. The amounts due from the VodafoneZiggo JV, which are periodically cash settled, are included in other current assets on our condensed consolidated balance sheets. In addition, during the three months ended March 31, 2022, we received a dividend distribution from the VodafoneZiggo JV aggregating $94.8 million, which was accounted for as a return on capital for purposes of our condensed consolidated statement of cash flows.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41"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Three months ended</w:t>
      </w:r>
    </w:p>
    <w:p>
      <w:pPr>
        <w:jc w:val="center"/>
        <w:ind w:left="85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5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realized and unrealized losses due to changes in fair value, net:</w:t>
      </w:r>
    </w:p>
    <w:p>
      <w:pPr>
        <w:spacing w:after="0" w:line="141"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Three months ended</w:t>
      </w:r>
    </w:p>
    <w:p>
      <w:pPr>
        <w:jc w:val="center"/>
        <w:ind w:left="85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54"/>
        </w:trPr>
        <w:tc>
          <w:tcPr>
            <w:tcW w:w="8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Vodafone</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(37.4)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Lacework</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SMAs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(14.5)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48"/>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Securities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2023 and December 31, 2022, all of our SMAs were composed of debt securities, which are summarized in the following tables: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March 31, 2023</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2"/>
              <w:spacing w:after="0" w:line="158" w:lineRule="exact"/>
              <w:rPr>
                <w:sz w:val="20"/>
                <w:szCs w:val="20"/>
                <w:color w:val="auto"/>
              </w:rPr>
            </w:pPr>
            <w:r>
              <w:rPr>
                <w:rFonts w:ascii="Arial" w:cs="Arial" w:eastAsia="Arial" w:hAnsi="Arial"/>
                <w:sz w:val="16"/>
                <w:szCs w:val="16"/>
                <w:b w:val="1"/>
                <w:bCs w:val="1"/>
                <w:color w:val="auto"/>
                <w:w w:val="91"/>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10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unrealized loss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23"/>
        </w:trPr>
        <w:tc>
          <w:tcPr>
            <w:tcW w:w="7220" w:type="dxa"/>
            <w:vAlign w:val="bottom"/>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2,410.0</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2"/>
              <w:spacing w:after="0" w:line="158" w:lineRule="exact"/>
              <w:rPr>
                <w:sz w:val="20"/>
                <w:szCs w:val="20"/>
                <w:color w:val="auto"/>
              </w:rPr>
            </w:pPr>
            <w:r>
              <w:rPr>
                <w:rFonts w:ascii="Arial" w:cs="Arial" w:eastAsia="Arial" w:hAnsi="Arial"/>
                <w:sz w:val="16"/>
                <w:szCs w:val="16"/>
                <w:b w:val="1"/>
                <w:bCs w:val="1"/>
                <w:color w:val="auto"/>
                <w:w w:val="91"/>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3"/>
                <w:szCs w:val="13"/>
                <w:color w:val="auto"/>
              </w:rPr>
            </w:pPr>
          </w:p>
        </w:tc>
        <w:tc>
          <w:tcPr>
            <w:tcW w:w="108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unrealized loss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23"/>
        </w:trPr>
        <w:tc>
          <w:tcPr>
            <w:tcW w:w="7220" w:type="dxa"/>
            <w:vAlign w:val="bottom"/>
          </w:tcPr>
          <w:p>
            <w:pPr>
              <w:ind w:left="180"/>
              <w:spacing w:after="0"/>
              <w:rPr>
                <w:sz w:val="20"/>
                <w:szCs w:val="20"/>
                <w:color w:val="auto"/>
              </w:rPr>
            </w:pPr>
            <w:r>
              <w:rPr>
                <w:rFonts w:ascii="Arial" w:cs="Arial" w:eastAsia="Arial" w:hAnsi="Arial"/>
                <w:sz w:val="18"/>
                <w:szCs w:val="18"/>
                <w:color w:val="auto"/>
              </w:rPr>
              <w:t>Total debt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received proceeds from the sale of debt securities of $2.4 billion and $2.6 billion during the three months ended March 31, 2023 and 2022, respectively, the majority of which were reinvested in new debt securities held under SMAs. The sale of debt securities resulted in realized net losses of $19.2 million and $3.4 million during the three months ended March 31, 2023 and 2022,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The fair values of our debt securities as of March 31, 2023 by contractual maturity are shown below (in millions):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900" w:type="dxa"/>
            <w:vAlign w:val="bottom"/>
            <w:gridSpan w:val="2"/>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0" w:type="dxa"/>
            <w:vAlign w:val="bottom"/>
          </w:tcPr>
          <w:p>
            <w:pPr>
              <w:spacing w:after="0"/>
              <w:rPr>
                <w:sz w:val="1"/>
                <w:szCs w:val="1"/>
                <w:color w:val="auto"/>
              </w:rPr>
            </w:pPr>
          </w:p>
        </w:tc>
      </w:tr>
      <w:tr>
        <w:trPr>
          <w:trHeight w:val="230"/>
        </w:trPr>
        <w:tc>
          <w:tcPr>
            <w:tcW w:w="9900" w:type="dxa"/>
            <w:vAlign w:val="bottom"/>
            <w:gridSpan w:val="2"/>
          </w:tcPr>
          <w:p>
            <w:pPr>
              <w:ind w:left="20"/>
              <w:spacing w:after="0"/>
              <w:rPr>
                <w:sz w:val="20"/>
                <w:szCs w:val="20"/>
                <w:color w:val="auto"/>
              </w:rPr>
            </w:pPr>
            <w:r>
              <w:rPr>
                <w:rFonts w:ascii="Arial" w:cs="Arial" w:eastAsia="Arial" w:hAnsi="Arial"/>
                <w:sz w:val="18"/>
                <w:szCs w:val="18"/>
                <w:color w:val="auto"/>
              </w:rPr>
              <w:t>Due in one to five years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9"/>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900" w:type="dxa"/>
            <w:vAlign w:val="bottom"/>
            <w:gridSpan w:val="2"/>
          </w:tcPr>
          <w:p>
            <w:pPr>
              <w:ind w:left="180"/>
              <w:spacing w:after="0"/>
              <w:rPr>
                <w:sz w:val="20"/>
                <w:szCs w:val="20"/>
                <w:color w:val="auto"/>
              </w:rPr>
            </w:pPr>
            <w:r>
              <w:rPr>
                <w:rFonts w:ascii="Arial" w:cs="Arial" w:eastAsia="Arial" w:hAnsi="Arial"/>
                <w:sz w:val="18"/>
                <w:szCs w:val="18"/>
                <w:color w:val="auto"/>
              </w:rPr>
              <w:t>Total (a)</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2,410.0</w:t>
            </w:r>
          </w:p>
        </w:tc>
        <w:tc>
          <w:tcPr>
            <w:tcW w:w="0" w:type="dxa"/>
            <w:vAlign w:val="bottom"/>
          </w:tcPr>
          <w:p>
            <w:pPr>
              <w:spacing w:after="0"/>
              <w:rPr>
                <w:sz w:val="1"/>
                <w:szCs w:val="1"/>
                <w:color w:val="auto"/>
              </w:rPr>
            </w:pPr>
          </w:p>
        </w:tc>
      </w:tr>
      <w:tr>
        <w:trPr>
          <w:trHeight w:val="21"/>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99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9640" w:type="dxa"/>
            <w:vAlign w:val="bottom"/>
          </w:tcPr>
          <w:p>
            <w:pPr>
              <w:ind w:left="240"/>
              <w:spacing w:after="0"/>
              <w:rPr>
                <w:sz w:val="20"/>
                <w:szCs w:val="20"/>
                <w:color w:val="auto"/>
              </w:rPr>
            </w:pPr>
            <w:r>
              <w:rPr>
                <w:rFonts w:ascii="Arial" w:cs="Arial" w:eastAsia="Arial" w:hAnsi="Arial"/>
                <w:sz w:val="18"/>
                <w:szCs w:val="18"/>
                <w:color w:val="auto"/>
              </w:rPr>
              <w:t>The weighted average life of our total debt securities was 0.4 years as of March 31, 2023.</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and the Swiss franc (</w:t>
      </w:r>
      <w:r>
        <w:rPr>
          <w:rFonts w:ascii="Arial" w:cs="Arial" w:eastAsia="Arial" w:hAnsi="Arial"/>
          <w:sz w:val="18"/>
          <w:szCs w:val="18"/>
          <w:b w:val="1"/>
          <w:bCs w:val="1"/>
          <w:color w:val="auto"/>
        </w:rPr>
        <w:t>CHF</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March 31, 2023</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Current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0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5"/>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1,087.6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1,469.0</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196"/>
        </w:trPr>
        <w:tc>
          <w:tcPr>
            <w:tcW w:w="4120" w:type="dxa"/>
            <w:vAlign w:val="bottom"/>
          </w:tcPr>
          <w:p>
            <w:pPr>
              <w:jc w:val="center"/>
              <w:ind w:right="2950"/>
              <w:spacing w:after="0" w:line="196" w:lineRule="exact"/>
              <w:rPr>
                <w:sz w:val="20"/>
                <w:szCs w:val="20"/>
                <w:color w:val="auto"/>
              </w:rPr>
            </w:pPr>
            <w:r>
              <w:rPr>
                <w:rFonts w:ascii="Arial" w:cs="Arial" w:eastAsia="Arial" w:hAnsi="Arial"/>
                <w:sz w:val="18"/>
                <w:szCs w:val="18"/>
                <w:color w:val="auto"/>
                <w:w w:val="89"/>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948.4</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1,422.9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1,087.6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1,470.3</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4120" w:type="dxa"/>
            <w:vAlign w:val="bottom"/>
            <w:shd w:val="clear" w:color="auto" w:fill="CCEEFF"/>
          </w:tcPr>
          <w:p>
            <w:pPr>
              <w:jc w:val="center"/>
              <w:ind w:right="2950"/>
              <w:spacing w:after="0" w:line="196" w:lineRule="exact"/>
              <w:rPr>
                <w:sz w:val="20"/>
                <w:szCs w:val="20"/>
                <w:color w:val="auto"/>
              </w:rPr>
            </w:pPr>
            <w:r>
              <w:rPr>
                <w:rFonts w:ascii="Arial" w:cs="Arial" w:eastAsia="Arial" w:hAnsi="Arial"/>
                <w:sz w:val="18"/>
                <w:szCs w:val="18"/>
                <w:color w:val="auto"/>
                <w:w w:val="98"/>
              </w:rPr>
              <w:t>Liabilities (a):</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75"/>
        </w:trPr>
        <w:tc>
          <w:tcPr>
            <w:tcW w:w="4120" w:type="dxa"/>
            <w:vAlign w:val="bottom"/>
          </w:tcPr>
          <w:p>
            <w:pPr>
              <w:ind w:left="140"/>
              <w:spacing w:after="0" w:line="176" w:lineRule="exact"/>
              <w:rPr>
                <w:sz w:val="20"/>
                <w:szCs w:val="20"/>
                <w:color w:val="auto"/>
              </w:rPr>
            </w:pPr>
            <w:r>
              <w:rPr>
                <w:rFonts w:ascii="Arial" w:cs="Arial" w:eastAsia="Arial" w:hAnsi="Arial"/>
                <w:sz w:val="18"/>
                <w:szCs w:val="18"/>
                <w:color w:val="auto"/>
                <w:w w:val="94"/>
              </w:rPr>
              <w:t>Cross-currency and interest rate derivative contracts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20" w:type="dxa"/>
            <w:vAlign w:val="bottom"/>
          </w:tcPr>
          <w:p>
            <w:pPr>
              <w:ind w:left="300"/>
              <w:spacing w:after="0"/>
              <w:rPr>
                <w:sz w:val="20"/>
                <w:szCs w:val="20"/>
                <w:color w:val="auto"/>
              </w:rPr>
            </w:pPr>
            <w:r>
              <w:rPr>
                <w:rFonts w:ascii="Arial" w:cs="Arial" w:eastAsia="Arial" w:hAnsi="Arial"/>
                <w:sz w:val="18"/>
                <w:szCs w:val="18"/>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4120" w:type="dxa"/>
            <w:vAlign w:val="bottom"/>
            <w:tcBorders>
              <w:bottom w:val="single" w:sz="8" w:color="CCEEFF"/>
            </w:tcBorders>
            <w:shd w:val="clear" w:color="auto" w:fill="CCEEFF"/>
          </w:tcPr>
          <w:p>
            <w:pPr>
              <w:jc w:val="center"/>
              <w:ind w:right="2950"/>
              <w:spacing w:after="0"/>
              <w:rPr>
                <w:sz w:val="20"/>
                <w:szCs w:val="20"/>
                <w:color w:val="auto"/>
              </w:rPr>
            </w:pPr>
            <w:r>
              <w:rPr>
                <w:rFonts w:ascii="Arial" w:cs="Arial" w:eastAsia="Arial" w:hAnsi="Arial"/>
                <w:sz w:val="18"/>
                <w:szCs w:val="18"/>
                <w:color w:val="auto"/>
                <w:w w:val="89"/>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long-term derivative assets and long-term derivative liabilities are included in other assets, net, and other long-term liabilities, respectively, on our condensed consolidated balance sheets.</w:t>
      </w:r>
    </w:p>
    <w:p>
      <w:pPr>
        <w:spacing w:after="0" w:line="197" w:lineRule="exact"/>
        <w:rPr>
          <w:rFonts w:ascii="Arial" w:cs="Arial" w:eastAsia="Arial" w:hAnsi="Arial"/>
          <w:sz w:val="18"/>
          <w:szCs w:val="18"/>
          <w:color w:val="auto"/>
        </w:rPr>
      </w:pPr>
    </w:p>
    <w:p>
      <w:pPr>
        <w:jc w:val="both"/>
        <w:ind w:left="500" w:hanging="492"/>
        <w:spacing w:after="0" w:line="273" w:lineRule="auto"/>
        <w:tabs>
          <w:tab w:leader="none" w:pos="4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($21.4 million) and $4.5 million during the three months ended March 31, 2023 and 2022, respectively. These amounts are included in realized and unrealized gains (losses) on derivative instruments, net, in our condensed consolidated statements of operations. For further information regarding our fair value measurements, see note 7.</w:t>
      </w:r>
    </w:p>
    <w:p>
      <w:pPr>
        <w:spacing w:after="0" w:line="204" w:lineRule="exact"/>
        <w:rPr>
          <w:rFonts w:ascii="Arial" w:cs="Arial" w:eastAsia="Arial" w:hAnsi="Arial"/>
          <w:sz w:val="17"/>
          <w:szCs w:val="17"/>
          <w:color w:val="auto"/>
        </w:rPr>
      </w:pPr>
    </w:p>
    <w:p>
      <w:pPr>
        <w:jc w:val="both"/>
        <w:ind w:left="500" w:right="20" w:hanging="492"/>
        <w:spacing w:after="0" w:line="311" w:lineRule="auto"/>
        <w:tabs>
          <w:tab w:leader="none" w:pos="4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equity-related derivative instruments include the Vodafone Collar. The fair value of the Vodafone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41"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06"/>
        </w:trPr>
        <w:tc>
          <w:tcPr>
            <w:tcW w:w="8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Equity-related derivative instruments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84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outflows of our derivative instruments:</w:t>
      </w:r>
    </w:p>
    <w:p>
      <w:pPr>
        <w:spacing w:after="0" w:line="9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r>
      <w:tr>
        <w:trPr>
          <w:trHeight w:val="20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March 31, 2023, our exposure to counterparty credit risk included derivative assets with an aggregate fair value of $777.6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2023,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453"/>
              <w:spacing w:after="0"/>
              <w:rPr>
                <w:sz w:val="20"/>
                <w:szCs w:val="20"/>
                <w:color w:val="auto"/>
              </w:rPr>
            </w:pPr>
            <w:r>
              <w:rPr>
                <w:rFonts w:ascii="Arial" w:cs="Arial" w:eastAsia="Arial" w:hAnsi="Arial"/>
                <w:sz w:val="16"/>
                <w:szCs w:val="16"/>
                <w:b w:val="1"/>
                <w:bCs w:val="1"/>
                <w:color w:val="auto"/>
              </w:rPr>
              <w:t>Notional amount</w:t>
            </w:r>
          </w:p>
        </w:tc>
        <w:tc>
          <w:tcPr>
            <w:tcW w:w="540" w:type="dxa"/>
            <w:vAlign w:val="bottom"/>
          </w:tcPr>
          <w:p>
            <w:pPr>
              <w:spacing w:after="0"/>
              <w:rPr>
                <w:sz w:val="16"/>
                <w:szCs w:val="16"/>
                <w:color w:val="auto"/>
              </w:rPr>
            </w:pPr>
          </w:p>
        </w:tc>
        <w:tc>
          <w:tcPr>
            <w:tcW w:w="1460" w:type="dxa"/>
            <w:vAlign w:val="bottom"/>
          </w:tcPr>
          <w:p>
            <w:pPr>
              <w:jc w:val="right"/>
              <w:ind w:right="73"/>
              <w:spacing w:after="0"/>
              <w:rPr>
                <w:sz w:val="20"/>
                <w:szCs w:val="20"/>
                <w:color w:val="auto"/>
              </w:rPr>
            </w:pPr>
            <w:r>
              <w:rPr>
                <w:rFonts w:ascii="Arial" w:cs="Arial" w:eastAsia="Arial" w:hAnsi="Arial"/>
                <w:sz w:val="16"/>
                <w:szCs w:val="16"/>
                <w:b w:val="1"/>
                <w:bCs w:val="1"/>
                <w:color w:val="auto"/>
              </w:rPr>
              <w:t>Notional amount</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6"/>
              </w:rPr>
              <w:t>due from counterparty</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due to counterparty</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207"/>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2"/>
          </w:tcPr>
          <w:p>
            <w:pPr>
              <w:ind w:left="1560"/>
              <w:spacing w:after="0"/>
              <w:rPr>
                <w:sz w:val="20"/>
                <w:szCs w:val="20"/>
                <w:color w:val="auto"/>
              </w:rPr>
            </w:pPr>
            <w:r>
              <w:rPr>
                <w:rFonts w:ascii="Arial" w:cs="Arial" w:eastAsia="Arial" w:hAnsi="Arial"/>
                <w:sz w:val="16"/>
                <w:szCs w:val="16"/>
                <w:b w:val="1"/>
                <w:bCs w:val="1"/>
                <w:color w:val="auto"/>
              </w:rPr>
              <w:t>in millions</w:t>
            </w: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8"/>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r>
      <w:tr>
        <w:trPr>
          <w:trHeight w:val="230"/>
        </w:trPr>
        <w:tc>
          <w:tcPr>
            <w:tcW w:w="4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4,475.0</w:t>
            </w:r>
          </w:p>
        </w:tc>
        <w:tc>
          <w:tcPr>
            <w:tcW w:w="540" w:type="dxa"/>
            <w:vAlign w:val="bottom"/>
          </w:tcPr>
          <w:p>
            <w:pPr>
              <w:ind w:left="140"/>
              <w:spacing w:after="0"/>
              <w:rPr>
                <w:sz w:val="20"/>
                <w:szCs w:val="20"/>
                <w:color w:val="auto"/>
              </w:rPr>
            </w:pPr>
            <w:r>
              <w:rPr>
                <w:rFonts w:ascii="Arial" w:cs="Arial" w:eastAsia="Arial" w:hAnsi="Arial"/>
                <w:sz w:val="18"/>
                <w:szCs w:val="18"/>
                <w:color w:val="auto"/>
              </w:rPr>
              <w:t>CHF</w:t>
            </w:r>
          </w:p>
        </w:tc>
        <w:tc>
          <w:tcPr>
            <w:tcW w:w="1460" w:type="dxa"/>
            <w:vAlign w:val="bottom"/>
          </w:tcPr>
          <w:p>
            <w:pPr>
              <w:jc w:val="right"/>
              <w:spacing w:after="0"/>
              <w:rPr>
                <w:sz w:val="20"/>
                <w:szCs w:val="20"/>
                <w:color w:val="auto"/>
              </w:rPr>
            </w:pPr>
            <w:r>
              <w:rPr>
                <w:rFonts w:ascii="Arial" w:cs="Arial" w:eastAsia="Arial" w:hAnsi="Arial"/>
                <w:sz w:val="18"/>
                <w:szCs w:val="18"/>
                <w:color w:val="auto"/>
              </w:rPr>
              <w:t>4,098.2</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5.2</w:t>
            </w:r>
          </w:p>
        </w:tc>
      </w:tr>
      <w:tr>
        <w:trPr>
          <w:trHeight w:val="229"/>
        </w:trPr>
        <w:tc>
          <w:tcPr>
            <w:tcW w:w="45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1,952.6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3,940.0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30"/>
        </w:trPr>
        <w:tc>
          <w:tcPr>
            <w:tcW w:w="45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1.8</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March 31, 2023. These instruments are typically entered into in order to extend existing hedges without the need to amend existing contracts.</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March 31,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6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8"/>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Notional</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8"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7"/>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millions</w:t>
            </w: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6"/>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8"/>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3,372.6</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3,266.6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162"/>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1,415.2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311"/>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 due from</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counterparty</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207"/>
        </w:trPr>
        <w:tc>
          <w:tcPr>
            <w:tcW w:w="7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93"/>
              </w:rPr>
              <w:t>in millions</w:t>
            </w:r>
          </w:p>
        </w:tc>
        <w:tc>
          <w:tcPr>
            <w:tcW w:w="14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8"/>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3,605.0</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3,501.5</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March 31, 2023, we had no interest rate collar agreements, and the total U.S. dollar equivalents of the notional amounts of our purchased interest rate caps and floors were $1.2 billion and $8.9 billion, respectively.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8"/>
              </w:rPr>
              <w:t>Decrease to</w:t>
            </w:r>
          </w:p>
        </w:tc>
      </w:tr>
      <w:tr>
        <w:trPr>
          <w:trHeight w:val="162"/>
        </w:trPr>
        <w:tc>
          <w:tcPr>
            <w:tcW w:w="928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borrowing costs at</w:t>
            </w:r>
          </w:p>
        </w:tc>
      </w:tr>
      <w:tr>
        <w:trPr>
          <w:trHeight w:val="213"/>
        </w:trPr>
        <w:tc>
          <w:tcPr>
            <w:tcW w:w="928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March 31, 2023 (a)</w:t>
            </w:r>
          </w:p>
        </w:tc>
      </w:tr>
      <w:tr>
        <w:trPr>
          <w:trHeight w:val="199"/>
        </w:trPr>
        <w:tc>
          <w:tcPr>
            <w:tcW w:w="92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9"/>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9280" w:type="dxa"/>
            <w:vAlign w:val="bottom"/>
          </w:tcPr>
          <w:p>
            <w:pPr>
              <w:ind w:left="20"/>
              <w:spacing w:after="0"/>
              <w:rPr>
                <w:sz w:val="20"/>
                <w:szCs w:val="20"/>
                <w:color w:val="auto"/>
              </w:rPr>
            </w:pPr>
            <w:r>
              <w:rPr>
                <w:rFonts w:ascii="Arial" w:cs="Arial" w:eastAsia="Arial" w:hAnsi="Arial"/>
                <w:sz w:val="18"/>
                <w:szCs w:val="18"/>
                <w:color w:val="auto"/>
              </w:rPr>
              <w:t>Telenet</w:t>
            </w:r>
          </w:p>
        </w:tc>
        <w:tc>
          <w:tcPr>
            <w:tcW w:w="19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9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4"/>
        </w:trPr>
        <w:tc>
          <w:tcPr>
            <w:tcW w:w="9280" w:type="dxa"/>
            <w:vAlign w:val="bottom"/>
          </w:tcPr>
          <w:p>
            <w:pPr>
              <w:ind w:left="180"/>
              <w:spacing w:after="0"/>
              <w:rPr>
                <w:sz w:val="20"/>
                <w:szCs w:val="20"/>
                <w:color w:val="auto"/>
              </w:rPr>
            </w:pPr>
            <w:r>
              <w:rPr>
                <w:rFonts w:ascii="Arial" w:cs="Arial" w:eastAsia="Arial" w:hAnsi="Arial"/>
                <w:sz w:val="18"/>
                <w:szCs w:val="18"/>
                <w:color w:val="auto"/>
              </w:rPr>
              <w:t>Total decrease to borrowing costs</w:t>
            </w:r>
          </w:p>
        </w:tc>
        <w:tc>
          <w:tcPr>
            <w:tcW w:w="1960" w:type="dxa"/>
            <w:vAlign w:val="bottom"/>
          </w:tcPr>
          <w:p>
            <w:pPr>
              <w:jc w:val="right"/>
              <w:spacing w:after="0"/>
              <w:rPr>
                <w:sz w:val="20"/>
                <w:szCs w:val="20"/>
                <w:color w:val="auto"/>
              </w:rPr>
            </w:pPr>
            <w:r>
              <w:rPr>
                <w:rFonts w:ascii="Arial" w:cs="Arial" w:eastAsia="Arial" w:hAnsi="Arial"/>
                <w:sz w:val="18"/>
                <w:szCs w:val="18"/>
                <w:color w:val="auto"/>
              </w:rPr>
              <w:t>(2.93)%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March 31, 2023 and does not include forward-starting derivative instruments.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March 31, 2023, the total U.S. dollar equivalent of the notional amounts of our foreign currency forward and option contracts was $502.2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Equity-related Derivative Instruments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Vodafone Collar and Vodafone Collar Loan. </w:t>
      </w:r>
      <w:r>
        <w:rPr>
          <w:rFonts w:ascii="Arial" w:cs="Arial" w:eastAsia="Arial" w:hAnsi="Arial"/>
          <w:sz w:val="18"/>
          <w:szCs w:val="18"/>
          <w:color w:val="auto"/>
        </w:rPr>
        <w:t>As part of the Vodafone Collar Transaction, on February 11, 2023, we entered into the Vodafone Collar</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all 1,335 million of our Vodafone shares. The Vodafone Collar is comprised of (i) purchase put options that we can exercise and (ii) written call options exercisable by the counterparty. The Vodafone Collar effectively hedges the value of our investment in Vodafone shares from potential losses due to market price decreases below the put option price while retaining a portion of the gains from market price increases up to the call option price. For additional information regarding our investment in Vodafone, see note 5.</w:t>
      </w:r>
    </w:p>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Vodafone Collar Transaction also provided us with the ability to effectively finance the purchase of the Vodafone shares. In this regard, on February 11, 2023, we borrowed €1,143.6 million ($1,219.8 million at the applicable rate) under the Vodafone Collar Loan. At March 31, 2023, borrowings under the Vodafone Collar Loan were collateralized by our Vodafone shares. The Vodafone Collar Loan has a face value of €1,258.0 million ($1,341.8 million at the applicable rate) and was issued at a discount of €114.4 million ($122.0 million at the applicable rate) with a zero coupon rate and an average implied yield of 295 basis points (2.95%). The Vodafone Collar Loan has settlement dates from July 2025 to December 2026, contains no financial covenants and provides for customary representations and warranties, events of default and certain adjustment and termination events. Under the terms of the Vodafone Collar, the counterparty has the right to re-use the pledged Vodafone shares, but we have the right to recall the shares that are re-used by the counterparty subject to certain costs. In addition, we will retain a portion of the dividends on the Vodafone shares, dependent on the value of the collar on the ex-dividend date.</w:t>
      </w:r>
    </w:p>
    <w:p>
      <w:pPr>
        <w:spacing w:after="0" w:line="219"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March 31, 2023 are unlikely to represent the value that will be paid or received upon the ultimate settlement or disposition of these assets and liabilities.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Fair value measurements are also used in connection with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three months ended March 31, 2023 and 2022, we did not perform any significant nonrecurring fair value measurements.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jc w:val="center"/>
              <w:ind w:left="893"/>
              <w:spacing w:after="0"/>
              <w:rPr>
                <w:sz w:val="20"/>
                <w:szCs w:val="20"/>
                <w:color w:val="auto"/>
              </w:rPr>
            </w:pPr>
            <w:r>
              <w:rPr>
                <w:rFonts w:ascii="Arial" w:cs="Arial" w:eastAsia="Arial" w:hAnsi="Arial"/>
                <w:sz w:val="16"/>
                <w:szCs w:val="16"/>
                <w:b w:val="1"/>
                <w:bCs w:val="1"/>
                <w:color w:val="auto"/>
                <w:w w:val="90"/>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center"/>
              <w:ind w:left="1053"/>
              <w:spacing w:after="0"/>
              <w:rPr>
                <w:sz w:val="20"/>
                <w:szCs w:val="20"/>
                <w:color w:val="auto"/>
              </w:rPr>
            </w:pPr>
            <w:r>
              <w:rPr>
                <w:rFonts w:ascii="Arial" w:cs="Arial" w:eastAsia="Arial" w:hAnsi="Arial"/>
                <w:sz w:val="16"/>
                <w:szCs w:val="16"/>
                <w:b w:val="1"/>
                <w:bCs w:val="1"/>
                <w:color w:val="auto"/>
                <w:w w:val="92"/>
              </w:rPr>
              <w:t>March 31, 2023 using:</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Quoted prices in</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Significant other</w:t>
            </w:r>
          </w:p>
        </w:tc>
        <w:tc>
          <w:tcPr>
            <w:tcW w:w="160" w:type="dxa"/>
            <w:vAlign w:val="bottom"/>
          </w:tcPr>
          <w:p>
            <w:pPr>
              <w:spacing w:after="0"/>
              <w:rPr>
                <w:sz w:val="13"/>
                <w:szCs w:val="13"/>
                <w:color w:val="auto"/>
              </w:rPr>
            </w:pPr>
          </w:p>
        </w:tc>
        <w:tc>
          <w:tcPr>
            <w:tcW w:w="110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March 31,</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active markets for</w:t>
            </w: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5"/>
              </w:rPr>
              <w:t>identical assets</w:t>
            </w:r>
          </w:p>
        </w:tc>
        <w:tc>
          <w:tcPr>
            <w:tcW w:w="13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7"/>
              </w:rPr>
              <w:t>observable inputs</w:t>
            </w: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(Level 2)</w:t>
            </w:r>
          </w:p>
        </w:tc>
        <w:tc>
          <w:tcPr>
            <w:tcW w:w="16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w w:val="93"/>
              </w:rPr>
              <w:t>in millions</w:t>
            </w: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Total derivative instruments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9"/>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1,634.6</w:t>
            </w:r>
          </w:p>
        </w:tc>
        <w:tc>
          <w:tcPr>
            <w:tcW w:w="0" w:type="dxa"/>
            <w:vAlign w:val="bottom"/>
          </w:tcPr>
          <w:p>
            <w:pPr>
              <w:spacing w:after="0"/>
              <w:rPr>
                <w:sz w:val="1"/>
                <w:szCs w:val="1"/>
                <w:color w:val="auto"/>
              </w:rPr>
            </w:pPr>
          </w:p>
        </w:tc>
      </w:tr>
      <w:tr>
        <w:trPr>
          <w:trHeight w:val="223"/>
        </w:trPr>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0" w:type="dxa"/>
            <w:vAlign w:val="bottom"/>
          </w:tcPr>
          <w:p>
            <w:pPr>
              <w:spacing w:after="0"/>
              <w:rPr>
                <w:sz w:val="1"/>
                <w:szCs w:val="1"/>
                <w:color w:val="auto"/>
              </w:rPr>
            </w:pPr>
          </w:p>
        </w:tc>
      </w:tr>
      <w:tr>
        <w:trPr>
          <w:trHeight w:val="223"/>
        </w:trPr>
        <w:tc>
          <w:tcPr>
            <w:tcW w:w="572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2,646.3</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Equity-related derivative instruments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2022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0"/>
              </w:rPr>
              <w:t>Quoted prices in</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Significant other</w:t>
            </w:r>
          </w:p>
        </w:tc>
        <w:tc>
          <w:tcPr>
            <w:tcW w:w="140" w:type="dxa"/>
            <w:vAlign w:val="bottom"/>
          </w:tcPr>
          <w:p>
            <w:pPr>
              <w:spacing w:after="0"/>
              <w:rPr>
                <w:sz w:val="13"/>
                <w:szCs w:val="13"/>
                <w:color w:val="auto"/>
              </w:rPr>
            </w:pPr>
          </w:p>
        </w:tc>
        <w:tc>
          <w:tcPr>
            <w:tcW w:w="112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December 31,</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active markets for</w:t>
            </w: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62"/>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5"/>
              </w:rPr>
              <w:t>identical assets</w:t>
            </w:r>
          </w:p>
        </w:tc>
        <w:tc>
          <w:tcPr>
            <w:tcW w:w="13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7"/>
              </w:rPr>
              <w:t>observable inputs</w:t>
            </w: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5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7"/>
        </w:trPr>
        <w:tc>
          <w:tcPr>
            <w:tcW w:w="126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w w:val="93"/>
              </w:rPr>
              <w:t>in millions</w:t>
            </w: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derivative instruments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SMAs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Equity-related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derivative</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Gains (losses) included in loss from continuing operations (a):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w w:val="99"/>
              </w:rPr>
              <w:t>Realized and unrealized losses due to changes in fair values of certain investments,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of net assets at March 31, 2023 (b)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primarily relate to assets and liabilities that we continue to carry on our condensed consolidated balance sheet as of March 31, 2023.</w:t>
      </w:r>
    </w:p>
    <w:p>
      <w:pPr>
        <w:spacing w:after="0" w:line="263" w:lineRule="exact"/>
        <w:rPr>
          <w:rFonts w:ascii="Arial" w:cs="Arial" w:eastAsia="Arial" w:hAnsi="Arial"/>
          <w:sz w:val="17"/>
          <w:szCs w:val="17"/>
          <w:color w:val="auto"/>
        </w:rPr>
      </w:pPr>
    </w:p>
    <w:p>
      <w:pPr>
        <w:ind w:left="500" w:right="20" w:hanging="492"/>
        <w:spacing w:after="0" w:line="277"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2023, $322.8 million of our Level 3 investments were accounted for under the measurement alternative at cost less impairment, adjusted for observable price changes.</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40" w:type="dxa"/>
            <w:vAlign w:val="bottom"/>
          </w:tcPr>
          <w:p>
            <w:pPr>
              <w:jc w:val="right"/>
              <w:ind w:right="132"/>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r>
      <w:tr>
        <w:trPr>
          <w:trHeight w:val="207"/>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1012"/>
              <w:spacing w:after="0"/>
              <w:rPr>
                <w:sz w:val="20"/>
                <w:szCs w:val="20"/>
                <w:color w:val="auto"/>
              </w:rPr>
            </w:pPr>
            <w:r>
              <w:rPr>
                <w:rFonts w:ascii="Arial" w:cs="Arial" w:eastAsia="Arial" w:hAnsi="Arial"/>
                <w:sz w:val="16"/>
                <w:szCs w:val="16"/>
                <w:b w:val="1"/>
                <w:bCs w:val="1"/>
                <w:color w:val="auto"/>
              </w:rPr>
              <w:t>in millions</w:t>
            </w:r>
          </w:p>
        </w:tc>
      </w:tr>
      <w:tr>
        <w:trPr>
          <w:trHeight w:val="208"/>
        </w:trPr>
        <w:tc>
          <w:tcPr>
            <w:tcW w:w="8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9,134.3</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4,067.2</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1,338.1</w:t>
            </w:r>
          </w:p>
        </w:tc>
      </w:tr>
      <w:tr>
        <w:trPr>
          <w:trHeight w:val="223"/>
        </w:trPr>
        <w:tc>
          <w:tcPr>
            <w:tcW w:w="8320" w:type="dxa"/>
            <w:vAlign w:val="bottom"/>
          </w:tcPr>
          <w:p>
            <w:pPr>
              <w:jc w:val="right"/>
              <w:ind w:right="5450"/>
              <w:spacing w:after="0"/>
              <w:rPr>
                <w:sz w:val="20"/>
                <w:szCs w:val="20"/>
                <w:color w:val="auto"/>
              </w:rPr>
            </w:pPr>
            <w:r>
              <w:rPr>
                <w:rFonts w:ascii="Arial" w:cs="Arial" w:eastAsia="Arial" w:hAnsi="Arial"/>
                <w:sz w:val="18"/>
                <w:szCs w:val="18"/>
                <w:color w:val="auto"/>
                <w:w w:val="95"/>
              </w:rPr>
              <w:t>Total property and equipment, gross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14,539.6</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(8,035.1)</w:t>
            </w:r>
          </w:p>
        </w:tc>
      </w:tr>
      <w:tr>
        <w:trPr>
          <w:trHeight w:val="223"/>
        </w:trPr>
        <w:tc>
          <w:tcPr>
            <w:tcW w:w="8320" w:type="dxa"/>
            <w:vAlign w:val="bottom"/>
          </w:tcPr>
          <w:p>
            <w:pPr>
              <w:jc w:val="right"/>
              <w:ind w:right="543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6,504.5</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2023 and 2022, we recorded non-cash increases to our property and equipment related to vendor financing arrangements of $42.3 million and $66.7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$6.7 million and $6.6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three months ended March 31, 2023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Acquisitions</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currency</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4"/>
                <w:szCs w:val="14"/>
                <w:color w:val="auto"/>
              </w:rPr>
            </w:pPr>
          </w:p>
        </w:tc>
        <w:tc>
          <w:tcPr>
            <w:tcW w:w="118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January 1, 2023</w:t>
            </w:r>
          </w:p>
        </w:tc>
        <w:tc>
          <w:tcPr>
            <w:tcW w:w="20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and related</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adjustments and</w:t>
            </w: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adjustments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90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2,525.6</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8"/>
        </w:trPr>
        <w:tc>
          <w:tcPr>
            <w:tcW w:w="5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9,432.5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31, 2023</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9"/>
        </w:trPr>
        <w:tc>
          <w:tcPr>
            <w:tcW w:w="3500" w:type="dxa"/>
            <w:vAlign w:val="bottom"/>
          </w:tcPr>
          <w:p>
            <w:pPr>
              <w:spacing w:after="0"/>
              <w:rPr>
                <w:sz w:val="13"/>
                <w:szCs w:val="13"/>
                <w:color w:val="auto"/>
              </w:rPr>
            </w:pPr>
          </w:p>
        </w:tc>
        <w:tc>
          <w:tcPr>
            <w:tcW w:w="1280" w:type="dxa"/>
            <w:vAlign w:val="bottom"/>
            <w:gridSpan w:val="3"/>
          </w:tcPr>
          <w:p>
            <w:pPr>
              <w:jc w:val="right"/>
              <w:ind w:right="180"/>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106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94"/>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54"/>
              <w:spacing w:after="0" w:line="158" w:lineRule="exact"/>
              <w:rPr>
                <w:sz w:val="20"/>
                <w:szCs w:val="20"/>
                <w:color w:val="auto"/>
              </w:rPr>
            </w:pPr>
            <w:r>
              <w:rPr>
                <w:rFonts w:ascii="Arial" w:cs="Arial" w:eastAsia="Arial" w:hAnsi="Arial"/>
                <w:sz w:val="16"/>
                <w:szCs w:val="16"/>
                <w:b w:val="1"/>
                <w:bCs w:val="1"/>
                <w:color w:val="auto"/>
                <w:w w:val="94"/>
              </w:rPr>
              <w:t>Net carrying</w:t>
            </w:r>
          </w:p>
        </w:tc>
      </w:tr>
      <w:tr>
        <w:trPr>
          <w:trHeight w:val="213"/>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amount</w:t>
            </w:r>
          </w:p>
        </w:tc>
      </w:tr>
      <w:tr>
        <w:trPr>
          <w:trHeight w:val="207"/>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8"/>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r>
      <w:tr>
        <w:trPr>
          <w:trHeight w:val="248"/>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4"/>
              </w:rPr>
              <w:t>March 31, 2023</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3"/>
          </w:tcPr>
          <w:p>
            <w:pPr>
              <w:jc w:val="right"/>
              <w:ind w:right="652"/>
              <w:spacing w:after="0" w:line="158" w:lineRule="exact"/>
              <w:rPr>
                <w:sz w:val="20"/>
                <w:szCs w:val="20"/>
                <w:color w:val="auto"/>
              </w:rPr>
            </w:pPr>
            <w:r>
              <w:rPr>
                <w:rFonts w:ascii="Arial" w:cs="Arial" w:eastAsia="Arial" w:hAnsi="Arial"/>
                <w:sz w:val="16"/>
                <w:szCs w:val="16"/>
                <w:b w:val="1"/>
                <w:bCs w:val="1"/>
                <w:color w:val="auto"/>
              </w:rPr>
              <w:t>Unused borrowing</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gridSpan w:val="3"/>
            <w:vMerge w:val="restart"/>
          </w:tcPr>
          <w:p>
            <w:pPr>
              <w:jc w:val="right"/>
              <w:ind w:right="892"/>
              <w:spacing w:after="0"/>
              <w:rPr>
                <w:sz w:val="20"/>
                <w:szCs w:val="20"/>
                <w:color w:val="auto"/>
              </w:rPr>
            </w:pPr>
            <w:r>
              <w:rPr>
                <w:rFonts w:ascii="Arial" w:cs="Arial" w:eastAsia="Arial" w:hAnsi="Arial"/>
                <w:sz w:val="16"/>
                <w:szCs w:val="16"/>
                <w:b w:val="1"/>
                <w:bCs w:val="1"/>
                <w:color w:val="auto"/>
              </w:rPr>
              <w:t>capacity (b)</w:t>
            </w:r>
          </w:p>
        </w:tc>
        <w:tc>
          <w:tcPr>
            <w:tcW w:w="1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480" w:type="dxa"/>
            <w:vAlign w:val="bottom"/>
            <w:gridSpan w:val="4"/>
            <w:vMerge w:val="restart"/>
          </w:tcPr>
          <w:p>
            <w:pPr>
              <w:jc w:val="right"/>
              <w:ind w:right="712"/>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2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Borrowing</w:t>
            </w:r>
          </w:p>
        </w:tc>
        <w:tc>
          <w:tcPr>
            <w:tcW w:w="200" w:type="dxa"/>
            <w:vAlign w:val="bottom"/>
          </w:tcPr>
          <w:p>
            <w:pPr>
              <w:spacing w:after="0"/>
              <w:rPr>
                <w:sz w:val="2"/>
                <w:szCs w:val="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U.S. $</w:t>
            </w:r>
          </w:p>
        </w:tc>
        <w:tc>
          <w:tcPr>
            <w:tcW w:w="32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
                <w:szCs w:val="2"/>
                <w:color w:val="auto"/>
              </w:rPr>
            </w:pPr>
          </w:p>
        </w:tc>
        <w:tc>
          <w:tcPr>
            <w:tcW w:w="120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line="20" w:lineRule="exact"/>
              <w:rPr>
                <w:sz w:val="1"/>
                <w:szCs w:val="1"/>
                <w:color w:val="auto"/>
              </w:rPr>
            </w:pPr>
          </w:p>
        </w:tc>
      </w:tr>
      <w:tr>
        <w:trPr>
          <w:trHeight w:val="162"/>
        </w:trPr>
        <w:tc>
          <w:tcPr>
            <w:tcW w:w="414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rate (a)</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currency</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equivalent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713.4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3,587.7</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UPC SPE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280" w:type="dxa"/>
            <w:vAlign w:val="bottom"/>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3,483.9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280" w:type="dxa"/>
            <w:vAlign w:val="bottom"/>
          </w:tcPr>
          <w:p>
            <w:pPr>
              <w:jc w:val="right"/>
              <w:spacing w:after="0"/>
              <w:rPr>
                <w:sz w:val="20"/>
                <w:szCs w:val="20"/>
                <w:color w:val="auto"/>
              </w:rPr>
            </w:pPr>
            <w:r>
              <w:rPr>
                <w:rFonts w:ascii="Arial" w:cs="Arial" w:eastAsia="Arial" w:hAnsi="Arial"/>
                <w:sz w:val="18"/>
                <w:szCs w:val="18"/>
                <w:color w:val="auto"/>
              </w:rPr>
              <w:t>6.38 %</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 Collar Loan (f)</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Vendor financing (g)</w:t>
            </w:r>
          </w:p>
        </w:tc>
        <w:tc>
          <w:tcPr>
            <w:tcW w:w="1280" w:type="dxa"/>
            <w:vAlign w:val="bottom"/>
          </w:tcPr>
          <w:p>
            <w:pPr>
              <w:jc w:val="right"/>
              <w:spacing w:after="0"/>
              <w:rPr>
                <w:sz w:val="20"/>
                <w:szCs w:val="20"/>
                <w:color w:val="auto"/>
              </w:rPr>
            </w:pPr>
            <w:r>
              <w:rPr>
                <w:rFonts w:ascii="Arial" w:cs="Arial" w:eastAsia="Arial" w:hAnsi="Arial"/>
                <w:sz w:val="18"/>
                <w:szCs w:val="18"/>
                <w:color w:val="auto"/>
              </w:rPr>
              <w:t>3.73 %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(h)</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156"/>
        </w:trPr>
        <w:tc>
          <w:tcPr>
            <w:tcW w:w="4140" w:type="dxa"/>
            <w:vAlign w:val="bottom"/>
          </w:tcPr>
          <w:p>
            <w:pPr>
              <w:ind w:left="180"/>
              <w:spacing w:after="0" w:line="156" w:lineRule="exact"/>
              <w:rPr>
                <w:sz w:val="20"/>
                <w:szCs w:val="20"/>
                <w:color w:val="auto"/>
              </w:rPr>
            </w:pPr>
            <w:r>
              <w:rPr>
                <w:rFonts w:ascii="Arial" w:cs="Arial" w:eastAsia="Arial" w:hAnsi="Arial"/>
                <w:sz w:val="18"/>
                <w:szCs w:val="18"/>
                <w:color w:val="auto"/>
                <w:w w:val="94"/>
              </w:rPr>
              <w:t>Total debt before deferred financing costs, discounts</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5.59 %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1,487.4</w:t>
            </w:r>
          </w:p>
        </w:tc>
        <w:tc>
          <w:tcPr>
            <w:tcW w:w="12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14,758.7</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13,370.2</w:t>
            </w:r>
          </w:p>
        </w:tc>
        <w:tc>
          <w:tcPr>
            <w:tcW w:w="0" w:type="dxa"/>
            <w:vAlign w:val="bottom"/>
          </w:tcPr>
          <w:p>
            <w:pPr>
              <w:spacing w:after="0"/>
              <w:rPr>
                <w:sz w:val="1"/>
                <w:szCs w:val="1"/>
                <w:color w:val="auto"/>
              </w:rPr>
            </w:pPr>
          </w:p>
        </w:tc>
      </w:tr>
      <w:tr>
        <w:trPr>
          <w:trHeight w:val="221"/>
        </w:trPr>
        <w:tc>
          <w:tcPr>
            <w:tcW w:w="4140" w:type="dxa"/>
            <w:vAlign w:val="bottom"/>
          </w:tcPr>
          <w:p>
            <w:pPr>
              <w:ind w:left="360"/>
              <w:spacing w:after="0"/>
              <w:rPr>
                <w:sz w:val="20"/>
                <w:szCs w:val="20"/>
                <w:color w:val="auto"/>
              </w:rPr>
            </w:pPr>
            <w:r>
              <w:rPr>
                <w:rFonts w:ascii="Arial" w:cs="Arial" w:eastAsia="Arial" w:hAnsi="Arial"/>
                <w:sz w:val="18"/>
                <w:szCs w:val="18"/>
                <w:color w:val="auto"/>
              </w:rPr>
              <w:t>and premiums (i)</w:t>
            </w: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40" w:type="dxa"/>
            <w:vAlign w:val="bottom"/>
          </w:tcPr>
          <w:p>
            <w:pPr>
              <w:jc w:val="right"/>
              <w:ind w:right="132"/>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r>
      <w:tr>
        <w:trPr>
          <w:trHeight w:val="207"/>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1012"/>
              <w:spacing w:after="0"/>
              <w:rPr>
                <w:sz w:val="20"/>
                <w:szCs w:val="20"/>
                <w:color w:val="auto"/>
              </w:rPr>
            </w:pPr>
            <w:r>
              <w:rPr>
                <w:rFonts w:ascii="Arial" w:cs="Arial" w:eastAsia="Arial" w:hAnsi="Arial"/>
                <w:sz w:val="16"/>
                <w:szCs w:val="16"/>
                <w:b w:val="1"/>
                <w:bCs w:val="1"/>
                <w:color w:val="auto"/>
              </w:rPr>
              <w:t>in millions</w:t>
            </w:r>
          </w:p>
        </w:tc>
      </w:tr>
      <w:tr>
        <w:trPr>
          <w:trHeight w:val="168"/>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13,370.2</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13,327.1</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and finance lease obligations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93" w:lineRule="auto"/>
        <w:tabs>
          <w:tab w:leader="none" w:pos="497"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weighted average interest rate in effect at March 31, 2023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3.22% at March 31, 2023. For information regarding our derivative instruments, see note 6.</w:t>
      </w:r>
    </w:p>
    <w:p>
      <w:pPr>
        <w:spacing w:after="0" w:line="191" w:lineRule="exact"/>
        <w:rPr>
          <w:rFonts w:ascii="Arial" w:cs="Arial" w:eastAsia="Arial" w:hAnsi="Arial"/>
          <w:sz w:val="16"/>
          <w:szCs w:val="16"/>
          <w:color w:val="auto"/>
        </w:rPr>
      </w:pPr>
    </w:p>
    <w:p>
      <w:pPr>
        <w:jc w:val="both"/>
        <w:ind w:left="500" w:hanging="492"/>
        <w:spacing w:after="0" w:line="263"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March 31, 2023 without regard to covenant compliance calculations or other conditions precedent to borrowing. The following table provides our borrowing availability and amounts available to loan or distribute in accordance with the terms of the respective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subsidiary facilities, (i) at March 31, 2023 and (ii) upon completion of the relevant March 31, 2023 compliance reporting requirements. These amounts do not consider any actual or potential changes to our borrowing levels or any amounts loaned or distributed subsequent to March 31, 2023, or the full impact of additional amounts that may be available to borrow, loan or distribute under certain defined baskets within each respective facility.</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6"/>
                <w:szCs w:val="16"/>
                <w:b w:val="1"/>
                <w:bCs w:val="1"/>
                <w:color w:val="auto"/>
              </w:rPr>
              <w:t>Availability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3"/>
          </w:tcPr>
          <w:p>
            <w:pPr>
              <w:jc w:val="right"/>
              <w:ind w:right="252"/>
              <w:spacing w:after="0" w:line="158" w:lineRule="exact"/>
              <w:rPr>
                <w:sz w:val="20"/>
                <w:szCs w:val="20"/>
                <w:color w:val="auto"/>
              </w:rPr>
            </w:pPr>
            <w:r>
              <w:rPr>
                <w:rFonts w:ascii="Arial" w:cs="Arial" w:eastAsia="Arial" w:hAnsi="Arial"/>
                <w:sz w:val="16"/>
                <w:szCs w:val="16"/>
                <w:b w:val="1"/>
                <w:bCs w:val="1"/>
                <w:color w:val="auto"/>
                <w:w w:val="91"/>
              </w:rPr>
              <w:t>Upon completion of the relevant</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rPr>
              <w:t>March 31, 2023</w:t>
            </w:r>
          </w:p>
        </w:tc>
        <w:tc>
          <w:tcPr>
            <w:tcW w:w="2740" w:type="dxa"/>
            <w:vAlign w:val="bottom"/>
            <w:gridSpan w:val="4"/>
          </w:tcPr>
          <w:p>
            <w:pPr>
              <w:jc w:val="right"/>
              <w:spacing w:after="0" w:line="162" w:lineRule="exact"/>
              <w:rPr>
                <w:sz w:val="20"/>
                <w:szCs w:val="20"/>
                <w:color w:val="auto"/>
              </w:rPr>
            </w:pPr>
            <w:r>
              <w:rPr>
                <w:rFonts w:ascii="Arial" w:cs="Arial" w:eastAsia="Arial" w:hAnsi="Arial"/>
                <w:sz w:val="16"/>
                <w:szCs w:val="16"/>
                <w:b w:val="1"/>
                <w:bCs w:val="1"/>
                <w:color w:val="auto"/>
                <w:w w:val="93"/>
              </w:rPr>
              <w:t>March 31, 2023 compliance reporting</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3"/>
          </w:tcPr>
          <w:p>
            <w:pPr>
              <w:jc w:val="right"/>
              <w:ind w:right="812"/>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ind w:left="100"/>
              <w:spacing w:after="0" w:line="158" w:lineRule="exact"/>
              <w:rPr>
                <w:sz w:val="20"/>
                <w:szCs w:val="20"/>
                <w:color w:val="auto"/>
              </w:rPr>
            </w:pPr>
            <w:r>
              <w:rPr>
                <w:rFonts w:ascii="Arial" w:cs="Arial" w:eastAsia="Arial" w:hAnsi="Arial"/>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14"/>
              <w:spacing w:after="0" w:line="158" w:lineRule="exact"/>
              <w:rPr>
                <w:sz w:val="20"/>
                <w:szCs w:val="20"/>
                <w:color w:val="auto"/>
              </w:rPr>
            </w:pPr>
            <w:r>
              <w:rPr>
                <w:rFonts w:ascii="Arial" w:cs="Arial" w:eastAsia="Arial" w:hAnsi="Arial"/>
                <w:sz w:val="16"/>
                <w:szCs w:val="16"/>
                <w:b w:val="1"/>
                <w:bCs w:val="1"/>
                <w:color w:val="auto"/>
                <w:w w:val="89"/>
              </w:rPr>
              <w:t>U.S. $</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14"/>
              <w:spacing w:after="0" w:line="158" w:lineRule="exact"/>
              <w:rPr>
                <w:sz w:val="20"/>
                <w:szCs w:val="20"/>
                <w:color w:val="auto"/>
              </w:rPr>
            </w:pPr>
            <w:r>
              <w:rPr>
                <w:rFonts w:ascii="Arial" w:cs="Arial" w:eastAsia="Arial" w:hAnsi="Arial"/>
                <w:sz w:val="16"/>
                <w:szCs w:val="16"/>
                <w:b w:val="1"/>
                <w:bCs w:val="1"/>
                <w:color w:val="auto"/>
              </w:rPr>
              <w:t>Borrowing</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72"/>
              <w:spacing w:after="0" w:line="158"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equivalent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equivalent</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640"/>
              <w:spacing w:after="0"/>
              <w:rPr>
                <w:sz w:val="20"/>
                <w:szCs w:val="20"/>
                <w:color w:val="auto"/>
              </w:rPr>
            </w:pPr>
            <w:r>
              <w:rPr>
                <w:rFonts w:ascii="Arial" w:cs="Arial" w:eastAsia="Arial" w:hAnsi="Arial"/>
                <w:sz w:val="18"/>
                <w:szCs w:val="18"/>
                <w:color w:val="auto"/>
              </w:rPr>
              <w:t>713.4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30"/>
        </w:trPr>
        <w:tc>
          <w:tcPr>
            <w:tcW w:w="462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640"/>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713.4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29"/>
        </w:trPr>
        <w:tc>
          <w:tcPr>
            <w:tcW w:w="462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ind w:left="640"/>
              <w:spacing w:after="0"/>
              <w:rPr>
                <w:sz w:val="20"/>
                <w:szCs w:val="20"/>
                <w:color w:val="auto"/>
              </w:rPr>
            </w:pPr>
            <w:r>
              <w:rPr>
                <w:rFonts w:ascii="Arial" w:cs="Arial" w:eastAsia="Arial" w:hAnsi="Arial"/>
                <w:sz w:val="18"/>
                <w:szCs w:val="18"/>
                <w:color w:val="auto"/>
              </w:rPr>
              <w:t>555.0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500" w:hanging="492"/>
        <w:spacing w:after="0" w:line="255" w:lineRule="auto"/>
        <w:tabs>
          <w:tab w:leader="none" w:pos="4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Unused borrowing capacity under the UPC Holding Bank Facility relates to an equivalent €713.4 million ($775.4 million) under the UPC Revolving Facility, part of which has been made available as an ancillary facility. With the exception of €23.0 million ($25.0 million) of borrowings under the ancillary facility, the UPC Revolving Facility was undrawn at March 31, 2023.</w:t>
      </w:r>
    </w:p>
    <w:p>
      <w:pPr>
        <w:spacing w:after="0" w:line="2" w:lineRule="exact"/>
        <w:rPr>
          <w:rFonts w:ascii="Arial" w:cs="Arial" w:eastAsia="Arial" w:hAnsi="Arial"/>
          <w:sz w:val="18"/>
          <w:szCs w:val="18"/>
          <w:color w:val="auto"/>
        </w:rPr>
      </w:pPr>
    </w:p>
    <w:p>
      <w:pPr>
        <w:jc w:val="both"/>
        <w:ind w:left="500" w:hanging="492"/>
        <w:spacing w:after="0" w:line="255" w:lineRule="auto"/>
        <w:tabs>
          <w:tab w:leader="none" w:pos="4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($554.3 million) under the Telenet Revolving Facility I, (ii) €25.0 million ($27.2 million) under the Telenet Overdraft Facility and (iii) €20.0 million ($21.8 million) under the Telenet Revolving Facility, each of which were undrawn at March 31, 2023.</w:t>
      </w:r>
    </w:p>
    <w:p>
      <w:pPr>
        <w:spacing w:after="0" w:line="216"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($108.7 million) under the VM Ireland Revolving Facility, which was undrawn at March 31, 2023.</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information regarding the Vodafone Collar Loan, see notes 5 and 6.</w:t>
      </w:r>
    </w:p>
    <w:p>
      <w:pPr>
        <w:spacing w:after="0" w:line="252" w:lineRule="exact"/>
        <w:rPr>
          <w:rFonts w:ascii="Arial" w:cs="Arial" w:eastAsia="Arial" w:hAnsi="Arial"/>
          <w:sz w:val="18"/>
          <w:szCs w:val="18"/>
          <w:color w:val="auto"/>
        </w:rPr>
      </w:pPr>
    </w:p>
    <w:p>
      <w:pPr>
        <w:jc w:val="both"/>
        <w:ind w:left="500" w:hanging="492"/>
        <w:spacing w:after="0" w:line="269" w:lineRule="auto"/>
        <w:tabs>
          <w:tab w:leader="none" w:pos="494"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three months ended March 31, 2023 and 2022, the constructive cash outflow included in cash flows from operating activities and the corresponding constructive cash inflow included in cash flows from financing activities related to these operating expenses were $141.4 million and $133.7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08" w:lineRule="exact"/>
        <w:rPr>
          <w:rFonts w:ascii="Arial" w:cs="Arial" w:eastAsia="Arial" w:hAnsi="Arial"/>
          <w:sz w:val="17"/>
          <w:szCs w:val="17"/>
          <w:color w:val="auto"/>
        </w:rPr>
      </w:pPr>
    </w:p>
    <w:p>
      <w:pPr>
        <w:ind w:left="500" w:hanging="492"/>
        <w:spacing w:after="0" w:line="308" w:lineRule="auto"/>
        <w:tabs>
          <w:tab w:leader="none" w:pos="494"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Amounts include $425.5 million and $428.1 million at March 31, 2023 and December 31, 2022, respectively, of liabilities related to Telenet’s acquisition of mobile spectrum licenses. Telenet will make annual payments for the license fees over the terms of the respective licenses.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500" w:right="20" w:hanging="492"/>
        <w:spacing w:after="0" w:line="263" w:lineRule="auto"/>
        <w:tabs>
          <w:tab w:leader="none" w:pos="4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31, 2023 and December 31, 2022, our debt had an estimated fair value of $14.1 billion and $12.6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2023, most of our outstanding debt had been incurred by one of our three subsidiary “borrowing groups.” References to these borrowing groups, which comprise UPC Holding, Telenet and VM Ireland, include their respective restricted parent and subsidiary entities. For information regarding the general terms and conditions of our debt and capitalized terms not defined herein, see note 11 to the consolidated financial statements included in our 10-K. For information regarding certain financing transactions completed subsequent to March 31, 2023, see note 17.</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March 31, 2023 are presented below for the named entity and its subsidiaries, unless otherwise noted, and represent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equivalents based on March 31, 2023 exchange rates.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UPC Holding</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4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VM Ireland</w:t>
            </w:r>
          </w:p>
        </w:tc>
        <w:tc>
          <w:tcPr>
            <w:tcW w:w="16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Other (b)</w:t>
            </w: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(a)</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7,500.8</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 maturities (c)</w:t>
            </w: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14,758.7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13,927.4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75" w:lineRule="exact"/>
        <w:rPr>
          <w:rFonts w:ascii="Arial" w:cs="Arial" w:eastAsia="Arial" w:hAnsi="Arial"/>
          <w:sz w:val="16"/>
          <w:szCs w:val="16"/>
          <w:color w:val="auto"/>
        </w:rPr>
      </w:pPr>
    </w:p>
    <w:p>
      <w:pPr>
        <w:ind w:left="500" w:hanging="492"/>
        <w:spacing w:after="0" w:line="342" w:lineRule="auto"/>
        <w:tabs>
          <w:tab w:leader="none" w:pos="4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$1,367.4 million related to the Vodafone Collar Loan, which has settlement dates in 2025 and 2026 consistent with the Vodafone Collar. We may elect to use cash or the collective value of the related shares and Vodafone Collar to settle amounts under the Vodafone Collar Loan.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 vendor financing obligations of $655.3 million, as set forth below:</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UPC</w:t>
            </w:r>
          </w:p>
        </w:tc>
        <w:tc>
          <w:tcPr>
            <w:tcW w:w="20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32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vendor financing maturities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07"/>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168"/>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8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 Balances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lease liabilities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7"/>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154"/>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w:t>
            </w:r>
          </w:p>
        </w:tc>
      </w:tr>
      <w:tr>
        <w:trPr>
          <w:trHeight w:val="223"/>
        </w:trPr>
        <w:tc>
          <w:tcPr>
            <w:tcW w:w="8460" w:type="dxa"/>
            <w:vAlign w:val="bottom"/>
          </w:tcPr>
          <w:p>
            <w:pPr>
              <w:ind w:left="260"/>
              <w:spacing w:after="0"/>
              <w:rPr>
                <w:sz w:val="20"/>
                <w:szCs w:val="20"/>
                <w:color w:val="auto"/>
              </w:rPr>
            </w:pPr>
            <w:r>
              <w:rPr>
                <w:rFonts w:ascii="Arial" w:cs="Arial" w:eastAsia="Arial" w:hAnsi="Arial"/>
                <w:sz w:val="18"/>
                <w:szCs w:val="18"/>
                <w:color w:val="auto"/>
              </w:rPr>
              <w:t>Total ROU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2,102.0</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r>
      <w:tr>
        <w:trPr>
          <w:trHeight w:val="248"/>
        </w:trPr>
        <w:tc>
          <w:tcPr>
            <w:tcW w:w="8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311" w:lineRule="auto"/>
        <w:tabs>
          <w:tab w:leader="none" w:pos="4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finance lease ROU assets are included in property and equipment, net, on our condensed consolidated balance sheets. At March 31, 2023, the weighted average remaining lease term for finance leases was 21.5 years and the weighted average discount rate was 6.1%. During the three months ended March 31, 2023 and 2022, we recorded non-cash additions to our finance lease ROU assets of $7.3 million and $8.7 million, respectively.</w:t>
      </w:r>
    </w:p>
    <w:p>
      <w:pPr>
        <w:spacing w:after="0" w:line="175" w:lineRule="exact"/>
        <w:rPr>
          <w:rFonts w:ascii="Arial" w:cs="Arial" w:eastAsia="Arial" w:hAnsi="Arial"/>
          <w:sz w:val="16"/>
          <w:szCs w:val="16"/>
          <w:color w:val="auto"/>
        </w:rPr>
      </w:pPr>
    </w:p>
    <w:p>
      <w:pPr>
        <w:jc w:val="both"/>
        <w:ind w:left="500" w:hanging="492"/>
        <w:spacing w:after="0" w:line="311" w:lineRule="auto"/>
        <w:tabs>
          <w:tab w:leader="none" w:pos="494"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operating lease ROU assets are included in other assets, net, on our condensed consolidated balance sheets. At March 31, 2023, the weighted average remaining lease term for operating leases was 12.9 years and the weighted average discount rate was 5.7%. During the three months ended March 31, 2023 and 2022, we recorded non-cash additions to our operating lease ROU assets of $25.0 million and $51.2 million, respectively.</w:t>
      </w:r>
    </w:p>
    <w:p>
      <w:pPr>
        <w:spacing w:after="0" w:line="175" w:lineRule="exact"/>
        <w:rPr>
          <w:rFonts w:ascii="Arial" w:cs="Arial" w:eastAsia="Arial" w:hAnsi="Arial"/>
          <w:sz w:val="16"/>
          <w:szCs w:val="16"/>
          <w:color w:val="auto"/>
        </w:rPr>
      </w:pPr>
    </w:p>
    <w:p>
      <w:pPr>
        <w:ind w:left="500" w:hanging="492"/>
        <w:spacing w:after="0" w:line="277" w:lineRule="auto"/>
        <w:tabs>
          <w:tab w:leader="none" w:pos="4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41"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206"/>
        </w:trPr>
        <w:tc>
          <w:tcPr>
            <w:tcW w:w="8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8"/>
        </w:trPr>
        <w:tc>
          <w:tcPr>
            <w:tcW w:w="8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17.3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540" w:type="dxa"/>
            <w:vAlign w:val="bottom"/>
          </w:tcPr>
          <w:p>
            <w:pPr>
              <w:ind w:left="260"/>
              <w:spacing w:after="0"/>
              <w:rPr>
                <w:sz w:val="20"/>
                <w:szCs w:val="20"/>
                <w:color w:val="auto"/>
              </w:rPr>
            </w:pPr>
            <w:r>
              <w:rPr>
                <w:rFonts w:ascii="Arial" w:cs="Arial" w:eastAsia="Arial" w:hAnsi="Arial"/>
                <w:sz w:val="18"/>
                <w:szCs w:val="18"/>
                <w:color w:val="auto"/>
              </w:rPr>
              <w:t>Total finance lease expense</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540" w:type="dxa"/>
            <w:vAlign w:val="bottom"/>
          </w:tcPr>
          <w:p>
            <w:pPr>
              <w:ind w:left="300"/>
              <w:spacing w:after="0"/>
              <w:rPr>
                <w:sz w:val="20"/>
                <w:szCs w:val="20"/>
                <w:color w:val="auto"/>
              </w:rPr>
            </w:pPr>
            <w:r>
              <w:rPr>
                <w:rFonts w:ascii="Arial" w:cs="Arial" w:eastAsia="Arial" w:hAnsi="Arial"/>
                <w:sz w:val="18"/>
                <w:szCs w:val="18"/>
                <w:color w:val="auto"/>
              </w:rPr>
              <w:t>Total lease expense</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1"/>
        </w:trPr>
        <w:tc>
          <w:tcPr>
            <w:tcW w:w="8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342" w:lineRule="auto"/>
        <w:tabs>
          <w:tab w:leader="none" w:pos="497"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50" w:lineRule="exact"/>
        <w:rPr>
          <w:rFonts w:ascii="Arial" w:cs="Arial" w:eastAsia="Arial" w:hAnsi="Arial"/>
          <w:sz w:val="16"/>
          <w:szCs w:val="16"/>
          <w:color w:val="auto"/>
        </w:rPr>
      </w:pPr>
    </w:p>
    <w:p>
      <w:pPr>
        <w:jc w:val="both"/>
        <w:ind w:left="500" w:hanging="492"/>
        <w:spacing w:after="0" w:line="263" w:lineRule="auto"/>
        <w:tabs>
          <w:tab w:leader="none" w:pos="4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41"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6"/>
        </w:trPr>
        <w:tc>
          <w:tcPr>
            <w:tcW w:w="8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208"/>
        </w:trPr>
        <w:tc>
          <w:tcPr>
            <w:tcW w:w="8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cash outflows from operating and finance leases</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operating and finance lease liabilities as of March 31, 2023 are presented below. Amounts represent U.S. dollar equivalents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exchange rates: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Pr>
          <w:p>
            <w:pPr>
              <w:spacing w:after="0"/>
              <w:rPr>
                <w:sz w:val="16"/>
                <w:szCs w:val="16"/>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13"/>
        </w:trPr>
        <w:tc>
          <w:tcPr>
            <w:tcW w:w="8460" w:type="dxa"/>
            <w:vAlign w:val="bottom"/>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7"/>
        </w:trPr>
        <w:tc>
          <w:tcPr>
            <w:tcW w:w="8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payments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payments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Income tax expense attributable to our earnings (loss) from continuing operations before income taxes differs from the amounts computed using the applicable income tax rate as a result of the following factors:</w:t>
      </w:r>
    </w:p>
    <w:p>
      <w:pPr>
        <w:spacing w:after="0" w:line="86"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206"/>
        </w:trPr>
        <w:tc>
          <w:tcPr>
            <w:tcW w:w="8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8"/>
        </w:trPr>
        <w:tc>
          <w:tcPr>
            <w:tcW w:w="8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(88.2)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Basis and other differences in the treatment of items associated with investments in subsidiaries and affiliates (b)</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Non-deductible or non-taxable interest and other expenses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(26.1)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International rate differences (c)</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8540" w:type="dxa"/>
            <w:vAlign w:val="bottom"/>
          </w:tcPr>
          <w:p>
            <w:pPr>
              <w:ind w:left="260"/>
              <w:spacing w:after="0"/>
              <w:rPr>
                <w:sz w:val="20"/>
                <w:szCs w:val="20"/>
                <w:color w:val="auto"/>
              </w:rPr>
            </w:pPr>
            <w:r>
              <w:rPr>
                <w:rFonts w:ascii="Arial" w:cs="Arial" w:eastAsia="Arial" w:hAnsi="Arial"/>
                <w:sz w:val="18"/>
                <w:szCs w:val="18"/>
                <w:color w:val="auto"/>
              </w:rPr>
              <w:t>Total income tax expense</w:t>
            </w: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r>
      <w:tr>
        <w:trPr>
          <w:trHeight w:val="20"/>
        </w:trPr>
        <w:tc>
          <w:tcPr>
            <w:tcW w:w="8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23.5% for the 2023 period and 19.0% for the 2022 period. The statutory rate for the 2023 period represents the blended rate in effect for the year ended December 31, 2023 based on the 19.0% statutory rate that was in effect for the first quarter of 2023 and the 25.0% statutory rate that is in effect from April 1, 2023.</w:t>
      </w:r>
    </w:p>
    <w:p>
      <w:pPr>
        <w:spacing w:after="0" w:line="210"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reflect adjustments (either a benefit or expense) to the “expected” tax benefit (expense) for statutory rates in jurisdictions in which we</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operate outside of the U.K.</w:t>
      </w:r>
    </w:p>
    <w:p>
      <w:pPr>
        <w:spacing w:after="0" w:line="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16, 2022, the Inflation Reduction Act was signed into law in the U.S. Although this legislation does not increase the U.S. corporate income tax rate, it includes, among other provisions, a new corporate alternative minimum tax (</w:t>
      </w:r>
      <w:r>
        <w:rPr>
          <w:rFonts w:ascii="Arial" w:cs="Arial" w:eastAsia="Arial" w:hAnsi="Arial"/>
          <w:sz w:val="18"/>
          <w:szCs w:val="18"/>
          <w:b w:val="1"/>
          <w:bCs w:val="1"/>
          <w:color w:val="auto"/>
        </w:rPr>
        <w:t>CAMT</w:t>
      </w:r>
      <w:r>
        <w:rPr>
          <w:rFonts w:ascii="Arial" w:cs="Arial" w:eastAsia="Arial" w:hAnsi="Arial"/>
          <w:sz w:val="18"/>
          <w:szCs w:val="18"/>
          <w:color w:val="auto"/>
        </w:rPr>
        <w:t>) on “adjusted financial statement income” that is effective for tax years beginning after December 31, 2022. We do not currently anticipate the CAMT will have a material impact on our consolidated financial statements although we will continue to monitor additional guidance as it is issued to assess the impact to our tax position. We will disregard our CAMT status when evaluating our deferred tax assets under the regular U.S. tax system.</w:t>
      </w:r>
    </w:p>
    <w:p>
      <w:pPr>
        <w:spacing w:after="0" w:line="2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31, 2023, our unrecognized tax benefits were $442.7 million, of which $345.4 million would have a favorable impact on our effective income tax rate if ultimately recognized, after considering amounts that we would expect to be offset by valuation allowances and other factors. During the next 12 months, we do not expect any material reductions to our unrecognized tax benefits related to tax positions taken as of March 31, 2023. No assurance can be given as to the nature or impact of any changes in our unrecognized tax positions during the next 12 months.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Belgium, Ireland,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October 7, 2022, the U.S. Department of Justice filed suit against Liberty Global, Inc. (</w:t>
      </w:r>
      <w:r>
        <w:rPr>
          <w:rFonts w:ascii="Arial" w:cs="Arial" w:eastAsia="Arial" w:hAnsi="Arial"/>
          <w:sz w:val="16"/>
          <w:szCs w:val="16"/>
          <w:b w:val="1"/>
          <w:bCs w:val="1"/>
          <w:color w:val="auto"/>
        </w:rPr>
        <w:t>LGI</w:t>
      </w:r>
      <w:r>
        <w:rPr>
          <w:rFonts w:ascii="Arial" w:cs="Arial" w:eastAsia="Arial" w:hAnsi="Arial"/>
          <w:sz w:val="16"/>
          <w:szCs w:val="16"/>
          <w:color w:val="auto"/>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No amounts have been accrued by LGI with respect to this matter. We will vigorously defend this matter and continue to actively pursue our claim for refund.</w:t>
      </w:r>
    </w:p>
    <w:p>
      <w:pPr>
        <w:spacing w:after="0" w:line="181" w:lineRule="exact"/>
        <w:rPr>
          <w:sz w:val="20"/>
          <w:szCs w:val="20"/>
          <w:color w:val="auto"/>
        </w:rPr>
      </w:pPr>
    </w:p>
    <w:p>
      <w:pPr>
        <w:ind w:left="480" w:hanging="472"/>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three months ended March 31, 2023, we repurchased (i) 430,000 shares of our Class A ordinary shares at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price per share of $18.46 and (ii) 10,812,400 shares of our Class C ordinary shares at an average price per share of $21.17, for an aggregate purchase price of $236.8 million, including direct acquisition costs.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31, 2023, the remaining number of our Class A and/or Class C ordinary shares that we are authorized to repurchase during 2023 was 34.7 million. Based on the average of the respective closing share prices as of March 31, 2023, this would equate to additional share repurchases during the remainder of 2023 of approximately $691.9 million. However, the actual U.S. dollar amount of our share repurchases during the remainder of 2023 will be determined by the actual transaction date share prices during the year and could differ significantly from this amount.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86"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Non-performance based incentive awards</w:t>
            </w: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(a)</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2022 amount includes share-based compensation expense related to our 2019 Challenge Performance Awards.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4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0" w:firstLine="324"/>
        <w:spacing w:after="0" w:line="312" w:lineRule="auto"/>
        <w:rPr>
          <w:sz w:val="20"/>
          <w:szCs w:val="20"/>
          <w:color w:val="auto"/>
        </w:rPr>
      </w:pPr>
      <w:r>
        <w:rPr>
          <w:rFonts w:ascii="Arial" w:cs="Arial" w:eastAsia="Arial" w:hAnsi="Arial"/>
          <w:sz w:val="17"/>
          <w:szCs w:val="17"/>
          <w:color w:val="auto"/>
        </w:rPr>
        <w:t>The following table provides the aggregate number of options,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performance-based share appreciation rights (</w:t>
      </w:r>
      <w:r>
        <w:rPr>
          <w:rFonts w:ascii="Arial" w:cs="Arial" w:eastAsia="Arial" w:hAnsi="Arial"/>
          <w:sz w:val="17"/>
          <w:szCs w:val="17"/>
          <w:b w:val="1"/>
          <w:bCs w:val="1"/>
          <w:color w:val="auto"/>
        </w:rPr>
        <w:t>PSARs</w:t>
      </w:r>
      <w:r>
        <w:rPr>
          <w:rFonts w:ascii="Arial" w:cs="Arial" w:eastAsia="Arial" w:hAnsi="Arial"/>
          <w:sz w:val="17"/>
          <w:szCs w:val="17"/>
          <w:color w:val="auto"/>
        </w:rPr>
        <w:t>) with respect to awards issued by Liberty Global that were (i) outstanding and (ii) exercisable as of March 31,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Class A</w:t>
            </w: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Gross number of</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Gross number of</w:t>
            </w:r>
          </w:p>
        </w:tc>
        <w:tc>
          <w:tcPr>
            <w:tcW w:w="13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shares underlying</w:t>
            </w:r>
          </w:p>
        </w:tc>
        <w:tc>
          <w:tcPr>
            <w:tcW w:w="1420" w:type="dxa"/>
            <w:vAlign w:val="bottom"/>
            <w:gridSpan w:val="3"/>
            <w:vMerge w:val="continue"/>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shares underlying</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option, SAR and</w:t>
            </w: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6"/>
              </w:rPr>
              <w:t>exercise or base</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PSAR awards (a)</w:t>
            </w:r>
          </w:p>
        </w:tc>
        <w:tc>
          <w:tcPr>
            <w:tcW w:w="12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price</w:t>
            </w: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27,397,121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65,090,831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18,003,373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38,720,987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1,623,956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3,531,628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3,364,330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301" w:lineRule="auto"/>
        <w:tabs>
          <w:tab w:leader="none" w:pos="49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84" w:lineRule="exact"/>
        <w:rPr>
          <w:rFonts w:ascii="Arial" w:cs="Arial" w:eastAsia="Arial" w:hAnsi="Arial"/>
          <w:sz w:val="16"/>
          <w:szCs w:val="16"/>
          <w:color w:val="auto"/>
        </w:rPr>
      </w:pPr>
    </w:p>
    <w:p>
      <w:pPr>
        <w:jc w:val="both"/>
        <w:ind w:left="500" w:hanging="492"/>
        <w:spacing w:after="0" w:line="263" w:lineRule="auto"/>
        <w:tabs>
          <w:tab w:leader="none" w:pos="4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7" w:lineRule="exact"/>
        <w:rPr>
          <w:sz w:val="20"/>
          <w:szCs w:val="20"/>
          <w:color w:val="auto"/>
        </w:rPr>
      </w:pPr>
    </w:p>
    <w:p>
      <w:pPr>
        <w:ind w:firstLine="324"/>
        <w:spacing w:after="0" w:line="312"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that were outstanding as of March 31, 2023. The number of shares to be issued on the vesting date of these awards will be reduced by the amount of the employee’s required income tax withholding.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29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85"/>
        </w:trPr>
        <w:tc>
          <w:tcPr>
            <w:tcW w:w="85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Held by Liberty Global employees</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3,171,336</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6,898,733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34,359</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68,701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The future vesting of these RSUs will increase the number of our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41"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jc w:val="center"/>
        <w:ind w:left="84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145"/>
        </w:trPr>
        <w:tc>
          <w:tcPr>
            <w:tcW w:w="8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ordinary shares outstanding (basic EPS computation)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454,394,944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520,320,152</w:t>
            </w:r>
          </w:p>
        </w:tc>
      </w:tr>
      <w:tr>
        <w:trPr>
          <w:trHeight w:val="175"/>
        </w:trPr>
        <w:tc>
          <w:tcPr>
            <w:tcW w:w="8460" w:type="dxa"/>
            <w:vAlign w:val="bottom"/>
          </w:tcPr>
          <w:p>
            <w:pPr>
              <w:ind w:left="20"/>
              <w:spacing w:after="0" w:line="176" w:lineRule="exact"/>
              <w:rPr>
                <w:sz w:val="20"/>
                <w:szCs w:val="20"/>
                <w:color w:val="auto"/>
              </w:rPr>
            </w:pPr>
            <w:r>
              <w:rPr>
                <w:rFonts w:ascii="Arial" w:cs="Arial" w:eastAsia="Arial" w:hAnsi="Arial"/>
                <w:sz w:val="18"/>
                <w:szCs w:val="18"/>
                <w:color w:val="auto"/>
                <w:w w:val="89"/>
              </w:rPr>
              <w:t>Incremental shares attributable to the assumed exercise or release of outstanding share-based incentive awards upon</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vesting (treasury stock method)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12,364,920</w:t>
            </w:r>
          </w:p>
        </w:tc>
      </w:tr>
      <w:tr>
        <w:trPr>
          <w:trHeight w:val="248"/>
        </w:trPr>
        <w:tc>
          <w:tcPr>
            <w:tcW w:w="8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ordinary shares outstanding (diluted EPS computation)</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454,394,944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532,685,072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a loss from continuing operations attributable to Liberty Global shareholders for the three months ended March 31, 2023. Therefore, the potentially dilutive effect at March 31, 2023 excludes 111.1 million shares issuable pursuant to outstanding share-based incentive awards in the computation of diluted loss from continuing operations attributable to Liberty Global shareholders per share because their inclusion would have been anti-dilutive to the computation.</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calculation of diluted EPS excludes aggregate share-based incentive awards of 56.8 million for the three months ended March 31, 2022 because their effect would have been anti-dilutive.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is set forth below:</w:t>
      </w:r>
    </w:p>
    <w:p>
      <w:pPr>
        <w:spacing w:after="0" w:line="141"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jc w:val="center"/>
        <w:ind w:left="84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r>
      <w:tr>
        <w:trPr>
          <w:trHeight w:val="206"/>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15"/>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114"/>
        </w:trPr>
        <w:tc>
          <w:tcPr>
            <w:tcW w:w="8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1,075.7</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w:t>
            </w:r>
          </w:p>
        </w:tc>
      </w:tr>
      <w:tr>
        <w:trPr>
          <w:trHeight w:val="248"/>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(loss) from continuing operations attributable to Liberty Global shareholders</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enter into agreements that commit our company to make cash payments in future periods with respect to network and connectivity commitments, purchases of CPE and other equipment and services, programming contracts and other items. The following table sets forth the U.S. dollar equivalents of such commitments as of March 31, 2023. The commitments included in this table do not reflect any liabilities that are included on our March 31, 2023 condensed consolidated balance sheet.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2023</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Network and connectivity</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Network and connectivity commitments include (i) Telenet’s commitments for certain operating costs associated with its leased network and (ii) certain network capacity arrangements in Switzerland.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certain service-related commitments, including information technology, maintenance and call center services and (ii) the purchase of CPE, network and other equipment.</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$154.1 million and $145.0 million during the three months ended March 31, 2023 and 2022,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commitments include (i) our share of the funding commitment associated with the nexfibre JV and (ii) various sports sponsorships.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2023 and 2022,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1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Telekom Deutschland Litigation. </w:t>
      </w:r>
      <w:r>
        <w:rPr>
          <w:rFonts w:ascii="Arial" w:cs="Arial" w:eastAsia="Arial" w:hAnsi="Arial"/>
          <w:sz w:val="16"/>
          <w:szCs w:val="16"/>
          <w:color w:val="auto"/>
        </w:rPr>
        <w:t>On December 28, 2012, Unitymedia filed a lawsuit against Telekom Deutschland GmbH (</w:t>
      </w:r>
      <w:r>
        <w:rPr>
          <w:rFonts w:ascii="Arial" w:cs="Arial" w:eastAsia="Arial" w:hAnsi="Arial"/>
          <w:sz w:val="16"/>
          <w:szCs w:val="16"/>
          <w:b w:val="1"/>
          <w:bCs w:val="1"/>
          <w:color w:val="auto"/>
        </w:rPr>
        <w:t>Telekom Deutschland</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 in 2019, we will only share in 50% of any amounts recovered, plus 50% of the net present value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Belgium Regulatory Developments. </w:t>
      </w:r>
      <w:r>
        <w:rPr>
          <w:rFonts w:ascii="Arial" w:cs="Arial" w:eastAsia="Arial" w:hAnsi="Arial"/>
          <w:sz w:val="18"/>
          <w:szCs w:val="18"/>
          <w:color w:val="auto"/>
        </w:rPr>
        <w:t>In June 2018, the Belgisch Instituut voor Post en Telecommunicatie and the regional regulators for the media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sectors (together,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adopted a new decision finding that Telenet has significant market power in the wholesale broadband market (the </w:t>
      </w:r>
      <w:r>
        <w:rPr>
          <w:rFonts w:ascii="Arial" w:cs="Arial" w:eastAsia="Arial" w:hAnsi="Arial"/>
          <w:sz w:val="18"/>
          <w:szCs w:val="18"/>
          <w:b w:val="1"/>
          <w:bCs w:val="1"/>
          <w:color w:val="auto"/>
        </w:rPr>
        <w:t>2018 Decision</w:t>
      </w:r>
      <w:r>
        <w:rPr>
          <w:rFonts w:ascii="Arial" w:cs="Arial" w:eastAsia="Arial" w:hAnsi="Arial"/>
          <w:sz w:val="18"/>
          <w:szCs w:val="18"/>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On May 26, 2020, the Belgium Regulatory Authorities adopted a final decision regarding the “reasonable access tariffs” (the </w:t>
      </w:r>
      <w:r>
        <w:rPr>
          <w:rFonts w:ascii="Arial" w:cs="Arial" w:eastAsia="Arial" w:hAnsi="Arial"/>
          <w:sz w:val="18"/>
          <w:szCs w:val="18"/>
          <w:b w:val="1"/>
          <w:bCs w:val="1"/>
          <w:color w:val="auto"/>
        </w:rPr>
        <w:t>2020 Decision</w:t>
      </w:r>
      <w:r>
        <w:rPr>
          <w:rFonts w:ascii="Arial" w:cs="Arial" w:eastAsia="Arial" w:hAnsi="Arial"/>
          <w:sz w:val="18"/>
          <w:szCs w:val="18"/>
          <w:color w:val="auto"/>
        </w:rPr>
        <w:t>) that became effective on July 1, 2020. Telenet appealed the 2018 Decision, which was rejected by the Brussels Court of Appeal on September 4, 2019.</w:t>
      </w:r>
    </w:p>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Swisscom MVNO Matter. </w:t>
      </w:r>
      <w:r>
        <w:rPr>
          <w:rFonts w:ascii="Arial" w:cs="Arial" w:eastAsia="Arial" w:hAnsi="Arial"/>
          <w:sz w:val="18"/>
          <w:szCs w:val="18"/>
          <w:color w:val="auto"/>
        </w:rPr>
        <w:t>On December 8, 2017, one of our subsidiaries, UPC Schweiz GmbH, entered into a mobile virtual network operator</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MVNO</w:t>
      </w:r>
      <w:r>
        <w:rPr>
          <w:rFonts w:ascii="Arial" w:cs="Arial" w:eastAsia="Arial" w:hAnsi="Arial"/>
          <w:sz w:val="18"/>
          <w:szCs w:val="18"/>
          <w:color w:val="auto"/>
        </w:rPr>
        <w:t>) agreement with Swisscom (Schweiz) AG (</w:t>
      </w:r>
      <w:r>
        <w:rPr>
          <w:rFonts w:ascii="Arial" w:cs="Arial" w:eastAsia="Arial" w:hAnsi="Arial"/>
          <w:sz w:val="18"/>
          <w:szCs w:val="18"/>
          <w:b w:val="1"/>
          <w:bCs w:val="1"/>
          <w:color w:val="auto"/>
        </w:rPr>
        <w:t>Swisscom</w:t>
      </w:r>
      <w:r>
        <w:rPr>
          <w:rFonts w:ascii="Arial" w:cs="Arial" w:eastAsia="Arial" w:hAnsi="Arial"/>
          <w:sz w:val="18"/>
          <w:szCs w:val="18"/>
          <w:color w:val="auto"/>
        </w:rPr>
        <w:t xml:space="preserve">), as subsequently amended (the </w:t>
      </w:r>
      <w:r>
        <w:rPr>
          <w:rFonts w:ascii="Arial" w:cs="Arial" w:eastAsia="Arial" w:hAnsi="Arial"/>
          <w:sz w:val="18"/>
          <w:szCs w:val="18"/>
          <w:b w:val="1"/>
          <w:bCs w:val="1"/>
          <w:color w:val="auto"/>
        </w:rPr>
        <w:t>Swisscom MVNO</w:t>
      </w:r>
      <w:r>
        <w:rPr>
          <w:rFonts w:ascii="Arial" w:cs="Arial" w:eastAsia="Arial" w:hAnsi="Arial"/>
          <w:sz w:val="18"/>
          <w:szCs w:val="18"/>
          <w:color w:val="auto"/>
        </w:rPr>
        <w:t>), for the provision of mobile network services to certain of Sunrise’s end customers. In January 2023, Swisscom filed a formal lawsuit against UPC Schweiz GmbH, asserting that it is in breach of the Swisscom MVNO and claiming approximately CHF 90 million ($98 million) in damages. No amounts have been accrued by us with respect to this matter, as the likelihood of loss is not considered to be probable at this stage. We believe the assertions in this claim are unsupported and/or exaggerated and intend to vigorously defend this matter.</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Broadband internet, video distribution,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7"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6"/>
          <w:szCs w:val="16"/>
          <w:b w:val="1"/>
          <w:bCs w:val="1"/>
          <w:color w:val="auto"/>
        </w:rPr>
        <w:t>Adjusted EBITDA</w:t>
      </w:r>
      <w:r>
        <w:rPr>
          <w:rFonts w:ascii="Arial" w:cs="Arial" w:eastAsia="Arial" w:hAnsi="Arial"/>
          <w:sz w:val="16"/>
          <w:szCs w:val="16"/>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2023, our reportable segments are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Ireland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color w:val="auto"/>
        </w:rPr>
        <w:t>VMO2 JV</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93"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color w:val="auto"/>
        </w:rPr>
        <w:t>Our “</w:t>
      </w:r>
      <w:r>
        <w:rPr>
          <w:rFonts w:ascii="Arial" w:cs="Arial" w:eastAsia="Arial" w:hAnsi="Arial"/>
          <w:sz w:val="17"/>
          <w:szCs w:val="17"/>
          <w:b w:val="1"/>
          <w:bCs w:val="1"/>
          <w:color w:val="auto"/>
        </w:rPr>
        <w:t>Central and Other</w:t>
      </w:r>
      <w:r>
        <w:rPr>
          <w:rFonts w:ascii="Arial" w:cs="Arial" w:eastAsia="Arial" w:hAnsi="Arial"/>
          <w:sz w:val="17"/>
          <w:szCs w:val="17"/>
          <w:color w:val="auto"/>
        </w:rPr>
        <w:t>” category primarily includes (i) our operations in Slovakia, (ii) services provided to the VMO2 JV, the VodafoneZiggo JV and various third parties related to transitional service agreements, (iii) sales of CPE to the VodafoneZiggo JV and (iv) certain centralized functions, including billing systems, network operations, technology, marketing, facilities, finance and other administrative functions.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During the first quarter of 2023, we changed the terms related to, and approach to how we reflect the allocation of, charges for certain products and services that our centrally-managed technology and innovation function (our </w:t>
      </w:r>
      <w:r>
        <w:rPr>
          <w:rFonts w:ascii="Arial" w:cs="Arial" w:eastAsia="Arial" w:hAnsi="Arial"/>
          <w:sz w:val="16"/>
          <w:szCs w:val="16"/>
          <w:b w:val="1"/>
          <w:bCs w:val="1"/>
          <w:color w:val="auto"/>
        </w:rPr>
        <w:t>T&amp;I Function</w:t>
      </w:r>
      <w:r>
        <w:rPr>
          <w:rFonts w:ascii="Arial" w:cs="Arial" w:eastAsia="Arial" w:hAnsi="Arial"/>
          <w:sz w:val="16"/>
          <w:szCs w:val="16"/>
          <w:color w:val="auto"/>
        </w:rPr>
        <w:t xml:space="preserve">) provide to our consolidated reportable segments (the </w:t>
      </w:r>
      <w:r>
        <w:rPr>
          <w:rFonts w:ascii="Arial" w:cs="Arial" w:eastAsia="Arial" w:hAnsi="Arial"/>
          <w:sz w:val="16"/>
          <w:szCs w:val="16"/>
          <w:b w:val="1"/>
          <w:bCs w:val="1"/>
          <w:color w:val="auto"/>
        </w:rPr>
        <w:t>Tech</w:t>
      </w:r>
      <w:r>
        <w:rPr>
          <w:rFonts w:ascii="Arial" w:cs="Arial" w:eastAsia="Arial" w:hAnsi="Arial"/>
          <w:sz w:val="16"/>
          <w:szCs w:val="16"/>
          <w:color w:val="auto"/>
        </w:rPr>
        <w:t xml:space="preserve"> </w:t>
      </w:r>
      <w:r>
        <w:rPr>
          <w:rFonts w:ascii="Arial" w:cs="Arial" w:eastAsia="Arial" w:hAnsi="Arial"/>
          <w:sz w:val="16"/>
          <w:szCs w:val="16"/>
          <w:b w:val="1"/>
          <w:bCs w:val="1"/>
          <w:color w:val="auto"/>
        </w:rPr>
        <w:t>Framework</w:t>
      </w:r>
      <w:r>
        <w:rPr>
          <w:rFonts w:ascii="Arial" w:cs="Arial" w:eastAsia="Arial" w:hAnsi="Arial"/>
          <w:sz w:val="16"/>
          <w:szCs w:val="16"/>
          <w:color w:val="auto"/>
        </w:rPr>
        <w:t>). These products and services include CPE hardware and related essential software, maintenance, hosting and other services. As a result, our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reportable segments now capitalize the combined cost of the CPE hardware and essential software as property and equipment additions. The other services, including maintenance and hosting, continue to be reported as operating costs in the period incurred (included in our Adjusted EBITDA). The corresponding amounts charged by our T&amp;I Function are reflected as revenue when earned. The new Tech Framework is a result of internal changes with respect to the way in which our chief operating decision maker evaluates the revenue, Adjusted EBITDA and property and equipment additions of our consolidated reportable segments. Segment information has been revised, as applicable, to reflect these changes. The following table provides a summary of the impact on the revenue, Adjusted EBITDA and property and equipment additions of our consolidated reportable segments and Central and Other.</w:t>
      </w:r>
    </w:p>
    <w:p>
      <w:pPr>
        <w:spacing w:after="0" w:line="82"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to revenue (a):</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64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Increase (decrease) to Adjusted EBITDA (b):</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Increase (decrease) to property and equipment additions (c):</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640" w:type="dxa"/>
            <w:vAlign w:val="bottom"/>
          </w:tcPr>
          <w:p>
            <w:pPr>
              <w:ind w:left="180"/>
              <w:spacing w:after="0"/>
              <w:rPr>
                <w:sz w:val="20"/>
                <w:szCs w:val="20"/>
                <w:color w:val="auto"/>
              </w:rPr>
            </w:pPr>
            <w:r>
              <w:rPr>
                <w:rFonts w:ascii="Arial" w:cs="Arial" w:eastAsia="Arial" w:hAnsi="Arial"/>
                <w:sz w:val="18"/>
                <w:szCs w:val="18"/>
                <w:color w:val="auto"/>
              </w:rPr>
              <w:t>Central and Other</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reflect the revenue recognized within our T&amp;I Function, as well as any applicable markup, related to the Tech Framework.</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reflect the charge to each respective consolidated reportable segment related to the service and maintenance component of the Tech Framework and, additionally for Central and Other, the Adjusted EBITDA impact of the value attributed to centrally-held internally developed technology that is embedded within our various CPE, as well as any applicable markup.</w:t>
      </w:r>
    </w:p>
    <w:p>
      <w:pPr>
        <w:spacing w:after="0" w:line="210"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reflect the charge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is included in share of results of affiliates, net, in our condensed consolidated 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6"/>
                <w:szCs w:val="16"/>
                <w:b w:val="1"/>
                <w:bCs w:val="1"/>
                <w:color w:val="auto"/>
                <w:w w:val="86"/>
              </w:rPr>
              <w:t>Revenue</w:t>
            </w:r>
          </w:p>
        </w:tc>
        <w:tc>
          <w:tcPr>
            <w:tcW w:w="960" w:type="dxa"/>
            <w:vAlign w:val="bottom"/>
            <w:tcBorders>
              <w:bottom w:val="single" w:sz="8" w:color="auto"/>
            </w:tcBorders>
          </w:tcPr>
          <w:p>
            <w:pPr>
              <w:spacing w:after="0"/>
              <w:rPr>
                <w:sz w:val="18"/>
                <w:szCs w:val="18"/>
                <w:color w:val="auto"/>
              </w:rPr>
            </w:pPr>
          </w:p>
        </w:tc>
      </w:tr>
      <w:tr>
        <w:trPr>
          <w:trHeight w:val="158"/>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center"/>
              <w:ind w:right="211"/>
              <w:spacing w:after="0" w:line="158" w:lineRule="exact"/>
              <w:rPr>
                <w:sz w:val="20"/>
                <w:szCs w:val="20"/>
                <w:color w:val="auto"/>
              </w:rPr>
            </w:pPr>
            <w:r>
              <w:rPr>
                <w:rFonts w:ascii="Arial" w:cs="Arial" w:eastAsia="Arial" w:hAnsi="Arial"/>
                <w:sz w:val="16"/>
                <w:szCs w:val="16"/>
                <w:b w:val="1"/>
                <w:bCs w:val="1"/>
                <w:color w:val="auto"/>
                <w:w w:val="90"/>
              </w:rPr>
              <w:t>Three months ended</w:t>
            </w:r>
          </w:p>
        </w:tc>
      </w:tr>
      <w:tr>
        <w:trPr>
          <w:trHeight w:val="213"/>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8"/>
                <w:szCs w:val="18"/>
                <w:color w:val="auto"/>
              </w:rPr>
            </w:pPr>
          </w:p>
        </w:tc>
      </w:tr>
      <w:tr>
        <w:trPr>
          <w:trHeight w:val="210"/>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3"/>
              </w:rPr>
              <w:t>2022 (a)</w:t>
            </w:r>
          </w:p>
        </w:tc>
      </w:tr>
      <w:tr>
        <w:trPr>
          <w:trHeight w:val="207"/>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93"/>
              </w:rPr>
              <w:t>in millions</w:t>
            </w:r>
          </w:p>
        </w:tc>
        <w:tc>
          <w:tcPr>
            <w:tcW w:w="960" w:type="dxa"/>
            <w:vAlign w:val="bottom"/>
          </w:tcPr>
          <w:p>
            <w:pPr>
              <w:spacing w:after="0"/>
              <w:rPr>
                <w:sz w:val="17"/>
                <w:szCs w:val="17"/>
                <w:color w:val="auto"/>
              </w:rPr>
            </w:pPr>
          </w:p>
        </w:tc>
      </w:tr>
      <w:tr>
        <w:trPr>
          <w:trHeight w:val="168"/>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724.4</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241.4</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(b)</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VMO2 JV</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3,398.0</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primarily relate to (i) the revenue recognized within our T&amp;I Function related to the Tech Framework and (ii) for the three months ended March 31, 2022,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Adjusted EBITDA</w:t>
            </w:r>
          </w:p>
        </w:tc>
      </w:tr>
      <w:tr>
        <w:trPr>
          <w:trHeight w:val="159"/>
        </w:trPr>
        <w:tc>
          <w:tcPr>
            <w:tcW w:w="8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center"/>
              <w:ind w:right="211"/>
              <w:spacing w:after="0" w:line="158" w:lineRule="exact"/>
              <w:rPr>
                <w:sz w:val="20"/>
                <w:szCs w:val="20"/>
                <w:color w:val="auto"/>
              </w:rPr>
            </w:pPr>
            <w:r>
              <w:rPr>
                <w:rFonts w:ascii="Arial" w:cs="Arial" w:eastAsia="Arial" w:hAnsi="Arial"/>
                <w:sz w:val="16"/>
                <w:szCs w:val="16"/>
                <w:b w:val="1"/>
                <w:bCs w:val="1"/>
                <w:color w:val="auto"/>
                <w:w w:val="90"/>
              </w:rPr>
              <w:t>Three months ended</w:t>
            </w:r>
          </w:p>
        </w:tc>
      </w:tr>
      <w:tr>
        <w:trPr>
          <w:trHeight w:val="213"/>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Borders>
              <w:bottom w:val="single" w:sz="8" w:color="auto"/>
            </w:tcBorders>
          </w:tcPr>
          <w:p>
            <w:pPr>
              <w:spacing w:after="0"/>
              <w:rPr>
                <w:sz w:val="18"/>
                <w:szCs w:val="18"/>
                <w:color w:val="auto"/>
              </w:rPr>
            </w:pPr>
          </w:p>
        </w:tc>
      </w:tr>
      <w:tr>
        <w:trPr>
          <w:trHeight w:val="209"/>
        </w:trPr>
        <w:tc>
          <w:tcPr>
            <w:tcW w:w="8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3"/>
              </w:rPr>
              <w:t>2022 (a)</w:t>
            </w:r>
          </w:p>
        </w:tc>
      </w:tr>
      <w:tr>
        <w:trPr>
          <w:trHeight w:val="207"/>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93"/>
              </w:rPr>
              <w:t>in millions</w:t>
            </w:r>
          </w:p>
        </w:tc>
        <w:tc>
          <w:tcPr>
            <w:tcW w:w="960" w:type="dxa"/>
            <w:vAlign w:val="bottom"/>
          </w:tcPr>
          <w:p>
            <w:pPr>
              <w:spacing w:after="0"/>
              <w:rPr>
                <w:sz w:val="17"/>
                <w:szCs w:val="17"/>
                <w:color w:val="auto"/>
              </w:rPr>
            </w:pPr>
          </w:p>
        </w:tc>
      </w:tr>
      <w:tr>
        <w:trPr>
          <w:trHeight w:val="168"/>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 (b)</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VMO2 JV</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relate to (i) the Adjusted EBITDA impact to Central and Other of the value attributed to centrally-held internally developed technology that is embedded within our various CPE, as well as any applicable markup, and (ii) for three months ended March 31, 2022, transactions between our continuing and discontinued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28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losses due to changes in fair values of certain investments,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(575.0)</w:t>
            </w: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30"/>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23"/>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48"/>
        </w:trPr>
        <w:tc>
          <w:tcPr>
            <w:tcW w:w="8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3"/>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6"/>
                <w:szCs w:val="16"/>
                <w:b w:val="1"/>
                <w:bCs w:val="1"/>
                <w:color w:val="auto"/>
                <w:w w:val="94"/>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90"/>
              </w:rPr>
              <w:t>2022 (a)</w:t>
            </w:r>
          </w:p>
        </w:tc>
        <w:tc>
          <w:tcPr>
            <w:tcW w:w="0" w:type="dxa"/>
            <w:vAlign w:val="bottom"/>
          </w:tcPr>
          <w:p>
            <w:pPr>
              <w:spacing w:after="0"/>
              <w:rPr>
                <w:sz w:val="1"/>
                <w:szCs w:val="1"/>
                <w:color w:val="auto"/>
              </w:rPr>
            </w:pPr>
          </w:p>
        </w:tc>
      </w:tr>
      <w:tr>
        <w:trPr>
          <w:trHeight w:val="207"/>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52"/>
              <w:spacing w:after="0"/>
              <w:rPr>
                <w:sz w:val="20"/>
                <w:szCs w:val="20"/>
                <w:color w:val="auto"/>
              </w:rPr>
            </w:pPr>
            <w:r>
              <w:rPr>
                <w:rFonts w:ascii="Arial" w:cs="Arial" w:eastAsia="Arial" w:hAnsi="Arial"/>
                <w:sz w:val="16"/>
                <w:szCs w:val="16"/>
                <w:b w:val="1"/>
                <w:bCs w:val="1"/>
                <w:color w:val="auto"/>
                <w:w w:val="93"/>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Central and Other (b)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eliminations (c)</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62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VMO2 JV</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described above.</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4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0"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reflect the charge under the Tech Framework to each respective consolidated reportable segment related to the value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41"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206"/>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14"/>
        </w:trPr>
        <w:tc>
          <w:tcPr>
            <w:tcW w:w="8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360.2</w:t>
            </w:r>
          </w:p>
        </w:tc>
      </w:tr>
      <w:tr>
        <w:trPr>
          <w:trHeight w:val="229"/>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9"/>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r>
      <w:tr>
        <w:trPr>
          <w:trHeight w:val="223"/>
        </w:trPr>
        <w:tc>
          <w:tcPr>
            <w:tcW w:w="8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r>
      <w:tr>
        <w:trPr>
          <w:trHeight w:val="229"/>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8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r>
      <w:tr>
        <w:trPr>
          <w:trHeight w:val="209"/>
        </w:trPr>
        <w:tc>
          <w:tcPr>
            <w:tcW w:w="854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r>
      <w:tr>
        <w:trPr>
          <w:trHeight w:val="229"/>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r>
      <w:tr>
        <w:trPr>
          <w:trHeight w:val="223"/>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r>
      <w:tr>
        <w:trPr>
          <w:trHeight w:val="223"/>
        </w:trPr>
        <w:tc>
          <w:tcPr>
            <w:tcW w:w="85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w:t>
            </w:r>
          </w:p>
        </w:tc>
      </w:tr>
      <w:tr>
        <w:trPr>
          <w:trHeight w:val="21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23"/>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23"/>
        </w:trPr>
        <w:tc>
          <w:tcPr>
            <w:tcW w:w="8540" w:type="dxa"/>
            <w:vAlign w:val="bottom"/>
          </w:tcPr>
          <w:p>
            <w:pPr>
              <w:ind w:left="4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4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ind w:left="500" w:hanging="492"/>
        <w:spacing w:after="0" w:line="308" w:lineRule="auto"/>
        <w:tabs>
          <w:tab w:leader="none" w:pos="497"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69" w:lineRule="exact"/>
        <w:rPr>
          <w:rFonts w:ascii="Arial" w:cs="Arial" w:eastAsia="Arial" w:hAnsi="Arial"/>
          <w:sz w:val="17"/>
          <w:szCs w:val="17"/>
          <w:color w:val="auto"/>
        </w:rPr>
      </w:pPr>
    </w:p>
    <w:p>
      <w:pPr>
        <w:jc w:val="both"/>
        <w:ind w:left="500" w:hanging="492"/>
        <w:spacing w:after="0" w:line="258" w:lineRule="auto"/>
        <w:tabs>
          <w:tab w:leader="none" w:pos="4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B2B subscription revenue represents revenue from (i) services provided to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enterprises and, fixed-line and mobile services on a wholesale basis, to other operators and (b) revenue from long-term leases of portions of our network.</w:t>
      </w:r>
    </w:p>
    <w:p>
      <w:pPr>
        <w:spacing w:after="0" w:line="197" w:lineRule="exact"/>
        <w:rPr>
          <w:sz w:val="20"/>
          <w:szCs w:val="20"/>
          <w:color w:val="auto"/>
        </w:rPr>
      </w:pPr>
    </w:p>
    <w:p>
      <w:pPr>
        <w:jc w:val="both"/>
        <w:ind w:left="500" w:hanging="492"/>
        <w:spacing w:after="0" w:line="263" w:lineRule="auto"/>
        <w:tabs>
          <w:tab w:leader="none" w:pos="4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revenue includes, among other items, (i) broadcasting revenue in Belgium, Ireland and Switzerland, (ii) revenue earned from the U.K. JV Services and NL JV Services, (iii) revenue earned from transitional and other services provided to various third parties and (iv) revenue earned from the sale of CPE to the VodafoneZiggo JV.</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41"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Slovakia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intersegment eliminations (a)</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VMO2 JV (U.K.)</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3,398.0</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 (Netherlands)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5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20" w:hanging="492"/>
        <w:spacing w:after="0" w:line="277" w:lineRule="auto"/>
        <w:tabs>
          <w:tab w:leader="none" w:pos="4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 from our other geographic segments relates to (i) our Central functions, most of which is located in the Netherlands and the U.K., and (ii) certain other operations at Telenet, primarily in the U.S. and Luxembourg.</w:t>
      </w:r>
    </w:p>
    <w:p>
      <w:pPr>
        <w:spacing w:after="0" w:line="193"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On March 21, 2023, we announced that, through our wholly-owned subsidiary Liberty Global Belgium Holding B.V. (</w:t>
      </w:r>
      <w:r>
        <w:rPr>
          <w:rFonts w:ascii="Arial" w:cs="Arial" w:eastAsia="Arial" w:hAnsi="Arial"/>
          <w:sz w:val="18"/>
          <w:szCs w:val="18"/>
          <w:b w:val="1"/>
          <w:bCs w:val="1"/>
          <w:color w:val="auto"/>
        </w:rPr>
        <w:t>LGBH</w:t>
      </w:r>
      <w:r>
        <w:rPr>
          <w:rFonts w:ascii="Arial" w:cs="Arial" w:eastAsia="Arial" w:hAnsi="Arial"/>
          <w:sz w:val="18"/>
          <w:szCs w:val="18"/>
          <w:color w:val="auto"/>
        </w:rPr>
        <w:t>), we intend to launch a voluntary and conditional public takeover bid for all the shares of Telenet that we do not already own or that are not held by Telenet.</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 xml:space="preserve">On April 11, 2023, LGBH entered into a facility agreement (the </w:t>
      </w:r>
      <w:r>
        <w:rPr>
          <w:rFonts w:ascii="Arial" w:cs="Arial" w:eastAsia="Arial" w:hAnsi="Arial"/>
          <w:sz w:val="17"/>
          <w:szCs w:val="17"/>
          <w:b w:val="1"/>
          <w:bCs w:val="1"/>
          <w:color w:val="auto"/>
        </w:rPr>
        <w:t>Facility Agreement</w:t>
      </w:r>
      <w:r>
        <w:rPr>
          <w:rFonts w:ascii="Arial" w:cs="Arial" w:eastAsia="Arial" w:hAnsi="Arial"/>
          <w:sz w:val="17"/>
          <w:szCs w:val="17"/>
          <w:color w:val="auto"/>
        </w:rPr>
        <w:t>) under which the lenders have agreed to provide a €1.0 billion ($1.1 billion) term loan facility (</w:t>
      </w:r>
      <w:r>
        <w:rPr>
          <w:rFonts w:ascii="Arial" w:cs="Arial" w:eastAsia="Arial" w:hAnsi="Arial"/>
          <w:sz w:val="17"/>
          <w:szCs w:val="17"/>
          <w:b w:val="1"/>
          <w:bCs w:val="1"/>
          <w:color w:val="auto"/>
        </w:rPr>
        <w:t>Facility B</w:t>
      </w:r>
      <w:r>
        <w:rPr>
          <w:rFonts w:ascii="Arial" w:cs="Arial" w:eastAsia="Arial" w:hAnsi="Arial"/>
          <w:sz w:val="17"/>
          <w:szCs w:val="17"/>
          <w:color w:val="auto"/>
        </w:rPr>
        <w:t>) to LGBH which can be drawn to (i) finance the voluntary and conditional public takeover bid for all of the shares of Telenet that it does not already own or that are not held by Telenet or any other acquisition of shares in Telenet including pursuant to any squeeze-out procedure or otherwise, (ii) pay any related fees, costs, expenses and taxes (or similar duties or charges) and (iii) repay the principal amount of any subordinated shareholder debt or other equity funding to the extent used to finance the acquisition of shares in Telenet.</w:t>
      </w:r>
    </w:p>
    <w:p>
      <w:pPr>
        <w:spacing w:after="0" w:line="19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Under the terms of the Facility Agreement, the final maturity date for Facility B will be the date falling on the third anniversary of the earlier of (i) the first drawdown under Facility B (the </w:t>
      </w:r>
      <w:r>
        <w:rPr>
          <w:rFonts w:ascii="Arial" w:cs="Arial" w:eastAsia="Arial" w:hAnsi="Arial"/>
          <w:sz w:val="17"/>
          <w:szCs w:val="17"/>
          <w:b w:val="1"/>
          <w:bCs w:val="1"/>
          <w:color w:val="auto"/>
        </w:rPr>
        <w:t>Closing Date</w:t>
      </w:r>
      <w:r>
        <w:rPr>
          <w:rFonts w:ascii="Arial" w:cs="Arial" w:eastAsia="Arial" w:hAnsi="Arial"/>
          <w:sz w:val="17"/>
          <w:szCs w:val="17"/>
          <w:color w:val="auto"/>
        </w:rPr>
        <w:t>) and (ii) the date falling nine months after the date of the Facility Agreement. Facility B will bear interest at a rate of EURIBOR plus (a) 4.00% per annum for the first year from the Closing Date, (b) 4.50% per annum for the second year from the Closing Date and (c) 5.25% per annum for the third year from the Closing Date, in each case subject to a EURIBOR floor of 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1" w:lineRule="exact"/>
        <w:rPr>
          <w:sz w:val="20"/>
          <w:szCs w:val="20"/>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and 2022.</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and our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cash flows.</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Part I, Item 3.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and Part II, Item 2. </w:t>
      </w:r>
      <w:r>
        <w:rPr>
          <w:rFonts w:ascii="Arial" w:cs="Arial" w:eastAsia="Arial" w:hAnsi="Arial"/>
          <w:sz w:val="16"/>
          <w:szCs w:val="16"/>
          <w:i w:val="1"/>
          <w:iCs w:val="1"/>
          <w:color w:val="auto"/>
        </w:rPr>
        <w:t>Unregistered Sales of Equity Securities and Use of Proceeds</w:t>
      </w:r>
      <w:r>
        <w:rPr>
          <w:rFonts w:ascii="Arial" w:cs="Arial" w:eastAsia="Arial" w:hAnsi="Arial"/>
          <w:sz w:val="16"/>
          <w:szCs w:val="16"/>
          <w:color w:val="auto"/>
        </w:rPr>
        <w:t xml:space="preserve"> may contain forward-looking statements, including statements regarding our business, product, foreign currency 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10-K, as well as the following list of some but not all of the factors that could cause actual results or events (including with respect to our affiliates) to differ materially from anticipated results or events:</w:t>
      </w:r>
    </w:p>
    <w:p>
      <w:pPr>
        <w:spacing w:after="0" w:line="198"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 as a result of, among other things, inflationary pressures;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consumer television viewing and mobile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video, fixed-line telephony and mobile service offerings and our average revenue per household;</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 as a result of, among other things, inflationary pressures;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intervention that requires opening our broadband distribution networks to competitors, such as certain regulatory obligations imposed in Belgium;</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laws, monetary policies and government regulations that may impact the availability or cost of capital and the derivative instruments that hedge certain of our financial risks;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w:t>
      </w:r>
    </w:p>
    <w:p>
      <w:pPr>
        <w:spacing w:after="0" w:line="117" w:lineRule="exact"/>
        <w:rPr>
          <w:rFonts w:ascii="Arial" w:cs="Arial" w:eastAsia="Arial" w:hAnsi="Arial"/>
          <w:sz w:val="18"/>
          <w:szCs w:val="18"/>
          <w:i w:val="1"/>
          <w:iCs w:val="1"/>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 Three (Hutchison), under our MVNO arrangement in Ireland) to timely deliver quality products, equipment, software, services and access;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and cost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7"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processes, of businesses we acquire;</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successfully integrating businesses or operations that we acquire or partner with on the timelines or within the budgets estimated for such integrations;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 and dispositions;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realize the expected synergies from our acquisitions and joint ventures in the amounts anticipated or on the anticipated timelines;</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profit from investments, such as our joint ventures, that we do not solely control;</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protect against, mitigate and contain loss of our and our customers’ data as a result of cyber attacks on us or any of our operating companies;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ectPr>
          <w:pgSz w:w="11900" w:h="16838" w:orient="portrait"/>
          <w:cols w:equalWidth="0" w:num="1">
            <w:col w:w="10908"/>
          </w:cols>
          <w:pgMar w:left="652"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type w:val="continuous"/>
        </w:sectPr>
      </w:pPr>
    </w:p>
    <w:bookmarkStart w:id="52" w:name="page53"/>
    <w:bookmarkEnd w:id="52"/>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arrangements;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 including the ongoing invasion of Ukraine by Russia.</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4 to our condensed consolidated financial statements.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2023, our continuing operations owned and operated networks that passed 7,872,200 homes and served 4,153,500 fixed-line customers and 5,879,000 mobile subscribers.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the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inflationary pressures with respect to labor, programming and other operating costs, including energy costs. In this regard, inflation rates in the countries in which we operate have increased, and in most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further inflation. We are unable to predict the extent that price levels might be impacted in future periods by the current state of the economies in the countries in which we operate.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completed a number of transactions that impact the comparability of our 2023 and 2022 results of operations, the most notable of which is the sale of UPC Poland on April 1, 2022. For further information regarding this disposition, see note 4 to our condensed consolidated financial statements.</w:t>
      </w:r>
    </w:p>
    <w:p>
      <w:pPr>
        <w:spacing w:after="0" w:line="14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the following discussion, we quantify the estimated impact of material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6"/>
          <w:szCs w:val="16"/>
          <w:b w:val="1"/>
          <w:bCs w:val="1"/>
          <w:color w:val="auto"/>
        </w:rPr>
        <w:t>FX</w:t>
      </w:r>
      <w:r>
        <w:rPr>
          <w:rFonts w:ascii="Arial" w:cs="Arial" w:eastAsia="Arial" w:hAnsi="Arial"/>
          <w:sz w:val="16"/>
          <w:szCs w:val="16"/>
          <w:color w:val="auto"/>
        </w:rPr>
        <w:t xml:space="preserve">) risk during the three months ended March 31, 2023 was to the euro and Swiss franc, as 58.6% and 43.2%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6"/>
          <w:szCs w:val="16"/>
          <w:i w:val="1"/>
          <w:iCs w:val="1"/>
          <w:color w:val="auto"/>
        </w:rPr>
        <w:t xml:space="preserve">Discussion and Analysis of our Reportable Segments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Discussion and Analysis of our Consolidated Operating Results </w:t>
      </w:r>
      <w:r>
        <w:rPr>
          <w:rFonts w:ascii="Arial" w:cs="Arial" w:eastAsia="Arial" w:hAnsi="Arial"/>
          <w:sz w:val="16"/>
          <w:szCs w:val="16"/>
          <w:color w:val="auto"/>
        </w:rPr>
        <w:t>below. For information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foreign currency risks and the applicable foreign currency exchange rates in effect for the periods covered by this Quarterly Report, see Part I, Item 3. </w:t>
      </w:r>
      <w:r>
        <w:rPr>
          <w:rFonts w:ascii="Arial" w:cs="Arial" w:eastAsia="Arial" w:hAnsi="Arial"/>
          <w:sz w:val="16"/>
          <w:szCs w:val="16"/>
          <w:i w:val="1"/>
          <w:iCs w:val="1"/>
          <w:color w:val="auto"/>
        </w:rPr>
        <w:t xml:space="preserve">Quantitative and Qualitative Disclosures about Market Risk — Foreign Currency Risk </w:t>
      </w:r>
      <w:r>
        <w:rPr>
          <w:rFonts w:ascii="Arial" w:cs="Arial" w:eastAsia="Arial" w:hAnsi="Arial"/>
          <w:sz w:val="16"/>
          <w:szCs w:val="16"/>
          <w:color w:val="auto"/>
        </w:rPr>
        <w:t>below.</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16 to our condensed consolidated financial statements. For information regarding the results of operations of the VMO2 JV and the VodafoneZiggo JV, refer to </w:t>
      </w:r>
      <w:r>
        <w:rPr>
          <w:rFonts w:ascii="Arial" w:cs="Arial" w:eastAsia="Arial" w:hAnsi="Arial"/>
          <w:sz w:val="18"/>
          <w:szCs w:val="18"/>
          <w:i w:val="1"/>
          <w:iCs w:val="1"/>
          <w:color w:val="auto"/>
        </w:rPr>
        <w:t>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Consolidated Operating Results — Share of results of affiliates, net </w:t>
      </w:r>
      <w:r>
        <w:rPr>
          <w:rFonts w:ascii="Arial" w:cs="Arial" w:eastAsia="Arial" w:hAnsi="Arial"/>
          <w:sz w:val="18"/>
          <w:szCs w:val="18"/>
          <w:color w:val="auto"/>
        </w:rPr>
        <w:t>below.</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tables presented below in this section provide the details of the revenue and Adjusted EBITDA of our reportable segments for the three months ended March 31, 2023 and 2022.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months ended March 31, 2023 and 2022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both"/>
        <w:ind w:firstLine="324"/>
        <w:spacing w:after="0" w:line="259"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14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8"/>
        </w:trPr>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8620" w:type="dxa"/>
            <w:vAlign w:val="bottom"/>
          </w:tcPr>
          <w:p>
            <w:pPr>
              <w:ind w:left="14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losses due to changes in fair values of certain investments,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(575.0)</w:t>
            </w:r>
          </w:p>
        </w:tc>
      </w:tr>
      <w:tr>
        <w:trPr>
          <w:trHeight w:val="230"/>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29"/>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23"/>
        </w:trPr>
        <w:tc>
          <w:tcPr>
            <w:tcW w:w="8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48"/>
        </w:trPr>
        <w:tc>
          <w:tcPr>
            <w:tcW w:w="8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ind w:left="180"/>
        <w:spacing w:after="0"/>
        <w:rPr>
          <w:sz w:val="20"/>
          <w:szCs w:val="20"/>
          <w:color w:val="auto"/>
        </w:rPr>
      </w:pPr>
      <w:r>
        <w:rPr>
          <w:rFonts w:ascii="Arial" w:cs="Arial" w:eastAsia="Arial" w:hAnsi="Arial"/>
          <w:sz w:val="18"/>
          <w:szCs w:val="18"/>
          <w:b w:val="1"/>
          <w:bCs w:val="1"/>
          <w:i w:val="1"/>
          <w:iCs w:val="1"/>
          <w:color w:val="auto"/>
        </w:rPr>
        <w:t>Revenue of our Reportable Segments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reportable segments, we are experiencing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in all of our markets. This competition has an adverse impact on our ability to increase or maintain our total number of customers and/or our ARPU.</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Three months ended</w:t>
            </w:r>
          </w:p>
        </w:tc>
        <w:tc>
          <w:tcPr>
            <w:tcW w:w="300" w:type="dxa"/>
            <w:vAlign w:val="bottom"/>
          </w:tcPr>
          <w:p>
            <w:pPr>
              <w:spacing w:after="0"/>
              <w:rPr>
                <w:sz w:val="16"/>
                <w:szCs w:val="16"/>
                <w:color w:val="auto"/>
              </w:rPr>
            </w:pPr>
          </w:p>
        </w:tc>
        <w:tc>
          <w:tcPr>
            <w:tcW w:w="1560" w:type="dxa"/>
            <w:vAlign w:val="bottom"/>
            <w:gridSpan w:val="3"/>
            <w:vMerge w:val="restart"/>
          </w:tcPr>
          <w:p>
            <w:pPr>
              <w:jc w:val="center"/>
              <w:ind w:left="52"/>
              <w:spacing w:after="0"/>
              <w:rPr>
                <w:sz w:val="20"/>
                <w:szCs w:val="20"/>
                <w:color w:val="auto"/>
              </w:rPr>
            </w:pPr>
            <w:r>
              <w:rPr>
                <w:rFonts w:ascii="Arial" w:cs="Arial" w:eastAsia="Arial" w:hAnsi="Arial"/>
                <w:sz w:val="16"/>
                <w:szCs w:val="16"/>
                <w:b w:val="1"/>
                <w:bCs w:val="1"/>
                <w:color w:val="auto"/>
                <w:w w:val="89"/>
              </w:rPr>
              <w:t>Increase (decrease)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300" w:type="dxa"/>
            <w:vAlign w:val="bottom"/>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100" w:type="dxa"/>
            <w:vAlign w:val="bottom"/>
          </w:tcPr>
          <w:p>
            <w:pPr>
              <w:jc w:val="center"/>
              <w:ind w:left="631"/>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1"/>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100" w:type="dxa"/>
            <w:vAlign w:val="bottom"/>
          </w:tcPr>
          <w:p>
            <w:pPr>
              <w:jc w:val="center"/>
              <w:ind w:left="631"/>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ind w:left="631"/>
              <w:spacing w:after="0"/>
              <w:rPr>
                <w:sz w:val="20"/>
                <w:szCs w:val="20"/>
                <w:color w:val="auto"/>
              </w:rPr>
            </w:pPr>
            <w:r>
              <w:rPr>
                <w:rFonts w:ascii="Arial" w:cs="Arial" w:eastAsia="Arial" w:hAnsi="Arial"/>
                <w:sz w:val="18"/>
                <w:szCs w:val="18"/>
                <w:color w:val="auto"/>
                <w:w w:val="87"/>
              </w:rPr>
              <w:t>0.8</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VMO2 JV</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VodafoneZiggo JV</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 in Switzerland’s revenue during the three months ended March 31, 2023</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in </w:t>
      </w:r>
      <w:r>
        <w:rPr>
          <w:rFonts w:ascii="Arial" w:cs="Arial" w:eastAsia="Arial" w:hAnsi="Arial"/>
          <w:sz w:val="18"/>
          <w:szCs w:val="18"/>
          <w:color w:val="2C2C2C"/>
        </w:rPr>
        <w:t>2022</w:t>
      </w:r>
      <w:r>
        <w:rPr>
          <w:rFonts w:ascii="Arial" w:cs="Arial" w:eastAsia="Arial" w:hAnsi="Arial"/>
          <w:sz w:val="18"/>
          <w:szCs w:val="18"/>
          <w:color w:val="auto"/>
        </w:rPr>
        <w:t>, are set forth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7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revenue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207"/>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8"/>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Increase in other revenue (b)</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7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54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1"/>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58" w:lineRule="auto"/>
        <w:tabs>
          <w:tab w:leader="none" w:pos="4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decrease in residential mobile non-subscription revenue is primarily attributable to (i) a decrease in revenue from handset sales and (ii) lower interconnect revenue.</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increase in other revenue is primarily attributable to higher broadcasting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16"/>
          <w:szCs w:val="16"/>
          <w:i w:val="1"/>
          <w:iCs w:val="1"/>
          <w:color w:val="auto"/>
        </w:rPr>
        <w:t xml:space="preserve">Belgium. </w:t>
      </w:r>
      <w:r>
        <w:rPr>
          <w:rFonts w:ascii="Arial" w:cs="Arial" w:eastAsia="Arial" w:hAnsi="Arial"/>
          <w:sz w:val="16"/>
          <w:szCs w:val="16"/>
          <w:color w:val="auto"/>
        </w:rPr>
        <w:t>The details of the increase in Belgium’s revenue during the three months ended March 31, 2023</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C2C2C"/>
        </w:rPr>
        <w:t>2022</w:t>
      </w:r>
      <w:r>
        <w:rPr>
          <w:rFonts w:ascii="Arial" w:cs="Arial" w:eastAsia="Arial" w:hAnsi="Arial"/>
          <w:sz w:val="18"/>
          <w:szCs w:val="18"/>
          <w:color w:val="000000"/>
        </w:rPr>
        <w:t>, are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0"/>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07"/>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8"/>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Increase in residential fixed non-subscription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dispositions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48"/>
        </w:trPr>
        <w:tc>
          <w:tcPr>
            <w:tcW w:w="7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attributable to an increase in ARPU. The decrease in residential mobile non-subscription revenue is primarily due to lower interconnect revenue.</w:t>
      </w:r>
    </w:p>
    <w:p>
      <w:pPr>
        <w:spacing w:after="0" w:line="197" w:lineRule="exact"/>
        <w:rPr>
          <w:rFonts w:ascii="Arial" w:cs="Arial" w:eastAsia="Arial" w:hAnsi="Arial"/>
          <w:sz w:val="18"/>
          <w:szCs w:val="18"/>
          <w:color w:val="auto"/>
        </w:rPr>
      </w:pPr>
    </w:p>
    <w:p>
      <w:pPr>
        <w:ind w:left="500" w:hanging="492"/>
        <w:spacing w:after="0" w:line="308" w:lineRule="auto"/>
        <w:tabs>
          <w:tab w:leader="none" w:pos="49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increase in B2B subscription revenue is primarily due to an increase in the average number of customers. The increase in B2B non-subscription revenue is primarily attributable to (i) an increase in revenue from wholesale services and (ii) higher interconnect revenue.</w:t>
      </w:r>
    </w:p>
    <w:p>
      <w:pPr>
        <w:spacing w:after="0" w:line="17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 xml:space="preserve">For information concerning certain regulatory developments that could have an adverse impact on our revenue in Belgium, see </w:t>
      </w:r>
      <w:r>
        <w:rPr>
          <w:rFonts w:ascii="Arial" w:cs="Arial" w:eastAsia="Arial" w:hAnsi="Arial"/>
          <w:sz w:val="16"/>
          <w:szCs w:val="16"/>
          <w:i w:val="1"/>
          <w:iCs w:val="1"/>
          <w:color w:val="auto"/>
        </w:rPr>
        <w:t>Legal and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and Other Contingencies — Belgium Regulatory Developments </w:t>
      </w:r>
      <w:r>
        <w:rPr>
          <w:rFonts w:ascii="Arial" w:cs="Arial" w:eastAsia="Arial" w:hAnsi="Arial"/>
          <w:sz w:val="16"/>
          <w:szCs w:val="16"/>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6"/>
          <w:szCs w:val="16"/>
          <w:i w:val="1"/>
          <w:iCs w:val="1"/>
          <w:color w:val="auto"/>
        </w:rPr>
        <w:t xml:space="preserve">Ireland. </w:t>
      </w:r>
      <w:r>
        <w:rPr>
          <w:rFonts w:ascii="Arial" w:cs="Arial" w:eastAsia="Arial" w:hAnsi="Arial"/>
          <w:sz w:val="16"/>
          <w:szCs w:val="16"/>
          <w:color w:val="auto"/>
        </w:rPr>
        <w:t>The details of the decrease in Ireland’s revenue during the three months ended March 31, 2023</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C2C2C"/>
        </w:rPr>
        <w:t>2022</w:t>
      </w:r>
      <w:r>
        <w:rPr>
          <w:rFonts w:ascii="Arial" w:cs="Arial" w:eastAsia="Arial" w:hAnsi="Arial"/>
          <w:sz w:val="18"/>
          <w:szCs w:val="18"/>
          <w:color w:val="000000"/>
        </w:rPr>
        <w:t>, are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0"/>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w:t>
            </w:r>
          </w:p>
        </w:tc>
      </w:tr>
      <w:tr>
        <w:trPr>
          <w:trHeight w:val="207"/>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8"/>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fixed subscription 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76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ind w:left="331"/>
              <w:spacing w:after="0"/>
              <w:rPr>
                <w:sz w:val="20"/>
                <w:szCs w:val="20"/>
                <w:color w:val="auto"/>
              </w:rPr>
            </w:pPr>
            <w:r>
              <w:rPr>
                <w:rFonts w:ascii="Arial" w:cs="Arial" w:eastAsia="Arial" w:hAnsi="Arial"/>
                <w:sz w:val="18"/>
                <w:szCs w:val="18"/>
                <w:color w:val="auto"/>
                <w:w w:val="97"/>
              </w:rPr>
              <w:t>(2.4)</w:t>
            </w:r>
          </w:p>
        </w:tc>
      </w:tr>
      <w:tr>
        <w:trPr>
          <w:trHeight w:val="229"/>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87"/>
              </w:rPr>
              <w:t>0.9</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31"/>
              <w:spacing w:after="0"/>
              <w:rPr>
                <w:sz w:val="20"/>
                <w:szCs w:val="20"/>
                <w:color w:val="auto"/>
              </w:rPr>
            </w:pPr>
            <w:r>
              <w:rPr>
                <w:rFonts w:ascii="Arial" w:cs="Arial" w:eastAsia="Arial" w:hAnsi="Arial"/>
                <w:sz w:val="18"/>
                <w:szCs w:val="18"/>
                <w:color w:val="auto"/>
                <w:w w:val="97"/>
              </w:rPr>
              <w:t>(0.1)</w:t>
            </w:r>
          </w:p>
        </w:tc>
      </w:tr>
      <w:tr>
        <w:trPr>
          <w:trHeight w:val="223"/>
        </w:trPr>
        <w:tc>
          <w:tcPr>
            <w:tcW w:w="7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7"/>
              </w:rPr>
              <w:t>(1.6)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Arial" w:cs="Arial" w:eastAsia="Arial" w:hAnsi="Arial"/>
                <w:sz w:val="18"/>
                <w:szCs w:val="18"/>
                <w:color w:val="auto"/>
                <w:w w:val="87"/>
              </w:rPr>
              <w:t>0.8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(0.2)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1"/>
              <w:spacing w:after="0"/>
              <w:rPr>
                <w:sz w:val="20"/>
                <w:szCs w:val="20"/>
                <w:color w:val="auto"/>
              </w:rPr>
            </w:pPr>
            <w:r>
              <w:rPr>
                <w:rFonts w:ascii="Arial" w:cs="Arial" w:eastAsia="Arial" w:hAnsi="Arial"/>
                <w:sz w:val="18"/>
                <w:szCs w:val="18"/>
                <w:color w:val="auto"/>
                <w:w w:val="87"/>
              </w:rPr>
              <w:t>1.9</w:t>
            </w:r>
          </w:p>
        </w:tc>
      </w:tr>
      <w:tr>
        <w:trPr>
          <w:trHeight w:val="223"/>
        </w:trPr>
        <w:tc>
          <w:tcPr>
            <w:tcW w:w="7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87"/>
              </w:rPr>
              <w:t>0.9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97"/>
              </w:rPr>
              <w:t>(5.7)</w:t>
            </w:r>
          </w:p>
        </w:tc>
      </w:tr>
      <w:tr>
        <w:trPr>
          <w:trHeight w:val="248"/>
        </w:trPr>
        <w:tc>
          <w:tcPr>
            <w:tcW w:w="7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7"/>
              </w:rPr>
              <w:t>(4.8)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of our Reportable Segments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Three months ended</w:t>
            </w:r>
          </w:p>
        </w:tc>
        <w:tc>
          <w:tcPr>
            <w:tcW w:w="300" w:type="dxa"/>
            <w:vAlign w:val="bottom"/>
          </w:tcPr>
          <w:p>
            <w:pPr>
              <w:spacing w:after="0"/>
              <w:rPr>
                <w:sz w:val="16"/>
                <w:szCs w:val="16"/>
                <w:color w:val="auto"/>
              </w:rPr>
            </w:pPr>
          </w:p>
        </w:tc>
        <w:tc>
          <w:tcPr>
            <w:tcW w:w="1540" w:type="dxa"/>
            <w:vAlign w:val="bottom"/>
            <w:gridSpan w:val="3"/>
            <w:vMerge w:val="restart"/>
          </w:tcPr>
          <w:p>
            <w:pPr>
              <w:jc w:val="center"/>
              <w:ind w:left="72"/>
              <w:spacing w:after="0"/>
              <w:rPr>
                <w:sz w:val="20"/>
                <w:szCs w:val="20"/>
                <w:color w:val="auto"/>
              </w:rPr>
            </w:pPr>
            <w:r>
              <w:rPr>
                <w:rFonts w:ascii="Arial" w:cs="Arial" w:eastAsia="Arial" w:hAnsi="Arial"/>
                <w:sz w:val="16"/>
                <w:szCs w:val="16"/>
                <w:b w:val="1"/>
                <w:bCs w:val="1"/>
                <w:color w:val="auto"/>
                <w:w w:val="89"/>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30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(9.9)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100" w:type="dxa"/>
            <w:vAlign w:val="bottom"/>
          </w:tcPr>
          <w:p>
            <w:pPr>
              <w:jc w:val="center"/>
              <w:ind w:left="611"/>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1"/>
              <w:spacing w:after="0"/>
              <w:rPr>
                <w:sz w:val="20"/>
                <w:szCs w:val="20"/>
                <w:color w:val="auto"/>
              </w:rPr>
            </w:pPr>
            <w:r>
              <w:rPr>
                <w:rFonts w:ascii="Arial" w:cs="Arial" w:eastAsia="Arial" w:hAnsi="Arial"/>
                <w:sz w:val="18"/>
                <w:szCs w:val="18"/>
                <w:color w:val="auto"/>
                <w:w w:val="97"/>
              </w:rPr>
              <w:t>(8.0)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91"/>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7"/>
              </w:rPr>
              <w:t>(6.1)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60"/>
              <w:spacing w:after="0"/>
              <w:rPr>
                <w:sz w:val="20"/>
                <w:szCs w:val="20"/>
                <w:color w:val="auto"/>
              </w:rPr>
            </w:pPr>
            <w:r>
              <w:rPr>
                <w:rFonts w:ascii="Arial" w:cs="Arial" w:eastAsia="Arial" w:hAnsi="Arial"/>
                <w:sz w:val="18"/>
                <w:szCs w:val="18"/>
                <w:color w:val="auto"/>
              </w:rPr>
              <w:t>VMO2 JV</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VodafoneZiggo JV</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9" w:name="page60"/>
    <w:bookmarkEnd w:id="59"/>
    <w:p>
      <w:pPr>
        <w:ind w:left="18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Adjusted EBITDA margins (Adjusted EBITDA divided by revenue) of each of our reportable segments: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29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8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r>
      <w:tr>
        <w:trPr>
          <w:trHeight w:val="209"/>
        </w:trPr>
        <w:tc>
          <w:tcPr>
            <w:tcW w:w="8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 (a)</w:t>
            </w:r>
          </w:p>
        </w:tc>
      </w:tr>
      <w:tr>
        <w:trPr>
          <w:trHeight w:val="199"/>
        </w:trPr>
        <w:tc>
          <w:tcPr>
            <w:tcW w:w="8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2"/>
              </w:rPr>
              <w:t>32.6 %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r>
      <w:tr>
        <w:trPr>
          <w:trHeight w:val="229"/>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540" w:type="dxa"/>
            <w:vAlign w:val="bottom"/>
          </w:tcPr>
          <w:p>
            <w:pPr>
              <w:spacing w:after="0"/>
              <w:rPr>
                <w:sz w:val="20"/>
                <w:szCs w:val="20"/>
                <w:color w:val="auto"/>
              </w:rPr>
            </w:pPr>
            <w:r>
              <w:rPr>
                <w:rFonts w:ascii="Arial" w:cs="Arial" w:eastAsia="Arial" w:hAnsi="Arial"/>
                <w:sz w:val="18"/>
                <w:szCs w:val="18"/>
                <w:color w:val="auto"/>
                <w:w w:val="92"/>
              </w:rPr>
              <w:t>40.1 %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46.7 %</w:t>
            </w:r>
          </w:p>
        </w:tc>
      </w:tr>
      <w:tr>
        <w:trPr>
          <w:trHeight w:val="230"/>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2"/>
              </w:rPr>
              <w:t>33.7 %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r>
      <w:tr>
        <w:trPr>
          <w:trHeight w:val="270"/>
        </w:trPr>
        <w:tc>
          <w:tcPr>
            <w:tcW w:w="8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VMO2 JV</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2"/>
              </w:rPr>
              <w:t>32.4 %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30"/>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VodafoneZiggo JV</w:t>
            </w:r>
          </w:p>
        </w:tc>
        <w:tc>
          <w:tcPr>
            <w:tcW w:w="540" w:type="dxa"/>
            <w:vAlign w:val="bottom"/>
          </w:tcPr>
          <w:p>
            <w:pPr>
              <w:spacing w:after="0"/>
              <w:rPr>
                <w:sz w:val="20"/>
                <w:szCs w:val="20"/>
                <w:color w:val="auto"/>
              </w:rPr>
            </w:pPr>
            <w:r>
              <w:rPr>
                <w:rFonts w:ascii="Arial" w:cs="Arial" w:eastAsia="Arial" w:hAnsi="Arial"/>
                <w:sz w:val="18"/>
                <w:szCs w:val="18"/>
                <w:color w:val="auto"/>
                <w:w w:val="92"/>
              </w:rPr>
              <w:t>43.5 %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277" w:lineRule="auto"/>
        <w:tabs>
          <w:tab w:leader="none" w:pos="4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 For discussion of the factors contributing to the changes in the Adjusted EBITDA margins of the VMO2 JV and the VodafoneZiggo JV, see </w:t>
      </w:r>
      <w:r>
        <w:rPr>
          <w:rFonts w:ascii="Arial" w:cs="Arial" w:eastAsia="Arial" w:hAnsi="Arial"/>
          <w:sz w:val="18"/>
          <w:szCs w:val="18"/>
          <w:i w:val="1"/>
          <w:iCs w:val="1"/>
          <w:color w:val="auto"/>
        </w:rPr>
        <w:t>Discussion and Analysis of our Consolidated Operating Results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of results of affiliates, net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left="180" w:right="2140" w:hanging="161"/>
        <w:spacing w:after="0" w:line="277" w:lineRule="auto"/>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w:t>
      </w:r>
      <w:r>
        <w:rPr>
          <w:rFonts w:ascii="Arial" w:cs="Arial" w:eastAsia="Arial" w:hAnsi="Arial"/>
          <w:sz w:val="18"/>
          <w:szCs w:val="18"/>
          <w:i w:val="1"/>
          <w:iCs w:val="1"/>
          <w:color w:val="auto"/>
        </w:rPr>
        <w:t>Revenue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06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5"/>
          </w:tcPr>
          <w:p>
            <w:pPr>
              <w:ind w:left="40"/>
              <w:spacing w:after="0"/>
              <w:rPr>
                <w:sz w:val="20"/>
                <w:szCs w:val="20"/>
                <w:color w:val="auto"/>
              </w:rPr>
            </w:pPr>
            <w:r>
              <w:rPr>
                <w:rFonts w:ascii="Arial" w:cs="Arial" w:eastAsia="Arial" w:hAnsi="Arial"/>
                <w:sz w:val="16"/>
                <w:szCs w:val="16"/>
                <w:b w:val="1"/>
                <w:bCs w:val="1"/>
                <w:color w:val="auto"/>
                <w:w w:val="96"/>
              </w:rPr>
              <w:t>in millions, except percentages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20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1,853.3</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63" w:lineRule="auto"/>
        <w:tabs>
          <w:tab w:leader="none" w:pos="4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0" w:lineRule="exact"/>
        <w:rPr>
          <w:rFonts w:ascii="Arial" w:cs="Arial" w:eastAsia="Arial" w:hAnsi="Arial"/>
          <w:sz w:val="18"/>
          <w:szCs w:val="18"/>
          <w:color w:val="auto"/>
        </w:rPr>
      </w:pPr>
    </w:p>
    <w:p>
      <w:pPr>
        <w:jc w:val="both"/>
        <w:ind w:left="500" w:hanging="492"/>
        <w:spacing w:after="0" w:line="286" w:lineRule="auto"/>
        <w:tabs>
          <w:tab w:leader="none" w:pos="4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2" w:lineRule="exact"/>
        <w:rPr>
          <w:rFonts w:ascii="Arial" w:cs="Arial" w:eastAsia="Arial" w:hAnsi="Arial"/>
          <w:sz w:val="17"/>
          <w:szCs w:val="17"/>
          <w:color w:val="auto"/>
        </w:rPr>
      </w:pPr>
    </w:p>
    <w:p>
      <w:pPr>
        <w:jc w:val="both"/>
        <w:ind w:left="500" w:hanging="492"/>
        <w:spacing w:after="0" w:line="286" w:lineRule="auto"/>
        <w:tabs>
          <w:tab w:leader="none" w:pos="497"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$33.3 million and $39.5 million during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jc w:val="both"/>
        <w:ind w:left="500" w:hanging="492"/>
        <w:spacing w:after="0" w:line="286" w:lineRule="auto"/>
        <w:tabs>
          <w:tab w:leader="none" w:pos="494" w:val="left"/>
        </w:tabs>
        <w:numPr>
          <w:ilvl w:val="0"/>
          <w:numId w:val="57"/>
        </w:numPr>
        <w:rPr>
          <w:rFonts w:ascii="Arial" w:cs="Arial" w:eastAsia="Arial" w:hAnsi="Arial"/>
          <w:sz w:val="16"/>
          <w:szCs w:val="16"/>
          <w:color w:val="auto"/>
        </w:rPr>
      </w:pPr>
      <w:r>
        <w:rPr>
          <w:rFonts w:ascii="Arial" w:cs="Arial" w:eastAsia="Arial" w:hAnsi="Arial"/>
          <w:sz w:val="16"/>
          <w:szCs w:val="16"/>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w:t>
      </w:r>
    </w:p>
    <w:p>
      <w:pPr>
        <w:spacing w:after="0" w:line="1" w:lineRule="exact"/>
        <w:rPr>
          <w:rFonts w:ascii="Arial" w:cs="Arial" w:eastAsia="Arial" w:hAnsi="Arial"/>
          <w:sz w:val="16"/>
          <w:szCs w:val="16"/>
          <w:color w:val="auto"/>
        </w:rPr>
      </w:pPr>
    </w:p>
    <w:p>
      <w:pPr>
        <w:ind w:left="500"/>
        <w:spacing w:after="0" w:line="290" w:lineRule="auto"/>
        <w:rPr>
          <w:rFonts w:ascii="Arial" w:cs="Arial" w:eastAsia="Arial" w:hAnsi="Arial"/>
          <w:sz w:val="16"/>
          <w:szCs w:val="16"/>
          <w:color w:val="auto"/>
        </w:rPr>
      </w:pPr>
      <w:r>
        <w:rPr>
          <w:rFonts w:ascii="Arial" w:cs="Arial" w:eastAsia="Arial" w:hAnsi="Arial"/>
          <w:sz w:val="17"/>
          <w:szCs w:val="17"/>
          <w:color w:val="auto"/>
        </w:rPr>
        <w:t>(a)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188" w:lineRule="exact"/>
        <w:rPr>
          <w:rFonts w:ascii="Arial" w:cs="Arial" w:eastAsia="Arial" w:hAnsi="Arial"/>
          <w:sz w:val="16"/>
          <w:szCs w:val="16"/>
          <w:color w:val="auto"/>
        </w:rPr>
      </w:pPr>
    </w:p>
    <w:p>
      <w:pPr>
        <w:jc w:val="both"/>
        <w:ind w:left="500" w:hanging="492"/>
        <w:spacing w:after="0" w:line="263" w:lineRule="auto"/>
        <w:tabs>
          <w:tab w:leader="none" w:pos="4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revenue includes, among other items, (i) broadcasting revenue in Belgium, Ireland and Switzerland, (ii) revenue earned from the U.K. JV Services and NL JV Services, (iii) revenue earned from transitional and other services provided to various third parties and (iv) revenue earned from the sale of CPE to the VodafoneZiggo JV.</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$15.1 million or 0.8% during the three months ended March 31, 2023,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2022. On an organic basis, our consolidated revenue increased $15.2 million or 0.8%.</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 in our consolidated residential revenue during the three months ended March 31, 2023,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period in 2022, are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98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residential fixed non-subscription revenue</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fixed revenue</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9840" w:type="dxa"/>
            <w:vAlign w:val="bottom"/>
          </w:tcPr>
          <w:p>
            <w:pPr>
              <w:ind w:left="260"/>
              <w:spacing w:after="0"/>
              <w:rPr>
                <w:sz w:val="20"/>
                <w:szCs w:val="20"/>
                <w:color w:val="auto"/>
              </w:rPr>
            </w:pPr>
            <w:r>
              <w:rPr>
                <w:rFonts w:ascii="Arial" w:cs="Arial" w:eastAsia="Arial" w:hAnsi="Arial"/>
                <w:sz w:val="18"/>
                <w:szCs w:val="18"/>
                <w:color w:val="auto"/>
              </w:rPr>
              <w:t>Total organic decrease in residential revenue</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48"/>
        </w:trPr>
        <w:tc>
          <w:tcPr>
            <w:tcW w:w="9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decrease in residential revenue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On an organic basis, our consolidated residential fixed subscription revenue decreased $14.8 million or 1.9% during the three months ended March 31, 2023, as compared to the corresponding period in 2022, primarily attributable to a decrease in </w:t>
      </w:r>
      <w:r>
        <w:rPr>
          <w:rFonts w:ascii="Arial" w:cs="Arial" w:eastAsia="Arial" w:hAnsi="Arial"/>
          <w:sz w:val="18"/>
          <w:szCs w:val="18"/>
          <w:color w:val="2C2C2C"/>
        </w:rPr>
        <w:t>Switzerland.</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an organic basis, our consolidated residential fixed non-subscription revenue decreased $4.6 million or 38.0% during the three months ended March 31, 2023, as compared to the corresponding period in 2022, primarily due to a decrease in Switzerland.</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an organic basis, our consolidated residential mobile subscription revenue increased $9.0 million or 2.5% during the three months ended March 31, 2023, as compared to the corresponding period in 2022, primarily attributable to an increase in Belgium.</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$9.3 million or 6.4% during the three months ended March 31, 2023, as compared to the corresponding period in 2022, primarily due to decreases in </w:t>
      </w:r>
      <w:r>
        <w:rPr>
          <w:rFonts w:ascii="Arial" w:cs="Arial" w:eastAsia="Arial" w:hAnsi="Arial"/>
          <w:sz w:val="18"/>
          <w:szCs w:val="18"/>
          <w:color w:val="2C2C2C"/>
        </w:rPr>
        <w:t>Belgium and Switzerland.</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$5.1 million or 3.8%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as compared to the corresponding period in 2022, primarily attributable to an increase in Belgium.</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an organic basis, our consolidated B2B non-subscription revenue increased $6.0 million or 2.7% during the three months ended March 31, 2023, as compared to the corresponding period in 2022, primarily due to an increase in Belgium.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increased $23.8 million or 8.6% during the three months ended March 31,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 in 2022, primarily attributable to (i) higher broadcasting revenue in Belgium, Switzerland and Ireland and (ii) an increase in Central and Other related to revenue earned from the sale of CPE to the VodafoneZiggo JV.</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regarding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2100" w:type="dxa"/>
            <w:vAlign w:val="bottom"/>
            <w:gridSpan w:val="4"/>
            <w:vMerge w:val="restart"/>
          </w:tcPr>
          <w:p>
            <w:pPr>
              <w:jc w:val="center"/>
              <w:ind w:right="400"/>
              <w:spacing w:after="0"/>
              <w:rPr>
                <w:sz w:val="20"/>
                <w:szCs w:val="20"/>
                <w:color w:val="auto"/>
              </w:rPr>
            </w:pPr>
            <w:r>
              <w:rPr>
                <w:rFonts w:ascii="Arial" w:cs="Arial" w:eastAsia="Arial" w:hAnsi="Arial"/>
                <w:sz w:val="16"/>
                <w:szCs w:val="16"/>
                <w:b w:val="1"/>
                <w:bCs w:val="1"/>
                <w:color w:val="auto"/>
                <w:w w:val="89"/>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programming and other direct costs of services increased $33.9 million or 6.3% during the three months ended March 31, 2023, as compared to the corresponding period in 2022. On an organic basis, our programming and other direct costs of services increased $19.8 million or 3.5%. This increase includes the following factors:</w:t>
      </w:r>
    </w:p>
    <w:p>
      <w:pPr>
        <w:spacing w:after="0" w:line="21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in costs of $6.6 million in Central and Other related to the sale of CPE to the VodafoneZiggo JV;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in programming and copyright costs of $5.8 million or 3.7%, attributable to higher costs for certain premium and/or basic content, primarily in Belgium and Switzerland.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86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Increase (decrease)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3"/>
            <w:vMerge w:val="restart"/>
          </w:tcPr>
          <w:p>
            <w:pPr>
              <w:jc w:val="right"/>
              <w:ind w:right="471"/>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1860" w:type="dxa"/>
            <w:vAlign w:val="bottom"/>
            <w:gridSpan w:val="4"/>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7"/>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4140" w:type="dxa"/>
            <w:vAlign w:val="bottom"/>
          </w:tcPr>
          <w:p>
            <w:pPr>
              <w:ind w:left="140"/>
              <w:spacing w:after="0" w:line="156" w:lineRule="exact"/>
              <w:rPr>
                <w:sz w:val="20"/>
                <w:szCs w:val="20"/>
                <w:color w:val="auto"/>
              </w:rPr>
            </w:pPr>
            <w:r>
              <w:rPr>
                <w:rFonts w:ascii="Arial" w:cs="Arial" w:eastAsia="Arial" w:hAnsi="Arial"/>
                <w:sz w:val="18"/>
                <w:szCs w:val="18"/>
                <w:color w:val="auto"/>
                <w:w w:val="91"/>
              </w:rPr>
              <w:t>Total other operating expenses excluding share-based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14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4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other operating expenses (exclusive of share-based compensation expense) increased $26.5 million or 9.7% during the three months ended March 31, 2023, as compared to the corresponding period in 2022. On an organic basis, our other operating expenses increased $22.4 million or 7.8%. This increase includes the following factors:</w:t>
      </w:r>
    </w:p>
    <w:p>
      <w:pPr>
        <w:spacing w:after="0" w:line="211" w:lineRule="exact"/>
        <w:rPr>
          <w:sz w:val="20"/>
          <w:szCs w:val="20"/>
          <w:color w:val="auto"/>
        </w:rPr>
      </w:pPr>
    </w:p>
    <w:p>
      <w:pPr>
        <w:ind w:left="660" w:hanging="328"/>
        <w:spacing w:after="0" w:line="25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costs of $8.7 million or 14.2%, primarily due to higher information technology-related expenses in Central and Other, Switzerland and Ireland;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business service costs of $6.4 million or 18.7%, primarily due to the net effect of (i) higher energy costs, primarily in Belgium and Switzerland, and (ii) lower consulting costs, primarily in Central and Other;</w:t>
      </w:r>
    </w:p>
    <w:p>
      <w:pPr>
        <w:spacing w:after="0" w:line="21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decrease in service delivery platform costs of $3.9 million and 11.0%, primarily related to lower mobile license and maintenance costs in Belgium; and</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personnel costs of $2.6 million or 2.9%, primarily due to the net effect of (i) higher average costs per employee, primarily in Belgium and Switzerland, and (ii) lower costs due to higher capitalizable activities, primarily in Belgium and Switzerland.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4" w:name="page65"/>
    <w:bookmarkEnd w:id="64"/>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184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184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140" w:type="dxa"/>
            <w:vAlign w:val="bottom"/>
          </w:tcPr>
          <w:p>
            <w:pPr>
              <w:ind w:left="140"/>
              <w:spacing w:after="0" w:line="156" w:lineRule="exact"/>
              <w:rPr>
                <w:sz w:val="20"/>
                <w:szCs w:val="20"/>
                <w:color w:val="auto"/>
              </w:rPr>
            </w:pPr>
            <w:r>
              <w:rPr>
                <w:rFonts w:ascii="Arial" w:cs="Arial" w:eastAsia="Arial" w:hAnsi="Arial"/>
                <w:sz w:val="18"/>
                <w:szCs w:val="18"/>
                <w:color w:val="auto"/>
              </w:rPr>
              <w:t>Total SG&amp;A expenses excluding share-based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14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left="500" w:right="20" w:hanging="492"/>
        <w:spacing w:after="0" w:line="277" w:lineRule="auto"/>
        <w:tabs>
          <w:tab w:leader="none" w:pos="4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00" w:type="dxa"/>
            <w:vAlign w:val="bottom"/>
          </w:tcPr>
          <w:p>
            <w:pPr>
              <w:spacing w:after="0"/>
              <w:rPr>
                <w:sz w:val="16"/>
                <w:szCs w:val="16"/>
                <w:color w:val="auto"/>
              </w:rPr>
            </w:pPr>
          </w:p>
        </w:tc>
        <w:tc>
          <w:tcPr>
            <w:tcW w:w="1260" w:type="dxa"/>
            <w:vAlign w:val="bottom"/>
            <w:gridSpan w:val="3"/>
            <w:vMerge w:val="restart"/>
          </w:tcPr>
          <w:p>
            <w:pPr>
              <w:jc w:val="center"/>
              <w:ind w:left="354"/>
              <w:spacing w:after="0"/>
              <w:rPr>
                <w:sz w:val="20"/>
                <w:szCs w:val="20"/>
                <w:color w:val="auto"/>
              </w:rPr>
            </w:pPr>
            <w:r>
              <w:rPr>
                <w:rFonts w:ascii="Arial" w:cs="Arial" w:eastAsia="Arial" w:hAnsi="Arial"/>
                <w:sz w:val="16"/>
                <w:szCs w:val="16"/>
                <w:b w:val="1"/>
                <w:bCs w:val="1"/>
                <w:color w:val="auto"/>
                <w:w w:val="89"/>
              </w:rPr>
              <w:t>Increase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3"/>
            <w:vMerge w:val="restart"/>
          </w:tcPr>
          <w:p>
            <w:pPr>
              <w:jc w:val="right"/>
              <w:ind w:right="472"/>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2022 (a)</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8"/>
              </w:rPr>
              <w:t>in millions, except percentages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(b)</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277" w:lineRule="auto"/>
        <w:tabs>
          <w:tab w:leader="none" w:pos="4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have been revised, as applicable, to reflect the retrospective impact of the Tech Framework, as further described in note 16 to our condensed consolidated financial statements.</w:t>
      </w:r>
    </w:p>
    <w:p>
      <w:pPr>
        <w:spacing w:after="0" w:line="197" w:lineRule="exact"/>
        <w:rPr>
          <w:rFonts w:ascii="Arial" w:cs="Arial" w:eastAsia="Arial" w:hAnsi="Arial"/>
          <w:sz w:val="18"/>
          <w:szCs w:val="18"/>
          <w:color w:val="auto"/>
        </w:rPr>
      </w:pPr>
    </w:p>
    <w:p>
      <w:pPr>
        <w:ind w:left="500" w:hanging="492"/>
        <w:spacing w:after="0" w:line="277" w:lineRule="auto"/>
        <w:tabs>
          <w:tab w:leader="none" w:pos="4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SG&amp;A expenses (exclusive of share-based compensation expense) increased $14.5 million or 4.0% during the three months ended March 31, 2023, as compared to the corresponding period in 2022. On an organic basis, our SG&amp;A expenses increased $14.4 million or 3.9%. This increase includes the following factors:</w:t>
      </w:r>
    </w:p>
    <w:p>
      <w:pPr>
        <w:spacing w:after="0" w:line="211" w:lineRule="exact"/>
        <w:rPr>
          <w:sz w:val="20"/>
          <w:szCs w:val="20"/>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external sales and marketing costs of $8.4 million or 10.8%, primarily due to higher costs associated with advertising campaigns in Switzerland;</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5" w:name="page66"/>
    <w:bookmarkEnd w:id="65"/>
    <w:p>
      <w:pPr>
        <w:jc w:val="both"/>
        <w:ind w:left="660" w:hanging="328"/>
        <w:spacing w:after="0" w:line="263"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business service costs of $8.3 million or 19.7%, primarily due to higher (i) consulting costs, as increases in Switzerland and Belgium were only partially offset by a decrease in Central and Other, (ii) energy costs, primarily in Switzerland and Belgium, and (iii) travel and entertainment costs in Central and Other; and</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decrease in core network and information technology-related costs of $3.2 million or 8.7%, primarily due to lower information technology-related expenses in Switzerland.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32"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8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Non-Performance based incentive awards</w:t>
            </w: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29.2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based incentive awards (a)</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Liberty Global</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2022 amount includes share-based compensation expense related to our 2019 Challenge Performance Awards.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4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depreciation and amortization expense was $526.9 million and $564.7 million during the three months ended March 31, 2023 and 2022, respectively. Excluding the effects of FX, depreciation and amortization expense decreased $25.9 million or 4.6% during the three months ended March 31, 2023, as compared to the corresponding period in 2022. This decrease is primarily due to the net effect of (i) a decrease associated with certain assets becoming fully depreciated, primarily in Central and Other, Switzerland and Belgium, and (ii) an increase associated with property and equipment additions, the expansion and upgrade of our networks and other capital initiatives, primarily in Central and Other, Switzerland and Belgium.</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recognized impairment, restructuring and other operating items, net, of $16.4 million and $9.4 million during the three months ended March 31, 2023 and 2022, respectively, which includes direct acquisition and disposition costs of $13.9 million and $10.2 million, respectively, primarily in Belgium and Central and Other.</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6" w:name="page67"/>
    <w:bookmarkEnd w:id="66"/>
    <w:p>
      <w:pPr>
        <w:jc w:val="both"/>
        <w:ind w:firstLine="324"/>
        <w:spacing w:after="0" w:line="311"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interest expense of $200.9 million and $134.2 million during the three months ended March 31, 2023 and 2022, respectively. Excluding the effects of FX, interest expense increased $75.9 million or 56.6% during the three months ended March 31, 2023, as compared to the corresponding period in 2022. This increase is primarily attributable to a higher weighted average interest rate. For additional information regarding our outstanding indebtedness, see note 9 to our condensed consolidated financial statements.</w:t>
      </w:r>
    </w:p>
    <w:p>
      <w:pPr>
        <w:spacing w:after="0" w:line="21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64"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06"/>
        </w:trPr>
        <w:tc>
          <w:tcPr>
            <w:tcW w:w="8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r>
      <w:tr>
        <w:trPr>
          <w:trHeight w:val="168"/>
        </w:trPr>
        <w:tc>
          <w:tcPr>
            <w:tcW w:w="8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Equity-related derivative instruments (b)</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8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57" w:lineRule="auto"/>
        <w:tabs>
          <w:tab w:leader="none" w:pos="4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loss for the 2023 period is attributable to net losses associated with changes in (i) the relative value of certain currencies and (ii) certain market interest rates. In addition, the loss for the 2023 period includes a net loss of $21.4 million resulting from changes in our credit risk valuation adjustments. The gain for the 2022 period is attributable to net gains associated with changes in (a) certain market interest rates and (b) the relative value of certain currencies. In addition, the gain for the 2022 period includes a net gain of $4.5 million resulting from changes in our credit risk valuation adjustments.</w:t>
      </w:r>
    </w:p>
    <w:p>
      <w:pPr>
        <w:spacing w:after="0" w:line="214" w:lineRule="exact"/>
        <w:rPr>
          <w:rFonts w:ascii="Arial" w:cs="Arial" w:eastAsia="Arial" w:hAnsi="Arial"/>
          <w:sz w:val="18"/>
          <w:szCs w:val="18"/>
          <w:color w:val="auto"/>
        </w:rPr>
      </w:pPr>
    </w:p>
    <w:p>
      <w:pPr>
        <w:ind w:left="480" w:hanging="472"/>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derivative instruments, see notes 6 and 7 to our condensed consolidated financial statements and Part I, Item</w:t>
      </w:r>
    </w:p>
    <w:p>
      <w:pPr>
        <w:spacing w:after="0" w:line="46"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7" w:name="page68"/>
    <w:bookmarkEnd w:id="67"/>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02" w:lineRule="exact"/>
        <w:rPr>
          <w:sz w:val="20"/>
          <w:szCs w:val="20"/>
          <w:color w:val="auto"/>
        </w:rPr>
      </w:pPr>
    </w:p>
    <w:p>
      <w:pPr>
        <w:jc w:val="center"/>
        <w:ind w:left="8520"/>
        <w:spacing w:after="0"/>
        <w:rPr>
          <w:sz w:val="20"/>
          <w:szCs w:val="20"/>
          <w:color w:val="auto"/>
        </w:rPr>
      </w:pPr>
      <w:r>
        <w:rPr>
          <w:rFonts w:ascii="Arial" w:cs="Arial" w:eastAsia="Arial" w:hAnsi="Arial"/>
          <w:sz w:val="16"/>
          <w:szCs w:val="16"/>
          <w:b w:val="1"/>
          <w:bCs w:val="1"/>
          <w:color w:val="auto"/>
        </w:rPr>
        <w:t>Three months ended</w:t>
      </w:r>
    </w:p>
    <w:p>
      <w:pPr>
        <w:jc w:val="center"/>
        <w:ind w:left="8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206"/>
        </w:trPr>
        <w:tc>
          <w:tcPr>
            <w:tcW w:w="8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8"/>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Intercompany payables and receivables denominated in a currency other than the entity’s functional currency (a)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54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right="20" w:hanging="492"/>
        <w:spacing w:after="0" w:line="342" w:lineRule="auto"/>
        <w:tabs>
          <w:tab w:leader="none" w:pos="4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losses due to changes in fair values of certain investments, net</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losses due to changes in fair values of certain investments, net, are as follows:</w:t>
      </w:r>
    </w:p>
    <w:p>
      <w:pPr>
        <w:spacing w:after="0" w:line="87"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06"/>
        </w:trPr>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Vodafone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(37.4)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Lacework</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(21.4)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SMAs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(14.5)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48"/>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8" w:name="page69"/>
    <w:bookmarkEnd w:id="68"/>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4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8"/>
        </w:trPr>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AtlasEdge JV</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nexfibre JV</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w:t>
            </w: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jc w:val="both"/>
        <w:ind w:left="500" w:hanging="492"/>
        <w:spacing w:after="0" w:line="286" w:lineRule="auto"/>
        <w:tabs>
          <w:tab w:leader="none" w:pos="497"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27"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Three months ended</w:t>
      </w:r>
    </w:p>
    <w:p>
      <w:pPr>
        <w:jc w:val="center"/>
        <w:ind w:left="7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1,025.9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interest expense of $327.7 million and $235.0 million, respectively.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change in the VMO2 JV’s revenue during the three months ended March 31, 2023, as compared to the corresponding period in 2022, is primarily due to the net effect of (i) an increase in other revenue due to the construction agreement with the nexfibre JV, (ii) an increase in mobile revenue, (iii) a decrease in residential fixed revenue and (iv) a decrease in B2B revenue, with each revenue category as defined and reported by the VMO2 JV. The change in the VMO2 JV’s Adjusted EBITDA during the three months ended March 31, 2023, as compared to the corresponding period in 2022, is primarily due to the net effect of (a) higher energy costs and (b) the realization of synergies.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9" w:name="page70"/>
    <w:bookmarkEnd w:id="69"/>
    <w:p>
      <w:pPr>
        <w:jc w:val="both"/>
        <w:ind w:left="500" w:hanging="492"/>
        <w:spacing w:after="0" w:line="263" w:lineRule="auto"/>
        <w:tabs>
          <w:tab w:leader="none" w:pos="4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$13.5 million and $14.1 million, respectively, representing 100% of the interest earned on the VodafoneZiggo JV Receivables. The summarized results of operations of the VodafoneZiggo JV are set forth below:</w:t>
      </w:r>
    </w:p>
    <w:p>
      <w:pPr>
        <w:spacing w:after="0" w:line="99"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Three months ended</w:t>
      </w:r>
    </w:p>
    <w:p>
      <w:pPr>
        <w:jc w:val="center"/>
        <w:ind w:left="75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interest expense of $180.6 million and $144.1 million, respectively.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 in the VodafoneZiggo JV’s revenue during the three months ended March 31, 2023, as compared to the corresponding period in 2022, is primarily due to the net effect of (i) a decrease in residential fixed revenue, (ii) an increase in residential mobile revenue and (iii) an increase in B2B revenue. The change in the VodafoneZiggo JV’s Adjusted EBITDA during the three months ended March 31, 2023, as compared to the corresponding period in 2022, is primarily due to inflation-related increases in energy, staff and service delivery platform costs. In addition, the reported revenue and Adjusted EBITDA amounts are impacted by FX.</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recognized other income, net, of $43.9 million and $11.9 million during the three months ended March 31, 2023 and 2022, respectively. These amounts include (i) interest and dividend income of $33.6 million and $3.4 million, respectively, and (ii) credits related to the non-service component of our net periodic pension costs of $5.2 million and $8.9 million, respectively.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expense of $12.5 million and $81.2 million during the three months ended March 31, 2023 and 2022, respectively.</w:t>
      </w:r>
    </w:p>
    <w:p>
      <w:pPr>
        <w:spacing w:after="0" w:line="2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income tax expense during the three months ended March 31, 2023 differs from the expected income tax benefit of $164.7 million (based on the U.K. blended income tax rate of 23.5%), primarily due to the net negative impact of (i) non-deductible or non-taxable foreign currency exchange results and (ii) certain permanent differences between the financial and tax accounting treatment of items associated with investments in subsidiaries.</w:t>
      </w:r>
    </w:p>
    <w:p>
      <w:pPr>
        <w:spacing w:after="0" w:line="19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income tax expense during the three months ended March 31, 2022 differs from the expected income tax expense of $219.8 million (based on the U.K. statutory income tax rate of 19.0%), primarily due to the net positive impact of non-deductible or non-taxable foreign currency exchange results.</w:t>
      </w: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2023 and 2022, we reported earnings (loss) from continuing operations of ($713.5 million) and $1,075.7 million, respectively, consisting of (i) operating income of $37.4 million and $58.8 million, respectively, (ii) net non-operating income (expense) of ($738.4 million) and $1,098.1 million, respectively, and (iii) income tax expense of $12.5 million and $81.2 million, respectively.</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our aggregate operating income to a level that more than offsets the aggregate amount of our (a) interest expense, (b) other non-operating expenses and (c) income tax expense.</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under </w:t>
      </w:r>
      <w:r>
        <w:rPr>
          <w:rFonts w:ascii="Arial" w:cs="Arial" w:eastAsia="Arial" w:hAnsi="Arial"/>
          <w:sz w:val="16"/>
          <w:szCs w:val="16"/>
          <w:i w:val="1"/>
          <w:iCs w:val="1"/>
          <w:color w:val="auto"/>
        </w:rPr>
        <w:t>Material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 </w:t>
      </w:r>
      <w:r>
        <w:rPr>
          <w:rFonts w:ascii="Arial" w:cs="Arial" w:eastAsia="Arial" w:hAnsi="Arial"/>
          <w:sz w:val="16"/>
          <w:szCs w:val="16"/>
          <w:color w:val="auto"/>
        </w:rPr>
        <w:t>below, we expect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above.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earnings from discontinued operations, net of taxes, of $34.6 million during the three months ended March 31, 2022 related to the results of UPC Poland. For additional information, see note 4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attributable to noncontrolling interests was $7.9 million and $72.0 million during the three months ended March 31, 2023 and 2022, respectively, primarily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SMAs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March 31, 2023 are set forth in the following table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r>
      <w:tr>
        <w:trPr>
          <w:trHeight w:val="223"/>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Liberty Global and unrestricted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r>
      <w:tr>
        <w:trPr>
          <w:trHeight w:val="210"/>
        </w:trPr>
        <w:tc>
          <w:tcPr>
            <w:tcW w:w="9880" w:type="dxa"/>
            <w:vAlign w:val="bottom"/>
          </w:tcPr>
          <w:p>
            <w:pPr>
              <w:ind w:left="140"/>
              <w:spacing w:after="0"/>
              <w:rPr>
                <w:sz w:val="20"/>
                <w:szCs w:val="20"/>
                <w:color w:val="auto"/>
              </w:rPr>
            </w:pPr>
            <w:r>
              <w:rPr>
                <w:rFonts w:ascii="Arial" w:cs="Arial" w:eastAsia="Arial" w:hAnsi="Arial"/>
                <w:sz w:val="18"/>
                <w:szCs w:val="18"/>
                <w:color w:val="auto"/>
              </w:rPr>
              <w:t>Borrowing groups (c):</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98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borrowing groups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1,106.7</w:t>
            </w:r>
          </w:p>
        </w:tc>
      </w:tr>
      <w:tr>
        <w:trPr>
          <w:trHeight w:val="223"/>
        </w:trPr>
        <w:tc>
          <w:tcPr>
            <w:tcW w:w="9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cash and cash equivalents (d)</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w:t>
            </w:r>
          </w:p>
        </w:tc>
      </w:tr>
      <w:tr>
        <w:trPr>
          <w:trHeight w:val="230"/>
        </w:trPr>
        <w:tc>
          <w:tcPr>
            <w:tcW w:w="9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 held under SMAs (e)</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2,410.0</w:t>
            </w:r>
          </w:p>
        </w:tc>
      </w:tr>
      <w:tr>
        <w:trPr>
          <w:trHeight w:val="248"/>
        </w:trPr>
        <w:tc>
          <w:tcPr>
            <w:tcW w:w="9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 and investments held under SMAs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aggregate amounts held by the parent entity and restricted subsidiaries of our borrowing groups.</w:t>
      </w:r>
    </w:p>
    <w:p>
      <w:pPr>
        <w:spacing w:after="0" w:line="23" w:lineRule="exact"/>
        <w:rPr>
          <w:rFonts w:ascii="Arial" w:cs="Arial" w:eastAsia="Arial" w:hAnsi="Arial"/>
          <w:sz w:val="18"/>
          <w:szCs w:val="18"/>
          <w:color w:val="auto"/>
        </w:rPr>
      </w:pPr>
    </w:p>
    <w:p>
      <w:pPr>
        <w:ind w:left="500" w:hanging="492"/>
        <w:spacing w:after="0" w:line="260" w:lineRule="auto"/>
        <w:tabs>
          <w:tab w:leader="none" w:pos="4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total cash and cash equivalents balance includes $1,224.2 million or 84.6% and $173.4 million or 12.0% denominated in euros and U.S. dollars, respectively.</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balance of our investments held under SMAs is denominated entirely in U.S. dollars and held by unrestricted subsidiaries that are outside of our</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borrowing groups.</w:t>
      </w:r>
    </w:p>
    <w:p>
      <w:pPr>
        <w:spacing w:after="0" w:line="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For additional information regarding our cash and cash equivalents and investments held under SMAs, see the discussion under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 Cash and Investments </w:t>
      </w:r>
      <w:r>
        <w:rPr>
          <w:rFonts w:ascii="Arial" w:cs="Arial" w:eastAsia="Arial" w:hAnsi="Arial"/>
          <w:sz w:val="18"/>
          <w:szCs w:val="18"/>
          <w:color w:val="auto"/>
        </w:rPr>
        <w:t>below.</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$1.4 million of cash and cash equivalents held by Liberty Global and, subject to certain tax and legal considerations, the $338.1 million of aggregate cash and cash equivalents held by unrestricted subsidiaries, together with the $2,410.0 million of investments held under SMAs, represented available liquidity at the corporate level at March 31, 2023. Our remaining cash and cash equivalents of $1,106.7 million at March 31, 2023 were held by our borrowing groups, as set forth in the table above. As noted above, various factors may limit our ability to access the cash of our borrowing groups. For information regarding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certain limitations imposed by our subsidiaries’ debt instruments at March 31, 2023, see note 9 to our condensed consolidated financial statements.</w:t>
      </w:r>
    </w:p>
    <w:p>
      <w:pPr>
        <w:spacing w:after="0" w:line="2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March 31, 2023, our consolidated cash and cash equivalents balance included $1,292.5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amount of cash we receive from our subsidiaries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Our parent entity also uses available liquidity to make interest and principal payments on notes payable to certain of our unrestricted subsidiaries (aggregate outstanding principal of $13.5 billion at March 31, 2023 with varying maturity dates).</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March 31, 2023, the aggregate amount of our share repurchases, including direct acquisition costs, was $236.8 million. Under our current repurchase program, we are authorized during 2023 to repurchase 10% of our total outstanding shares as of the beginning of the year. For additional information regarding our share repurchase programs, see note 12 to our condensed consolidated financial statements.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2023, see note 9 to our condensed consolidated financial statements. The aforementioned sources of liquidity may be supplemented in certain cases by contributions and/or loans from Liberty Global and its unrestricted subsidiaries.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liquidity of our borrowing groups generally is used to fund (i) property and equipment additions, (ii) debt service requirements and (iii) income tax payments, as well as to settle certain obligations that are not included on our March 31, 2023 condensed consolidated balance sheet. In this regard, we have significant commitments related to (a) certain operating costs associated with our networks, (b) purchase obligations associated with CPE and certain service-related commitments and (c) programming, studio output and sports rights contracts. These obligations are expected to represent a significant liquidity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requirement of our borrowing groups, a significant portion of which is due over the next 12 to 24 months. For additional information regarding our commitments, see note 15 to our condensed consolidated financial statements.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9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2023,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March 31, 2023, the outstanding principal amount of our consolidated debt, together with our finance lease obligations, aggregated $15.2 billion, including $0.8 billion that is classified as current on our condensed consolidated balance sheet and $7.7 billion that is not due until 2029 or thereafter. All of our consolidated debt and finance lease obligations have been borrowed or incurred by our subsidiaries at March 31, 2023.</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4" w:name="page75"/>
    <w:bookmarkEnd w:id="74"/>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three months ended March 31, 2023 and 2022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207"/>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(1,383.8)</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48"/>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 cash and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decrease in net cash provided by operating activities is primarily attributable to the net effect of (i) a decrease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our Adjusted EBITDA and related working capital items, which includes a decrease in cash provided of $113.7 million (at the applicable rate) in connection with the sale of certain handset receivables in Switzerland during the first three months of 2022, (ii) an increase in cash provided due to higher net cash receipts related to derivative instruments, (iii) a decrease in cash provided of $94.8 million due to lower dividend distributions received from the VodafoneZiggo JV, (iv) a decrease in cash provided due to higher payments of interest, (v) an increase in cash provided due to higher receipts of interest and (vi) a decrease due to FX. Consolidated Adjusted EBITDA is a non-GAAP measure, which investors should view as a supplement to, and not a substitute for, GAAP measures of performance included in our condensed consolidated statements of operations.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by investing activities is primarily attributable to (i) an increase in cash used of $1,551.7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higher net cash paid for investments, primarily related to our investment in Vodafone, (ii) a decrease in cash used of $198.3 million due to higher dividend distributions received from the VMO2 JV and (iii) an increase in cash used of $93.8 million associated with higher net cash paid for acquisitions.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5" w:name="page76"/>
    <w:bookmarkEnd w:id="75"/>
    <w:p>
      <w:pPr>
        <w:jc w:val="center"/>
        <w:ind w:left="8420"/>
        <w:spacing w:after="0"/>
        <w:rPr>
          <w:sz w:val="20"/>
          <w:szCs w:val="20"/>
          <w:color w:val="auto"/>
        </w:rPr>
      </w:pPr>
      <w:r>
        <w:rPr>
          <w:rFonts w:ascii="Arial" w:cs="Arial" w:eastAsia="Arial" w:hAnsi="Arial"/>
          <w:sz w:val="16"/>
          <w:szCs w:val="16"/>
          <w:b w:val="1"/>
          <w:bCs w:val="1"/>
          <w:color w:val="auto"/>
        </w:rPr>
        <w:t>Three months ended</w:t>
      </w: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06"/>
        </w:trPr>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r>
      <w:tr>
        <w:trPr>
          <w:trHeight w:val="168"/>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our property and equipment additions during the three months ended March 31, 2023, as compared to the corresponding period in 2022, is primarily due to the net effect of (i) an increase in local currency expenditures of our subsidiaries due to the net effect of (a) an increase in new build and upgrade projects, (b) a decrease in expenditures to support new customer products and operational efficiency initiatives and (c) an increase in baseline expenditures, including network improvements and expenditures for property and facilities and information technology systems, and (ii) a decrease due to FX.</w:t>
      </w:r>
    </w:p>
    <w:p>
      <w:pPr>
        <w:spacing w:after="0" w:line="21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change in net cash provided (used) by financing activities is primarily attributable to the net effect of (i) an increase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of $1,214.3 million due to higher net borrowings of debt related to the Vodafone Collar Loan, (ii) an increase in cash of $251.3 million due to lower repurchases of Liberty Global ordinary shares and (iii) a decrease in cash of $53.1 million due to higher net payments related to derivatives.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76" w:name="page77"/>
    <w:bookmarkEnd w:id="76"/>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$11.6 million and $13.4 million during the three months ended March 31, 2023 and 2022, respectively.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41"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r>
      <w:tr>
        <w:trPr>
          <w:trHeight w:val="20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8"/>
        </w:trPr>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8"/>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52" w:lineRule="exact"/>
        <w:rPr>
          <w:sz w:val="20"/>
          <w:szCs w:val="20"/>
          <w:color w:val="auto"/>
        </w:rPr>
      </w:pPr>
    </w:p>
    <w:p>
      <w:pPr>
        <w:jc w:val="both"/>
        <w:ind w:left="500" w:hanging="492"/>
        <w:spacing w:after="0" w:line="254" w:lineRule="auto"/>
        <w:tabs>
          <w:tab w:leader="none" w:pos="497"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7" w:name="page78"/>
    <w:bookmarkEnd w:id="77"/>
    <w:p>
      <w:pPr>
        <w:spacing w:after="0"/>
        <w:tabs>
          <w:tab w:leader="none" w:pos="6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March 31, 2023.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2023.</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2023, $1,224.2 million or 84.6% and $173.4 million or 12.0% of our consolidated cash balance was denominated in euros and U.S. dollars, respectively. At March 31, 2023, the balance of our consolidated investments held under SMAs was denominated entirely in U.S. dollars.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80" w:type="dxa"/>
            <w:vAlign w:val="bottom"/>
            <w:gridSpan w:val="2"/>
          </w:tcPr>
          <w:p>
            <w:pPr>
              <w:ind w:left="340"/>
              <w:spacing w:after="0"/>
              <w:rPr>
                <w:sz w:val="20"/>
                <w:szCs w:val="20"/>
                <w:color w:val="auto"/>
              </w:rPr>
            </w:pPr>
            <w:r>
              <w:rPr>
                <w:rFonts w:ascii="Arial" w:cs="Arial" w:eastAsia="Arial" w:hAnsi="Arial"/>
                <w:sz w:val="16"/>
                <w:szCs w:val="16"/>
                <w:b w:val="1"/>
                <w:bCs w:val="1"/>
                <w:color w:val="auto"/>
              </w:rPr>
              <w:t>March 31,</w:t>
            </w:r>
          </w:p>
        </w:tc>
        <w:tc>
          <w:tcPr>
            <w:tcW w:w="1400" w:type="dxa"/>
            <w:vAlign w:val="bottom"/>
          </w:tcPr>
          <w:p>
            <w:pPr>
              <w:jc w:val="right"/>
              <w:ind w:right="13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360" w:type="dxa"/>
            <w:vAlign w:val="bottom"/>
          </w:tcPr>
          <w:p>
            <w:pPr>
              <w:spacing w:after="0"/>
              <w:rPr>
                <w:sz w:val="18"/>
                <w:szCs w:val="18"/>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r>
      <w:tr>
        <w:trPr>
          <w:trHeight w:val="199"/>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3"/>
        </w:trPr>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0.9200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0.9337</w:t>
            </w:r>
          </w:p>
        </w:tc>
      </w:tr>
      <w:tr>
        <w:trPr>
          <w:trHeight w:val="230"/>
        </w:trPr>
        <w:tc>
          <w:tcPr>
            <w:tcW w:w="8360" w:type="dxa"/>
            <w:vAlign w:val="bottom"/>
          </w:tcPr>
          <w:p>
            <w:pPr>
              <w:ind w:left="100"/>
              <w:spacing w:after="0"/>
              <w:rPr>
                <w:sz w:val="20"/>
                <w:szCs w:val="20"/>
                <w:color w:val="auto"/>
              </w:rPr>
            </w:pPr>
            <w:r>
              <w:rPr>
                <w:rFonts w:ascii="Arial" w:cs="Arial" w:eastAsia="Arial" w:hAnsi="Arial"/>
                <w:sz w:val="18"/>
                <w:szCs w:val="18"/>
                <w:color w:val="auto"/>
              </w:rPr>
              <w:t>Swiss franc</w:t>
            </w:r>
          </w:p>
        </w:tc>
        <w:tc>
          <w:tcPr>
            <w:tcW w:w="1380" w:type="dxa"/>
            <w:vAlign w:val="bottom"/>
          </w:tcPr>
          <w:p>
            <w:pPr>
              <w:jc w:val="right"/>
              <w:spacing w:after="0"/>
              <w:rPr>
                <w:sz w:val="20"/>
                <w:szCs w:val="20"/>
                <w:color w:val="auto"/>
              </w:rPr>
            </w:pPr>
            <w:r>
              <w:rPr>
                <w:rFonts w:ascii="Arial" w:cs="Arial" w:eastAsia="Arial" w:hAnsi="Arial"/>
                <w:sz w:val="18"/>
                <w:szCs w:val="18"/>
                <w:color w:val="auto"/>
              </w:rPr>
              <w:t>0.9139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0.9219</w:t>
            </w:r>
          </w:p>
        </w:tc>
      </w:tr>
      <w:tr>
        <w:trPr>
          <w:trHeight w:val="230"/>
        </w:trPr>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British pound sterling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0.8098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0.8265</w:t>
            </w:r>
          </w:p>
        </w:tc>
      </w:tr>
      <w:tr>
        <w:trPr>
          <w:trHeight w:val="230"/>
        </w:trPr>
        <w:tc>
          <w:tcPr>
            <w:tcW w:w="836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1380" w:type="dxa"/>
            <w:vAlign w:val="bottom"/>
          </w:tcPr>
          <w:p>
            <w:pPr>
              <w:jc w:val="right"/>
              <w:spacing w:after="0"/>
              <w:rPr>
                <w:sz w:val="20"/>
                <w:szCs w:val="20"/>
                <w:color w:val="auto"/>
              </w:rPr>
            </w:pPr>
            <w:r>
              <w:rPr>
                <w:rFonts w:ascii="Arial" w:cs="Arial" w:eastAsia="Arial" w:hAnsi="Arial"/>
                <w:sz w:val="18"/>
                <w:szCs w:val="18"/>
                <w:color w:val="auto"/>
              </w:rPr>
              <w:t>4.3043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r>
      <w:tr>
        <w:trPr>
          <w:trHeight w:val="219"/>
        </w:trPr>
        <w:tc>
          <w:tcPr>
            <w:tcW w:w="8400" w:type="dxa"/>
            <w:vAlign w:val="bottom"/>
          </w:tcPr>
          <w:p>
            <w:pPr>
              <w:spacing w:after="0"/>
              <w:rPr>
                <w:sz w:val="19"/>
                <w:szCs w:val="19"/>
                <w:color w:val="auto"/>
              </w:rPr>
            </w:pPr>
          </w:p>
        </w:tc>
        <w:tc>
          <w:tcPr>
            <w:tcW w:w="188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6"/>
                <w:szCs w:val="16"/>
                <w:b w:val="1"/>
                <w:bCs w:val="1"/>
                <w:color w:val="auto"/>
                <w:w w:val="97"/>
              </w:rPr>
              <w:t>March 31,</w:t>
            </w:r>
          </w:p>
        </w:tc>
        <w:tc>
          <w:tcPr>
            <w:tcW w:w="960" w:type="dxa"/>
            <w:vAlign w:val="bottom"/>
            <w:tcBorders>
              <w:bottom w:val="single" w:sz="8" w:color="auto"/>
            </w:tcBorders>
          </w:tcPr>
          <w:p>
            <w:pPr>
              <w:spacing w:after="0"/>
              <w:rPr>
                <w:sz w:val="19"/>
                <w:szCs w:val="19"/>
                <w:color w:val="auto"/>
              </w:rPr>
            </w:pPr>
          </w:p>
        </w:tc>
      </w:tr>
      <w:tr>
        <w:trPr>
          <w:trHeight w:val="207"/>
        </w:trPr>
        <w:tc>
          <w:tcPr>
            <w:tcW w:w="8400" w:type="dxa"/>
            <w:vAlign w:val="bottom"/>
          </w:tcPr>
          <w:p>
            <w:pPr>
              <w:spacing w:after="0"/>
              <w:rPr>
                <w:sz w:val="17"/>
                <w:szCs w:val="17"/>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199"/>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3"/>
        </w:trPr>
        <w:tc>
          <w:tcPr>
            <w:tcW w:w="8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0.9320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0.8907</w:t>
            </w:r>
          </w:p>
        </w:tc>
      </w:tr>
      <w:tr>
        <w:trPr>
          <w:trHeight w:val="229"/>
        </w:trPr>
        <w:tc>
          <w:tcPr>
            <w:tcW w:w="8400" w:type="dxa"/>
            <w:vAlign w:val="bottom"/>
          </w:tcPr>
          <w:p>
            <w:pPr>
              <w:ind w:left="100"/>
              <w:spacing w:after="0"/>
              <w:rPr>
                <w:sz w:val="20"/>
                <w:szCs w:val="20"/>
                <w:color w:val="auto"/>
              </w:rPr>
            </w:pPr>
            <w:r>
              <w:rPr>
                <w:rFonts w:ascii="Arial" w:cs="Arial" w:eastAsia="Arial" w:hAnsi="Arial"/>
                <w:sz w:val="18"/>
                <w:szCs w:val="18"/>
                <w:color w:val="auto"/>
              </w:rPr>
              <w:t>Swiss franc</w:t>
            </w:r>
          </w:p>
        </w:tc>
        <w:tc>
          <w:tcPr>
            <w:tcW w:w="1360" w:type="dxa"/>
            <w:vAlign w:val="bottom"/>
          </w:tcPr>
          <w:p>
            <w:pPr>
              <w:jc w:val="right"/>
              <w:spacing w:after="0"/>
              <w:rPr>
                <w:sz w:val="20"/>
                <w:szCs w:val="20"/>
                <w:color w:val="auto"/>
              </w:rPr>
            </w:pPr>
            <w:r>
              <w:rPr>
                <w:rFonts w:ascii="Arial" w:cs="Arial" w:eastAsia="Arial" w:hAnsi="Arial"/>
                <w:sz w:val="18"/>
                <w:szCs w:val="18"/>
                <w:color w:val="auto"/>
              </w:rPr>
              <w:t>0.9253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0.9237</w:t>
            </w:r>
          </w:p>
        </w:tc>
      </w:tr>
      <w:tr>
        <w:trPr>
          <w:trHeight w:val="230"/>
        </w:trPr>
        <w:tc>
          <w:tcPr>
            <w:tcW w:w="8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British pound sterling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0.7453</w:t>
            </w:r>
          </w:p>
        </w:tc>
      </w:tr>
      <w:tr>
        <w:trPr>
          <w:trHeight w:val="230"/>
        </w:trPr>
        <w:tc>
          <w:tcPr>
            <w:tcW w:w="840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1360" w:type="dxa"/>
            <w:vAlign w:val="bottom"/>
          </w:tcPr>
          <w:p>
            <w:pPr>
              <w:jc w:val="right"/>
              <w:spacing w:after="0"/>
              <w:rPr>
                <w:sz w:val="20"/>
                <w:szCs w:val="20"/>
                <w:color w:val="auto"/>
              </w:rPr>
            </w:pPr>
            <w:r>
              <w:rPr>
                <w:rFonts w:ascii="Arial" w:cs="Arial" w:eastAsia="Arial" w:hAnsi="Arial"/>
                <w:sz w:val="18"/>
                <w:szCs w:val="18"/>
                <w:color w:val="auto"/>
              </w:rPr>
              <w:t>4.3895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4.1127</w:t>
            </w:r>
          </w:p>
        </w:tc>
      </w:tr>
    </w:tbl>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inflationary pressures with respect to labor, programming and other costs. In this regard, inflation rates in the countries in which we operate have recently increased, and in many countries such increases have been significant.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1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Furthermore, in November 2022, the U.K. Financial Conduct Authority proposed that certain tenors of USD LIBOR would continue to be published on a synthetic basis until the end of September 2024.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19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October 2020, the International Swaps and Derivatives Association (the </w:t>
      </w:r>
      <w:r>
        <w:rPr>
          <w:rFonts w:ascii="Arial" w:cs="Arial" w:eastAsia="Arial" w:hAnsi="Arial"/>
          <w:sz w:val="18"/>
          <w:szCs w:val="18"/>
          <w:b w:val="1"/>
          <w:bCs w:val="1"/>
          <w:color w:val="auto"/>
        </w:rPr>
        <w:t>ISDA</w:t>
      </w:r>
      <w:r>
        <w:rPr>
          <w:rFonts w:ascii="Arial" w:cs="Arial" w:eastAsia="Arial" w:hAnsi="Arial"/>
          <w:sz w:val="18"/>
          <w:szCs w:val="18"/>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8"/>
          <w:szCs w:val="18"/>
          <w:b w:val="1"/>
          <w:bCs w:val="1"/>
          <w:color w:val="auto"/>
        </w:rPr>
        <w:t>IBORs</w:t>
      </w:r>
      <w:r>
        <w:rPr>
          <w:rFonts w:ascii="Arial" w:cs="Arial" w:eastAsia="Arial" w:hAnsi="Arial"/>
          <w:sz w:val="18"/>
          <w:szCs w:val="18"/>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9" w:name="page80"/>
    <w:bookmarkEnd w:id="79"/>
    <w:p>
      <w:pPr>
        <w:jc w:val="both"/>
        <w:spacing w:after="0" w:line="269" w:lineRule="auto"/>
        <w:rPr>
          <w:sz w:val="20"/>
          <w:szCs w:val="20"/>
          <w:color w:val="auto"/>
        </w:rPr>
      </w:pPr>
      <w:r>
        <w:rPr>
          <w:rFonts w:ascii="Arial" w:cs="Arial" w:eastAsia="Arial" w:hAnsi="Arial"/>
          <w:sz w:val="17"/>
          <w:szCs w:val="17"/>
          <w:color w:val="auto"/>
        </w:rPr>
        <w:t>in that currency, or in the case of an IBOR setting, that 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0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March 31, 2023, the outstanding principal amount of our variable-rate indebtedness aggregated $10.7</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5.9%,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$53.5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5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2023:</w:t>
      </w:r>
    </w:p>
    <w:p>
      <w:pPr>
        <w:spacing w:after="0" w:line="252" w:lineRule="exact"/>
        <w:rPr>
          <w:sz w:val="20"/>
          <w:szCs w:val="20"/>
          <w:color w:val="auto"/>
        </w:rPr>
      </w:pPr>
    </w:p>
    <w:p>
      <w:pPr>
        <w:ind w:left="820" w:right="20" w:hanging="488"/>
        <w:spacing w:after="0" w:line="342" w:lineRule="auto"/>
        <w:tabs>
          <w:tab w:leader="none" w:pos="814"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€407 million ($443 million);</w:t>
      </w:r>
    </w:p>
    <w:p>
      <w:pPr>
        <w:spacing w:after="0" w:line="150" w:lineRule="exact"/>
        <w:rPr>
          <w:rFonts w:ascii="Arial" w:cs="Arial" w:eastAsia="Arial" w:hAnsi="Arial"/>
          <w:sz w:val="16"/>
          <w:szCs w:val="16"/>
          <w:color w:val="auto"/>
        </w:rPr>
      </w:pPr>
    </w:p>
    <w:p>
      <w:pPr>
        <w:ind w:left="820" w:hanging="488"/>
        <w:spacing w:after="0" w:line="342" w:lineRule="auto"/>
        <w:tabs>
          <w:tab w:leader="none" w:pos="81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euro would have decreased (increased) the aggregate fair value of the UPC Holding cross-currency and interest rate derivative contracts by approximately €240 million ($261 million); and</w:t>
      </w:r>
    </w:p>
    <w:p>
      <w:pPr>
        <w:spacing w:after="0" w:line="150" w:lineRule="exact"/>
        <w:rPr>
          <w:rFonts w:ascii="Arial" w:cs="Arial" w:eastAsia="Arial" w:hAnsi="Arial"/>
          <w:sz w:val="16"/>
          <w:szCs w:val="16"/>
          <w:color w:val="auto"/>
        </w:rPr>
      </w:pPr>
    </w:p>
    <w:p>
      <w:pPr>
        <w:ind w:left="820" w:right="20" w:hanging="488"/>
        <w:spacing w:after="0" w:line="308" w:lineRule="auto"/>
        <w:tabs>
          <w:tab w:leader="none" w:pos="8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UPC Holding cross-currency and interest rate derivative contracts by approximately €96 million ($105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2023:</w:t>
      </w:r>
    </w:p>
    <w:p>
      <w:pPr>
        <w:spacing w:after="0" w:line="252" w:lineRule="exact"/>
        <w:rPr>
          <w:sz w:val="20"/>
          <w:szCs w:val="20"/>
          <w:color w:val="auto"/>
        </w:rPr>
      </w:pPr>
    </w:p>
    <w:p>
      <w:pPr>
        <w:ind w:left="820" w:right="20" w:hanging="488"/>
        <w:spacing w:after="0" w:line="308" w:lineRule="auto"/>
        <w:tabs>
          <w:tab w:leader="none" w:pos="81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€296 million ($322 million); 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0" w:name="page81"/>
    <w:bookmarkEnd w:id="80"/>
    <w:p>
      <w:pPr>
        <w:ind w:left="820" w:hanging="488"/>
        <w:spacing w:after="0" w:line="277" w:lineRule="auto"/>
        <w:tabs>
          <w:tab w:leader="none" w:pos="8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and interest rate derivative contracts by approximately €75 million ($81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Vodafone Collar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Holding all other factors constant, at March 31, 2023, (i) an instantaneous increase of 10% in the per share market price of Vodafone’s ordinary shares would have decreased the fair value of the Vodafone Collar by approximately €97 million ($105 million) and (ii) an instantaneous decrease of 10% in the per market share price of Vodafone’s ordinary shares would have increased the fair value of the Vodafone Collar by approximately €93 million ($101 million).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March 31, 2023.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2028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9"/>
                <w:szCs w:val="19"/>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2023</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48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line="182"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(298.3)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270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1"/>
              </w:rPr>
              <w:t>(208.9)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left="500" w:hanging="492"/>
        <w:spacing w:after="0" w:line="277" w:lineRule="auto"/>
        <w:tabs>
          <w:tab w:leader="none" w:pos="4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197" w:lineRule="exact"/>
        <w:rPr>
          <w:rFonts w:ascii="Arial" w:cs="Arial" w:eastAsia="Arial" w:hAnsi="Arial"/>
          <w:sz w:val="18"/>
          <w:szCs w:val="18"/>
          <w:color w:val="auto"/>
        </w:rPr>
      </w:pPr>
    </w:p>
    <w:p>
      <w:pPr>
        <w:ind w:left="480" w:hanging="472"/>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52" w:lineRule="exact"/>
        <w:rPr>
          <w:rFonts w:ascii="Arial" w:cs="Arial" w:eastAsia="Arial" w:hAnsi="Arial"/>
          <w:sz w:val="18"/>
          <w:szCs w:val="18"/>
          <w:color w:val="auto"/>
        </w:rPr>
      </w:pPr>
    </w:p>
    <w:p>
      <w:pPr>
        <w:ind w:left="500" w:hanging="492"/>
        <w:spacing w:after="0" w:line="277" w:lineRule="auto"/>
        <w:tabs>
          <w:tab w:leader="none" w:pos="4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Vodafone Collar to settle the Vodafone Collar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accordance with Rule 13a-15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March 31, 2023.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2023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1" w:name="page82"/>
    <w:bookmarkEnd w:id="81"/>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Total number of shares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Average price</w:t>
            </w:r>
          </w:p>
        </w:tc>
        <w:tc>
          <w:tcPr>
            <w:tcW w:w="17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62"/>
        </w:trPr>
        <w:tc>
          <w:tcPr>
            <w:tcW w:w="4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purchased</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paid per share (a)</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plans or programs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0" w:type="dxa"/>
            <w:vAlign w:val="bottom"/>
          </w:tcPr>
          <w:p>
            <w:pPr>
              <w:spacing w:after="0"/>
              <w:rPr>
                <w:sz w:val="1"/>
                <w:szCs w:val="1"/>
                <w:color w:val="auto"/>
              </w:rPr>
            </w:pPr>
          </w:p>
        </w:tc>
      </w:tr>
      <w:tr>
        <w:trPr>
          <w:trHeight w:val="131"/>
        </w:trPr>
        <w:tc>
          <w:tcPr>
            <w:tcW w:w="4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2023 through January 31, 2023:</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3,289,400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February 1, 2023 through February 28, 2023:</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460" w:type="dxa"/>
            <w:vAlign w:val="bottom"/>
          </w:tcPr>
          <w:p>
            <w:pPr>
              <w:jc w:val="right"/>
              <w:spacing w:after="0"/>
              <w:rPr>
                <w:sz w:val="20"/>
                <w:szCs w:val="20"/>
                <w:color w:val="auto"/>
              </w:rPr>
            </w:pPr>
            <w:r>
              <w:rPr>
                <w:rFonts w:ascii="Arial" w:cs="Arial" w:eastAsia="Arial" w:hAnsi="Arial"/>
                <w:sz w:val="18"/>
                <w:szCs w:val="18"/>
                <w:color w:val="auto"/>
              </w:rPr>
              <w:t>3,318,000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3,318,000</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2023 through March 31, 2023:</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460" w:type="dxa"/>
            <w:vAlign w:val="bottom"/>
          </w:tcPr>
          <w:p>
            <w:pPr>
              <w:jc w:val="right"/>
              <w:spacing w:after="0"/>
              <w:rPr>
                <w:sz w:val="20"/>
                <w:szCs w:val="20"/>
                <w:color w:val="auto"/>
              </w:rPr>
            </w:pPr>
            <w:r>
              <w:rPr>
                <w:rFonts w:ascii="Arial" w:cs="Arial" w:eastAsia="Arial" w:hAnsi="Arial"/>
                <w:sz w:val="18"/>
                <w:szCs w:val="18"/>
                <w:color w:val="auto"/>
              </w:rPr>
              <w:t>430,000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430,000</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 January 1, 2023 through March 31, 2023:</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460" w:type="dxa"/>
            <w:vAlign w:val="bottom"/>
          </w:tcPr>
          <w:p>
            <w:pPr>
              <w:jc w:val="right"/>
              <w:spacing w:after="0"/>
              <w:rPr>
                <w:sz w:val="20"/>
                <w:szCs w:val="20"/>
                <w:color w:val="auto"/>
              </w:rPr>
            </w:pPr>
            <w:r>
              <w:rPr>
                <w:rFonts w:ascii="Arial" w:cs="Arial" w:eastAsia="Arial" w:hAnsi="Arial"/>
                <w:sz w:val="18"/>
                <w:szCs w:val="18"/>
                <w:color w:val="auto"/>
              </w:rPr>
              <w:t>10,812,400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10,812,400</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49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March 31, 2023, the remaining number of our Class A and/or Class C ordinary shares that we are authorized to repurchase during 2023 was 34.7 million. Based on the average of the respective closing share prices as of March 31, 2023, this would equate to additional share repurchases during the remainder of 2023 of approximately $691.9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For additional information, see note 12 to our condensed consolidated financial statements in Part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Listed below are the exhibits filed as part of this Quarterly Report (according to the number assigned to them in Item 601 of Regulation S-K):</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6400" w:type="dxa"/>
            <w:vAlign w:val="bottom"/>
            <w:gridSpan w:val="4"/>
          </w:tcPr>
          <w:p>
            <w:pPr>
              <w:ind w:left="40"/>
              <w:spacing w:after="0"/>
              <w:rPr>
                <w:sz w:val="20"/>
                <w:szCs w:val="20"/>
                <w:color w:val="auto"/>
              </w:rPr>
            </w:pPr>
            <w:r>
              <w:rPr>
                <w:rFonts w:ascii="Arial" w:cs="Arial" w:eastAsia="Arial" w:hAnsi="Arial"/>
                <w:sz w:val="18"/>
                <w:szCs w:val="18"/>
                <w:color w:val="auto"/>
              </w:rPr>
              <w:t>— Rule 13a-14(a)/15d-14(a) Certification:</w:t>
            </w:r>
          </w:p>
        </w:tc>
      </w:tr>
      <w:tr>
        <w:trPr>
          <w:trHeight w:val="243"/>
        </w:trPr>
        <w:tc>
          <w:tcPr>
            <w:tcW w:w="200" w:type="dxa"/>
            <w:vAlign w:val="bottom"/>
          </w:tcPr>
          <w:p>
            <w:pPr>
              <w:spacing w:after="0"/>
              <w:rPr>
                <w:sz w:val="21"/>
                <w:szCs w:val="21"/>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Certification of President and Chief Executive Officer*</w:t>
            </w:r>
          </w:p>
        </w:tc>
        <w:tc>
          <w:tcPr>
            <w:tcW w:w="1080" w:type="dxa"/>
            <w:vAlign w:val="bottom"/>
          </w:tcPr>
          <w:p>
            <w:pPr>
              <w:spacing w:after="0"/>
              <w:rPr>
                <w:sz w:val="21"/>
                <w:szCs w:val="21"/>
                <w:color w:val="auto"/>
              </w:rPr>
            </w:pPr>
          </w:p>
        </w:tc>
      </w:tr>
      <w:tr>
        <w:trPr>
          <w:trHeight w:val="263"/>
        </w:trPr>
        <w:tc>
          <w:tcPr>
            <w:tcW w:w="200" w:type="dxa"/>
            <w:vAlign w:val="bottom"/>
          </w:tcPr>
          <w:p>
            <w:pPr>
              <w:spacing w:after="0"/>
              <w:rPr>
                <w:sz w:val="22"/>
                <w:szCs w:val="22"/>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color w:val="auto"/>
              </w:rPr>
              <w:t>31.2</w:t>
            </w:r>
          </w:p>
        </w:tc>
        <w:tc>
          <w:tcPr>
            <w:tcW w:w="5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Executive Vice President and Chief Financial Officer*</w:t>
            </w:r>
          </w:p>
        </w:tc>
      </w:tr>
      <w:tr>
        <w:trPr>
          <w:trHeight w:val="263"/>
        </w:trPr>
        <w:tc>
          <w:tcPr>
            <w:tcW w:w="2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32</w:t>
            </w:r>
          </w:p>
        </w:tc>
        <w:tc>
          <w:tcPr>
            <w:tcW w:w="2340" w:type="dxa"/>
            <w:vAlign w:val="bottom"/>
            <w:tcBorders>
              <w:bottom w:val="single" w:sz="8" w:color="0000FF"/>
            </w:tcBorders>
            <w:gridSpan w:val="2"/>
          </w:tcPr>
          <w:p>
            <w:pPr>
              <w:ind w:left="40"/>
              <w:spacing w:after="0"/>
              <w:rPr>
                <w:sz w:val="20"/>
                <w:szCs w:val="20"/>
                <w:color w:val="auto"/>
              </w:rPr>
            </w:pPr>
            <w:r>
              <w:rPr>
                <w:rFonts w:ascii="Arial" w:cs="Arial" w:eastAsia="Arial" w:hAnsi="Arial"/>
                <w:sz w:val="18"/>
                <w:szCs w:val="18"/>
                <w:color w:val="0000FF"/>
                <w:w w:val="94"/>
              </w:rPr>
              <w:t>— Section 1350 Certification**</w:t>
            </w:r>
          </w:p>
        </w:tc>
        <w:tc>
          <w:tcPr>
            <w:tcW w:w="4060" w:type="dxa"/>
            <w:vAlign w:val="bottom"/>
            <w:gridSpan w:val="2"/>
          </w:tcPr>
          <w:p>
            <w:pPr>
              <w:spacing w:after="0"/>
              <w:rPr>
                <w:sz w:val="22"/>
                <w:szCs w:val="22"/>
                <w:color w:val="auto"/>
              </w:rPr>
            </w:pPr>
          </w:p>
        </w:tc>
      </w:tr>
      <w:tr>
        <w:trPr>
          <w:trHeight w:val="304"/>
        </w:trPr>
        <w:tc>
          <w:tcPr>
            <w:tcW w:w="15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0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5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060" w:type="dxa"/>
            <w:vAlign w:val="bottom"/>
            <w:gridSpan w:val="3"/>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0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0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5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060" w:type="dxa"/>
            <w:vAlign w:val="bottom"/>
            <w:gridSpan w:val="3"/>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r>
    </w:tbl>
    <w:p>
      <w:pPr>
        <w:spacing w:after="0" w:line="53" w:lineRule="exact"/>
        <w:rPr>
          <w:sz w:val="20"/>
          <w:szCs w:val="20"/>
          <w:color w:val="auto"/>
        </w:rPr>
      </w:pPr>
    </w:p>
    <w:p>
      <w:pPr>
        <w:ind w:left="1560" w:hanging="1534"/>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12" w:lineRule="exact"/>
        <w:rPr>
          <w:sz w:val="20"/>
          <w:szCs w:val="20"/>
          <w:color w:val="auto"/>
        </w:rPr>
      </w:pPr>
    </w:p>
    <w:p>
      <w:pPr>
        <w:ind w:left="680" w:hanging="654"/>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80" w:hanging="654"/>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931" w:right="10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LIBERTY GLOBAL PLC</w:t>
      </w:r>
    </w:p>
    <w:p>
      <w:pPr>
        <w:spacing w:after="0" w:line="293" w:lineRule="exact"/>
        <w:rPr>
          <w:sz w:val="20"/>
          <w:szCs w:val="20"/>
          <w:color w:val="auto"/>
        </w:rPr>
      </w:pPr>
    </w:p>
    <w:p>
      <w:pPr>
        <w:ind w:left="20"/>
        <w:spacing w:after="0"/>
        <w:tabs>
          <w:tab w:leader="none" w:pos="900" w:val="left"/>
          <w:tab w:leader="none" w:pos="706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31750</wp:posOffset>
            </wp:positionV>
            <wp:extent cx="4029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8"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Michael T. Fries</w:t>
      </w:r>
    </w:p>
    <w:p>
      <w:pPr>
        <w:jc w:val="cente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4" w:lineRule="exact"/>
        <w:rPr>
          <w:sz w:val="20"/>
          <w:szCs w:val="20"/>
          <w:color w:val="auto"/>
        </w:rPr>
      </w:pPr>
    </w:p>
    <w:p>
      <w:pPr>
        <w:ind w:left="20"/>
        <w:spacing w:after="0"/>
        <w:tabs>
          <w:tab w:leader="none" w:pos="900" w:val="left"/>
          <w:tab w:leader="none" w:pos="6820" w:val="left"/>
          <w:tab w:leader="none" w:pos="7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9,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31750</wp:posOffset>
            </wp:positionV>
            <wp:extent cx="40290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8"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Charles H.R. Bracken</w:t>
      </w:r>
    </w:p>
    <w:p>
      <w:pPr>
        <w:jc w:val="center"/>
        <w:ind w:left="4880"/>
        <w:spacing w:after="0" w:line="203" w:lineRule="auto"/>
        <w:rPr>
          <w:sz w:val="20"/>
          <w:szCs w:val="20"/>
          <w:color w:val="auto"/>
        </w:rPr>
      </w:pPr>
      <w:r>
        <w:rPr>
          <w:rFonts w:ascii="Arial" w:cs="Arial" w:eastAsia="Arial" w:hAnsi="Arial"/>
          <w:sz w:val="18"/>
          <w:szCs w:val="18"/>
          <w:i w:val="1"/>
          <w:iCs w:val="1"/>
          <w:color w:val="auto"/>
        </w:rPr>
        <w:t>Executive Vice President and Chief</w:t>
      </w:r>
    </w:p>
    <w:p>
      <w:pPr>
        <w:jc w:val="center"/>
        <w:ind w:left="48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93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right="20" w:hanging="320"/>
        <w:spacing w:after="0" w:line="277" w:lineRule="auto"/>
        <w:tabs>
          <w:tab w:leader="none" w:pos="12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9, 2023</w:t>
      </w:r>
    </w:p>
    <w:p>
      <w:pPr>
        <w:spacing w:after="0" w:line="185"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right="20" w:hanging="320"/>
        <w:spacing w:after="0" w:line="277"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2743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Quarterly Report on Form 10-Q for the period ended March 31, 2023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2023 and December 31, 2022, and for the three months ended March 31, 2023 and 2022.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00"/>
        <w:spacing w:after="0"/>
        <w:tabs>
          <w:tab w:leader="none" w:pos="6200" w:val="left"/>
        </w:tabs>
        <w:rPr>
          <w:sz w:val="20"/>
          <w:szCs w:val="20"/>
          <w:color w:val="auto"/>
        </w:rPr>
      </w:pPr>
      <w:r>
        <w:rPr>
          <w:rFonts w:ascii="Arial" w:cs="Arial" w:eastAsia="Arial" w:hAnsi="Arial"/>
          <w:sz w:val="18"/>
          <w:szCs w:val="18"/>
          <w:color w:val="auto"/>
        </w:rPr>
        <w:t>Dated: May 9, 2023</w:t>
      </w:r>
      <w:r>
        <w:rPr>
          <w:sz w:val="20"/>
          <w:szCs w:val="20"/>
          <w:color w:val="auto"/>
        </w:rPr>
        <w:tab/>
      </w: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31032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tabs>
          <w:tab w:leader="none" w:pos="6000" w:val="left"/>
        </w:tabs>
        <w:rPr>
          <w:sz w:val="20"/>
          <w:szCs w:val="20"/>
          <w:color w:val="auto"/>
        </w:rPr>
      </w:pPr>
      <w:r>
        <w:rPr>
          <w:rFonts w:ascii="Arial" w:cs="Arial" w:eastAsia="Arial" w:hAnsi="Arial"/>
          <w:sz w:val="18"/>
          <w:szCs w:val="18"/>
          <w:color w:val="auto"/>
        </w:rPr>
        <w:t>Dated: May 9, 2023</w:t>
      </w:r>
      <w:r>
        <w:rPr>
          <w:sz w:val="20"/>
          <w:szCs w:val="20"/>
          <w:color w:val="auto"/>
        </w:rPr>
        <w:tab/>
      </w:r>
      <w:r>
        <w:rPr>
          <w:rFonts w:ascii="Arial" w:cs="Arial" w:eastAsia="Arial" w:hAnsi="Arial"/>
          <w:sz w:val="16"/>
          <w:szCs w:val="16"/>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31032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Executive Vice President and Chief Financial Officer</w:t>
      </w:r>
    </w:p>
    <w:p>
      <w:pPr>
        <w:spacing w:after="0" w:line="3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3"/>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decimal"/>
      <w:start w:val="6"/>
    </w:lvl>
  </w:abstractNum>
  <w:abstractNum w:abstractNumId="10">
    <w:nsid w:val="7644A45C"/>
    <w:multiLevelType w:val="hybridMultilevel"/>
    <w:lvl w:ilvl="0">
      <w:lvlJc w:val="left"/>
      <w:lvlText w:val="(%1)"/>
      <w:numFmt w:val="lowerLetter"/>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1)"/>
      <w:numFmt w:val="decimal"/>
      <w:start w:val="7"/>
    </w:lvl>
  </w:abstractNum>
  <w:abstractNum w:abstractNumId="15">
    <w:nsid w:val="3DC240FB"/>
    <w:multiLevelType w:val="hybridMultilevel"/>
    <w:lvl w:ilvl="0">
      <w:lvlJc w:val="left"/>
      <w:lvlText w:val="(%1)"/>
      <w:numFmt w:val="lowerLetter"/>
      <w:start w:val="1"/>
    </w:lvl>
  </w:abstractNum>
  <w:abstractNum w:abstractNumId="16">
    <w:nsid w:val="1BA026FA"/>
    <w:multiLevelType w:val="hybridMultilevel"/>
    <w:lvl w:ilvl="0">
      <w:lvlJc w:val="left"/>
      <w:lvlText w:val="(%1)"/>
      <w:numFmt w:val="decimal"/>
      <w:start w:val="9"/>
    </w:lvl>
  </w:abstractNum>
  <w:abstractNum w:abstractNumId="17">
    <w:nsid w:val="79A1DEAA"/>
    <w:multiLevelType w:val="hybridMultilevel"/>
    <w:lvl w:ilvl="0">
      <w:lvlJc w:val="left"/>
      <w:lvlText w:val="(%1)"/>
      <w:numFmt w:val="lowerLetter"/>
      <w:start w:val="1"/>
    </w:lvl>
  </w:abstractNum>
  <w:abstractNum w:abstractNumId="18">
    <w:nsid w:val="75C6C33A"/>
    <w:multiLevelType w:val="hybridMultilevel"/>
    <w:lvl w:ilvl="0">
      <w:lvlJc w:val="left"/>
      <w:lvlText w:val="(%1)"/>
      <w:numFmt w:val="lowerLetter"/>
      <w:start w:val="3"/>
    </w:lvl>
  </w:abstractNum>
  <w:abstractNum w:abstractNumId="19">
    <w:nsid w:val="12E685FB"/>
    <w:multiLevelType w:val="hybridMultilevel"/>
    <w:lvl w:ilvl="0">
      <w:lvlJc w:val="left"/>
      <w:lvlText w:val="(%1)"/>
      <w:numFmt w:val="lowerRoman"/>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3"/>
    </w:lvl>
  </w:abstractNum>
  <w:abstractNum w:abstractNumId="22">
    <w:nsid w:val="374A3FE6"/>
    <w:multiLevelType w:val="hybridMultilevel"/>
    <w:lvl w:ilvl="0">
      <w:lvlJc w:val="left"/>
      <w:lvlText w:val="(%1)"/>
      <w:numFmt w:val="decimal"/>
      <w:start w:val="10"/>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decimal"/>
      <w:start w:val="11"/>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lowerLetter"/>
      <w:start w:val="3"/>
    </w:lvl>
  </w:abstractNum>
  <w:abstractNum w:abstractNumId="28">
    <w:nsid w:val="1CF10FD8"/>
    <w:multiLevelType w:val="hybridMultilevel"/>
    <w:lvl w:ilvl="0">
      <w:lvlJc w:val="left"/>
      <w:lvlText w:val="(%1)"/>
      <w:numFmt w:val="decimal"/>
      <w:start w:val="12"/>
    </w:lvl>
  </w:abstractNum>
  <w:abstractNum w:abstractNumId="29">
    <w:nsid w:val="180115BE"/>
    <w:multiLevelType w:val="hybridMultilevel"/>
    <w:lvl w:ilvl="0">
      <w:lvlJc w:val="left"/>
      <w:lvlText w:val="(%1)"/>
      <w:numFmt w:val="decimal"/>
      <w:start w:val="13"/>
    </w:lvl>
  </w:abstractNum>
  <w:abstractNum w:abstractNumId="30">
    <w:nsid w:val="235BA861"/>
    <w:multiLevelType w:val="hybridMultilevel"/>
    <w:lvl w:ilvl="0">
      <w:lvlJc w:val="left"/>
      <w:lvlText w:val="(%1)"/>
      <w:numFmt w:val="lowerLetter"/>
      <w:start w:val="1"/>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decimal"/>
      <w:start w:val="14"/>
    </w:lvl>
  </w:abstractNum>
  <w:abstractNum w:abstractNumId="34">
    <w:nsid w:val="741226BB"/>
    <w:multiLevelType w:val="hybridMultilevel"/>
    <w:lvl w:ilvl="0">
      <w:lvlJc w:val="left"/>
      <w:lvlText w:val="(%1)"/>
      <w:numFmt w:val="decimal"/>
      <w:start w:val="15"/>
    </w:lvl>
  </w:abstractNum>
  <w:abstractNum w:abstractNumId="35">
    <w:nsid w:val="D34B6A8"/>
    <w:multiLevelType w:val="hybridMultilevel"/>
    <w:lvl w:ilvl="0">
      <w:lvlJc w:val="left"/>
      <w:lvlText w:val="(%1)"/>
      <w:numFmt w:val="decimal"/>
      <w:start w:val="16"/>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5"/>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decimal"/>
      <w:start w:val="17"/>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4"/>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decimal"/>
      <w:start w:val="3"/>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Roman"/>
      <w:start w:val="1"/>
    </w:lvl>
  </w:abstractNum>
  <w:abstractNum w:abstractNumId="76">
    <w:nsid w:val="60B6DF70"/>
    <w:multiLevelType w:val="hybridMultilevel"/>
    <w:lvl w:ilvl="0">
      <w:lvlJc w:val="left"/>
      <w:lvlText w:val="(%1)"/>
      <w:numFmt w:val="lowerRoman"/>
      <w:start w:val="1"/>
    </w:lvl>
  </w:abstractNum>
  <w:abstractNum w:abstractNumId="77">
    <w:nsid w:val="6A5EE64"/>
    <w:multiLevelType w:val="hybridMultilevel"/>
    <w:lvl w:ilvl="0">
      <w:lvlJc w:val="left"/>
      <w:lvlText w:val="(%1)"/>
      <w:numFmt w:val="lowerRoman"/>
      <w:start w:val="2"/>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decimal"/>
      <w:start w:val="104"/>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2023-05-09T15:58:34Z</dcterms:created>
  <dcterms:modified xsi:type="dcterms:W3CDTF">2023-05-09T15:58:34Z</dcterms:modified>
</cp:coreProperties>
</file>