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354330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940" w:hanging="905"/>
        <w:spacing w:after="0" w:line="218" w:lineRule="auto"/>
        <w:tabs>
          <w:tab w:leader="none" w:pos="940" w:val="left"/>
        </w:tabs>
        <w:numPr>
          <w:ilvl w:val="0"/>
          <w:numId w:val="1"/>
        </w:numPr>
        <w:rPr>
          <w:rFonts w:ascii="MS PGothic" w:cs="MS PGothic" w:eastAsia="MS PGothic" w:hAnsi="MS PGothic"/>
          <w:sz w:val="48"/>
          <w:szCs w:val="48"/>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85"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940" w:hanging="905"/>
        <w:spacing w:after="0" w:line="207" w:lineRule="auto"/>
        <w:tabs>
          <w:tab w:leader="none" w:pos="940" w:val="left"/>
        </w:tabs>
        <w:numPr>
          <w:ilvl w:val="0"/>
          <w:numId w:val="2"/>
        </w:numPr>
        <w:rPr>
          <w:rFonts w:ascii="MS PGothic" w:cs="MS PGothic" w:eastAsia="MS PGothic" w:hAnsi="MS PGothic"/>
          <w:sz w:val="48"/>
          <w:szCs w:val="48"/>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185" w:lineRule="exact"/>
        <w:rPr>
          <w:sz w:val="24"/>
          <w:szCs w:val="24"/>
          <w:color w:val="auto"/>
        </w:rPr>
      </w:pPr>
    </w:p>
    <w:p>
      <w:pPr>
        <w:ind w:left="940"/>
        <w:spacing w:after="0"/>
        <w:tabs>
          <w:tab w:leader="none" w:pos="3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46355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Liberty Global plc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585" w:right="339" w:bottom="1440" w:gutter="0" w:footer="0" w:header="0"/>
        </w:sectPr>
      </w:pPr>
    </w:p>
    <w:p>
      <w:pPr>
        <w:spacing w:after="0" w:line="159" w:lineRule="exact"/>
        <w:rPr>
          <w:sz w:val="24"/>
          <w:szCs w:val="24"/>
          <w:color w:val="auto"/>
        </w:rPr>
      </w:pPr>
    </w:p>
    <w:p>
      <w:pPr>
        <w:ind w:left="3280"/>
        <w:spacing w:after="0"/>
        <w:rPr>
          <w:sz w:val="20"/>
          <w:szCs w:val="20"/>
          <w:color w:val="auto"/>
        </w:rPr>
      </w:pPr>
      <w:r>
        <w:rPr>
          <w:rFonts w:ascii="Arial" w:cs="Arial" w:eastAsia="Arial" w:hAnsi="Arial"/>
          <w:sz w:val="13"/>
          <w:szCs w:val="13"/>
          <w:b w:val="1"/>
          <w:bCs w:val="1"/>
          <w:color w:val="auto"/>
        </w:rPr>
        <w:t>England and Wales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98-1112770</w:t>
      </w:r>
    </w:p>
    <w:p>
      <w:pPr>
        <w:spacing w:after="0" w:line="68" w:lineRule="exact"/>
        <w:rPr>
          <w:sz w:val="24"/>
          <w:szCs w:val="24"/>
          <w:color w:val="auto"/>
        </w:rPr>
      </w:pPr>
    </w:p>
    <w:p>
      <w:pPr>
        <w:sectPr>
          <w:pgSz w:w="11900" w:h="16838" w:orient="portrait"/>
          <w:cols w:equalWidth="0" w:num="2">
            <w:col w:w="6360" w:space="720"/>
            <w:col w:w="4160"/>
          </w:cols>
          <w:pgMar w:left="320" w:top="585" w:right="339" w:bottom="1440" w:gutter="0" w:footer="0" w:header="0"/>
          <w:type w:val="continuous"/>
        </w:sectPr>
      </w:pPr>
    </w:p>
    <w:p>
      <w:pPr>
        <w:ind w:left="3040"/>
        <w:spacing w:after="0"/>
        <w:rPr>
          <w:sz w:val="20"/>
          <w:szCs w:val="20"/>
          <w:color w:val="auto"/>
        </w:rPr>
      </w:pPr>
      <w:r>
        <w:rPr>
          <w:rFonts w:ascii="Arial" w:cs="Arial" w:eastAsia="Arial" w:hAnsi="Arial"/>
          <w:sz w:val="13"/>
          <w:szCs w:val="13"/>
          <w:i w:val="1"/>
          <w:iCs w:val="1"/>
          <w:color w:val="auto"/>
        </w:rPr>
        <w:t>(State or other jurisdiction of</w:t>
      </w:r>
    </w:p>
    <w:p>
      <w:pPr>
        <w:spacing w:after="0" w:line="11" w:lineRule="exact"/>
        <w:rPr>
          <w:sz w:val="24"/>
          <w:szCs w:val="24"/>
          <w:color w:val="auto"/>
        </w:rPr>
      </w:pPr>
    </w:p>
    <w:p>
      <w:pPr>
        <w:ind w:left="29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300"/>
        <w:spacing w:after="0"/>
        <w:rPr>
          <w:sz w:val="20"/>
          <w:szCs w:val="20"/>
          <w:color w:val="auto"/>
        </w:rPr>
      </w:pPr>
      <w:r>
        <w:rPr>
          <w:rFonts w:ascii="Arial" w:cs="Arial" w:eastAsia="Arial" w:hAnsi="Arial"/>
          <w:sz w:val="14"/>
          <w:szCs w:val="14"/>
          <w:i w:val="1"/>
          <w:iCs w:val="1"/>
          <w:color w:val="auto"/>
        </w:rPr>
        <w:t>(I.R.S. Employer</w:t>
      </w:r>
    </w:p>
    <w:p>
      <w:pPr>
        <w:jc w:val="center"/>
        <w:ind w:right="3300"/>
        <w:spacing w:after="0"/>
        <w:rPr>
          <w:sz w:val="20"/>
          <w:szCs w:val="20"/>
          <w:color w:val="auto"/>
        </w:rPr>
      </w:pPr>
      <w:r>
        <w:rPr>
          <w:rFonts w:ascii="Arial" w:cs="Arial" w:eastAsia="Arial" w:hAnsi="Arial"/>
          <w:sz w:val="13"/>
          <w:szCs w:val="13"/>
          <w:i w:val="1"/>
          <w:iCs w:val="1"/>
          <w:color w:val="auto"/>
        </w:rPr>
        <w:t>Identification No.)</w:t>
      </w:r>
    </w:p>
    <w:p>
      <w:pPr>
        <w:spacing w:after="0" w:line="200" w:lineRule="exact"/>
        <w:rPr>
          <w:sz w:val="24"/>
          <w:szCs w:val="24"/>
          <w:color w:val="auto"/>
        </w:rPr>
      </w:pPr>
    </w:p>
    <w:p>
      <w:pPr>
        <w:sectPr>
          <w:pgSz w:w="11900" w:h="16838" w:orient="portrait"/>
          <w:cols w:equalWidth="0" w:num="2">
            <w:col w:w="6160" w:space="720"/>
            <w:col w:w="4360"/>
          </w:cols>
          <w:pgMar w:left="320" w:top="585" w:right="339" w:bottom="1440" w:gutter="0" w:footer="0" w:header="0"/>
          <w:type w:val="continuous"/>
        </w:sectPr>
      </w:pPr>
    </w:p>
    <w:p>
      <w:pPr>
        <w:spacing w:after="0" w:line="40" w:lineRule="exact"/>
        <w:rPr>
          <w:sz w:val="24"/>
          <w:szCs w:val="24"/>
          <w:color w:val="auto"/>
        </w:rPr>
      </w:pPr>
    </w:p>
    <w:p>
      <w:pPr>
        <w:jc w:val="center"/>
        <w:ind w:right="3480"/>
        <w:spacing w:after="0"/>
        <w:rPr>
          <w:sz w:val="20"/>
          <w:szCs w:val="20"/>
          <w:color w:val="auto"/>
        </w:rPr>
      </w:pPr>
      <w:r>
        <w:rPr>
          <w:rFonts w:ascii="Arial" w:cs="Arial" w:eastAsia="Arial" w:hAnsi="Arial"/>
          <w:sz w:val="14"/>
          <w:szCs w:val="14"/>
          <w:b w:val="1"/>
          <w:bCs w:val="1"/>
          <w:color w:val="auto"/>
        </w:rPr>
        <w:t>Griffin House</w:t>
      </w:r>
    </w:p>
    <w:p>
      <w:pPr>
        <w:spacing w:after="0" w:line="109" w:lineRule="exact"/>
        <w:rPr>
          <w:sz w:val="24"/>
          <w:szCs w:val="24"/>
          <w:color w:val="auto"/>
        </w:rPr>
      </w:pPr>
    </w:p>
    <w:p>
      <w:pPr>
        <w:jc w:val="center"/>
        <w:ind w:right="3480"/>
        <w:spacing w:after="0"/>
        <w:rPr>
          <w:sz w:val="20"/>
          <w:szCs w:val="20"/>
          <w:color w:val="auto"/>
        </w:rPr>
      </w:pPr>
      <w:r>
        <w:rPr>
          <w:rFonts w:ascii="Arial" w:cs="Arial" w:eastAsia="Arial" w:hAnsi="Arial"/>
          <w:sz w:val="13"/>
          <w:szCs w:val="13"/>
          <w:b w:val="1"/>
          <w:bCs w:val="1"/>
          <w:color w:val="auto"/>
        </w:rPr>
        <w:t>161 Hammersmith Rd</w:t>
      </w:r>
    </w:p>
    <w:p>
      <w:pPr>
        <w:spacing w:after="0" w:line="121" w:lineRule="exact"/>
        <w:rPr>
          <w:sz w:val="24"/>
          <w:szCs w:val="24"/>
          <w:color w:val="auto"/>
        </w:rPr>
      </w:pPr>
    </w:p>
    <w:p>
      <w:pPr>
        <w:jc w:val="center"/>
        <w:ind w:right="3480"/>
        <w:spacing w:after="0"/>
        <w:rPr>
          <w:sz w:val="20"/>
          <w:szCs w:val="20"/>
          <w:color w:val="auto"/>
        </w:rPr>
      </w:pPr>
      <w:r>
        <w:rPr>
          <w:rFonts w:ascii="Arial" w:cs="Arial" w:eastAsia="Arial" w:hAnsi="Arial"/>
          <w:sz w:val="14"/>
          <w:szCs w:val="14"/>
          <w:b w:val="1"/>
          <w:bCs w:val="1"/>
          <w:color w:val="auto"/>
        </w:rPr>
        <w:t>London</w:t>
      </w:r>
    </w:p>
    <w:p>
      <w:pPr>
        <w:sectPr>
          <w:pgSz w:w="11900" w:h="16838" w:orient="portrait"/>
          <w:cols w:equalWidth="0" w:num="1">
            <w:col w:w="11240"/>
          </w:cols>
          <w:pgMar w:left="320" w:top="585" w:right="339" w:bottom="1440" w:gutter="0" w:footer="0" w:header="0"/>
          <w:type w:val="continuous"/>
        </w:sectPr>
      </w:pPr>
    </w:p>
    <w:p>
      <w:pPr>
        <w:spacing w:after="0" w:line="109"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United Kingdom</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W6 8BS</w:t>
      </w:r>
    </w:p>
    <w:p>
      <w:pPr>
        <w:spacing w:after="0" w:line="57" w:lineRule="exact"/>
        <w:rPr>
          <w:sz w:val="24"/>
          <w:szCs w:val="24"/>
          <w:color w:val="auto"/>
        </w:rPr>
      </w:pPr>
    </w:p>
    <w:p>
      <w:pPr>
        <w:sectPr>
          <w:pgSz w:w="11900" w:h="16838" w:orient="portrait"/>
          <w:cols w:equalWidth="0" w:num="2">
            <w:col w:w="6440" w:space="720"/>
            <w:col w:w="4080"/>
          </w:cols>
          <w:pgMar w:left="320" w:top="585" w:right="339" w:bottom="1440" w:gutter="0" w:footer="0" w:header="0"/>
          <w:type w:val="continuous"/>
        </w:sectPr>
      </w:pPr>
    </w:p>
    <w:p>
      <w:pPr>
        <w:ind w:left="276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6" w:lineRule="exact"/>
        <w:rPr>
          <w:sz w:val="24"/>
          <w:szCs w:val="24"/>
          <w:color w:val="auto"/>
        </w:rPr>
      </w:pPr>
    </w:p>
    <w:p>
      <w:pPr>
        <w:sectPr>
          <w:pgSz w:w="11900" w:h="16838" w:orient="portrait"/>
          <w:cols w:equalWidth="0" w:num="2">
            <w:col w:w="6380" w:space="720"/>
            <w:col w:w="4140"/>
          </w:cols>
          <w:pgMar w:left="320" w:top="58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+44.208.483.6449 or 303.220.6600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585" w:right="339" w:bottom="1440" w:gutter="0" w:footer="0" w:header="0"/>
          <w:type w:val="continuous"/>
        </w:sectPr>
      </w:pPr>
    </w:p>
    <w:p>
      <w:pPr>
        <w:spacing w:after="0" w:line="200"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880" w:space="720"/>
            <w:col w:w="1520" w:space="720"/>
            <w:col w:w="4400"/>
          </w:cols>
          <w:pgMar w:left="320" w:top="585" w:right="339" w:bottom="1440" w:gutter="0" w:footer="0" w:header="0"/>
          <w:type w:val="continuous"/>
        </w:sectPr>
      </w:pPr>
    </w:p>
    <w:p>
      <w:pPr>
        <w:spacing w:after="0" w:line="21" w:lineRule="exact"/>
        <w:rPr>
          <w:sz w:val="24"/>
          <w:szCs w:val="24"/>
          <w:color w:val="auto"/>
        </w:rPr>
      </w:pPr>
    </w:p>
    <w:p>
      <w:pPr>
        <w:jc w:val="center"/>
        <w:ind w:left="800"/>
        <w:spacing w:after="0"/>
        <w:rPr>
          <w:sz w:val="20"/>
          <w:szCs w:val="20"/>
          <w:color w:val="auto"/>
        </w:rPr>
      </w:pPr>
      <w:r>
        <w:rPr>
          <w:rFonts w:ascii="Arial" w:cs="Arial" w:eastAsia="Arial" w:hAnsi="Arial"/>
          <w:sz w:val="14"/>
          <w:szCs w:val="14"/>
          <w:color w:val="auto"/>
        </w:rPr>
        <w:t>Class A ordinary shares</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LBTYA</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LBTYB</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95"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jc w:val="center"/>
        <w:ind w:left="800"/>
        <w:spacing w:after="0"/>
        <w:rPr>
          <w:sz w:val="20"/>
          <w:szCs w:val="20"/>
          <w:color w:val="auto"/>
        </w:rPr>
      </w:pPr>
      <w:r>
        <w:rPr>
          <w:rFonts w:ascii="Arial" w:cs="Arial" w:eastAsia="Arial" w:hAnsi="Arial"/>
          <w:sz w:val="14"/>
          <w:szCs w:val="14"/>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LBTYK</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4"/>
          <w:szCs w:val="14"/>
          <w:color w:val="auto"/>
        </w:rPr>
        <w:t>Nasdaq Global Select Market</w:t>
      </w:r>
    </w:p>
    <w:p>
      <w:pPr>
        <w:spacing w:after="0" w:line="222" w:lineRule="exact"/>
        <w:rPr>
          <w:sz w:val="24"/>
          <w:szCs w:val="24"/>
          <w:color w:val="auto"/>
        </w:rPr>
      </w:pPr>
    </w:p>
    <w:p>
      <w:pPr>
        <w:sectPr>
          <w:pgSz w:w="11900" w:h="16838" w:orient="portrait"/>
          <w:cols w:equalWidth="0" w:num="3">
            <w:col w:w="4260" w:space="720"/>
            <w:col w:w="1680" w:space="720"/>
            <w:col w:w="3860"/>
          </w:cols>
          <w:pgMar w:left="320" w:top="585" w:right="339" w:bottom="1440" w:gutter="0" w:footer="0" w:header="0"/>
          <w:type w:val="continuous"/>
        </w:sectPr>
      </w:pPr>
    </w:p>
    <w:p>
      <w:pPr>
        <w:spacing w:after="0" w:line="116"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p>
      <w:pPr>
        <w:ind w:left="3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72" w:lineRule="exact"/>
        <w:rPr>
          <w:sz w:val="24"/>
          <w:szCs w:val="24"/>
          <w:color w:val="auto"/>
        </w:rPr>
      </w:pPr>
    </w:p>
    <w:p>
      <w:pPr>
        <w:ind w:left="3520"/>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9"/>
          <w:szCs w:val="19"/>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The number of outstanding ordinary shares of Liberty Global plc as of April 30, 2020 was: 182,226,573 class A ordinary shares, 12,189,197 class B ordinary shares and 411,553,000 class C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278765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193040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1" w:name="page2"/>
    <w:bookmarkEnd w:id="1"/>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TABLE OF CONTENTS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880" w:type="dxa"/>
            <w:vAlign w:val="bottom"/>
          </w:tcPr>
          <w:p>
            <w:pPr>
              <w:spacing w:after="0"/>
              <w:rPr>
                <w:sz w:val="16"/>
                <w:szCs w:val="16"/>
                <w:color w:val="auto"/>
              </w:rPr>
            </w:pPr>
          </w:p>
        </w:tc>
        <w:tc>
          <w:tcPr>
            <w:tcW w:w="95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43"/>
        </w:trPr>
        <w:tc>
          <w:tcPr>
            <w:tcW w:w="880" w:type="dxa"/>
            <w:vAlign w:val="bottom"/>
          </w:tcPr>
          <w:p>
            <w:pPr>
              <w:spacing w:after="0"/>
              <w:rPr>
                <w:sz w:val="21"/>
                <w:szCs w:val="21"/>
                <w:color w:val="auto"/>
              </w:rPr>
            </w:pPr>
          </w:p>
        </w:tc>
        <w:tc>
          <w:tcPr>
            <w:tcW w:w="95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Pr>
          <w:p>
            <w:pPr>
              <w:spacing w:after="0"/>
              <w:rPr>
                <w:sz w:val="21"/>
                <w:szCs w:val="2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1</w:t>
              </w:r>
            </w:hyperlink>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Condensed Consolidated Statements of Operations for the Three Months Ended March 31,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3</w:t>
              </w:r>
            </w:hyperlink>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Condensed Consolidated Statements of Comprehensive Loss for the Three Months Ended March 31,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4</w:t>
              </w:r>
            </w:hyperlink>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Equity for the Three Months Ended March 31,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5</w:t>
              </w:r>
            </w:hyperlink>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w w:val="98"/>
              </w:rPr>
            </w:pPr>
            <w:hyperlink w:anchor="page9">
              <w:r>
                <w:rPr>
                  <w:rFonts w:ascii="Arial" w:cs="Arial" w:eastAsia="Arial" w:hAnsi="Arial"/>
                  <w:sz w:val="18"/>
                  <w:szCs w:val="18"/>
                  <w:u w:val="single" w:color="auto"/>
                  <w:color w:val="0000EE"/>
                  <w:w w:val="98"/>
                </w:rPr>
                <w:t>Condensed Consolidated Statements of Cash Flows for the Three Months Ended March 31, 2020 and 2019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7</w:t>
              </w:r>
            </w:hyperlink>
          </w:p>
        </w:tc>
      </w:tr>
      <w:tr>
        <w:trPr>
          <w:trHeight w:val="270"/>
        </w:trPr>
        <w:tc>
          <w:tcPr>
            <w:tcW w:w="880" w:type="dxa"/>
            <w:vAlign w:val="bottom"/>
          </w:tcPr>
          <w:p>
            <w:pPr>
              <w:spacing w:after="0"/>
              <w:rPr>
                <w:sz w:val="23"/>
                <w:szCs w:val="23"/>
                <w:color w:val="auto"/>
              </w:rPr>
            </w:pPr>
          </w:p>
        </w:tc>
        <w:tc>
          <w:tcPr>
            <w:tcW w:w="954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9</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46</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tcPr>
          <w:p>
            <w:pPr>
              <w:ind w:left="1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77">
              <w:r>
                <w:rPr>
                  <w:rFonts w:ascii="Arial" w:cs="Arial" w:eastAsia="Arial" w:hAnsi="Arial"/>
                  <w:sz w:val="18"/>
                  <w:szCs w:val="18"/>
                  <w:u w:val="single" w:color="auto"/>
                  <w:color w:val="0000EE"/>
                  <w:w w:val="89"/>
                </w:rPr>
                <w:t>73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tcPr>
          <w:p>
            <w:pPr>
              <w:ind w:left="1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CONTROLS AND PROCEDURES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80">
              <w:r>
                <w:rPr>
                  <w:rFonts w:ascii="Arial" w:cs="Arial" w:eastAsia="Arial" w:hAnsi="Arial"/>
                  <w:sz w:val="18"/>
                  <w:szCs w:val="18"/>
                  <w:u w:val="single" w:color="auto"/>
                  <w:color w:val="0000EE"/>
                  <w:w w:val="89"/>
                </w:rPr>
                <w:t>76</w:t>
              </w:r>
            </w:hyperlink>
          </w:p>
        </w:tc>
      </w:tr>
      <w:tr>
        <w:trPr>
          <w:trHeight w:val="270"/>
        </w:trPr>
        <w:tc>
          <w:tcPr>
            <w:tcW w:w="880" w:type="dxa"/>
            <w:vAlign w:val="bottom"/>
          </w:tcPr>
          <w:p>
            <w:pPr>
              <w:spacing w:after="0"/>
              <w:rPr>
                <w:sz w:val="23"/>
                <w:szCs w:val="23"/>
                <w:color w:val="auto"/>
              </w:rPr>
            </w:pPr>
          </w:p>
        </w:tc>
        <w:tc>
          <w:tcPr>
            <w:tcW w:w="9540" w:type="dxa"/>
            <w:vAlign w:val="bottom"/>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3"/>
                <w:szCs w:val="23"/>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RISK FACTORS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77</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12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77</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w:t>
              </w:r>
            </w:hyperlink>
          </w:p>
        </w:tc>
        <w:tc>
          <w:tcPr>
            <w:tcW w:w="780" w:type="dxa"/>
            <w:vAlign w:val="bottom"/>
          </w:tcPr>
          <w:p>
            <w:pPr>
              <w:jc w:val="center"/>
              <w:spacing w:after="0"/>
              <w:rPr>
                <w:rFonts w:ascii="Arial" w:cs="Arial" w:eastAsia="Arial" w:hAnsi="Arial"/>
                <w:sz w:val="18"/>
                <w:szCs w:val="18"/>
                <w:u w:val="single" w:color="auto"/>
                <w:color w:val="0000EE"/>
                <w:w w:val="89"/>
              </w:rPr>
            </w:pPr>
            <w:hyperlink w:anchor="page82">
              <w:r>
                <w:rPr>
                  <w:rFonts w:ascii="Arial" w:cs="Arial" w:eastAsia="Arial" w:hAnsi="Arial"/>
                  <w:sz w:val="18"/>
                  <w:szCs w:val="18"/>
                  <w:u w:val="single" w:color="auto"/>
                  <w:color w:val="0000EE"/>
                  <w:w w:val="89"/>
                </w:rPr>
                <w:t>78</w:t>
              </w:r>
            </w:hyperlink>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105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8,142.4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1,404.8</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 (measured at fair value on a recurring basis) (note 5)</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Derivative instruments (note 6)</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331.1</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(notes 3, 4 and 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9,762.9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10,573.3</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Investments and related notes receivable (including $1,134.1 million and $1,289.2 million, respectively,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measured at fair value on a recurring basis) (note 5)</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Property and equipment, net (notes 8 and 10)</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13,110.1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13,843.4</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8)</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14,052.1</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Deferred tax assets (note 11)</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2,457.4</w:t>
            </w: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 (notes 3, 4, 6, 8 and 10)</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3,338.1</w:t>
            </w: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47,256.0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49,046.3</w:t>
            </w:r>
          </w:p>
        </w:tc>
      </w:tr>
      <w:tr>
        <w:trPr>
          <w:trHeight w:val="27"/>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right"/>
              <w:ind w:right="931"/>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Deferred revenue (note 3)</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834.9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 (notes 9 and 10)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Accrued capital expenditures</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405.2</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 (notes 6, 10 and 14)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2,570.5</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8,651.7</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 (notes 9 and 10)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24,305.3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 (notes 3, 6, 10, 11 and 14)</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2,890.7</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35,847.7</w:t>
            </w:r>
          </w:p>
        </w:tc>
      </w:tr>
      <w:tr>
        <w:trPr>
          <w:trHeight w:val="210"/>
        </w:trPr>
        <w:tc>
          <w:tcPr>
            <w:tcW w:w="8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6, 9, 11 and 16)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(note 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Liberty Global shareholders: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Class A ordinary shares, $0.01 nominal value. Issued and outstanding 181,901,429 shares and 181,560,735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w w:val="89"/>
              </w:rPr>
              <w:t>Class B ordinary shares, $0.01 nominal value. Issued and outstanding 12,189,197 shares and 12,151,526 shares,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Class C ordinary shares, $0.01 nominal value. Issued and outstanding 426,095,284 shares and 438,867,447</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6,136.9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6,350.4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earnings, net of taxes</w:t>
            </w:r>
          </w:p>
        </w:tc>
        <w:tc>
          <w:tcPr>
            <w:tcW w:w="2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1,112.7</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shares, at cost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Liberty Global shareholders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13,244.1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13,606.2</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13,198.6</w:t>
            </w: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49,046.3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gridSpan w:val="3"/>
          </w:tcPr>
          <w:p>
            <w:pPr>
              <w:jc w:val="center"/>
              <w:ind w:left="811"/>
              <w:spacing w:after="0"/>
              <w:rPr>
                <w:sz w:val="20"/>
                <w:szCs w:val="20"/>
                <w:color w:val="auto"/>
              </w:rPr>
            </w:pPr>
            <w:r>
              <w:rPr>
                <w:rFonts w:ascii="Arial" w:cs="Arial" w:eastAsia="Arial" w:hAnsi="Arial"/>
                <w:sz w:val="16"/>
                <w:szCs w:val="16"/>
                <w:b w:val="1"/>
                <w:bCs w:val="1"/>
                <w:color w:val="auto"/>
                <w:w w:val="94"/>
              </w:rPr>
              <w:t>March 31,</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4"/>
          </w:tcPr>
          <w:p>
            <w:pPr>
              <w:jc w:val="center"/>
              <w:ind w:right="110"/>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3, 4, 5 and 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8"/>
                <w:szCs w:val="18"/>
                <w:color w:val="auto"/>
                <w:w w:val="98"/>
              </w:rPr>
              <w:t>Operating costs and expenses (exclusive of depreciation and amortization, shown separately below):</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Programming and other direct costs of services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operating (note 13)</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13)</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783.5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restructuring and other operating items, net (note 14)</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2,595.2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2,762.5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Realized and unrealized gains (losses) on derivative instruments, net (note 6)</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1,237.3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net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0"/>
              </w:rPr>
              <w:t>Realized and unrealized losses due to changes in fair values of certain investments and debt, net (notes 5, 7</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and 9)</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on debt extinguishment, net (note 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Share of results of affiliates, net (note 5)</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 expense (note 11)</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Earnings from discontinued operations, net of taxes (note 4)</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 attributable to Liberty Global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949.8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Basic earnings (loss) from continuing operations attributable to Liberty Global shareholders per share (note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w w:val="91"/>
              </w:rPr>
              <w:t>Diluted earnings (loss) from continuing operations attributable to Liberty Global shareholders per share (note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80" w:type="dxa"/>
            <w:vAlign w:val="bottom"/>
            <w:vMerge w:val="continue"/>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6"/>
                <w:szCs w:val="16"/>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2"/>
        </w:trPr>
        <w:tc>
          <w:tcPr>
            <w:tcW w:w="7980" w:type="dxa"/>
            <w:vAlign w:val="bottom"/>
          </w:tcPr>
          <w:p>
            <w:pPr>
              <w:ind w:left="12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0"/>
              </w:rPr>
              <w:t>Three months ended</w:t>
            </w:r>
          </w:p>
        </w:tc>
      </w:tr>
      <w:tr>
        <w:trPr>
          <w:trHeight w:val="270"/>
        </w:trPr>
        <w:tc>
          <w:tcPr>
            <w:tcW w:w="8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center"/>
              <w:ind w:left="513"/>
              <w:spacing w:after="0"/>
              <w:rPr>
                <w:sz w:val="20"/>
                <w:szCs w:val="20"/>
                <w:color w:val="auto"/>
              </w:rPr>
            </w:pPr>
            <w:r>
              <w:rPr>
                <w:rFonts w:ascii="Arial" w:cs="Arial" w:eastAsia="Arial" w:hAnsi="Arial"/>
                <w:sz w:val="16"/>
                <w:szCs w:val="16"/>
                <w:b w:val="1"/>
                <w:bCs w:val="1"/>
                <w:color w:val="auto"/>
                <w:w w:val="94"/>
              </w:rPr>
              <w:t>March 31,</w:t>
            </w:r>
          </w:p>
        </w:tc>
        <w:tc>
          <w:tcPr>
            <w:tcW w:w="840" w:type="dxa"/>
            <w:vAlign w:val="bottom"/>
          </w:tcPr>
          <w:p>
            <w:pPr>
              <w:spacing w:after="0"/>
              <w:rPr>
                <w:sz w:val="23"/>
                <w:szCs w:val="23"/>
                <w:color w:val="auto"/>
              </w:rPr>
            </w:pP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center"/>
              <w:ind w:left="493"/>
              <w:spacing w:after="0"/>
              <w:rPr>
                <w:sz w:val="20"/>
                <w:szCs w:val="20"/>
                <w:color w:val="auto"/>
              </w:rPr>
            </w:pPr>
            <w:r>
              <w:rPr>
                <w:rFonts w:ascii="Arial" w:cs="Arial" w:eastAsia="Arial" w:hAnsi="Arial"/>
                <w:sz w:val="16"/>
                <w:szCs w:val="16"/>
                <w:b w:val="1"/>
                <w:bCs w:val="1"/>
                <w:color w:val="auto"/>
                <w:w w:val="90"/>
              </w:rPr>
              <w:t>in millions</w:t>
            </w:r>
          </w:p>
        </w:tc>
        <w:tc>
          <w:tcPr>
            <w:tcW w:w="840" w:type="dxa"/>
            <w:vAlign w:val="bottom"/>
          </w:tcPr>
          <w:p>
            <w:pPr>
              <w:spacing w:after="0"/>
              <w:rPr>
                <w:sz w:val="18"/>
                <w:szCs w:val="18"/>
                <w:color w:val="auto"/>
              </w:rPr>
            </w:pPr>
          </w:p>
        </w:tc>
      </w:tr>
      <w:tr>
        <w:trPr>
          <w:trHeight w:val="303"/>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color w:val="auto"/>
              </w:rPr>
              <w:t>Other comprehensive loss, net of taxes: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Pension-related adjustments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660" w:type="dxa"/>
            <w:vAlign w:val="bottom"/>
          </w:tcPr>
          <w:p>
            <w:pPr>
              <w:ind w:left="360"/>
              <w:spacing w:after="0"/>
              <w:rPr>
                <w:sz w:val="20"/>
                <w:szCs w:val="20"/>
                <w:color w:val="auto"/>
              </w:rPr>
            </w:pPr>
            <w:r>
              <w:rPr>
                <w:rFonts w:ascii="Arial" w:cs="Arial" w:eastAsia="Arial" w:hAnsi="Arial"/>
                <w:sz w:val="18"/>
                <w:szCs w:val="18"/>
                <w:color w:val="auto"/>
              </w:rPr>
              <w:t>Other comprehensive loss from continuing operations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from discontinued operations (note 4)</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7"/>
        </w:trPr>
        <w:tc>
          <w:tcPr>
            <w:tcW w:w="866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loss attributable to Liberty Global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8"/>
          </w:tcPr>
          <w:p>
            <w:pPr>
              <w:ind w:left="48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8"/>
            <w:vMerge w:val="restart"/>
          </w:tcPr>
          <w:p>
            <w:pPr>
              <w:jc w:val="center"/>
              <w:ind w:right="260"/>
              <w:spacing w:after="0"/>
              <w:rPr>
                <w:sz w:val="20"/>
                <w:szCs w:val="20"/>
                <w:color w:val="auto"/>
              </w:rPr>
            </w:pPr>
            <w:r>
              <w:rPr>
                <w:rFonts w:ascii="Arial" w:cs="Arial" w:eastAsia="Arial" w:hAnsi="Arial"/>
                <w:sz w:val="16"/>
                <w:szCs w:val="16"/>
                <w:b w:val="1"/>
                <w:bCs w:val="1"/>
                <w:color w:val="auto"/>
                <w:w w:val="91"/>
              </w:rPr>
              <w:t>Ordinary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4"/>
              </w:rPr>
              <w:t>Class</w:t>
            </w:r>
          </w:p>
        </w:tc>
        <w:tc>
          <w:tcPr>
            <w:tcW w:w="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4"/>
              </w:rPr>
              <w:t>Class</w:t>
            </w:r>
          </w:p>
        </w:tc>
        <w:tc>
          <w:tcPr>
            <w:tcW w:w="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paid-in</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earnings, net</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780" w:type="dxa"/>
            <w:vAlign w:val="bottom"/>
          </w:tcPr>
          <w:p>
            <w:pPr>
              <w:jc w:val="right"/>
              <w:ind w:right="1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w:t>
            </w:r>
          </w:p>
        </w:tc>
        <w:tc>
          <w:tcPr>
            <w:tcW w:w="180" w:type="dxa"/>
            <w:vAlign w:val="bottom"/>
          </w:tcPr>
          <w:p>
            <w:pPr>
              <w:spacing w:after="0"/>
              <w:rPr>
                <w:sz w:val="18"/>
                <w:szCs w:val="18"/>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w:t>
            </w:r>
          </w:p>
        </w:tc>
        <w:tc>
          <w:tcPr>
            <w:tcW w:w="140" w:type="dxa"/>
            <w:vAlign w:val="bottom"/>
          </w:tcPr>
          <w:p>
            <w:pPr>
              <w:spacing w:after="0"/>
              <w:rPr>
                <w:sz w:val="18"/>
                <w:szCs w:val="18"/>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780" w:type="dxa"/>
            <w:vAlign w:val="bottom"/>
          </w:tcPr>
          <w:p>
            <w:pPr>
              <w:jc w:val="right"/>
              <w:ind w:right="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effect of accounting</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$ 9,214.5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(5,172.2)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$4,148.3</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rPr>
              <w:t>Impact of ASU No. 2016-</w:t>
            </w:r>
          </w:p>
        </w:tc>
        <w:tc>
          <w:tcPr>
            <w:tcW w:w="180" w:type="dxa"/>
            <w:vAlign w:val="bottom"/>
          </w:tcPr>
          <w:p>
            <w:pPr>
              <w:spacing w:after="0"/>
              <w:rPr>
                <w:sz w:val="19"/>
                <w:szCs w:val="19"/>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 xml:space="preserve">02, </w:t>
            </w:r>
            <w:r>
              <w:rPr>
                <w:rFonts w:ascii="Arial" w:cs="Arial" w:eastAsia="Arial" w:hAnsi="Arial"/>
                <w:sz w:val="18"/>
                <w:szCs w:val="18"/>
                <w:i w:val="1"/>
                <w:iCs w:val="1"/>
                <w:color w:val="auto"/>
              </w:rPr>
              <w:t>Leases</w:t>
            </w:r>
          </w:p>
        </w:tc>
        <w:tc>
          <w:tcPr>
            <w:tcW w:w="18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Balance at January 1, 2019, as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2"/>
              </w:rPr>
              <w:t>adjusted for accounting change</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(5,171.0)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4,149.5</w:t>
            </w:r>
          </w:p>
        </w:tc>
        <w:tc>
          <w:tcPr>
            <w:tcW w:w="0" w:type="dxa"/>
            <w:vAlign w:val="bottom"/>
          </w:tcPr>
          <w:p>
            <w:pPr>
              <w:spacing w:after="0"/>
              <w:rPr>
                <w:sz w:val="1"/>
                <w:szCs w:val="1"/>
                <w:color w:val="auto"/>
              </w:rPr>
            </w:pP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Other comprehensive loss, net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taxes</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3"/>
              </w:rPr>
              <w:t>Repurchases and cancellations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340"/>
              <w:spacing w:after="0"/>
              <w:rPr>
                <w:sz w:val="20"/>
                <w:szCs w:val="20"/>
                <w:color w:val="auto"/>
              </w:rPr>
            </w:pPr>
            <w:r>
              <w:rPr>
                <w:rFonts w:ascii="Arial" w:cs="Arial" w:eastAsia="Arial" w:hAnsi="Arial"/>
                <w:sz w:val="18"/>
                <w:szCs w:val="18"/>
                <w:color w:val="auto"/>
              </w:rPr>
              <w:t>of Liberty Global ordinary</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Repurchases by Telenet of its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shares</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87"/>
              </w:rPr>
              <w:t>Share-based compensation (note</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3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due to changes in</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subsidiaries’ equity and other,</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7"/>
              </w:rPr>
              <w:t>$ 9,020.3</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(5,164.0)</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496.6</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4,360.1</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(510.5)</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4"/>
              </w:rPr>
              <w:t>$3,849.6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8"/>
          </w:tcPr>
          <w:p>
            <w:pPr>
              <w:ind w:left="52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8"/>
            <w:vMerge w:val="restart"/>
          </w:tcPr>
          <w:p>
            <w:pPr>
              <w:jc w:val="center"/>
              <w:ind w:right="220"/>
              <w:spacing w:after="0"/>
              <w:rPr>
                <w:sz w:val="20"/>
                <w:szCs w:val="20"/>
                <w:color w:val="auto"/>
              </w:rPr>
            </w:pPr>
            <w:r>
              <w:rPr>
                <w:rFonts w:ascii="Arial" w:cs="Arial" w:eastAsia="Arial" w:hAnsi="Arial"/>
                <w:sz w:val="16"/>
                <w:szCs w:val="16"/>
                <w:b w:val="1"/>
                <w:bCs w:val="1"/>
                <w:color w:val="auto"/>
                <w:w w:val="92"/>
              </w:rPr>
              <w:t>Ordinary shares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8"/>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320"/>
              <w:spacing w:after="0" w:line="176" w:lineRule="exact"/>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20"/>
              <w:spacing w:after="0" w:line="176" w:lineRule="exact"/>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4"/>
              </w:rPr>
              <w:t>Class</w:t>
            </w:r>
          </w:p>
        </w:tc>
        <w:tc>
          <w:tcPr>
            <w:tcW w:w="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4"/>
              </w:rPr>
              <w:t>Class</w:t>
            </w:r>
          </w:p>
        </w:tc>
        <w:tc>
          <w:tcPr>
            <w:tcW w:w="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paid-in</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earnings, net</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w:t>
            </w:r>
          </w:p>
        </w:tc>
        <w:tc>
          <w:tcPr>
            <w:tcW w:w="160" w:type="dxa"/>
            <w:vAlign w:val="bottom"/>
          </w:tcPr>
          <w:p>
            <w:pPr>
              <w:spacing w:after="0"/>
              <w:rPr>
                <w:sz w:val="18"/>
                <w:szCs w:val="18"/>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w:t>
            </w:r>
          </w:p>
        </w:tc>
        <w:tc>
          <w:tcPr>
            <w:tcW w:w="140" w:type="dxa"/>
            <w:vAlign w:val="bottom"/>
          </w:tcPr>
          <w:p>
            <w:pPr>
              <w:spacing w:after="0"/>
              <w:rPr>
                <w:sz w:val="18"/>
                <w:szCs w:val="18"/>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6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effect of accounting</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$ 6,136.9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$ 13,606.2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(407.6)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$13,198.6</w:t>
            </w:r>
          </w:p>
        </w:tc>
        <w:tc>
          <w:tcPr>
            <w:tcW w:w="0" w:type="dxa"/>
            <w:vAlign w:val="bottom"/>
          </w:tcPr>
          <w:p>
            <w:pPr>
              <w:spacing w:after="0"/>
              <w:rPr>
                <w:sz w:val="1"/>
                <w:szCs w:val="1"/>
                <w:color w:val="auto"/>
              </w:rPr>
            </w:pPr>
          </w:p>
        </w:tc>
      </w:tr>
      <w:tr>
        <w:trPr>
          <w:trHeight w:val="229"/>
        </w:trPr>
        <w:tc>
          <w:tcPr>
            <w:tcW w:w="2480" w:type="dxa"/>
            <w:vAlign w:val="bottom"/>
          </w:tcPr>
          <w:p>
            <w:pPr>
              <w:ind w:left="180"/>
              <w:spacing w:after="0"/>
              <w:rPr>
                <w:sz w:val="20"/>
                <w:szCs w:val="20"/>
                <w:color w:val="auto"/>
              </w:rPr>
            </w:pPr>
            <w:r>
              <w:rPr>
                <w:rFonts w:ascii="Arial" w:cs="Arial" w:eastAsia="Arial" w:hAnsi="Arial"/>
                <w:sz w:val="18"/>
                <w:szCs w:val="18"/>
                <w:color w:val="auto"/>
              </w:rPr>
              <w:t>Impact of ASU No. 2016-13</w:t>
            </w:r>
          </w:p>
        </w:tc>
        <w:tc>
          <w:tcPr>
            <w:tcW w:w="160" w:type="dxa"/>
            <w:vAlign w:val="bottom"/>
          </w:tcPr>
          <w:p>
            <w:pPr>
              <w:spacing w:after="0"/>
              <w:rPr>
                <w:sz w:val="19"/>
                <w:szCs w:val="19"/>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40"/>
              <w:spacing w:after="0"/>
              <w:rPr>
                <w:sz w:val="20"/>
                <w:szCs w:val="20"/>
                <w:color w:val="auto"/>
              </w:rPr>
            </w:pPr>
            <w:r>
              <w:rPr>
                <w:rFonts w:ascii="Arial" w:cs="Arial" w:eastAsia="Arial" w:hAnsi="Arial"/>
                <w:sz w:val="18"/>
                <w:szCs w:val="18"/>
                <w:color w:val="auto"/>
              </w:rPr>
              <w:t>(note 2)</w:t>
            </w:r>
          </w:p>
        </w:tc>
        <w:tc>
          <w:tcPr>
            <w:tcW w:w="16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Balance at January 1, 2020, as</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rPr>
              <w:t>adjusted for accounting change</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6,136.9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(407.4)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13,168.5</w:t>
            </w:r>
          </w:p>
        </w:tc>
        <w:tc>
          <w:tcPr>
            <w:tcW w:w="0" w:type="dxa"/>
            <w:vAlign w:val="bottom"/>
          </w:tcPr>
          <w:p>
            <w:pPr>
              <w:spacing w:after="0"/>
              <w:rPr>
                <w:sz w:val="1"/>
                <w:szCs w:val="1"/>
                <w:color w:val="auto"/>
              </w:rPr>
            </w:pP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Other comprehensive loss, net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taxes</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29"/>
        </w:trPr>
        <w:tc>
          <w:tcPr>
            <w:tcW w:w="2480" w:type="dxa"/>
            <w:vAlign w:val="bottom"/>
          </w:tcPr>
          <w:p>
            <w:pPr>
              <w:ind w:left="180"/>
              <w:spacing w:after="0"/>
              <w:rPr>
                <w:sz w:val="20"/>
                <w:szCs w:val="20"/>
                <w:color w:val="auto"/>
              </w:rPr>
            </w:pPr>
            <w:r>
              <w:rPr>
                <w:rFonts w:ascii="Arial" w:cs="Arial" w:eastAsia="Arial" w:hAnsi="Arial"/>
                <w:sz w:val="18"/>
                <w:szCs w:val="18"/>
                <w:color w:val="auto"/>
                <w:w w:val="91"/>
              </w:rPr>
              <w:t>Repurchases and cancellations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40"/>
              <w:spacing w:after="0"/>
              <w:rPr>
                <w:sz w:val="20"/>
                <w:szCs w:val="20"/>
                <w:color w:val="auto"/>
              </w:rPr>
            </w:pPr>
            <w:r>
              <w:rPr>
                <w:rFonts w:ascii="Arial" w:cs="Arial" w:eastAsia="Arial" w:hAnsi="Arial"/>
                <w:sz w:val="18"/>
                <w:szCs w:val="18"/>
                <w:color w:val="auto"/>
              </w:rPr>
              <w:t>of Liberty Global ordinary</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40"/>
              <w:spacing w:after="0"/>
              <w:rPr>
                <w:sz w:val="20"/>
                <w:szCs w:val="20"/>
                <w:color w:val="auto"/>
              </w:rPr>
            </w:pPr>
            <w:r>
              <w:rPr>
                <w:rFonts w:ascii="Arial" w:cs="Arial" w:eastAsia="Arial" w:hAnsi="Arial"/>
                <w:sz w:val="18"/>
                <w:szCs w:val="18"/>
                <w:color w:val="auto"/>
              </w:rPr>
              <w:t>shares (note 12)</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13)</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2480" w:type="dxa"/>
            <w:vAlign w:val="bottom"/>
          </w:tcPr>
          <w:p>
            <w:pPr>
              <w:ind w:left="180"/>
              <w:spacing w:after="0"/>
              <w:rPr>
                <w:sz w:val="20"/>
                <w:szCs w:val="20"/>
                <w:color w:val="auto"/>
              </w:rPr>
            </w:pPr>
            <w:r>
              <w:rPr>
                <w:rFonts w:ascii="Arial" w:cs="Arial" w:eastAsia="Arial" w:hAnsi="Arial"/>
                <w:sz w:val="18"/>
                <w:szCs w:val="18"/>
                <w:color w:val="auto"/>
                <w:w w:val="95"/>
              </w:rPr>
              <w:t>Repurchases by Telenet of its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40"/>
              <w:spacing w:after="0"/>
              <w:rPr>
                <w:sz w:val="20"/>
                <w:szCs w:val="20"/>
                <w:color w:val="auto"/>
              </w:rPr>
            </w:pPr>
            <w:r>
              <w:rPr>
                <w:rFonts w:ascii="Arial" w:cs="Arial" w:eastAsia="Arial" w:hAnsi="Arial"/>
                <w:sz w:val="18"/>
                <w:szCs w:val="18"/>
                <w:color w:val="auto"/>
              </w:rPr>
              <w:t>outstanding shares</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Adjustments due to changes in</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subsidiaries’ equity and</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0"/>
              </w:rPr>
              <w:t>$ 5,927.9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7,269.9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3"/>
              </w:rPr>
              <w:t>$ 13,244.1</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(331.9)</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2"/>
              </w:rPr>
              <w:t>$12,912.2</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3"/>
          </w:tcPr>
          <w:p>
            <w:pPr>
              <w:jc w:val="center"/>
              <w:ind w:left="571"/>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2"/>
                <w:szCs w:val="22"/>
                <w:color w:val="auto"/>
              </w:rPr>
            </w:pP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center"/>
              <w:ind w:left="571"/>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r>
      <w:tr>
        <w:trPr>
          <w:trHeight w:val="237"/>
        </w:trPr>
        <w:tc>
          <w:tcPr>
            <w:tcW w:w="8440" w:type="dxa"/>
            <w:vAlign w:val="bottom"/>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earnings (loss) from continuing operations to 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939.6</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Impairment, restructuring and other operating items,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Realized and unrealized losses due to changes in fair values of certain investments and debt,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on debt extinguishment, net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Share of results of affiliates,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the effects of acquisitions and dispositions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(457.8)</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459.1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765.4</w:t>
            </w:r>
          </w:p>
        </w:tc>
      </w:tr>
      <w:tr>
        <w:trPr>
          <w:trHeight w:val="183"/>
        </w:trPr>
        <w:tc>
          <w:tcPr>
            <w:tcW w:w="84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Cash paid for investments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received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Capital expenditures,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44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continuing operations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Net cash used by investing activities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(477.3)</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center"/>
              <w:ind w:right="190"/>
              <w:spacing w:after="0"/>
              <w:rPr>
                <w:sz w:val="20"/>
                <w:szCs w:val="20"/>
                <w:color w:val="auto"/>
              </w:rPr>
            </w:pPr>
            <w:r>
              <w:rPr>
                <w:rFonts w:ascii="Arial" w:cs="Arial" w:eastAsia="Arial" w:hAnsi="Arial"/>
                <w:sz w:val="16"/>
                <w:szCs w:val="16"/>
                <w:b w:val="1"/>
                <w:bCs w:val="1"/>
                <w:color w:val="auto"/>
                <w:w w:val="90"/>
              </w:rPr>
              <w:t>Three months ended</w:t>
            </w:r>
          </w:p>
        </w:tc>
      </w:tr>
      <w:tr>
        <w:trPr>
          <w:trHeight w:val="257"/>
        </w:trPr>
        <w:tc>
          <w:tcPr>
            <w:tcW w:w="8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3"/>
          </w:tcPr>
          <w:p>
            <w:pPr>
              <w:jc w:val="center"/>
              <w:ind w:left="571"/>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22"/>
                <w:szCs w:val="22"/>
                <w:color w:val="auto"/>
              </w:rPr>
            </w:pP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center"/>
              <w:ind w:left="571"/>
              <w:spacing w:after="0"/>
              <w:rPr>
                <w:sz w:val="20"/>
                <w:szCs w:val="20"/>
                <w:color w:val="auto"/>
              </w:rPr>
            </w:pPr>
            <w:r>
              <w:rPr>
                <w:rFonts w:ascii="Arial" w:cs="Arial" w:eastAsia="Arial" w:hAnsi="Arial"/>
                <w:sz w:val="16"/>
                <w:szCs w:val="16"/>
                <w:b w:val="1"/>
                <w:bCs w:val="1"/>
                <w:color w:val="auto"/>
                <w:w w:val="93"/>
              </w:rPr>
              <w:t>in millions</w:t>
            </w:r>
          </w:p>
        </w:tc>
        <w:tc>
          <w:tcPr>
            <w:tcW w:w="940" w:type="dxa"/>
            <w:vAlign w:val="bottom"/>
          </w:tcPr>
          <w:p>
            <w:pPr>
              <w:spacing w:after="0"/>
              <w:rPr>
                <w:sz w:val="18"/>
                <w:szCs w:val="18"/>
                <w:color w:val="auto"/>
              </w:rPr>
            </w:pPr>
          </w:p>
        </w:tc>
      </w:tr>
      <w:tr>
        <w:trPr>
          <w:trHeight w:val="33"/>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Repayments and repurchases of debt and finance lease obligations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(2,441.3)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Repurchases of Liberty Global ordinary shares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financing costs and debt premiums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Repurchases by Telenet of its outstanding shares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paid related to 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by financing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Net cash used by financing activities of 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r>
      <w:tr>
        <w:trPr>
          <w:trHeight w:val="156"/>
        </w:trPr>
        <w:tc>
          <w:tcPr>
            <w:tcW w:w="84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8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 and restricted cash:</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5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8,180.9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1,498.3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decrease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r>
      <w:tr>
        <w:trPr>
          <w:trHeight w:val="237"/>
        </w:trPr>
        <w:tc>
          <w:tcPr>
            <w:tcW w:w="8440" w:type="dxa"/>
            <w:vAlign w:val="bottom"/>
          </w:tcPr>
          <w:p>
            <w:pPr>
              <w:ind w:left="58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5,482.1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963.0</w:t>
            </w:r>
          </w:p>
        </w:tc>
      </w:tr>
      <w:tr>
        <w:trPr>
          <w:trHeight w:val="67"/>
        </w:trPr>
        <w:tc>
          <w:tcPr>
            <w:tcW w:w="8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43"/>
        </w:trPr>
        <w:tc>
          <w:tcPr>
            <w:tcW w:w="8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(received) for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183.0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271.3</w:t>
            </w:r>
          </w:p>
        </w:tc>
      </w:tr>
      <w:tr>
        <w:trPr>
          <w:trHeight w:val="67"/>
        </w:trPr>
        <w:tc>
          <w:tcPr>
            <w:tcW w:w="8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43"/>
        </w:trPr>
        <w:tc>
          <w:tcPr>
            <w:tcW w:w="8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included in current and long-term assets of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Cash and cash equivalents classified as held for sale included in other current assets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33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8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Our continuing operations comprise businesses that provide residential and business-to-business (</w:t>
      </w:r>
      <w:r>
        <w:rPr>
          <w:rFonts w:ascii="Arial" w:cs="Arial" w:eastAsia="Arial" w:hAnsi="Arial"/>
          <w:sz w:val="16"/>
          <w:szCs w:val="16"/>
          <w:b w:val="1"/>
          <w:bCs w:val="1"/>
          <w:color w:val="auto"/>
        </w:rPr>
        <w:t>B2B</w:t>
      </w:r>
      <w:r>
        <w:rPr>
          <w:rFonts w:ascii="Arial" w:cs="Arial" w:eastAsia="Arial" w:hAnsi="Arial"/>
          <w:sz w:val="16"/>
          <w:szCs w:val="16"/>
          <w:color w:val="auto"/>
        </w:rPr>
        <w:t>) communications services in (i)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Ireland through Virgin Media Inc. (</w:t>
      </w:r>
      <w:r>
        <w:rPr>
          <w:rFonts w:ascii="Arial" w:cs="Arial" w:eastAsia="Arial" w:hAnsi="Arial"/>
          <w:sz w:val="16"/>
          <w:szCs w:val="16"/>
          <w:b w:val="1"/>
          <w:bCs w:val="1"/>
          <w:color w:val="auto"/>
        </w:rPr>
        <w:t>Virgin Media</w:t>
      </w:r>
      <w:r>
        <w:rPr>
          <w:rFonts w:ascii="Arial" w:cs="Arial" w:eastAsia="Arial" w:hAnsi="Arial"/>
          <w:sz w:val="16"/>
          <w:szCs w:val="16"/>
          <w:color w:val="auto"/>
        </w:rPr>
        <w:t>), a wholly-owned subsidiary of Liberty Global, (ii) Belgium through Telenet Group Holding N.V. (</w:t>
      </w:r>
      <w:r>
        <w:rPr>
          <w:rFonts w:ascii="Arial" w:cs="Arial" w:eastAsia="Arial" w:hAnsi="Arial"/>
          <w:sz w:val="16"/>
          <w:szCs w:val="16"/>
          <w:b w:val="1"/>
          <w:bCs w:val="1"/>
          <w:color w:val="auto"/>
        </w:rPr>
        <w:t>Telenet</w:t>
      </w:r>
      <w:r>
        <w:rPr>
          <w:rFonts w:ascii="Arial" w:cs="Arial" w:eastAsia="Arial" w:hAnsi="Arial"/>
          <w:sz w:val="16"/>
          <w:szCs w:val="16"/>
          <w:color w:val="auto"/>
        </w:rPr>
        <w:t>), a 60.8%-owned subsidiary of Liberty Global, and (iii) Switzerland, Poland and Slovakia through various wholly-owned subsidiaries that we collectively refer to as “</w:t>
      </w:r>
      <w:r>
        <w:rPr>
          <w:rFonts w:ascii="Arial" w:cs="Arial" w:eastAsia="Arial" w:hAnsi="Arial"/>
          <w:sz w:val="16"/>
          <w:szCs w:val="16"/>
          <w:b w:val="1"/>
          <w:bCs w:val="1"/>
          <w:color w:val="auto"/>
        </w:rPr>
        <w:t>UPC Holding</w:t>
      </w:r>
      <w:r>
        <w:rPr>
          <w:rFonts w:ascii="Arial" w:cs="Arial" w:eastAsia="Arial" w:hAnsi="Arial"/>
          <w:sz w:val="16"/>
          <w:szCs w:val="16"/>
          <w:color w:val="auto"/>
        </w:rPr>
        <w:t>.” In addition, we own a 50% noncontrolling interest in a 50:50 joint venture between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xml:space="preserve">) and Liberty Global (the </w:t>
      </w:r>
      <w:r>
        <w:rPr>
          <w:rFonts w:ascii="Arial" w:cs="Arial" w:eastAsia="Arial" w:hAnsi="Arial"/>
          <w:sz w:val="16"/>
          <w:szCs w:val="16"/>
          <w:b w:val="1"/>
          <w:bCs w:val="1"/>
          <w:color w:val="auto"/>
        </w:rPr>
        <w:t>VodafoneZiggo JV</w:t>
      </w:r>
      <w:r>
        <w:rPr>
          <w:rFonts w:ascii="Arial" w:cs="Arial" w:eastAsia="Arial" w:hAnsi="Arial"/>
          <w:sz w:val="16"/>
          <w:szCs w:val="16"/>
          <w:color w:val="auto"/>
        </w:rPr>
        <w:t>), which provides residential and B2B communication services in the Netherlands.</w:t>
      </w:r>
    </w:p>
    <w:p>
      <w:pPr>
        <w:spacing w:after="0" w:line="15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Through July 31, 2019, we provided residential and B2B communication services in (i)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(ii) Hungary, the Czech Republic and Romania through UPC Holding B.V. In addition, through May 2, 2019, we provided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Accordingly, in the accompanying condensed consolidated statements of operations and cash flows, our operations in Germany, Romania, Hungary and the Czech Republic and the operations of UPC DTH are presented as discontinued operations for the three months ended March 31, 2019. For additional information regarding these dispositions, see note 4.</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the amounts presented in these notes relate only to our continuing operations.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unaudited condensed consolidated financial statements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2019 consolidated financial statements and notes thereto included in our 2019 Annual Report on Form 10-K, as amended (our </w:t>
      </w:r>
      <w:r>
        <w:rPr>
          <w:rFonts w:ascii="Arial" w:cs="Arial" w:eastAsia="Arial" w:hAnsi="Arial"/>
          <w:sz w:val="16"/>
          <w:szCs w:val="16"/>
          <w:b w:val="1"/>
          <w:bCs w:val="1"/>
          <w:color w:val="auto"/>
        </w:rPr>
        <w:t>10-K</w:t>
      </w:r>
      <w:r>
        <w:rPr>
          <w:rFonts w:ascii="Arial" w:cs="Arial" w:eastAsia="Arial" w:hAnsi="Arial"/>
          <w:sz w:val="16"/>
          <w:szCs w:val="16"/>
          <w:color w:val="auto"/>
        </w:rPr>
        <w:t>).</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indicated, ownership percentages and convenience translations into United States (</w:t>
      </w:r>
      <w:r>
        <w:rPr>
          <w:rFonts w:ascii="Arial" w:cs="Arial" w:eastAsia="Arial" w:hAnsi="Arial"/>
          <w:sz w:val="16"/>
          <w:szCs w:val="16"/>
          <w:b w:val="1"/>
          <w:bCs w:val="1"/>
          <w:color w:val="auto"/>
        </w:rPr>
        <w:t>U.S.</w:t>
      </w:r>
      <w:r>
        <w:rPr>
          <w:rFonts w:ascii="Arial" w:cs="Arial" w:eastAsia="Arial" w:hAnsi="Arial"/>
          <w:sz w:val="16"/>
          <w:szCs w:val="16"/>
          <w:color w:val="auto"/>
        </w:rPr>
        <w:t>) dollars are calculated as of March 31, 2020.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August 2018, the Financial Accounting Standards Board (</w:t>
      </w:r>
      <w:r>
        <w:rPr>
          <w:rFonts w:ascii="Arial" w:cs="Arial" w:eastAsia="Arial" w:hAnsi="Arial"/>
          <w:sz w:val="17"/>
          <w:szCs w:val="17"/>
          <w:b w:val="1"/>
          <w:b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color w:val="auto"/>
        </w:rPr>
        <w:t>ASU</w:t>
      </w:r>
      <w:r>
        <w:rPr>
          <w:rFonts w:ascii="Arial" w:cs="Arial" w:eastAsia="Arial" w:hAnsi="Arial"/>
          <w:sz w:val="17"/>
          <w:szCs w:val="17"/>
          <w:color w:val="auto"/>
        </w:rPr>
        <w:t xml:space="preserve">) No. 2018-15, </w:t>
      </w:r>
      <w:r>
        <w:rPr>
          <w:rFonts w:ascii="Arial" w:cs="Arial" w:eastAsia="Arial" w:hAnsi="Arial"/>
          <w:sz w:val="17"/>
          <w:szCs w:val="17"/>
          <w:i w:val="1"/>
          <w:iCs w:val="1"/>
          <w:color w:val="auto"/>
        </w:rPr>
        <w:t>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w:t>
      </w:r>
      <w:r>
        <w:rPr>
          <w:rFonts w:ascii="Arial" w:cs="Arial" w:eastAsia="Arial" w:hAnsi="Arial"/>
          <w:sz w:val="17"/>
          <w:szCs w:val="17"/>
          <w:b w:val="1"/>
          <w:bCs w:val="1"/>
          <w:color w:val="auto"/>
        </w:rPr>
        <w:t>ASU 2018-15</w:t>
      </w:r>
      <w:r>
        <w:rPr>
          <w:rFonts w:ascii="Arial" w:cs="Arial" w:eastAsia="Arial" w:hAnsi="Arial"/>
          <w:sz w:val="17"/>
          <w:szCs w:val="17"/>
          <w:color w:val="auto"/>
        </w:rPr>
        <w:t>), which requires entities to defer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that are related to the application development stage in a 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2019-02</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2019-02</w:t>
      </w:r>
      <w:r>
        <w:rPr>
          <w:rFonts w:ascii="Arial" w:cs="Arial" w:eastAsia="Arial" w:hAnsi="Arial"/>
          <w:sz w:val="18"/>
          <w:szCs w:val="18"/>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2016-13</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2016-13</w:t>
      </w:r>
      <w:r>
        <w:rPr>
          <w:rFonts w:ascii="Arial" w:cs="Arial" w:eastAsia="Arial" w:hAnsi="Arial"/>
          <w:sz w:val="18"/>
          <w:szCs w:val="18"/>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2019-12</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ASU 2019-12 is effective for annual reporting periods beginning after December 15, 2020, including interim periods within those fiscal years, with early adoption permitted. We are currently evaluating the effect that ASU 2019-12 will have on our consolidated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$44.2 million and $42.8 million at March 31, 2020 and December 31, 2019, respectively.</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$23.6 million and $30.6 million as of March 31, 2020 and December 31, 2019, respectively. The current and long-term portions of our contract asset balances are included within other current assets and other assets, net, respectively, on our condensed consolidated balance sheets.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$790.2 million and $867.1 million as of March 31, 2020 and December 31, 2019, respectively. The decrease in deferred revenue for the three months ended March 31, 2020 is primarily due to $555.6 million of revenue recognized that was included in our deferred revenue balance at December 31, 2019, partially offset by advanced billings in certain markets. The long-term portions of our deferred revenue balances are included within other long-term liabilities on our condensed consolidated balance sheets.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aggregate assets associated with incremental costs to obtain and fulfill our contracts were $90.5 million and $92.6 million at March 31, 2020 and December 31, 2019, respectively. The current and long-term portions of our assets related to contract costs are included within other current assets and other assets, net, respectively, on our condensed consolidated balance sheets. We amortized $37.7 million and $24.4 million during the three months ended March 31, 2020 and 2019, respectively, to operating costs and expenses related to these assets.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18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and Dispositions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De Vijver Media. </w:t>
      </w:r>
      <w:r>
        <w:rPr>
          <w:rFonts w:ascii="Arial" w:cs="Arial" w:eastAsia="Arial" w:hAnsi="Arial"/>
          <w:sz w:val="18"/>
          <w:szCs w:val="18"/>
          <w:color w:val="auto"/>
        </w:rPr>
        <w:t>Prior to June 3, 2019, Telenet owned a 50.0% equity method investment in De Vijver Media NV (</w:t>
      </w:r>
      <w:r>
        <w:rPr>
          <w:rFonts w:ascii="Arial" w:cs="Arial" w:eastAsia="Arial" w:hAnsi="Arial"/>
          <w:sz w:val="18"/>
          <w:szCs w:val="18"/>
          <w:b w:val="1"/>
          <w:bCs w:val="1"/>
          <w:color w:val="auto"/>
        </w:rPr>
        <w:t>De Vijver Media</w:t>
      </w:r>
      <w:r>
        <w:rPr>
          <w:rFonts w:ascii="Arial" w:cs="Arial" w:eastAsia="Arial" w:hAnsi="Arial"/>
          <w:sz w:val="18"/>
          <w:szCs w:val="18"/>
          <w:color w:val="auto"/>
        </w:rPr>
        <w:t>), which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content production, broadcasting and advertising services in Belgium. On June 3, 2019, Telenet acquired the remaining 50.0% ownership interest in De Vijver Media (the </w:t>
      </w:r>
      <w:r>
        <w:rPr>
          <w:rFonts w:ascii="Arial" w:cs="Arial" w:eastAsia="Arial" w:hAnsi="Arial"/>
          <w:sz w:val="18"/>
          <w:szCs w:val="18"/>
          <w:b w:val="1"/>
          <w:bCs w:val="1"/>
          <w:color w:val="auto"/>
        </w:rPr>
        <w:t>De Vijver Media Acquisition</w:t>
      </w:r>
      <w:r>
        <w:rPr>
          <w:rFonts w:ascii="Arial" w:cs="Arial" w:eastAsia="Arial" w:hAnsi="Arial"/>
          <w:sz w:val="18"/>
          <w:szCs w:val="18"/>
          <w:color w:val="auto"/>
        </w:rPr>
        <w:t>) for cash consideration of €52.5 million ($58.9 million at the transaction date) after post-closing adjustments.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Vodafone Disposal Group. </w:t>
      </w:r>
      <w:r>
        <w:rPr>
          <w:rFonts w:ascii="Arial" w:cs="Arial" w:eastAsia="Arial" w:hAnsi="Arial"/>
          <w:sz w:val="16"/>
          <w:szCs w:val="16"/>
          <w:color w:val="auto"/>
        </w:rPr>
        <w:t>On July 31, 2019, we completed the sale of our operations in Germany, Romania, Hungary and the Czech Republic to</w:t>
      </w:r>
      <w:r>
        <w:rPr>
          <w:rFonts w:ascii="Arial" w:cs="Arial" w:eastAsia="Arial" w:hAnsi="Arial"/>
          <w:sz w:val="16"/>
          <w:szCs w:val="16"/>
          <w:i w:val="1"/>
          <w:iCs w:val="1"/>
          <w:color w:val="auto"/>
        </w:rPr>
        <w:t xml:space="preserve"> </w:t>
      </w:r>
      <w:r>
        <w:rPr>
          <w:rFonts w:ascii="Arial" w:cs="Arial" w:eastAsia="Arial" w:hAnsi="Arial"/>
          <w:sz w:val="16"/>
          <w:szCs w:val="16"/>
          <w:color w:val="auto"/>
        </w:rPr>
        <w:t>Vodafone.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Pursuant to the agreement underlying the sale of the Vodafone Disposal Group, we transferred cash to fund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certain third-party escrow accounts (the </w:t>
      </w:r>
      <w:r>
        <w:rPr>
          <w:rFonts w:ascii="Arial" w:cs="Arial" w:eastAsia="Arial" w:hAnsi="Arial"/>
          <w:sz w:val="18"/>
          <w:szCs w:val="18"/>
          <w:b w:val="1"/>
          <w:bCs w:val="1"/>
          <w:color w:val="auto"/>
        </w:rPr>
        <w:t>Vodafone Escrow Accounts</w:t>
      </w:r>
      <w:r>
        <w:rPr>
          <w:rFonts w:ascii="Arial" w:cs="Arial" w:eastAsia="Arial" w:hAnsi="Arial"/>
          <w:sz w:val="18"/>
          <w:szCs w:val="18"/>
          <w:color w:val="auto"/>
        </w:rPr>
        <w:t>) pending the fulfillment by our company of certain terms of the agreement. The current and long-term portions of the receivables associated with the Vodafone Escrow Accounts are included in “other current assets” and “other assets, net”, respectively, on our condensed consolidated balance sheet. At March 31, 2020 and December 31, 2019, the aggregate balance of the Vodafone Escrow Accounts was $295.2 million.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to Vodafone for a period of up to four years. These services principally comprise network and information technology-related functions. During the three months ended March 31, 2020, we recorded revenue of $38.6 million associated with these transitional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certain tax indemnities we provided in connection with the sale of the Vodafone Disposal Group, see note 16.</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UPC DTH. </w:t>
      </w: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cash disposed), we received net cash proceeds of €128.9 million ($144.1 million at the applicable dates).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During the three months ended March 31, 2020, we recorded revenue of $0.5 million associated with these transitional services.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operations of the Vodafone Disposal Group and UPC DTH are presented as discontinued operations in our condensed consolidated statements of operations and cash flows for the three months ended March 31, 2019. The operating results of Vodafone Disposal Group and UPC DTH for the three months ended March 31, 2019 are summarized in the following table. These amounts exclude intercompany revenue and expenses that are eliminated within our condensed consolidated statement of operations. For information regarding our basic and diluted weighted average ordinary shares outstanding, see note 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Vodafone Disposal</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w w:val="97"/>
              </w:rPr>
              <w:t>Basic and diluted earnings from discontinued operations attributable to Liberty Global</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2"/>
        </w:trPr>
        <w:tc>
          <w:tcPr>
            <w:tcW w:w="6640" w:type="dxa"/>
            <w:vAlign w:val="bottom"/>
          </w:tcPr>
          <w:p>
            <w:pPr>
              <w:ind w:left="200"/>
              <w:spacing w:after="0"/>
              <w:rPr>
                <w:sz w:val="20"/>
                <w:szCs w:val="20"/>
                <w:color w:val="auto"/>
              </w:rPr>
            </w:pPr>
            <w:r>
              <w:rPr>
                <w:rFonts w:ascii="Arial" w:cs="Arial" w:eastAsia="Arial" w:hAnsi="Arial"/>
                <w:sz w:val="18"/>
                <w:szCs w:val="18"/>
                <w:color w:val="auto"/>
              </w:rPr>
              <w:t>shareholders per share</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80" w:type="dxa"/>
            <w:vAlign w:val="bottom"/>
          </w:tcPr>
          <w:p>
            <w:pPr>
              <w:jc w:val="right"/>
              <w:ind w:right="19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24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right"/>
              <w:ind w:right="10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76"/>
        </w:trPr>
        <w:tc>
          <w:tcPr>
            <w:tcW w:w="8220" w:type="dxa"/>
            <w:vAlign w:val="bottom"/>
          </w:tcPr>
          <w:p>
            <w:pPr>
              <w:ind w:left="40"/>
              <w:spacing w:after="0"/>
              <w:rPr>
                <w:sz w:val="20"/>
                <w:szCs w:val="20"/>
                <w:color w:val="auto"/>
              </w:rPr>
            </w:pPr>
            <w:r>
              <w:rPr>
                <w:rFonts w:ascii="Arial" w:cs="Arial" w:eastAsia="Arial" w:hAnsi="Arial"/>
                <w:sz w:val="18"/>
                <w:szCs w:val="18"/>
                <w:color w:val="auto"/>
              </w:rPr>
              <w:t>Equity (a):</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VodafoneZiggo JV (b)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3,174.1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8220" w:type="dxa"/>
            <w:vAlign w:val="bottom"/>
          </w:tcPr>
          <w:p>
            <w:pPr>
              <w:ind w:left="420"/>
              <w:spacing w:after="0"/>
              <w:rPr>
                <w:sz w:val="20"/>
                <w:szCs w:val="20"/>
                <w:color w:val="auto"/>
              </w:rPr>
            </w:pPr>
            <w:r>
              <w:rPr>
                <w:rFonts w:ascii="Arial" w:cs="Arial" w:eastAsia="Arial" w:hAnsi="Arial"/>
                <w:sz w:val="18"/>
                <w:szCs w:val="18"/>
                <w:color w:val="auto"/>
              </w:rPr>
              <w:t>Total —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3,433.5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3,492.8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(c)</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SMAs (c)</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(d)</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ITI Neovision S.A. </w:t>
            </w:r>
            <w:r>
              <w:rPr>
                <w:rFonts w:ascii="Arial" w:cs="Arial" w:eastAsia="Arial" w:hAnsi="Arial"/>
                <w:sz w:val="18"/>
                <w:szCs w:val="18"/>
                <w:b w:val="1"/>
                <w:bCs w:val="1"/>
                <w:color w:val="auto"/>
              </w:rPr>
              <w:t>(ITI Neovision)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220" w:type="dxa"/>
            <w:vAlign w:val="bottom"/>
          </w:tcPr>
          <w:p>
            <w:pPr>
              <w:ind w:left="34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 (e)</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37"/>
        </w:trPr>
        <w:tc>
          <w:tcPr>
            <w:tcW w:w="8220" w:type="dxa"/>
            <w:vAlign w:val="bottom"/>
          </w:tcPr>
          <w:p>
            <w:pPr>
              <w:ind w:left="420"/>
              <w:spacing w:after="0"/>
              <w:rPr>
                <w:sz w:val="20"/>
                <w:szCs w:val="20"/>
                <w:color w:val="auto"/>
              </w:rPr>
            </w:pPr>
            <w:r>
              <w:rPr>
                <w:rFonts w:ascii="Arial" w:cs="Arial" w:eastAsia="Arial" w:hAnsi="Arial"/>
                <w:sz w:val="18"/>
                <w:szCs w:val="18"/>
                <w:color w:val="auto"/>
              </w:rPr>
              <w:t>Total — fair value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2,774.3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investments (f)</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8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At March 31, 2020 and December 31, 2019, the aggregate carrying amounts of our equity method investments exceeded our proportionate share of the respective investee’s net assets by $972.4 million and $1,041.0 million, respectively, which include amounts associated with the VodafoneZiggo JV Receivable, as defined below, and amounts we are owed under a long-term note receivable from All3Media.</w:t>
      </w:r>
    </w:p>
    <w:p>
      <w:pPr>
        <w:spacing w:after="0" w:line="188"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Amounts include a euro-denominated note receivable (the </w:t>
      </w:r>
      <w:r>
        <w:rPr>
          <w:rFonts w:ascii="Arial" w:cs="Arial" w:eastAsia="Arial" w:hAnsi="Arial"/>
          <w:sz w:val="18"/>
          <w:szCs w:val="18"/>
          <w:b w:val="1"/>
          <w:bCs w:val="1"/>
          <w:color w:val="auto"/>
        </w:rPr>
        <w:t>VodafoneZiggo JV Receivable</w:t>
      </w:r>
      <w:r>
        <w:rPr>
          <w:rFonts w:ascii="Arial" w:cs="Arial" w:eastAsia="Arial" w:hAnsi="Arial"/>
          <w:sz w:val="18"/>
          <w:szCs w:val="18"/>
          <w:color w:val="auto"/>
        </w:rPr>
        <w:t>) with a principal amount of $768.0 million and $786.1 million, respectively, due from a subsidiary of the VodafoneZiggo JV to a subsidiary of Liberty Global. The VodafoneZiggo JV Receivable bears interest at 5.55% and matures on January 16, 2028. During the three months ended March 31, 2020, interest accrued on the VodafoneZiggo JV Receivable was $10.8 million, all of which has been cash settled.</w:t>
      </w:r>
    </w:p>
    <w:p>
      <w:pPr>
        <w:spacing w:after="0" w:line="18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As of March 31, 2020, all of our investments held under SMAs were classified as available-for-sale debt securities, as further described under </w:t>
      </w:r>
      <w:r>
        <w:rPr>
          <w:rFonts w:ascii="Arial" w:cs="Arial" w:eastAsia="Arial" w:hAnsi="Arial"/>
          <w:sz w:val="18"/>
          <w:szCs w:val="18"/>
          <w:i w:val="1"/>
          <w:iCs w:val="1"/>
          <w:color w:val="auto"/>
        </w:rPr>
        <w:t>Fair Value Investments — Debt Securities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left="500" w:hanging="492"/>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aggregate purchase price paid to acquire our investment in ITV was financed through borrowings under secured borrowing agreements (the </w:t>
      </w:r>
      <w:r>
        <w:rPr>
          <w:rFonts w:ascii="Arial" w:cs="Arial" w:eastAsia="Arial" w:hAnsi="Arial"/>
          <w:sz w:val="18"/>
          <w:szCs w:val="18"/>
          <w:b w:val="1"/>
          <w:bCs w:val="1"/>
          <w:color w:val="auto"/>
        </w:rPr>
        <w:t>ITV</w:t>
      </w:r>
      <w:r>
        <w:rPr>
          <w:rFonts w:ascii="Arial" w:cs="Arial" w:eastAsia="Arial" w:hAnsi="Arial"/>
          <w:sz w:val="18"/>
          <w:szCs w:val="18"/>
          <w:color w:val="auto"/>
        </w:rPr>
        <w:t xml:space="preserve"> </w:t>
      </w:r>
      <w:r>
        <w:rPr>
          <w:rFonts w:ascii="Arial" w:cs="Arial" w:eastAsia="Arial" w:hAnsi="Arial"/>
          <w:sz w:val="18"/>
          <w:szCs w:val="18"/>
          <w:b w:val="1"/>
          <w:bCs w:val="1"/>
          <w:color w:val="auto"/>
        </w:rPr>
        <w:t>Collar Loan</w:t>
      </w:r>
      <w:r>
        <w:rPr>
          <w:rFonts w:ascii="Arial" w:cs="Arial" w:eastAsia="Arial" w:hAnsi="Arial"/>
          <w:sz w:val="18"/>
          <w:szCs w:val="18"/>
          <w:color w:val="auto"/>
        </w:rPr>
        <w:t>). All of the ITV shares we hold are subject to the ITV Collar (as defined in note 6) and pledged as collateral under the ITV Collar</w:t>
      </w:r>
      <w:r>
        <w:rPr>
          <w:rFonts w:ascii="Arial" w:cs="Arial" w:eastAsia="Arial" w:hAnsi="Arial"/>
          <w:sz w:val="18"/>
          <w:szCs w:val="18"/>
          <w:b w:val="1"/>
          <w:bCs w:val="1"/>
          <w:color w:val="auto"/>
        </w:rPr>
        <w:t xml:space="preserve"> </w:t>
      </w:r>
      <w:r>
        <w:rPr>
          <w:rFonts w:ascii="Arial" w:cs="Arial" w:eastAsia="Arial" w:hAnsi="Arial"/>
          <w:sz w:val="18"/>
          <w:szCs w:val="18"/>
          <w:color w:val="auto"/>
        </w:rPr>
        <w:t>Loan. As of March 31, 2020, the fair value of the ITV Collar was a net asset of $1,003.0 million and principal borrowings outstanding under the ITV Collar Loan were $1,341.9 million.</w:t>
      </w:r>
    </w:p>
    <w:p>
      <w:pPr>
        <w:spacing w:after="0" w:line="183"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connection with our investment in Lionsgate, we have entered into (i) the Lionsgate Forward (as defined in note 6) and (ii) a related borrowing agreement (the </w:t>
      </w:r>
      <w:r>
        <w:rPr>
          <w:rFonts w:ascii="Arial" w:cs="Arial" w:eastAsia="Arial" w:hAnsi="Arial"/>
          <w:sz w:val="18"/>
          <w:szCs w:val="18"/>
          <w:b w:val="1"/>
          <w:bCs w:val="1"/>
          <w:color w:val="auto"/>
        </w:rPr>
        <w:t>Lionsgate Loan</w:t>
      </w:r>
      <w:r>
        <w:rPr>
          <w:rFonts w:ascii="Arial" w:cs="Arial" w:eastAsia="Arial" w:hAnsi="Arial"/>
          <w:sz w:val="18"/>
          <w:szCs w:val="18"/>
          <w:color w:val="auto"/>
        </w:rPr>
        <w:t>). As of March 31, 2020, the fair value of the Lionsgate Forward was a net asset of $45.5 million and principal borrowings outstanding under the Lionsgate Loan were $55.3 million.</w:t>
      </w:r>
    </w:p>
    <w:p>
      <w:pPr>
        <w:spacing w:after="0" w:line="18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statement of cash flows, including those made by investment managers acting as agents on our behalf.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sets forth the details of our realized and unrealized gains </w:t>
      </w:r>
      <w:r>
        <w:rPr>
          <w:rFonts w:ascii="Arial" w:cs="Arial" w:eastAsia="Arial" w:hAnsi="Arial"/>
          <w:sz w:val="17"/>
          <w:szCs w:val="17"/>
          <w:b w:val="1"/>
          <w:bCs w:val="1"/>
          <w:color w:val="auto"/>
        </w:rPr>
        <w:t>(</w:t>
      </w:r>
      <w:r>
        <w:rPr>
          <w:rFonts w:ascii="Arial" w:cs="Arial" w:eastAsia="Arial" w:hAnsi="Arial"/>
          <w:sz w:val="17"/>
          <w:szCs w:val="17"/>
          <w:color w:val="auto"/>
        </w:rPr>
        <w:t>losses) due to changes in fair values of certain investments,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ITV</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Lionsgate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SMAs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ITI Neovision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the appropriate classification of our investments in debt securities at the time of purchase, and reevaluate such determinations at each balance sheet date. All of our debt securities are classified as available for sale and are reported at fair value, and any changes in fair value are reported in realized and unrealized gains or losses due to changes in fair value of certain investments and debt, net, in our consolidated statement of operations. In addition, any interest received on our debt securities is reported as interest income in our consolidated statement of operations. All costs directly associated with the acquisition of debt securities are expensed as incurred. We classify our government bonds within Level 1 of the fair value hierarchy and our corporate debt securities, commercial paper and certificates of deposit within Level 2 of the fair value hierarchy. For further information regarding our fair value measurements, see note 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debt securities as of March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Amortized cost</w:t>
            </w:r>
          </w:p>
        </w:tc>
        <w:tc>
          <w:tcPr>
            <w:tcW w:w="12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Unrealized gain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basis</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in millions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debt securities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gridSpan w:val="4"/>
          </w:tcPr>
          <w:p>
            <w:pPr>
              <w:ind w:left="340"/>
              <w:spacing w:after="0"/>
              <w:rPr>
                <w:sz w:val="20"/>
                <w:szCs w:val="20"/>
                <w:color w:val="auto"/>
              </w:rPr>
            </w:pPr>
            <w:r>
              <w:rPr>
                <w:rFonts w:ascii="Arial" w:cs="Arial" w:eastAsia="Arial" w:hAnsi="Arial"/>
                <w:sz w:val="18"/>
                <w:szCs w:val="18"/>
                <w:color w:val="auto"/>
                <w:w w:val="94"/>
              </w:rPr>
              <w:t>The fair value of our debt securities as of March 31, 2020 by contractual maturity are shown below (in millions):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(a)</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7"/>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life of our total debt securities was 0.6 years as of March 31,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All3Media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Formula 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9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8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include the net effect of (i) 100% of the interest income earned on the VodafoneZiggo JV Receivable and (ii) our 50% share of the results of operations of the VodafoneZiggo JV.</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VodafoneZiggo JV. </w:t>
      </w:r>
      <w:r>
        <w:rPr>
          <w:rFonts w:ascii="Arial" w:cs="Arial" w:eastAsia="Arial" w:hAnsi="Arial"/>
          <w:sz w:val="17"/>
          <w:szCs w:val="17"/>
          <w:color w:val="auto"/>
        </w:rPr>
        <w:t>Pursuant to an agreement entered into in connection with the formation of the VodafoneZiggo JV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Framework Agreement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Liberty Global provides certain services to the VodafoneZiggo JV on a transitional or ongoing basis (collectively,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We recorded revenue from the VodafoneZiggo JV of $46.7 million and $44.4 million during the three months ended March 31, 2020 and 2019, respectively, primarily related to (a) the JV Services and (b) sales of customer premises equipment at a mark-up. In addition, during the three months ended March 31, 2020 and 2019, we purchased certain assets on the VodafoneZiggo JV’s behalf with an aggregate cost of nil and $3.9 million, respectively. At March 31, 2020 and December 31,</w:t>
      </w:r>
    </w:p>
    <w:p>
      <w:pPr>
        <w:sectPr>
          <w:pgSz w:w="11900" w:h="16838" w:orient="portrait"/>
          <w:cols w:equalWidth="0" w:num="1">
            <w:col w:w="11240"/>
          </w:cols>
          <w:pgMar w:left="320" w:top="28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283"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2019, $50.8 million and $19.3 million, respectively, were due from the VodafoneZiggo JV related to the aforementioned transactions. The amounts due from the VodafoneZiggo JV, which are periodically cash settled, are included in other current assets on our condensed consolidated balance sheets.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VodafoneZiggo JV is experiencing significant competition. In particular, the mobile operations of the VodafoneZiggo JV continue to experience competitive pressure on pricing. In light of this competition, as well as regulatory and economic factors (including with respect to COVID-19</w:t>
      </w:r>
      <w:r>
        <w:rPr>
          <w:rFonts w:ascii="Arial" w:cs="Arial" w:eastAsia="Arial" w:hAnsi="Arial"/>
          <w:sz w:val="17"/>
          <w:szCs w:val="17"/>
          <w:b w:val="1"/>
          <w:bCs w:val="1"/>
          <w:color w:val="auto"/>
        </w:rPr>
        <w:t>)</w:t>
      </w:r>
      <w:r>
        <w:rPr>
          <w:rFonts w:ascii="Arial" w:cs="Arial" w:eastAsia="Arial" w:hAnsi="Arial"/>
          <w:sz w:val="17"/>
          <w:szCs w:val="17"/>
          <w:color w:val="auto"/>
        </w:rPr>
        <w:t>,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67"/>
        </w:trPr>
        <w:tc>
          <w:tcPr>
            <w:tcW w:w="8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before income taxes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0"/>
                <w:szCs w:val="20"/>
                <w:color w:val="auto"/>
              </w:rPr>
            </w:pPr>
          </w:p>
        </w:tc>
        <w:tc>
          <w:tcPr>
            <w:tcW w:w="920" w:type="dxa"/>
            <w:vAlign w:val="bottom"/>
          </w:tcPr>
          <w:p>
            <w:pPr>
              <w:jc w:val="right"/>
              <w:ind w:right="192"/>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w w:val="89"/>
              </w:rPr>
              <w:t>Cross-currency and interest rate derivative contracts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1,679.5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1,157.2</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Equity-related derivative instruments (c)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663.4</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36"/>
        </w:trPr>
        <w:tc>
          <w:tcPr>
            <w:tcW w:w="394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3,078.3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1,827.5</w:t>
            </w:r>
          </w:p>
        </w:tc>
      </w:tr>
      <w:tr>
        <w:trPr>
          <w:trHeight w:val="27"/>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0"/>
                <w:szCs w:val="20"/>
                <w:color w:val="auto"/>
              </w:rPr>
            </w:pPr>
          </w:p>
        </w:tc>
        <w:tc>
          <w:tcPr>
            <w:tcW w:w="920" w:type="dxa"/>
            <w:vAlign w:val="bottom"/>
          </w:tcPr>
          <w:p>
            <w:pPr>
              <w:jc w:val="right"/>
              <w:ind w:right="192"/>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w w:val="89"/>
              </w:rPr>
              <w:t>Cross-currency and interest rate derivative contracts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1,045.4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1,341.8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389.2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 contracts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1,582.7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on our condensed consolidated balance sheets.</w:t>
      </w:r>
    </w:p>
    <w:p>
      <w:pPr>
        <w:spacing w:after="0" w:line="170"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a net gain (loss) of $66.3 million and ($58.1 million) during the three months ended March 31, 2020 and 2019, respectively. These amounts are included in realized and unrealized gains (losses) on derivative instruments, net, in our condensed consolidated statements of operations. For further information regarding our fair value measurements, see note 7.</w:t>
      </w:r>
    </w:p>
    <w:p>
      <w:pPr>
        <w:spacing w:after="0" w:line="173" w:lineRule="exact"/>
        <w:rPr>
          <w:rFonts w:ascii="Arial" w:cs="Arial" w:eastAsia="Arial" w:hAnsi="Arial"/>
          <w:sz w:val="17"/>
          <w:szCs w:val="17"/>
          <w:color w:val="auto"/>
        </w:rPr>
      </w:pPr>
    </w:p>
    <w:p>
      <w:pPr>
        <w:jc w:val="both"/>
        <w:ind w:left="500" w:hanging="492"/>
        <w:spacing w:after="0" w:line="298"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Our equity-related derivative instruments primarily include the fair value of (i) the share collar (the </w:t>
      </w:r>
      <w:r>
        <w:rPr>
          <w:rFonts w:ascii="Arial" w:cs="Arial" w:eastAsia="Arial" w:hAnsi="Arial"/>
          <w:sz w:val="16"/>
          <w:szCs w:val="16"/>
          <w:b w:val="1"/>
          <w:bCs w:val="1"/>
          <w:color w:val="auto"/>
        </w:rPr>
        <w:t>ITV Collar</w:t>
      </w:r>
      <w:r>
        <w:rPr>
          <w:rFonts w:ascii="Arial" w:cs="Arial" w:eastAsia="Arial" w:hAnsi="Arial"/>
          <w:sz w:val="16"/>
          <w:szCs w:val="16"/>
          <w:color w:val="auto"/>
        </w:rPr>
        <w:t xml:space="preserve">) with respect to ITV shares held by our company and (ii) the variable prepaid forward transaction (the </w:t>
      </w:r>
      <w:r>
        <w:rPr>
          <w:rFonts w:ascii="Arial" w:cs="Arial" w:eastAsia="Arial" w:hAnsi="Arial"/>
          <w:sz w:val="16"/>
          <w:szCs w:val="16"/>
          <w:b w:val="1"/>
          <w:bCs w:val="1"/>
          <w:color w:val="auto"/>
        </w:rPr>
        <w:t>Lionsgate Forward</w:t>
      </w:r>
      <w:r>
        <w:rPr>
          <w:rFonts w:ascii="Arial" w:cs="Arial" w:eastAsia="Arial" w:hAnsi="Arial"/>
          <w:sz w:val="16"/>
          <w:szCs w:val="16"/>
          <w:color w:val="auto"/>
        </w:rPr>
        <w:t>) with respect to 833,333 of our voting and 833,334 of our non-voting Lionsgate shares. The fair values of the ITV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4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46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4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660" w:type="dxa"/>
            <w:vAlign w:val="bottom"/>
          </w:tcPr>
          <w:p>
            <w:pPr>
              <w:spacing w:after="0"/>
              <w:rPr>
                <w:sz w:val="3"/>
                <w:szCs w:val="3"/>
                <w:color w:val="auto"/>
              </w:rPr>
            </w:pPr>
          </w:p>
        </w:tc>
        <w:tc>
          <w:tcPr>
            <w:tcW w:w="4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 Collar</w:t>
            </w:r>
          </w:p>
        </w:tc>
        <w:tc>
          <w:tcPr>
            <w:tcW w:w="4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66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w:t>
            </w:r>
          </w:p>
        </w:tc>
        <w:tc>
          <w:tcPr>
            <w:tcW w:w="4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4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6"/>
        </w:trPr>
        <w:tc>
          <w:tcPr>
            <w:tcW w:w="4660" w:type="dxa"/>
            <w:vAlign w:val="bottom"/>
          </w:tcPr>
          <w:p>
            <w:pPr>
              <w:ind w:left="40"/>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outflows of our derivative instruments: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11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8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r>
      <w:tr>
        <w:trPr>
          <w:trHeight w:val="263"/>
        </w:trPr>
        <w:tc>
          <w:tcPr>
            <w:tcW w:w="8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March 31, 2020, our exposure to counterparty credit risk included derivative assets with an aggregate fair value of $858.2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March 31, 2020,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March 31, 2020: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Pr>
          <w:p>
            <w:pPr>
              <w:spacing w:after="0"/>
              <w:rPr>
                <w:sz w:val="17"/>
                <w:szCs w:val="17"/>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Notional amount</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48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200" w:type="dxa"/>
            <w:vAlign w:val="bottom"/>
          </w:tcPr>
          <w:p>
            <w:pPr>
              <w:spacing w:after="0"/>
              <w:rPr>
                <w:sz w:val="18"/>
                <w:szCs w:val="18"/>
                <w:color w:val="auto"/>
              </w:rPr>
            </w:pPr>
          </w:p>
        </w:tc>
        <w:tc>
          <w:tcPr>
            <w:tcW w:w="196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due from counterparty</w:t>
            </w:r>
          </w:p>
        </w:tc>
        <w:tc>
          <w:tcPr>
            <w:tcW w:w="540" w:type="dxa"/>
            <w:vAlign w:val="bottom"/>
          </w:tcPr>
          <w:p>
            <w:pPr>
              <w:spacing w:after="0"/>
              <w:rPr>
                <w:sz w:val="18"/>
                <w:szCs w:val="18"/>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due to counterparty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216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2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2"/>
          </w:tcPr>
          <w:p>
            <w:pPr>
              <w:ind w:left="140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2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10,857.5</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8,003.6</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5.4</w:t>
            </w:r>
          </w:p>
        </w:tc>
      </w:tr>
      <w:tr>
        <w:trPr>
          <w:trHeight w:val="243"/>
        </w:trPr>
        <w:tc>
          <w:tcPr>
            <w:tcW w:w="2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2,296.2</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3,300.0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27"/>
        </w:trPr>
        <w:tc>
          <w:tcPr>
            <w:tcW w:w="2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246.3</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r>
      <w:tr>
        <w:trPr>
          <w:trHeight w:val="189"/>
        </w:trPr>
        <w:tc>
          <w:tcPr>
            <w:tcW w:w="2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360.0</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5.5</w:t>
            </w:r>
          </w:p>
        </w:tc>
      </w:tr>
      <w:tr>
        <w:trPr>
          <w:trHeight w:val="243"/>
        </w:trPr>
        <w:tc>
          <w:tcPr>
            <w:tcW w:w="2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1,600.0</w:t>
            </w:r>
          </w:p>
        </w:tc>
        <w:tc>
          <w:tcPr>
            <w:tcW w:w="540" w:type="dxa"/>
            <w:vAlign w:val="bottom"/>
          </w:tcPr>
          <w:p>
            <w:pPr>
              <w:ind w:left="120"/>
              <w:spacing w:after="0"/>
              <w:rPr>
                <w:sz w:val="20"/>
                <w:szCs w:val="20"/>
                <w:color w:val="auto"/>
              </w:rPr>
            </w:pPr>
            <w:r>
              <w:rPr>
                <w:rFonts w:ascii="Arial" w:cs="Arial" w:eastAsia="Arial" w:hAnsi="Arial"/>
                <w:sz w:val="18"/>
                <w:szCs w:val="18"/>
                <w:color w:val="auto"/>
              </w:rPr>
              <w:t>CHF</w:t>
            </w:r>
          </w:p>
        </w:tc>
        <w:tc>
          <w:tcPr>
            <w:tcW w:w="1200" w:type="dxa"/>
            <w:vAlign w:val="bottom"/>
          </w:tcPr>
          <w:p>
            <w:pPr>
              <w:jc w:val="right"/>
              <w:spacing w:after="0"/>
              <w:rPr>
                <w:sz w:val="20"/>
                <w:szCs w:val="20"/>
                <w:color w:val="auto"/>
              </w:rPr>
            </w:pPr>
            <w:r>
              <w:rPr>
                <w:rFonts w:ascii="Arial" w:cs="Arial" w:eastAsia="Arial" w:hAnsi="Arial"/>
                <w:sz w:val="18"/>
                <w:szCs w:val="18"/>
                <w:color w:val="auto"/>
              </w:rPr>
              <w:t>1,476.1</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6.2</w:t>
            </w:r>
          </w:p>
        </w:tc>
      </w:tr>
      <w:tr>
        <w:trPr>
          <w:trHeight w:val="27"/>
        </w:trPr>
        <w:tc>
          <w:tcPr>
            <w:tcW w:w="2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2,618.3</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CHF</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r>
      <w:tr>
        <w:trPr>
          <w:trHeight w:val="243"/>
        </w:trPr>
        <w:tc>
          <w:tcPr>
            <w:tcW w:w="21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707.0</w:t>
            </w:r>
          </w:p>
        </w:tc>
        <w:tc>
          <w:tcPr>
            <w:tcW w:w="540" w:type="dxa"/>
            <w:vAlign w:val="bottom"/>
          </w:tcPr>
          <w:p>
            <w:pPr>
              <w:ind w:left="120"/>
              <w:spacing w:after="0"/>
              <w:rPr>
                <w:sz w:val="20"/>
                <w:szCs w:val="20"/>
                <w:color w:val="auto"/>
              </w:rPr>
            </w:pPr>
            <w:r>
              <w:rPr>
                <w:rFonts w:ascii="Arial" w:cs="Arial" w:eastAsia="Arial" w:hAnsi="Arial"/>
                <w:sz w:val="18"/>
                <w:szCs w:val="18"/>
                <w:color w:val="auto"/>
              </w:rPr>
              <w:t>PLN</w:t>
            </w:r>
          </w:p>
        </w:tc>
        <w:tc>
          <w:tcPr>
            <w:tcW w:w="1200" w:type="dxa"/>
            <w:vAlign w:val="bottom"/>
          </w:tcPr>
          <w:p>
            <w:pPr>
              <w:jc w:val="right"/>
              <w:spacing w:after="0"/>
              <w:rPr>
                <w:sz w:val="20"/>
                <w:szCs w:val="20"/>
                <w:color w:val="auto"/>
              </w:rPr>
            </w:pPr>
            <w:r>
              <w:rPr>
                <w:rFonts w:ascii="Arial" w:cs="Arial" w:eastAsia="Arial" w:hAnsi="Arial"/>
                <w:sz w:val="18"/>
                <w:szCs w:val="18"/>
                <w:color w:val="auto"/>
              </w:rPr>
              <w:t>2,999.5</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1.8</w:t>
            </w:r>
          </w:p>
        </w:tc>
      </w:tr>
      <w:tr>
        <w:trPr>
          <w:trHeight w:val="27"/>
        </w:trPr>
        <w:tc>
          <w:tcPr>
            <w:tcW w:w="2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89"/>
        </w:trPr>
        <w:tc>
          <w:tcPr>
            <w:tcW w:w="216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Telenet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52"/>
              <w:spacing w:after="0"/>
              <w:rPr>
                <w:sz w:val="20"/>
                <w:szCs w:val="20"/>
                <w:color w:val="auto"/>
              </w:rPr>
            </w:pPr>
            <w:r>
              <w:rPr>
                <w:rFonts w:ascii="Arial" w:cs="Arial" w:eastAsia="Arial" w:hAnsi="Arial"/>
                <w:sz w:val="18"/>
                <w:szCs w:val="18"/>
                <w:color w:val="auto"/>
              </w:rPr>
              <w:t>3,940.0</w:t>
            </w:r>
          </w:p>
        </w:tc>
        <w:tc>
          <w:tcPr>
            <w:tcW w:w="54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3,489.6</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(a)</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6.8</w:t>
            </w:r>
          </w:p>
        </w:tc>
      </w:tr>
      <w:tr>
        <w:trPr>
          <w:trHeight w:val="27"/>
        </w:trPr>
        <w:tc>
          <w:tcPr>
            <w:tcW w:w="2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45.2</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_______________</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283"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500" w:right="2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are “forward-starting,” such that the initial exchange occurs at a date subsequent to March 31, 2020. These instruments are typically entered into in order to extend existing hedges without the need to amend existing contracts.</w:t>
      </w:r>
    </w:p>
    <w:p>
      <w:pPr>
        <w:spacing w:after="0" w:line="170"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March 31, 2020, the total U.S. dollar equivalent of the notional amount of these derivative instruments was $2.9 billion.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March 31,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2"/>
              </w:rPr>
              <w:t>Borrowing group</w:t>
            </w:r>
          </w:p>
        </w:tc>
        <w:tc>
          <w:tcPr>
            <w:tcW w:w="300" w:type="dxa"/>
            <w:vAlign w:val="bottom"/>
          </w:tcPr>
          <w:p>
            <w:pPr>
              <w:spacing w:after="0"/>
              <w:rPr>
                <w:sz w:val="17"/>
                <w:szCs w:val="17"/>
                <w:color w:val="auto"/>
              </w:rPr>
            </w:pPr>
          </w:p>
        </w:tc>
        <w:tc>
          <w:tcPr>
            <w:tcW w:w="2940" w:type="dxa"/>
            <w:vAlign w:val="bottom"/>
            <w:gridSpan w:val="4"/>
          </w:tcPr>
          <w:p>
            <w:pPr>
              <w:jc w:val="center"/>
              <w:ind w:right="175"/>
              <w:spacing w:after="0"/>
              <w:rPr>
                <w:sz w:val="20"/>
                <w:szCs w:val="20"/>
                <w:color w:val="auto"/>
              </w:rPr>
            </w:pPr>
            <w:r>
              <w:rPr>
                <w:rFonts w:ascii="Arial" w:cs="Arial" w:eastAsia="Arial" w:hAnsi="Arial"/>
                <w:sz w:val="16"/>
                <w:szCs w:val="16"/>
                <w:b w:val="1"/>
                <w:bCs w:val="1"/>
                <w:color w:val="auto"/>
                <w:w w:val="92"/>
              </w:rPr>
              <w:t>Borrowing group</w:t>
            </w:r>
          </w:p>
        </w:tc>
      </w:tr>
      <w:tr>
        <w:trPr>
          <w:trHeight w:val="210"/>
        </w:trPr>
        <w:tc>
          <w:tcPr>
            <w:tcW w:w="2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pays fixed rate</w:t>
            </w:r>
          </w:p>
        </w:tc>
        <w:tc>
          <w:tcPr>
            <w:tcW w:w="300" w:type="dxa"/>
            <w:vAlign w:val="bottom"/>
          </w:tcPr>
          <w:p>
            <w:pPr>
              <w:spacing w:after="0"/>
              <w:rPr>
                <w:sz w:val="18"/>
                <w:szCs w:val="18"/>
                <w:color w:val="auto"/>
              </w:rPr>
            </w:pPr>
          </w:p>
        </w:tc>
        <w:tc>
          <w:tcPr>
            <w:tcW w:w="2940" w:type="dxa"/>
            <w:vAlign w:val="bottom"/>
            <w:gridSpan w:val="4"/>
          </w:tcPr>
          <w:p>
            <w:pPr>
              <w:jc w:val="center"/>
              <w:ind w:right="195"/>
              <w:spacing w:after="0"/>
              <w:rPr>
                <w:sz w:val="20"/>
                <w:szCs w:val="20"/>
                <w:color w:val="auto"/>
              </w:rPr>
            </w:pPr>
            <w:r>
              <w:rPr>
                <w:rFonts w:ascii="Arial" w:cs="Arial" w:eastAsia="Arial" w:hAnsi="Arial"/>
                <w:sz w:val="16"/>
                <w:szCs w:val="16"/>
                <w:b w:val="1"/>
                <w:bCs w:val="1"/>
                <w:color w:val="auto"/>
                <w:w w:val="90"/>
              </w:rPr>
              <w:t>receives fixed rate</w:t>
            </w:r>
          </w:p>
        </w:tc>
      </w:tr>
      <w:tr>
        <w:trPr>
          <w:trHeight w:val="33"/>
        </w:trPr>
        <w:tc>
          <w:tcPr>
            <w:tcW w:w="2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left="96"/>
              <w:spacing w:after="0"/>
              <w:rPr>
                <w:sz w:val="20"/>
                <w:szCs w:val="20"/>
                <w:color w:val="auto"/>
              </w:rPr>
            </w:pPr>
            <w:r>
              <w:rPr>
                <w:rFonts w:ascii="Arial" w:cs="Arial" w:eastAsia="Arial" w:hAnsi="Arial"/>
                <w:sz w:val="16"/>
                <w:szCs w:val="16"/>
                <w:b w:val="1"/>
                <w:bCs w:val="1"/>
                <w:color w:val="auto"/>
                <w:w w:val="93"/>
              </w:rPr>
              <w:t>Notional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8"/>
                <w:szCs w:val="18"/>
                <w:color w:val="auto"/>
              </w:rPr>
            </w:pPr>
          </w:p>
        </w:tc>
        <w:tc>
          <w:tcPr>
            <w:tcW w:w="940" w:type="dxa"/>
            <w:vAlign w:val="bottom"/>
          </w:tcPr>
          <w:p>
            <w:pPr>
              <w:jc w:val="center"/>
              <w:ind w:left="76"/>
              <w:spacing w:after="0"/>
              <w:rPr>
                <w:sz w:val="20"/>
                <w:szCs w:val="20"/>
                <w:color w:val="auto"/>
              </w:rPr>
            </w:pPr>
            <w:r>
              <w:rPr>
                <w:rFonts w:ascii="Arial" w:cs="Arial" w:eastAsia="Arial" w:hAnsi="Arial"/>
                <w:sz w:val="16"/>
                <w:szCs w:val="16"/>
                <w:b w:val="1"/>
                <w:bCs w:val="1"/>
                <w:color w:val="auto"/>
                <w:w w:val="90"/>
              </w:rPr>
              <w:t>Notional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10"/>
        </w:trPr>
        <w:tc>
          <w:tcPr>
            <w:tcW w:w="464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300" w:type="dxa"/>
            <w:vAlign w:val="bottom"/>
          </w:tcPr>
          <w:p>
            <w:pPr>
              <w:spacing w:after="0"/>
              <w:rPr>
                <w:sz w:val="18"/>
                <w:szCs w:val="18"/>
                <w:color w:val="auto"/>
              </w:rPr>
            </w:pPr>
          </w:p>
        </w:tc>
        <w:tc>
          <w:tcPr>
            <w:tcW w:w="940" w:type="dxa"/>
            <w:vAlign w:val="bottom"/>
          </w:tcPr>
          <w:p>
            <w:pPr>
              <w:jc w:val="center"/>
              <w:ind w:left="96"/>
              <w:spacing w:after="0"/>
              <w:rPr>
                <w:sz w:val="20"/>
                <w:szCs w:val="20"/>
                <w:color w:val="auto"/>
              </w:rPr>
            </w:pPr>
            <w:r>
              <w:rPr>
                <w:rFonts w:ascii="Arial" w:cs="Arial" w:eastAsia="Arial" w:hAnsi="Arial"/>
                <w:sz w:val="16"/>
                <w:szCs w:val="16"/>
                <w:b w:val="1"/>
                <w:bCs w:val="1"/>
                <w:color w:val="auto"/>
                <w:w w:val="89"/>
              </w:rPr>
              <w:t>amount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 life</w:t>
            </w:r>
          </w:p>
        </w:tc>
        <w:tc>
          <w:tcPr>
            <w:tcW w:w="300" w:type="dxa"/>
            <w:vAlign w:val="bottom"/>
          </w:tcPr>
          <w:p>
            <w:pPr>
              <w:spacing w:after="0"/>
              <w:rPr>
                <w:sz w:val="18"/>
                <w:szCs w:val="18"/>
                <w:color w:val="auto"/>
              </w:rPr>
            </w:pPr>
          </w:p>
        </w:tc>
        <w:tc>
          <w:tcPr>
            <w:tcW w:w="940" w:type="dxa"/>
            <w:vAlign w:val="bottom"/>
          </w:tcPr>
          <w:p>
            <w:pPr>
              <w:jc w:val="center"/>
              <w:ind w:left="76"/>
              <w:spacing w:after="0"/>
              <w:rPr>
                <w:sz w:val="20"/>
                <w:szCs w:val="20"/>
                <w:color w:val="auto"/>
              </w:rPr>
            </w:pPr>
            <w:r>
              <w:rPr>
                <w:rFonts w:ascii="Arial" w:cs="Arial" w:eastAsia="Arial" w:hAnsi="Arial"/>
                <w:sz w:val="16"/>
                <w:szCs w:val="16"/>
                <w:b w:val="1"/>
                <w:bCs w:val="1"/>
                <w:color w:val="auto"/>
                <w:w w:val="93"/>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 life</w:t>
            </w:r>
          </w:p>
        </w:tc>
      </w:tr>
      <w:tr>
        <w:trPr>
          <w:trHeight w:val="33"/>
        </w:trPr>
        <w:tc>
          <w:tcPr>
            <w:tcW w:w="216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left="96"/>
              <w:spacing w:after="0"/>
              <w:rPr>
                <w:sz w:val="20"/>
                <w:szCs w:val="20"/>
                <w:color w:val="auto"/>
              </w:rPr>
            </w:pPr>
            <w:r>
              <w:rPr>
                <w:rFonts w:ascii="Arial" w:cs="Arial" w:eastAsia="Arial" w:hAnsi="Arial"/>
                <w:sz w:val="16"/>
                <w:szCs w:val="16"/>
                <w:b w:val="1"/>
                <w:bCs w:val="1"/>
                <w:color w:val="auto"/>
                <w:w w:val="90"/>
              </w:rPr>
              <w:t>in millions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940" w:type="dxa"/>
            <w:vAlign w:val="bottom"/>
          </w:tcPr>
          <w:p>
            <w:pPr>
              <w:jc w:val="center"/>
              <w:ind w:left="76"/>
              <w:spacing w:after="0"/>
              <w:rPr>
                <w:sz w:val="20"/>
                <w:szCs w:val="20"/>
                <w:color w:val="auto"/>
              </w:rPr>
            </w:pPr>
            <w:r>
              <w:rPr>
                <w:rFonts w:ascii="Arial" w:cs="Arial" w:eastAsia="Arial" w:hAnsi="Arial"/>
                <w:sz w:val="16"/>
                <w:szCs w:val="16"/>
                <w:b w:val="1"/>
                <w:bCs w:val="1"/>
                <w:color w:val="auto"/>
                <w:w w:val="93"/>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22"/>
        </w:trPr>
        <w:tc>
          <w:tcPr>
            <w:tcW w:w="2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23,644.2</w:t>
            </w: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10,846.6</w:t>
            </w: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r>
      <w:tr>
        <w:trPr>
          <w:trHeight w:val="189"/>
        </w:trPr>
        <w:tc>
          <w:tcPr>
            <w:tcW w:w="2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9,449.4</w:t>
            </w: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4,519.4</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r>
      <w:tr>
        <w:trPr>
          <w:trHeight w:val="189"/>
        </w:trPr>
        <w:tc>
          <w:tcPr>
            <w:tcW w:w="2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3,164.6</w:t>
            </w: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1,565.6</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_______________</w:t>
            </w: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243"/>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March 31,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34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Underlying swap</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 expiration</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5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Notional amount</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currency</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 (a)</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strike rate (b)</w:t>
            </w:r>
          </w:p>
        </w:tc>
      </w:tr>
      <w:tr>
        <w:trPr>
          <w:trHeight w:val="33"/>
        </w:trPr>
        <w:tc>
          <w:tcPr>
            <w:tcW w:w="1820" w:type="dxa"/>
            <w:vAlign w:val="bottom"/>
            <w:tcBorders>
              <w:bottom w:val="single" w:sz="8" w:color="auto"/>
            </w:tcBorders>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18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340" w:type="dxa"/>
            <w:vAlign w:val="bottom"/>
          </w:tcPr>
          <w:p>
            <w:pPr>
              <w:spacing w:after="0"/>
              <w:rPr>
                <w:sz w:val="20"/>
                <w:szCs w:val="20"/>
                <w:color w:val="auto"/>
              </w:rPr>
            </w:pPr>
          </w:p>
        </w:tc>
      </w:tr>
      <w:tr>
        <w:trPr>
          <w:trHeight w:val="222"/>
        </w:trPr>
        <w:tc>
          <w:tcPr>
            <w:tcW w:w="18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4,743.5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2.36%</w:t>
            </w:r>
          </w:p>
        </w:tc>
      </w:tr>
      <w:tr>
        <w:trPr>
          <w:trHeight w:val="243"/>
        </w:trPr>
        <w:tc>
          <w:tcPr>
            <w:tcW w:w="1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1.84%</w:t>
            </w:r>
          </w:p>
        </w:tc>
      </w:tr>
      <w:tr>
        <w:trPr>
          <w:trHeight w:val="243"/>
        </w:trPr>
        <w:tc>
          <w:tcPr>
            <w:tcW w:w="1820" w:type="dxa"/>
            <w:vAlign w:val="bottom"/>
          </w:tcPr>
          <w:p>
            <w:pPr>
              <w:jc w:val="right"/>
              <w:ind w:right="473"/>
              <w:spacing w:after="0"/>
              <w:rPr>
                <w:sz w:val="20"/>
                <w:szCs w:val="20"/>
                <w:color w:val="auto"/>
              </w:rPr>
            </w:pPr>
            <w:r>
              <w:rPr>
                <w:rFonts w:ascii="Arial" w:cs="Arial" w:eastAsia="Arial" w:hAnsi="Arial"/>
                <w:sz w:val="18"/>
                <w:szCs w:val="18"/>
                <w:color w:val="auto"/>
                <w:w w:val="88"/>
              </w:rPr>
              <w:t>______________</w:t>
            </w: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8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March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Notional amount due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8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from counterparty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2160" w:type="dxa"/>
            <w:vAlign w:val="bottom"/>
            <w:tcBorders>
              <w:bottom w:val="single" w:sz="8" w:color="auto"/>
            </w:tcBorders>
          </w:tcPr>
          <w:p>
            <w:pPr>
              <w:spacing w:after="0"/>
              <w:rPr>
                <w:sz w:val="2"/>
                <w:szCs w:val="2"/>
                <w:color w:val="auto"/>
              </w:rPr>
            </w:pPr>
          </w:p>
        </w:tc>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21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21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162"/>
        </w:trPr>
        <w:tc>
          <w:tcPr>
            <w:tcW w:w="2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162"/>
        </w:trPr>
        <w:tc>
          <w:tcPr>
            <w:tcW w:w="21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3"/>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2,295.0</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w:t>
            </w:r>
          </w:p>
        </w:tc>
      </w:tr>
      <w:tr>
        <w:trPr>
          <w:trHeight w:val="27"/>
        </w:trPr>
        <w:tc>
          <w:tcPr>
            <w:tcW w:w="216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March 31, 2020, we had no interest rate collar agreements, and the total U.S. dollar equivalents of the notional amounts of our purchased interest rate caps and floors were $1,509.6 million and $1,217.8 million, respectively.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7"/>
              </w:rPr>
              <w:t>Increase (decrease) to</w:t>
            </w:r>
          </w:p>
        </w:tc>
      </w:tr>
      <w:tr>
        <w:trPr>
          <w:trHeight w:val="203"/>
        </w:trPr>
        <w:tc>
          <w:tcPr>
            <w:tcW w:w="300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9"/>
              </w:rPr>
              <w:t>borrowing costs at</w:t>
            </w:r>
          </w:p>
        </w:tc>
      </w:tr>
      <w:tr>
        <w:trPr>
          <w:trHeight w:val="210"/>
        </w:trPr>
        <w:tc>
          <w:tcPr>
            <w:tcW w:w="900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5"/>
              </w:rPr>
              <w:t>March 31, 2020 (a)</w:t>
            </w:r>
          </w:p>
        </w:tc>
      </w:tr>
      <w:tr>
        <w:trPr>
          <w:trHeight w:val="33"/>
        </w:trPr>
        <w:tc>
          <w:tcPr>
            <w:tcW w:w="3000" w:type="dxa"/>
            <w:vAlign w:val="bottom"/>
            <w:tcBorders>
              <w:bottom w:val="single" w:sz="8" w:color="auto"/>
            </w:tcBorders>
          </w:tcPr>
          <w:p>
            <w:pPr>
              <w:spacing w:after="0"/>
              <w:rPr>
                <w:sz w:val="2"/>
                <w:szCs w:val="2"/>
                <w:color w:val="auto"/>
              </w:rPr>
            </w:pPr>
          </w:p>
        </w:tc>
        <w:tc>
          <w:tcPr>
            <w:tcW w:w="60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4"/>
        </w:trPr>
        <w:tc>
          <w:tcPr>
            <w:tcW w:w="300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0.12 %</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2240" w:type="dxa"/>
            <w:vAlign w:val="bottom"/>
          </w:tcPr>
          <w:p>
            <w:pPr>
              <w:jc w:val="right"/>
              <w:spacing w:after="0"/>
              <w:rPr>
                <w:sz w:val="20"/>
                <w:szCs w:val="20"/>
                <w:color w:val="auto"/>
              </w:rPr>
            </w:pPr>
            <w:r>
              <w:rPr>
                <w:rFonts w:ascii="Arial" w:cs="Arial" w:eastAsia="Arial" w:hAnsi="Arial"/>
                <w:sz w:val="18"/>
                <w:szCs w:val="18"/>
                <w:color w:val="auto"/>
              </w:rPr>
              <w:t>0.13 %</w:t>
            </w:r>
          </w:p>
        </w:tc>
      </w:tr>
      <w:tr>
        <w:trPr>
          <w:trHeight w:val="27"/>
        </w:trPr>
        <w:tc>
          <w:tcPr>
            <w:tcW w:w="30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7"/>
        </w:trPr>
        <w:tc>
          <w:tcPr>
            <w:tcW w:w="9000" w:type="dxa"/>
            <w:vAlign w:val="bottom"/>
            <w:gridSpan w:val="2"/>
          </w:tcPr>
          <w:p>
            <w:pPr>
              <w:ind w:left="180"/>
              <w:spacing w:after="0"/>
              <w:rPr>
                <w:sz w:val="20"/>
                <w:szCs w:val="20"/>
                <w:color w:val="auto"/>
              </w:rPr>
            </w:pPr>
            <w:r>
              <w:rPr>
                <w:rFonts w:ascii="Arial" w:cs="Arial" w:eastAsia="Arial" w:hAnsi="Arial"/>
                <w:sz w:val="18"/>
                <w:szCs w:val="18"/>
                <w:color w:val="auto"/>
              </w:rPr>
              <w:t>Total increase to borrowing costs</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0.05 %</w:t>
            </w:r>
          </w:p>
        </w:tc>
      </w:tr>
      <w:tr>
        <w:trPr>
          <w:trHeight w:val="243"/>
        </w:trPr>
        <w:tc>
          <w:tcPr>
            <w:tcW w:w="3000" w:type="dxa"/>
            <w:vAlign w:val="bottom"/>
          </w:tcPr>
          <w:p>
            <w:pPr>
              <w:spacing w:after="0"/>
              <w:rPr>
                <w:sz w:val="20"/>
                <w:szCs w:val="20"/>
                <w:color w:val="auto"/>
              </w:rPr>
            </w:pPr>
            <w:r>
              <w:rPr>
                <w:rFonts w:ascii="Arial" w:cs="Arial" w:eastAsia="Arial" w:hAnsi="Arial"/>
                <w:sz w:val="18"/>
                <w:szCs w:val="18"/>
                <w:color w:val="auto"/>
              </w:rPr>
              <w:t>_______________</w:t>
            </w:r>
          </w:p>
        </w:tc>
        <w:tc>
          <w:tcPr>
            <w:tcW w:w="600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March 31, 2020 and does not include forward-starting derivative instruments or swaptions.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March 31, 2020, the total U.S. dollar equivalent of the notional amounts of our foreign currency forward and option contracts was $900.1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8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March 31, 2020 are unlikely to represent the value that will be paid or received upon the ultimate settlement or disposition of these assets and liabilities.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swaps are quantified and further explained in note 6.</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the three months ended March 31, 2020 and 2019, we did not perform any significant nonrecurring fair value measurements.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8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6"/>
          </w:tcPr>
          <w:p>
            <w:pPr>
              <w:jc w:val="center"/>
              <w:ind w:left="913"/>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March 31, 2020 using: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Quoted prices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in active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other</w:t>
            </w:r>
          </w:p>
        </w:tc>
        <w:tc>
          <w:tcPr>
            <w:tcW w:w="2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markets for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7"/>
                <w:szCs w:val="17"/>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85"/>
              </w:rPr>
              <w:t>identical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5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8"/>
                <w:szCs w:val="18"/>
                <w:color w:val="auto"/>
              </w:rPr>
            </w:pPr>
          </w:p>
        </w:tc>
        <w:tc>
          <w:tcPr>
            <w:tcW w:w="110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3"/>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(Level 2)</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140" w:type="dxa"/>
            <w:vAlign w:val="bottom"/>
            <w:tcBorders>
              <w:bottom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ind w:left="9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1,053.7</w:t>
            </w: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1,053.7</w:t>
            </w:r>
          </w:p>
        </w:tc>
      </w:tr>
      <w:tr>
        <w:trPr>
          <w:trHeight w:val="22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114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5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SMAs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28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435.5</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435.5</w:t>
            </w:r>
          </w:p>
        </w:tc>
      </w:tr>
      <w:tr>
        <w:trPr>
          <w:trHeight w:val="237"/>
        </w:trPr>
        <w:tc>
          <w:tcPr>
            <w:tcW w:w="5520" w:type="dxa"/>
            <w:vAlign w:val="bottom"/>
            <w:gridSpan w:val="2"/>
          </w:tcPr>
          <w:p>
            <w:pPr>
              <w:ind w:left="10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1,489.2</w:t>
            </w:r>
          </w:p>
        </w:tc>
      </w:tr>
      <w:tr>
        <w:trPr>
          <w:trHeight w:val="67"/>
        </w:trPr>
        <w:tc>
          <w:tcPr>
            <w:tcW w:w="1140" w:type="dxa"/>
            <w:vAlign w:val="bottom"/>
            <w:tcBorders>
              <w:bottom w:val="single" w:sz="8" w:color="CCEEFF"/>
            </w:tcBorders>
          </w:tcPr>
          <w:p>
            <w:pPr>
              <w:spacing w:after="0"/>
              <w:rPr>
                <w:sz w:val="5"/>
                <w:szCs w:val="5"/>
                <w:color w:val="auto"/>
              </w:rPr>
            </w:pPr>
          </w:p>
        </w:tc>
        <w:tc>
          <w:tcPr>
            <w:tcW w:w="43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11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Cross-currency and interest rate derivative contracts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9"/>
              </w:rPr>
              <w:t>22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jc w:val="center"/>
              <w:ind w:left="913"/>
              <w:spacing w:after="0"/>
              <w:rPr>
                <w:sz w:val="20"/>
                <w:szCs w:val="20"/>
                <w:color w:val="auto"/>
              </w:rPr>
            </w:pPr>
            <w:r>
              <w:rPr>
                <w:rFonts w:ascii="Arial" w:cs="Arial" w:eastAsia="Arial" w:hAnsi="Arial"/>
                <w:sz w:val="16"/>
                <w:szCs w:val="16"/>
                <w:b w:val="1"/>
                <w:bCs w:val="1"/>
                <w:color w:val="auto"/>
                <w:w w:val="91"/>
              </w:rPr>
              <w:t>Fair value measurements at</w:t>
            </w: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6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December 31, 2019 using:</w:t>
            </w:r>
          </w:p>
        </w:tc>
        <w:tc>
          <w:tcPr>
            <w:tcW w:w="116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Quoted prices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Significant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other</w:t>
            </w:r>
          </w:p>
        </w:tc>
        <w:tc>
          <w:tcPr>
            <w:tcW w:w="2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observable</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unobservable</w:t>
            </w:r>
          </w:p>
        </w:tc>
      </w:tr>
      <w:tr>
        <w:trPr>
          <w:trHeight w:val="203"/>
        </w:trPr>
        <w:tc>
          <w:tcPr>
            <w:tcW w:w="11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5"/>
              </w:rPr>
              <w:t>identical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inputs</w:t>
            </w:r>
          </w:p>
        </w:tc>
        <w:tc>
          <w:tcPr>
            <w:tcW w:w="200" w:type="dxa"/>
            <w:vAlign w:val="bottom"/>
          </w:tcPr>
          <w:p>
            <w:pPr>
              <w:spacing w:after="0"/>
              <w:rPr>
                <w:sz w:val="17"/>
                <w:szCs w:val="17"/>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55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(Level 2)</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140" w:type="dxa"/>
            <w:vAlign w:val="bottom"/>
            <w:tcBorders>
              <w:bottom w:val="single" w:sz="8" w:color="auto"/>
            </w:tcBorders>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ind w:left="90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663.4</w:t>
            </w: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663.4</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420.0</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1,083.4</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520" w:type="dxa"/>
            <w:vAlign w:val="bottom"/>
            <w:gridSpan w:val="2"/>
          </w:tcPr>
          <w:p>
            <w:pPr>
              <w:ind w:left="66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1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Cross-currency, interest</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Equity-related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rate and foreign currency</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derivative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derivative contracts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Balance of net assets (liabilities) at January 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Gains (losses) included in earnings from continuing operations (a):</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80"/>
              <w:spacing w:after="0"/>
              <w:rPr>
                <w:sz w:val="20"/>
                <w:szCs w:val="20"/>
                <w:color w:val="auto"/>
              </w:rPr>
            </w:pPr>
            <w:r>
              <w:rPr>
                <w:rFonts w:ascii="Arial" w:cs="Arial" w:eastAsia="Arial" w:hAnsi="Arial"/>
                <w:sz w:val="18"/>
                <w:szCs w:val="18"/>
                <w:color w:val="auto"/>
                <w:w w:val="93"/>
              </w:rPr>
              <w:t>Realized and unrealized gains (losses) on derivative instruments,</w:t>
            </w:r>
          </w:p>
        </w:tc>
        <w:tc>
          <w:tcPr>
            <w:tcW w:w="160" w:type="dxa"/>
            <w:vAlign w:val="bottom"/>
          </w:tcPr>
          <w:p>
            <w:pPr>
              <w:spacing w:after="0"/>
              <w:rPr>
                <w:sz w:val="19"/>
                <w:szCs w:val="19"/>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4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Realized and unrealized losses due to changes in fair values of</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certain investments and debt, net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(liabilities) at 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Most of these net gains and losses relate to assets and liabilities that we continue to carry on our condensed consolidated balance sheet as of March 31, 2020.</w:t>
      </w:r>
    </w:p>
    <w:p>
      <w:pPr>
        <w:sectPr>
          <w:pgSz w:w="11900" w:h="16838" w:orient="portrait"/>
          <w:cols w:equalWidth="0" w:num="1">
            <w:col w:w="11240"/>
          </w:cols>
          <w:pgMar w:left="320" w:top="28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283"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180" w:type="dxa"/>
            <w:vAlign w:val="bottom"/>
          </w:tcPr>
          <w:p>
            <w:pPr>
              <w:jc w:val="right"/>
              <w:ind w:right="13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33"/>
        </w:trPr>
        <w:tc>
          <w:tcPr>
            <w:tcW w:w="8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912"/>
              <w:spacing w:after="0"/>
              <w:rPr>
                <w:sz w:val="20"/>
                <w:szCs w:val="20"/>
                <w:color w:val="auto"/>
              </w:rPr>
            </w:pPr>
            <w:r>
              <w:rPr>
                <w:rFonts w:ascii="Arial" w:cs="Arial" w:eastAsia="Arial" w:hAnsi="Arial"/>
                <w:sz w:val="16"/>
                <w:szCs w:val="16"/>
                <w:b w:val="1"/>
                <w:bCs w:val="1"/>
                <w:color w:val="auto"/>
              </w:rPr>
              <w:t>in millions</w:t>
            </w:r>
          </w:p>
        </w:tc>
      </w:tr>
      <w:tr>
        <w:trPr>
          <w:trHeight w:val="357"/>
        </w:trPr>
        <w:tc>
          <w:tcPr>
            <w:tcW w:w="8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19,007.2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2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4,294.7</w:t>
            </w:r>
          </w:p>
        </w:tc>
      </w:tr>
      <w:tr>
        <w:trPr>
          <w:trHeight w:val="27"/>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5,344.3</w:t>
            </w:r>
          </w:p>
        </w:tc>
      </w:tr>
      <w:tr>
        <w:trPr>
          <w:trHeight w:val="237"/>
        </w:trPr>
        <w:tc>
          <w:tcPr>
            <w:tcW w:w="840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27,887.0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28,646.2</w:t>
            </w:r>
          </w:p>
        </w:tc>
      </w:tr>
      <w:tr>
        <w:trPr>
          <w:trHeight w:val="27"/>
        </w:trPr>
        <w:tc>
          <w:tcPr>
            <w:tcW w:w="8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(14,802.8)</w:t>
            </w:r>
          </w:p>
        </w:tc>
      </w:tr>
      <w:tr>
        <w:trPr>
          <w:trHeight w:val="237"/>
        </w:trPr>
        <w:tc>
          <w:tcPr>
            <w:tcW w:w="8400" w:type="dxa"/>
            <w:vAlign w:val="bottom"/>
          </w:tcPr>
          <w:p>
            <w:pPr>
              <w:ind w:left="5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13,110.1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13,843.4</w:t>
            </w:r>
          </w:p>
        </w:tc>
      </w:tr>
      <w:tr>
        <w:trPr>
          <w:trHeight w:val="27"/>
        </w:trPr>
        <w:tc>
          <w:tcPr>
            <w:tcW w:w="8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and 2019, we recorded non-cash increases to our property and equipment related to vendor financing arrangements of $370.9 million and $508.9 million, respectively, which exclude related value-added taxes (</w:t>
      </w:r>
      <w:r>
        <w:rPr>
          <w:rFonts w:ascii="Arial" w:cs="Arial" w:eastAsia="Arial" w:hAnsi="Arial"/>
          <w:sz w:val="18"/>
          <w:szCs w:val="18"/>
          <w:b w:val="1"/>
          <w:bCs w:val="1"/>
          <w:color w:val="auto"/>
        </w:rPr>
        <w:t>VAT</w:t>
      </w:r>
      <w:r>
        <w:rPr>
          <w:rFonts w:ascii="Arial" w:cs="Arial" w:eastAsia="Arial" w:hAnsi="Arial"/>
          <w:sz w:val="18"/>
          <w:szCs w:val="18"/>
          <w:color w:val="auto"/>
        </w:rPr>
        <w:t>) of $63.6 million and $84.8 million, respectively, that were also financed under these arrangements.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the three months ended March 31, 2020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Acquisitions</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and related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adjustments and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1, 2020</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March 31, 2020</w:t>
            </w:r>
          </w:p>
        </w:tc>
      </w:tr>
      <w:tr>
        <w:trPr>
          <w:trHeight w:val="33"/>
        </w:trPr>
        <w:tc>
          <w:tcPr>
            <w:tcW w:w="5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94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57"/>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2,957.7</w:t>
            </w:r>
          </w:p>
        </w:tc>
      </w:tr>
      <w:tr>
        <w:trPr>
          <w:trHeight w:val="27"/>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2,497.2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512.4</w:t>
            </w:r>
          </w:p>
        </w:tc>
      </w:tr>
      <w:tr>
        <w:trPr>
          <w:trHeight w:val="27"/>
        </w:trPr>
        <w:tc>
          <w:tcPr>
            <w:tcW w:w="5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13,424.5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among other factors, (i) our equity values were to decline or (ii) the adverse impacts of economic, competitive, regulatory or other factors (including with respect to the recent outbreak of a novel strain of coronavirus or “COVID-19”)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83"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on our condensed consolidated balance sheets, are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March 31, 2020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Gross carrying</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Net carrying</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Gross 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6"/>
                <w:szCs w:val="16"/>
                <w:b w:val="1"/>
                <w:bCs w:val="1"/>
                <w:color w:val="auto"/>
                <w:w w:val="94"/>
              </w:rPr>
              <w:t>Net carrying</w:t>
            </w:r>
          </w:p>
        </w:tc>
      </w:t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amount</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amortization</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32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080" w:type="dxa"/>
            <w:vAlign w:val="bottom"/>
          </w:tcPr>
          <w:p>
            <w:pPr>
              <w:jc w:val="right"/>
              <w:ind w:right="254"/>
              <w:spacing w:after="0"/>
              <w:rPr>
                <w:sz w:val="20"/>
                <w:szCs w:val="20"/>
                <w:color w:val="auto"/>
              </w:rPr>
            </w:pPr>
            <w:r>
              <w:rPr>
                <w:rFonts w:ascii="Arial" w:cs="Arial" w:eastAsia="Arial" w:hAnsi="Arial"/>
                <w:sz w:val="16"/>
                <w:szCs w:val="16"/>
                <w:b w:val="1"/>
                <w:bCs w:val="1"/>
                <w:color w:val="auto"/>
              </w:rPr>
              <w:t>amount</w:t>
            </w:r>
          </w:p>
        </w:tc>
      </w:tr>
      <w:tr>
        <w:trPr>
          <w:trHeight w:val="33"/>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0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3,653.9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290.3</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281.8</w:t>
            </w: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March 31, 2020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Unused borrowing</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8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92"/>
              </w:rPr>
              <w:t>capacity (b)</w:t>
            </w:r>
          </w:p>
        </w:tc>
        <w:tc>
          <w:tcPr>
            <w:tcW w:w="120" w:type="dxa"/>
            <w:vAlign w:val="bottom"/>
          </w:tcPr>
          <w:p>
            <w:pPr>
              <w:spacing w:after="0"/>
              <w:rPr>
                <w:sz w:val="5"/>
                <w:szCs w:val="5"/>
                <w:color w:val="auto"/>
              </w:rPr>
            </w:pPr>
          </w:p>
        </w:tc>
        <w:tc>
          <w:tcPr>
            <w:tcW w:w="2620" w:type="dxa"/>
            <w:vAlign w:val="bottom"/>
            <w:gridSpan w:val="4"/>
            <w:vMerge w:val="restart"/>
          </w:tcPr>
          <w:p>
            <w:pPr>
              <w:jc w:val="right"/>
              <w:ind w:right="671"/>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43"/>
        </w:trPr>
        <w:tc>
          <w:tcPr>
            <w:tcW w:w="4280" w:type="dxa"/>
            <w:vAlign w:val="bottom"/>
          </w:tcPr>
          <w:p>
            <w:pPr>
              <w:spacing w:after="0"/>
              <w:rPr>
                <w:sz w:val="12"/>
                <w:szCs w:val="12"/>
                <w:color w:val="auto"/>
              </w:rPr>
            </w:pPr>
          </w:p>
        </w:tc>
        <w:tc>
          <w:tcPr>
            <w:tcW w:w="124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average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interest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Borrowing</w:t>
            </w: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U.S. $</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rate (a)</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currency</w:t>
            </w: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equivalent</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in millions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Senior Secured Notes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5,916.9</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VM Credit Facilities (c)</w:t>
            </w: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(d)</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 Senior Notes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Telenet Credit Facility (e)</w:t>
            </w: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505.0</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3,541.4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Telenet Senior Secured Notes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UPCB SPE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UPC Holding Bank Facility (f)</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990.1</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UPC Holding Senior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financing (g)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ITV Collar Loan</w:t>
            </w:r>
          </w:p>
        </w:tc>
        <w:tc>
          <w:tcPr>
            <w:tcW w:w="1240" w:type="dxa"/>
            <w:vAlign w:val="bottom"/>
          </w:tcPr>
          <w:p>
            <w:pPr>
              <w:jc w:val="right"/>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Derivative-related debt instruments (h)</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Other (i)</w:t>
            </w:r>
          </w:p>
        </w:tc>
        <w:tc>
          <w:tcPr>
            <w:tcW w:w="1240" w:type="dxa"/>
            <w:vAlign w:val="bottom"/>
          </w:tcPr>
          <w:p>
            <w:pPr>
              <w:jc w:val="right"/>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Total debt before deferred financing costs, discounts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2,880.0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26,886.3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27,648.1</w:t>
            </w: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and premiums (j)</w:t>
            </w:r>
          </w:p>
        </w:tc>
        <w:tc>
          <w:tcPr>
            <w:tcW w:w="12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gridSpan w:val="3"/>
          </w:tcPr>
          <w:p>
            <w:pPr>
              <w:jc w:val="right"/>
              <w:ind w:right="33"/>
              <w:spacing w:after="0"/>
              <w:rPr>
                <w:sz w:val="20"/>
                <w:szCs w:val="20"/>
                <w:color w:val="auto"/>
              </w:rPr>
            </w:pPr>
            <w:r>
              <w:rPr>
                <w:rFonts w:ascii="Arial" w:cs="Arial" w:eastAsia="Arial" w:hAnsi="Arial"/>
                <w:sz w:val="18"/>
                <w:szCs w:val="18"/>
                <w:color w:val="auto"/>
                <w:w w:val="89"/>
              </w:rPr>
              <w:t>25</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66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in millions</w:t>
            </w:r>
          </w:p>
        </w:tc>
      </w:tr>
      <w:tr>
        <w:trPr>
          <w:trHeight w:val="208"/>
        </w:trPr>
        <w:tc>
          <w:tcPr>
            <w:tcW w:w="8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27,648.1</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carrying amount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27,565.4</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Finance lease obligations (note 10)</w:t>
            </w: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617.1</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and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28,182.5</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Current maturities of debt and finance lease obligations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(3,877.2)</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finance lease obligations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23,455.7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24,305.3</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March 31, 2020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4.12% at March 31, 2020. For information regarding our derivative instruments, see note 6.</w:t>
      </w:r>
    </w:p>
    <w:p>
      <w:pPr>
        <w:spacing w:after="0" w:line="192" w:lineRule="exact"/>
        <w:rPr>
          <w:rFonts w:ascii="Arial" w:cs="Arial" w:eastAsia="Arial" w:hAnsi="Arial"/>
          <w:sz w:val="18"/>
          <w:szCs w:val="18"/>
          <w:color w:val="auto"/>
        </w:rPr>
      </w:pPr>
    </w:p>
    <w:p>
      <w:pPr>
        <w:jc w:val="both"/>
        <w:ind w:left="500" w:hanging="492"/>
        <w:spacing w:after="0" w:line="26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Unused borrowing capacity represents the maximum availability under the applicable facility at March 31, 2020 without regard to covenant compliance calculations or other conditions precedent to borrowing. At March 31, 2020,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except as shown in the table below. In the following table, we present (i) for each subsidiary where the ability to borrow is limited, the actual borrowing availability under the respective facility and (ii) for each subsidiary where the ability to make loans or distributions from this availability is limited, the amount that can be loaned or distributed to Liberty Global or its subsidiaries or other equity holders. The amounts presented below reflect any applicable restrictions in effect at March 31, 2020, both before and after completion of the relevant March 31, 2020 compliance reporting requirements, but do not consider any actual or potential changes to our borrowing levels or any amounts loaned or distributed subsequent to March 31, 2020, or the impact of additional amounts that may be available to borrow, loan or distribute under certain defined baskets within each respective facility. For information regarding certain financing transactions completed subsequent to March 31, 2020 that could have an impact on the availability to be borrowed, loaned or distributed, see footnotes (e) and (f) below.</w:t>
      </w:r>
    </w:p>
    <w:p>
      <w:pPr>
        <w:spacing w:after="0" w:line="133" w:lineRule="exact"/>
        <w:rPr>
          <w:sz w:val="20"/>
          <w:szCs w:val="20"/>
          <w:color w:val="auto"/>
        </w:rPr>
      </w:pPr>
    </w:p>
    <w:tbl>
      <w:tblPr>
        <w:tblLayout w:type="fixed"/>
        <w:tblInd w:w="552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Upon completion of relevant March 31,</w:t>
            </w:r>
          </w:p>
        </w:tc>
      </w:tr>
      <w:tr>
        <w:trPr>
          <w:trHeight w:val="203"/>
        </w:trPr>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2020 compliance reporting</w:t>
            </w:r>
          </w:p>
        </w:tc>
      </w:tr>
      <w:tr>
        <w:trPr>
          <w:trHeight w:val="210"/>
        </w:trPr>
        <w:tc>
          <w:tcPr>
            <w:tcW w:w="2640" w:type="dxa"/>
            <w:vAlign w:val="bottom"/>
            <w:gridSpan w:val="3"/>
          </w:tcPr>
          <w:p>
            <w:pPr>
              <w:ind w:left="740"/>
              <w:spacing w:after="0"/>
              <w:rPr>
                <w:sz w:val="20"/>
                <w:szCs w:val="20"/>
                <w:color w:val="auto"/>
              </w:rPr>
            </w:pPr>
            <w:r>
              <w:rPr>
                <w:rFonts w:ascii="Arial" w:cs="Arial" w:eastAsia="Arial" w:hAnsi="Arial"/>
                <w:sz w:val="16"/>
                <w:szCs w:val="16"/>
                <w:b w:val="1"/>
                <w:bCs w:val="1"/>
                <w:color w:val="auto"/>
              </w:rPr>
              <w:t>March 31, 2020</w:t>
            </w:r>
          </w:p>
        </w:tc>
        <w:tc>
          <w:tcPr>
            <w:tcW w:w="2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requirements</w:t>
            </w:r>
          </w:p>
        </w:tc>
      </w:tr>
      <w:tr>
        <w:trPr>
          <w:trHeight w:val="33"/>
        </w:trPr>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Borrowing</w:t>
            </w:r>
          </w:p>
        </w:tc>
        <w:tc>
          <w:tcPr>
            <w:tcW w:w="13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U.S. $</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Borrowing</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U.S. $</w:t>
            </w:r>
          </w:p>
        </w:tc>
      </w:tr>
      <w:tr>
        <w:trPr>
          <w:trHeight w:val="210"/>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13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equivalent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equivalent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20955</wp:posOffset>
            </wp:positionV>
            <wp:extent cx="342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0"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in millions</w:t>
      </w:r>
    </w:p>
    <w:p>
      <w:pPr>
        <w:spacing w:after="0" w:line="86"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Limitation on availability to be borrowed under (1):</w:t>
            </w: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VM Credit Facilities</w:t>
            </w: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1,142.6</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944.3</w:t>
            </w:r>
          </w:p>
        </w:tc>
      </w:tr>
      <w:tr>
        <w:trPr>
          <w:trHeight w:val="243"/>
        </w:trPr>
        <w:tc>
          <w:tcPr>
            <w:tcW w:w="4140" w:type="dxa"/>
            <w:vAlign w:val="bottom"/>
          </w:tcPr>
          <w:p>
            <w:pPr>
              <w:ind w:left="340"/>
              <w:spacing w:after="0"/>
              <w:rPr>
                <w:sz w:val="20"/>
                <w:szCs w:val="20"/>
                <w:color w:val="auto"/>
              </w:rPr>
            </w:pPr>
            <w:r>
              <w:rPr>
                <w:rFonts w:ascii="Arial" w:cs="Arial" w:eastAsia="Arial" w:hAnsi="Arial"/>
                <w:sz w:val="18"/>
                <w:szCs w:val="18"/>
                <w:color w:val="auto"/>
              </w:rPr>
              <w:t>UPC Holding Bank Facility</w:t>
            </w:r>
          </w:p>
        </w:tc>
        <w:tc>
          <w:tcPr>
            <w:tcW w:w="980" w:type="dxa"/>
            <w:vAlign w:val="bottom"/>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828.8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909.3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652.0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715.3</w:t>
            </w:r>
          </w:p>
        </w:tc>
      </w:tr>
      <w:tr>
        <w:trPr>
          <w:trHeight w:val="459"/>
        </w:trPr>
        <w:tc>
          <w:tcPr>
            <w:tcW w:w="41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980" w:hanging="486"/>
        <w:spacing w:after="0"/>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VM Credit Facilities and the UPC Holding Bank Facility have no additional restriction to loan or distribute from this availability.</w:t>
      </w:r>
    </w:p>
    <w:p>
      <w:pPr>
        <w:spacing w:after="0" w:line="236" w:lineRule="exact"/>
        <w:rPr>
          <w:rFonts w:ascii="Arial" w:cs="Arial" w:eastAsia="Arial" w:hAnsi="Arial"/>
          <w:sz w:val="17"/>
          <w:szCs w:val="17"/>
          <w:color w:val="auto"/>
        </w:rPr>
      </w:pPr>
    </w:p>
    <w:p>
      <w:pPr>
        <w:jc w:val="both"/>
        <w:ind w:left="500" w:hanging="492"/>
        <w:spacing w:after="0" w:line="275"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include £68.0 million ($84.3 million) and £103.6 million ($128.4 million) at March 31, 2020 and December 31, 2019,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the proceeds from these notes exceed the amount of vendor financed receivables available to be purchased, the excess proceeds are used to fund these excess cash facilities.</w:t>
      </w:r>
    </w:p>
    <w:p>
      <w:pPr>
        <w:spacing w:after="0" w:line="176" w:lineRule="exact"/>
        <w:rPr>
          <w:rFonts w:ascii="Arial" w:cs="Arial" w:eastAsia="Arial" w:hAnsi="Arial"/>
          <w:sz w:val="17"/>
          <w:szCs w:val="17"/>
          <w:color w:val="auto"/>
        </w:rPr>
      </w:pPr>
    </w:p>
    <w:p>
      <w:pPr>
        <w:ind w:left="820" w:hanging="812"/>
        <w:spacing w:after="0" w:line="277"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Unused borrowing capacity under the VM Revolving Facility relates to a multi-currency revolving facility with maximum borrowing capacity equivalent to £1,000.0 million ($1,239.8 million).</w:t>
      </w:r>
    </w:p>
    <w:p>
      <w:pPr>
        <w:spacing w:after="0" w:line="170" w:lineRule="exact"/>
        <w:rPr>
          <w:rFonts w:ascii="Arial" w:cs="Arial" w:eastAsia="Arial" w:hAnsi="Arial"/>
          <w:sz w:val="18"/>
          <w:szCs w:val="18"/>
          <w:color w:val="auto"/>
        </w:rPr>
      </w:pPr>
    </w:p>
    <w:p>
      <w:pPr>
        <w:ind w:left="820" w:hanging="812"/>
        <w:spacing w:after="0" w:line="272" w:lineRule="auto"/>
        <w:tabs>
          <w:tab w:leader="none" w:pos="4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Unused borrowing capacity under the Telenet Credit Facility comprises (i) €400.0 million ($438.9 million) under Telenet Facility AG, (ii) €60.0 million ($65.8 million) under Telenet Facility AP, (iii) €25.0 million ($27.4 million) under the Telenet Overdraft Facility and (iv) €20.0 million ($21.9 million) under the Telenet Revolving Facility, each of which were undrawn at March 31, 2020. Subsequent to March 31, 2020, certain lenders under the Telenet Credit Facility agreed to extend and reprice their commitments and as a result, Telenet Facility AG and Telenet Facility AP were cancelled in full and replaced with a single revolving facility (the </w:t>
      </w:r>
      <w:r>
        <w:rPr>
          <w:rFonts w:ascii="Arial" w:cs="Arial" w:eastAsia="Arial" w:hAnsi="Arial"/>
          <w:sz w:val="17"/>
          <w:szCs w:val="17"/>
          <w:b w:val="1"/>
          <w:bCs w:val="1"/>
          <w:color w:val="auto"/>
        </w:rPr>
        <w:t>Telenet Revolving Facility I</w:t>
      </w:r>
      <w:r>
        <w:rPr>
          <w:rFonts w:ascii="Arial" w:cs="Arial" w:eastAsia="Arial" w:hAnsi="Arial"/>
          <w:sz w:val="17"/>
          <w:szCs w:val="17"/>
          <w:color w:val="auto"/>
        </w:rPr>
        <w:t>). The Telenet Revolving Facility I provides for a maximum borrowing capacity equivalent to €510.0 million ($559.5 million), bears interest at a rate of EURIBOR + 2.25%, is subject to a EURIBOR floor of 0.0% and has a final maturity date of May 31, 2026.</w:t>
      </w:r>
    </w:p>
    <w:p>
      <w:pPr>
        <w:spacing w:after="0" w:line="177" w:lineRule="exact"/>
        <w:rPr>
          <w:rFonts w:ascii="Arial" w:cs="Arial" w:eastAsia="Arial" w:hAnsi="Arial"/>
          <w:sz w:val="17"/>
          <w:szCs w:val="17"/>
          <w:color w:val="auto"/>
        </w:rPr>
      </w:pPr>
    </w:p>
    <w:p>
      <w:pPr>
        <w:ind w:left="820" w:hanging="812"/>
        <w:spacing w:after="0" w:line="254"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Unused borrowing capacity under the UPC Holding Bank Facility relates to €990.1 million ($1,086.2 million) of borrowing capacity under UPC Facility AM, which was undrawn at March 31, 2020. Subsequent to March 31, 2020, as a result of the sale of certain entities within the UPC Holding borrowing group and an associated reduction in the outstanding debt and Adjusted OIBDA (as defined and described in note 16) of the remaining UPC Holding borrowing group, certain lenders under UPC Facility AM agreed to extend and reprice their commitments and as a result, UPC Facility AM was cancelled in full and replaced with a new revolving facility (the </w:t>
      </w:r>
      <w:r>
        <w:rPr>
          <w:rFonts w:ascii="Arial" w:cs="Arial" w:eastAsia="Arial" w:hAnsi="Arial"/>
          <w:sz w:val="18"/>
          <w:szCs w:val="18"/>
          <w:b w:val="1"/>
          <w:bCs w:val="1"/>
          <w:color w:val="auto"/>
        </w:rPr>
        <w:t>UPC Revolving Facility</w:t>
      </w:r>
      <w:r>
        <w:rPr>
          <w:rFonts w:ascii="Arial" w:cs="Arial" w:eastAsia="Arial" w:hAnsi="Arial"/>
          <w:sz w:val="18"/>
          <w:szCs w:val="18"/>
          <w:color w:val="auto"/>
        </w:rPr>
        <w:t>). The UPC Revolving Facility provides for a maximum borrowing capacity equivalent to €500.0 million ($548.5 million), bears interest at a rate of EURIBOR + 2.5% and has a final maturity date of May 31, 2026.</w:t>
      </w:r>
    </w:p>
    <w:p>
      <w:pPr>
        <w:spacing w:after="0" w:line="194" w:lineRule="exact"/>
        <w:rPr>
          <w:rFonts w:ascii="Arial" w:cs="Arial" w:eastAsia="Arial" w:hAnsi="Arial"/>
          <w:sz w:val="18"/>
          <w:szCs w:val="18"/>
          <w:color w:val="auto"/>
        </w:rPr>
      </w:pPr>
    </w:p>
    <w:p>
      <w:pPr>
        <w:ind w:left="820" w:hanging="812"/>
        <w:spacing w:after="0" w:line="259"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operating expenses. These obligations are generally due within one year and include VAT that was also financed under these arrangements. Repayments of vendor financing obligations are included in repayments and repurchases of debt and finance lease obligations in our condensed consolidated statements of cash flows.</w:t>
      </w:r>
    </w:p>
    <w:p>
      <w:pPr>
        <w:spacing w:after="0" w:line="186" w:lineRule="exact"/>
        <w:rPr>
          <w:rFonts w:ascii="Arial" w:cs="Arial" w:eastAsia="Arial" w:hAnsi="Arial"/>
          <w:sz w:val="18"/>
          <w:szCs w:val="18"/>
          <w:color w:val="auto"/>
        </w:rPr>
      </w:pPr>
    </w:p>
    <w:p>
      <w:pPr>
        <w:ind w:left="820" w:hanging="812"/>
        <w:spacing w:after="0" w:line="263"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amounts associated with certain derivative-related borrowing instruments, including $43.6 million and $45.6 million at March 31, 2020 and December 31, 2019, respectively, carried at fair value. These instruments mature at various dates through January 2025. For information regarding fair value hierarchies, see note 7.</w:t>
      </w:r>
    </w:p>
    <w:p>
      <w:pPr>
        <w:spacing w:after="0" w:line="183" w:lineRule="exact"/>
        <w:rPr>
          <w:rFonts w:ascii="Arial" w:cs="Arial" w:eastAsia="Arial" w:hAnsi="Arial"/>
          <w:sz w:val="18"/>
          <w:szCs w:val="18"/>
          <w:color w:val="auto"/>
        </w:rPr>
      </w:pPr>
    </w:p>
    <w:p>
      <w:pPr>
        <w:ind w:left="820" w:hanging="812"/>
        <w:spacing w:after="0" w:line="263" w:lineRule="auto"/>
        <w:tabs>
          <w:tab w:leader="none" w:pos="4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March 31, 2020 and December 31, 2019, amounts include (i) $248.0 million and $264.6 million, respectively, of debt collateralized by certain trade receivables of Virgin Media and (ii) principal borrowings outstanding under the Lionsgate Loan of $55.3 million in each of the respective periods.</w:t>
      </w:r>
    </w:p>
    <w:p>
      <w:pPr>
        <w:spacing w:after="0" w:line="183" w:lineRule="exact"/>
        <w:rPr>
          <w:rFonts w:ascii="Arial" w:cs="Arial" w:eastAsia="Arial" w:hAnsi="Arial"/>
          <w:sz w:val="18"/>
          <w:szCs w:val="18"/>
          <w:color w:val="auto"/>
        </w:rPr>
      </w:pPr>
    </w:p>
    <w:p>
      <w:pPr>
        <w:jc w:val="right"/>
        <w:ind w:left="820" w:hanging="812"/>
        <w:spacing w:after="0" w:line="296" w:lineRule="auto"/>
        <w:tabs>
          <w:tab w:leader="none" w:pos="4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March 31, 2020 and December 31, 2019, our debt had an estimated fair value of $25.7 billion and $28.4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8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 General Information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March 31, 2020, most of our outstanding debt had been incurred by one of our three subsidiary “borrowing groups.” References to these borrowing groups, which comprise Virgin Media, UPC Holding and Telenet, include their respective restricted parent and subsidiary entities. Below we provide summary descriptions of certain financing transactions completed during the first three months of 2020. A portion of our financing transactions may include non-cash borrowings and repayments. During the three months ended March 31, 2020 and 2019, non-cash borrowings and repayments aggregated $3.5 billion and nil, respectively. Unless otherwise noted, the terms and conditions of any new notes and/or credit facilities are largely consistent with those of existing notes and credit facilities of the corresponding borrowing group with regard to covenants, events of default and change of control provisions, among other items. For information regarding the general terms and conditions of our debt and capitalized terms not defined herein, see note 11 to the consolidated financial statements included in our 10-K.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Financing Transactions</w:t>
      </w:r>
    </w:p>
    <w:p>
      <w:pPr>
        <w:spacing w:after="0" w:line="2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January 2020, Telenet entered into (i) a $2,295.0 million term loan facility (</w:t>
      </w:r>
      <w:r>
        <w:rPr>
          <w:rFonts w:ascii="Arial" w:cs="Arial" w:eastAsia="Arial" w:hAnsi="Arial"/>
          <w:sz w:val="16"/>
          <w:szCs w:val="16"/>
          <w:b w:val="1"/>
          <w:bCs w:val="1"/>
          <w:color w:val="auto"/>
        </w:rPr>
        <w:t>Telenet Facility AR</w:t>
      </w:r>
      <w:r>
        <w:rPr>
          <w:rFonts w:ascii="Arial" w:cs="Arial" w:eastAsia="Arial" w:hAnsi="Arial"/>
          <w:sz w:val="16"/>
          <w:szCs w:val="16"/>
          <w:color w:val="auto"/>
        </w:rPr>
        <w:t>) and (ii) a €1,110.0 million ($1,217.8 million) term loan facility (</w:t>
      </w:r>
      <w:r>
        <w:rPr>
          <w:rFonts w:ascii="Arial" w:cs="Arial" w:eastAsia="Arial" w:hAnsi="Arial"/>
          <w:sz w:val="16"/>
          <w:szCs w:val="16"/>
          <w:b w:val="1"/>
          <w:bCs w:val="1"/>
          <w:color w:val="auto"/>
        </w:rPr>
        <w:t>Telenet Facility AQ</w:t>
      </w:r>
      <w:r>
        <w:rPr>
          <w:rFonts w:ascii="Arial" w:cs="Arial" w:eastAsia="Arial" w:hAnsi="Arial"/>
          <w:sz w:val="16"/>
          <w:szCs w:val="16"/>
          <w:color w:val="auto"/>
        </w:rPr>
        <w:t>). Telenet Facility AR was issued at 99.75% of par, matures on April 30, 2028 and bears interest at a rate of LIBOR + 2.0%, subject to a LIBOR floor of 0.0%. Telenet Facility AQ was issued at par, matures on April 30, 2029 and bears interest at a rate of EURIBOR +</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2.25%, subject to a EURIBOR floor of 0.0%. The net proceeds from Telenet Facility AR and Telenet Facility AQ, together with existing cash, were used to prepay in full (a) the $2,295.0 million outstanding principal amount under Telenet Facility AN and (b) the €1,110.0 million outstanding principal amount under Telenet Facility AO. In connection with these transactions, Telenet recognized a net loss on debt extinguishment of $18.9 million related to the write-off of unamortized deferred financing costs, discounts and premiums.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Financing Transactions</w:t>
      </w:r>
    </w:p>
    <w:p>
      <w:pPr>
        <w:spacing w:after="0" w:line="2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January 2020, UPC Holding entered into (i) a $700.0 million term loan facility (</w:t>
      </w:r>
      <w:r>
        <w:rPr>
          <w:rFonts w:ascii="Arial" w:cs="Arial" w:eastAsia="Arial" w:hAnsi="Arial"/>
          <w:sz w:val="16"/>
          <w:szCs w:val="16"/>
          <w:b w:val="1"/>
          <w:bCs w:val="1"/>
          <w:color w:val="auto"/>
        </w:rPr>
        <w:t>UPC Facility AT</w:t>
      </w:r>
      <w:r>
        <w:rPr>
          <w:rFonts w:ascii="Arial" w:cs="Arial" w:eastAsia="Arial" w:hAnsi="Arial"/>
          <w:sz w:val="16"/>
          <w:szCs w:val="16"/>
          <w:color w:val="auto"/>
        </w:rPr>
        <w:t>) and (ii) a €400.0 million ($438.8 million) term loan facility (</w:t>
      </w:r>
      <w:r>
        <w:rPr>
          <w:rFonts w:ascii="Arial" w:cs="Arial" w:eastAsia="Arial" w:hAnsi="Arial"/>
          <w:sz w:val="16"/>
          <w:szCs w:val="16"/>
          <w:b w:val="1"/>
          <w:bCs w:val="1"/>
          <w:color w:val="auto"/>
        </w:rPr>
        <w:t>UPC Facility AU</w:t>
      </w:r>
      <w:r>
        <w:rPr>
          <w:rFonts w:ascii="Arial" w:cs="Arial" w:eastAsia="Arial" w:hAnsi="Arial"/>
          <w:sz w:val="16"/>
          <w:szCs w:val="16"/>
          <w:color w:val="auto"/>
        </w:rPr>
        <w:t>). UPC Facility AT was issued at 99.75% of par, matures on April 30, 2028 and bears interest at a rate of LIBOR + 2.25%, subject to a LIBOR floor of 0.0%. UPC Facility AU was issued at 99.875% of par, matures on April 30, 2029 and bears interest at a rate of EURIBOR + 2.5%, subject to a EURIBOR floor of 0.0%. The net proceeds from UPC Facility AT and UPC Facility AU were used to prepay in full the $1,140.0 million outstanding principal amount under UPC Facility AL, together with accrued and unpaid interest and the related prepayment premiums, which was owed to UPCB Finance IV and, in turn, UPCB Finance IV used such proceeds to redeem in full the $1,140.0 million outstanding principal amount of UPCB Finance IV Dollar Notes. In connection with this transaction, UPC Holding recognized a loss on debt extinguishment of $35.6 million related to (a) the payment of $30.7 million of redemption premiums and (b) the write-off of $4.9 million of unamortized deferred financing costs and discounts.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83"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debt as of March 31, 2020 are presented below for the named entity and its subsidiaries, unless otherwise noted. Amounts represent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dollar equivalents based on March 31, 2020 exchange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UPC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Holding (a)</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Telenet</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(b)</w:t>
            </w:r>
          </w:p>
        </w:tc>
        <w:tc>
          <w:tcPr>
            <w:tcW w:w="260" w:type="dxa"/>
            <w:vAlign w:val="bottom"/>
          </w:tcPr>
          <w:p>
            <w:pPr>
              <w:spacing w:after="0"/>
              <w:rPr>
                <w:sz w:val="18"/>
                <w:szCs w:val="18"/>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2020 (remainder of year)</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3,216.9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19,023.4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maturities (c)</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26,886.3</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26,817.8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3,877.1</w:t>
            </w:r>
          </w:p>
        </w:tc>
        <w:tc>
          <w:tcPr>
            <w:tcW w:w="0" w:type="dxa"/>
            <w:vAlign w:val="bottom"/>
          </w:tcPr>
          <w:p>
            <w:pPr>
              <w:spacing w:after="0"/>
              <w:rPr>
                <w:sz w:val="1"/>
                <w:szCs w:val="1"/>
                <w:color w:val="auto"/>
              </w:rPr>
            </w:pPr>
          </w:p>
        </w:tc>
      </w:tr>
      <w:tr>
        <w:trPr>
          <w:trHeight w:val="67"/>
        </w:trPr>
        <w:tc>
          <w:tcPr>
            <w:tcW w:w="51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Noncurrent portion</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22,940.7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include certain senior secured notes issued by special purpose financing entities that are consolidated by UPC Holding and Liberty Global.</w:t>
      </w:r>
    </w:p>
    <w:p>
      <w:pPr>
        <w:spacing w:after="0" w:line="248"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 $1,341.9 million related to the ITV Collar Loan. The ITV Collar Loan has maturity dates ranging from 2020 to 2022 consistent with the ITV Collar (see notes 5 and 6). We may elect to use cash or the collective value of the related shares and equity-related derivative instrument to settle the ITV Collar Loan.</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include vendor financing obligations of $3,609.6 million, as set forth below:</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Virgin Media</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UPC</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Telenet</w:t>
            </w:r>
          </w:p>
        </w:tc>
        <w:tc>
          <w:tcPr>
            <w:tcW w:w="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4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2020 (remainder of year)</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1,931.4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2,872.4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104.4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r>
      <w:tr>
        <w:trPr>
          <w:trHeight w:val="243"/>
        </w:trPr>
        <w:tc>
          <w:tcPr>
            <w:tcW w:w="4580" w:type="dxa"/>
            <w:vAlign w:val="bottom"/>
          </w:tcPr>
          <w:p>
            <w:pPr>
              <w:ind w:left="1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97"/>
        </w:trPr>
        <w:tc>
          <w:tcPr>
            <w:tcW w:w="4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vendor financing maturities</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3,609.6</w:t>
            </w: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3,303.8</w:t>
            </w: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Noncurrent portion</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305.8</w:t>
            </w:r>
          </w:p>
        </w:tc>
      </w:tr>
      <w:tr>
        <w:trPr>
          <w:trHeight w:val="20"/>
        </w:trPr>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31"/>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40"/>
          </w:cols>
          <w:pgMar w:left="320" w:top="28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_______________</w:t>
      </w:r>
    </w:p>
    <w:p>
      <w:pPr>
        <w:spacing w:after="0" w:line="221" w:lineRule="exact"/>
        <w:rPr>
          <w:sz w:val="20"/>
          <w:szCs w:val="20"/>
          <w:color w:val="auto"/>
        </w:rPr>
      </w:pPr>
    </w:p>
    <w:p>
      <w:pPr>
        <w:jc w:val="both"/>
        <w:ind w:left="820" w:hanging="326"/>
        <w:spacing w:after="0" w:line="274" w:lineRule="auto"/>
        <w:tabs>
          <w:tab w:leader="none" w:pos="8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Certain third-party special purpose financing entities (the </w:t>
      </w:r>
      <w:r>
        <w:rPr>
          <w:rFonts w:ascii="Arial" w:cs="Arial" w:eastAsia="Arial" w:hAnsi="Arial"/>
          <w:sz w:val="17"/>
          <w:szCs w:val="17"/>
          <w:b w:val="1"/>
          <w:bCs w:val="1"/>
          <w:color w:val="auto"/>
        </w:rPr>
        <w:t>VM SPEs</w:t>
      </w:r>
      <w:r>
        <w:rPr>
          <w:rFonts w:ascii="Arial" w:cs="Arial" w:eastAsia="Arial" w:hAnsi="Arial"/>
          <w:sz w:val="17"/>
          <w:szCs w:val="17"/>
          <w:color w:val="auto"/>
        </w:rPr>
        <w:t>) that are not consolidated by Virgin Media or Liberty Global have issued an aggregate £1,200.0 million ($1,487.7 million) in notes with maturities ranging from 2023 to 2024. The net proceeds from these notes are used by the VM SPEs to purchase from various third parties certain vendor financed receivables owed by Virgin Media and its subsidiaries. To the extent that the proceeds from these notes exceed the amount of vendor financed receivables available to be purchased, the excess proceeds are used to fund an excess cash facility under a credit facility of Virgin Media. The VM SPEs can request the excess cash facility be repaid by Virgin Media as additional vendor financed receivables become available for purchase.</w:t>
      </w:r>
    </w:p>
    <w:p>
      <w:pPr>
        <w:spacing w:after="0" w:line="173" w:lineRule="exact"/>
        <w:rPr>
          <w:rFonts w:ascii="Arial" w:cs="Arial" w:eastAsia="Arial" w:hAnsi="Arial"/>
          <w:sz w:val="17"/>
          <w:szCs w:val="17"/>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right-of-use (</w:t>
      </w:r>
      <w:r>
        <w:rPr>
          <w:rFonts w:ascii="Arial" w:cs="Arial" w:eastAsia="Arial" w:hAnsi="Arial"/>
          <w:sz w:val="18"/>
          <w:szCs w:val="18"/>
          <w:b w:val="1"/>
          <w:bCs w:val="1"/>
          <w:color w:val="auto"/>
        </w:rPr>
        <w:t>ROU</w:t>
      </w:r>
      <w:r>
        <w:rPr>
          <w:rFonts w:ascii="Arial" w:cs="Arial" w:eastAsia="Arial" w:hAnsi="Arial"/>
          <w:sz w:val="18"/>
          <w:szCs w:val="18"/>
          <w:color w:val="auto"/>
        </w:rPr>
        <w:t>) assets and liabilities is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3"/>
          </w:tcPr>
          <w:p>
            <w:pPr>
              <w:jc w:val="right"/>
              <w:ind w:right="152"/>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Finance leases (a)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1"/>
                <w:szCs w:val="21"/>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 (b)</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tcPr>
          <w:p>
            <w:pPr>
              <w:ind w:left="260"/>
              <w:spacing w:after="0"/>
              <w:rPr>
                <w:sz w:val="20"/>
                <w:szCs w:val="20"/>
                <w:color w:val="auto"/>
              </w:rPr>
            </w:pPr>
            <w:r>
              <w:rPr>
                <w:rFonts w:ascii="Arial" w:cs="Arial" w:eastAsia="Arial" w:hAnsi="Arial"/>
                <w:sz w:val="18"/>
                <w:szCs w:val="18"/>
                <w:color w:val="auto"/>
              </w:rPr>
              <w:t>Total ROU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leases (c)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Operating leases (d)</w:t>
            </w:r>
          </w:p>
        </w:tc>
        <w:tc>
          <w:tcPr>
            <w:tcW w:w="14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20" w:type="dxa"/>
            <w:vAlign w:val="bottom"/>
            <w:gridSpan w:val="2"/>
            <w:vMerge w:val="restart"/>
          </w:tcPr>
          <w:p>
            <w:pPr>
              <w:jc w:val="right"/>
              <w:ind w:right="6770"/>
              <w:spacing w:after="0"/>
              <w:rPr>
                <w:sz w:val="20"/>
                <w:szCs w:val="20"/>
                <w:color w:val="auto"/>
              </w:rPr>
            </w:pPr>
            <w:r>
              <w:rPr>
                <w:rFonts w:ascii="Arial" w:cs="Arial" w:eastAsia="Arial" w:hAnsi="Arial"/>
                <w:sz w:val="18"/>
                <w:szCs w:val="18"/>
                <w:color w:val="auto"/>
                <w:w w:val="89"/>
              </w:rPr>
              <w:t>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1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finance lease ROU assets are included in property and equipment, net, on our condensed consolidated balance sheets. At March 31, 2020, the weighted average remaining lease term for finance leases was 23.6 years and the weighted average discount rate was 6.1%. During the three months ended March 31, 2020 and 2019, we recorded additions to our finance lease ROU assets of $11.1 million and $12.2 million, respectively.</w:t>
      </w:r>
    </w:p>
    <w:p>
      <w:pPr>
        <w:spacing w:after="0" w:line="148" w:lineRule="exact"/>
        <w:rPr>
          <w:rFonts w:ascii="Arial" w:cs="Arial" w:eastAsia="Arial" w:hAnsi="Arial"/>
          <w:sz w:val="16"/>
          <w:szCs w:val="16"/>
          <w:color w:val="auto"/>
        </w:rPr>
      </w:pPr>
    </w:p>
    <w:p>
      <w:pPr>
        <w:jc w:val="both"/>
        <w:ind w:left="340" w:hanging="332"/>
        <w:spacing w:after="0" w:line="31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operating lease ROU assets are included in other assets, net, on our condensed consolidated balance sheets. At March 31, 2020, the weighted average remaining lease term for operating leases was 7.9 years and the weighted average discount rate was 3.8%. During the three months ended March 31, 2020 and 2019, we recorded additions to our operating lease ROU assets of $33.9 million and $3.5 million, respectively.</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condensed consolidated balance sheets.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condensed consolidated balance sheets.</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summary of our aggregate lease expense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580" w:type="dxa"/>
            <w:vAlign w:val="bottom"/>
            <w:gridSpan w:val="5"/>
          </w:tcPr>
          <w:p>
            <w:pPr>
              <w:jc w:val="right"/>
              <w:ind w:right="11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expense:</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w w:val="91"/>
              </w:rPr>
              <w:t>21.7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6"/>
        </w:trPr>
        <w:tc>
          <w:tcPr>
            <w:tcW w:w="8660" w:type="dxa"/>
            <w:vAlign w:val="bottom"/>
          </w:tcPr>
          <w:p>
            <w:pPr>
              <w:ind w:left="280"/>
              <w:spacing w:after="0"/>
              <w:rPr>
                <w:sz w:val="20"/>
                <w:szCs w:val="20"/>
                <w:color w:val="auto"/>
              </w:rPr>
            </w:pPr>
            <w:r>
              <w:rPr>
                <w:rFonts w:ascii="Arial" w:cs="Arial" w:eastAsia="Arial" w:hAnsi="Arial"/>
                <w:sz w:val="18"/>
                <w:szCs w:val="18"/>
                <w:color w:val="auto"/>
              </w:rPr>
              <w:t>Total finance lease expense</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1"/>
              </w:rPr>
              <w:t>29.8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 (a)</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Short-term lease expense (a)</w:t>
            </w:r>
          </w:p>
        </w:tc>
        <w:tc>
          <w:tcPr>
            <w:tcW w:w="80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 (b)</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660" w:type="dxa"/>
            <w:vAlign w:val="bottom"/>
          </w:tcPr>
          <w:p>
            <w:pPr>
              <w:ind w:left="420"/>
              <w:spacing w:after="0"/>
              <w:rPr>
                <w:sz w:val="20"/>
                <w:szCs w:val="20"/>
                <w:color w:val="auto"/>
              </w:rPr>
            </w:pPr>
            <w:r>
              <w:rPr>
                <w:rFonts w:ascii="Arial" w:cs="Arial" w:eastAsia="Arial" w:hAnsi="Arial"/>
                <w:sz w:val="18"/>
                <w:szCs w:val="18"/>
                <w:color w:val="auto"/>
              </w:rPr>
              <w:t>Total lease expense</w:t>
            </w:r>
          </w:p>
        </w:tc>
        <w:tc>
          <w:tcPr>
            <w:tcW w:w="800" w:type="dxa"/>
            <w:vAlign w:val="bottom"/>
            <w:tcBorders>
              <w:top w:val="single" w:sz="8" w:color="auto"/>
            </w:tcBorders>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1"/>
              </w:rPr>
              <w:t>68.7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0" w:gutter="0" w:footer="0" w:header="0"/>
        </w:sectPr>
      </w:pPr>
    </w:p>
    <w:bookmarkStart w:id="32" w:name="page33"/>
    <w:bookmarkEnd w:id="32"/>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lease expense and short-term lease expense are included in other operating expenses, SG&amp;A expenses and impairment, restructuring and other operating items in our condensed consolidated statements of operations.</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summary of our cash outflows from operating and finance leases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580" w:type="dxa"/>
            <w:vAlign w:val="bottom"/>
            <w:gridSpan w:val="5"/>
          </w:tcPr>
          <w:p>
            <w:pPr>
              <w:jc w:val="right"/>
              <w:ind w:right="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p>
        </w:tc>
        <w:tc>
          <w:tcPr>
            <w:tcW w:w="4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410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38.9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from finance leases</w:t>
            </w:r>
          </w:p>
        </w:tc>
        <w:tc>
          <w:tcPr>
            <w:tcW w:w="3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Financing cash outflows from finance leases</w:t>
            </w:r>
          </w:p>
        </w:tc>
        <w:tc>
          <w:tcPr>
            <w:tcW w:w="3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w w:val="91"/>
              </w:rPr>
              <w:t>39.2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outflows from operating and finance leases</w:t>
            </w:r>
          </w:p>
        </w:tc>
        <w:tc>
          <w:tcPr>
            <w:tcW w:w="410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2832"/>
              <w:spacing w:after="0"/>
              <w:rPr>
                <w:sz w:val="20"/>
                <w:szCs w:val="20"/>
                <w:color w:val="auto"/>
              </w:rPr>
            </w:pPr>
            <w:r>
              <w:rPr>
                <w:rFonts w:ascii="Arial" w:cs="Arial" w:eastAsia="Arial" w:hAnsi="Arial"/>
                <w:sz w:val="18"/>
                <w:szCs w:val="18"/>
                <w:color w:val="auto"/>
              </w:rPr>
              <w:t>30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Maturities of our operating and finance lease liabilities as of March 31, 2020 are presented below. Amounts represent U.S. dollar equivalents based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exchange rates: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87"/>
              </w:rPr>
              <w:t>Finance leases</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color w:val="auto"/>
              </w:rPr>
              <w:t>2020 (remainder of year)</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842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payments</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 value of lease payments</w:t>
            </w: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20" w:type="dxa"/>
            <w:vAlign w:val="bottom"/>
            <w:vMerge w:val="continue"/>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67"/>
        </w:trPr>
        <w:tc>
          <w:tcPr>
            <w:tcW w:w="84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portion</w:t>
            </w: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Income tax expense attributable to our earnings (loss) from continuing operations before income taxes differs from the amounts computed using the applicable income tax rate as a result of the following factors: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(expense) (a)</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Non-deductible or non-taxable foreign currency exchange results</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Tax benefit associated with technology innovation (b)</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Enacted tax law and rate changes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Non-deductible or non-taxable interest and other items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(c)</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w w:val="98"/>
              </w:rPr>
              <w:t>Basis and other differences in the treatment of items associated with investments in subsidiaries and affiliates (d)</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8900" w:type="dxa"/>
            <w:vAlign w:val="bottom"/>
          </w:tcPr>
          <w:p>
            <w:pPr>
              <w:ind w:left="380"/>
              <w:spacing w:after="0"/>
              <w:rPr>
                <w:sz w:val="20"/>
                <w:szCs w:val="20"/>
                <w:color w:val="auto"/>
              </w:rPr>
            </w:pPr>
            <w:r>
              <w:rPr>
                <w:rFonts w:ascii="Arial" w:cs="Arial" w:eastAsia="Arial" w:hAnsi="Arial"/>
                <w:sz w:val="18"/>
                <w:szCs w:val="18"/>
                <w:color w:val="auto"/>
              </w:rPr>
              <w:t>Total income tax expense</w:t>
            </w: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8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17.5% for the 2020 period and 19.0% for the 2019 period. The statutory rate for the 2020 period represents the blended rate in effect for the year ended December 31, 2020 based on the 19.0% statutory rate that was in effect for the first quarter of 2020 and the 17.0% statutory rate that is in effect for the remainder of 2020. In March 2020, it was announced that the U.K. corporate tax rate will remain at 19.0% and not reduce to 17.0% from April 1, 2020. The U.K. rate change has yet to be enacted; therefore, the impact on our deferred tax balances will not be recorded until the quarter of enactment.</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283" w:right="33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500" w:right="2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reflects the recognition of the innovation income tax deduction in Belgium, including the one-time effect of deductions related to prior periods.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2020, our unrecognized tax benefits of $647.7 million included $521.5 million of unrecognized tax benefits that would have a favorable impact on our effective income tax rate if ultimately recognized, after considering amounts that we would expect to be offset by valuation allowances and other factors.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next 12 months, it is reasonably possible that the resolution of ongoing examinations by tax authorities, as well as the expiration of statutes of limitation and other items, could result in reductions to our unrecognized tax benefits related to tax positions taken as of March 31, 2020. The amount of any such reductions could range up to $274.0 million, of which substantially all would have a positive impact on our effective tax rate. Other than the potential impacts of these ongoing examinations and the expected expiration of certain statutes of limitation, we do not expect any material changes to our unrecognized tax benefits during the next 12 months. No assurance can be given as to the nature or impact of any changes in our unrecognized tax positions during the next 12 months.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subsidiaries are currently involved in income tax examinations in various jurisdictions in which we operate, including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83" w:lineRule="exact"/>
        <w:rPr>
          <w:sz w:val="20"/>
          <w:szCs w:val="20"/>
          <w:color w:val="auto"/>
        </w:rPr>
      </w:pPr>
    </w:p>
    <w:p>
      <w:pPr>
        <w:ind w:left="480" w:hanging="472"/>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During the three months ended March 31, 2020, we repurchased (i) 9,000 shares of our class A ordinary shares at an average price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$16.33 and (ii) 13,452,600 shares of our class C ordinary shares at an average price per share of $16.71, for an aggregate purchase price of $224.4 million, including direct acquisition costs. In February 2020, our board of directors authorized an additional $1.0 billion for share repurchases. At March 31, 2020, the remaining amount authorized for share repurchases was $842.7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8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33020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(b)</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hanging="492"/>
        <w:spacing w:after="0" w:line="261"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xml:space="preserve">), (ii) a challenge performance award plan for certain executive officers and key employees (the </w:t>
      </w:r>
      <w:r>
        <w:rPr>
          <w:rFonts w:ascii="Arial" w:cs="Arial" w:eastAsia="Arial" w:hAnsi="Arial"/>
          <w:sz w:val="18"/>
          <w:szCs w:val="18"/>
          <w:b w:val="1"/>
          <w:bCs w:val="1"/>
          <w:color w:val="auto"/>
        </w:rPr>
        <w:t>2019 Challenge Performance Awards</w:t>
      </w:r>
      <w:r>
        <w:rPr>
          <w:rFonts w:ascii="Arial" w:cs="Arial" w:eastAsia="Arial" w:hAnsi="Arial"/>
          <w:sz w:val="18"/>
          <w:szCs w:val="18"/>
          <w:color w:val="auto"/>
        </w:rPr>
        <w:t>), which included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xml:space="preserve">) and PSUs, and (iii) for the 2020 period, the performance-based portion of a performance award granted to our Chief Executive Officer in April 2019 (the </w:t>
      </w:r>
      <w:r>
        <w:rPr>
          <w:rFonts w:ascii="Arial" w:cs="Arial" w:eastAsia="Arial" w:hAnsi="Arial"/>
          <w:sz w:val="18"/>
          <w:szCs w:val="18"/>
          <w:b w:val="1"/>
          <w:bCs w:val="1"/>
          <w:color w:val="auto"/>
        </w:rPr>
        <w:t>2019 CEO Performance Award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83"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The following table provides the aggregate number of options,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PSARs with respect to awards issued by Liberty Global that were (i) outstanding and (ii) exercisable as of March 31, 2020:</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Held by Liberty Global employees: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Held by former Liberty Global employees: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Outstanding</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Exercisable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20" w:type="dxa"/>
            <w:vAlign w:val="bottom"/>
            <w:gridSpan w:val="5"/>
          </w:tcPr>
          <w:p>
            <w:pPr>
              <w:ind w:left="1160"/>
              <w:spacing w:after="0"/>
              <w:rPr>
                <w:sz w:val="20"/>
                <w:szCs w:val="20"/>
                <w:color w:val="auto"/>
              </w:rPr>
            </w:pPr>
            <w:r>
              <w:rPr>
                <w:rFonts w:ascii="Arial" w:cs="Arial" w:eastAsia="Arial" w:hAnsi="Arial"/>
                <w:sz w:val="16"/>
                <w:szCs w:val="16"/>
                <w:b w:val="1"/>
                <w:bCs w:val="1"/>
                <w:color w:val="auto"/>
              </w:rPr>
              <w:t>Class A</w:t>
            </w:r>
          </w:p>
        </w:tc>
        <w:tc>
          <w:tcPr>
            <w:tcW w:w="280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Class C</w:t>
            </w:r>
          </w:p>
        </w:tc>
      </w:tr>
      <w:tr>
        <w:trPr>
          <w:trHeight w:val="33"/>
        </w:trPr>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Weighted Average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Number of shares</w:t>
            </w: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exercise or base</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w:t>
            </w:r>
          </w:p>
        </w:tc>
        <w:tc>
          <w:tcPr>
            <w:tcW w:w="140" w:type="dxa"/>
            <w:vAlign w:val="bottom"/>
          </w:tcPr>
          <w:p>
            <w:pPr>
              <w:spacing w:after="0"/>
              <w:rPr>
                <w:sz w:val="17"/>
                <w:szCs w:val="17"/>
                <w:color w:val="auto"/>
              </w:rPr>
            </w:pPr>
          </w:p>
        </w:tc>
        <w:tc>
          <w:tcPr>
            <w:tcW w:w="1220" w:type="dxa"/>
            <w:vAlign w:val="bottom"/>
          </w:tcPr>
          <w:p>
            <w:pPr>
              <w:jc w:val="right"/>
              <w:ind w:right="53"/>
              <w:spacing w:after="0"/>
              <w:rPr>
                <w:sz w:val="20"/>
                <w:szCs w:val="20"/>
                <w:color w:val="auto"/>
              </w:rPr>
            </w:pPr>
            <w:r>
              <w:rPr>
                <w:rFonts w:ascii="Arial" w:cs="Arial" w:eastAsia="Arial" w:hAnsi="Arial"/>
                <w:sz w:val="16"/>
                <w:szCs w:val="16"/>
                <w:b w:val="1"/>
                <w:bCs w:val="1"/>
                <w:color w:val="auto"/>
                <w:w w:val="84"/>
              </w:rPr>
              <w:t>exercise or base</w:t>
            </w:r>
          </w:p>
        </w:tc>
      </w:tr>
      <w:tr>
        <w:trPr>
          <w:trHeight w:val="210"/>
        </w:trPr>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underlying awards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140" w:type="dxa"/>
            <w:vAlign w:val="bottom"/>
          </w:tcPr>
          <w:p>
            <w:pPr>
              <w:spacing w:after="0"/>
              <w:rPr>
                <w:sz w:val="18"/>
                <w:szCs w:val="18"/>
                <w:color w:val="auto"/>
              </w:rPr>
            </w:pPr>
          </w:p>
        </w:tc>
        <w:tc>
          <w:tcPr>
            <w:tcW w:w="1220" w:type="dxa"/>
            <w:vAlign w:val="bottom"/>
          </w:tcPr>
          <w:p>
            <w:pPr>
              <w:jc w:val="right"/>
              <w:ind w:right="413"/>
              <w:spacing w:after="0"/>
              <w:rPr>
                <w:sz w:val="20"/>
                <w:szCs w:val="20"/>
                <w:color w:val="auto"/>
              </w:rPr>
            </w:pPr>
            <w:r>
              <w:rPr>
                <w:rFonts w:ascii="Arial" w:cs="Arial" w:eastAsia="Arial" w:hAnsi="Arial"/>
                <w:sz w:val="16"/>
                <w:szCs w:val="16"/>
                <w:b w:val="1"/>
                <w:bCs w:val="1"/>
                <w:color w:val="auto"/>
              </w:rPr>
              <w:t>price</w:t>
            </w:r>
          </w:p>
        </w:tc>
      </w:tr>
      <w:tr>
        <w:trPr>
          <w:trHeight w:val="3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1360" w:type="dxa"/>
            <w:vAlign w:val="bottom"/>
          </w:tcPr>
          <w:p>
            <w:pPr>
              <w:jc w:val="right"/>
              <w:ind w:right="34"/>
              <w:spacing w:after="0"/>
              <w:rPr>
                <w:sz w:val="20"/>
                <w:szCs w:val="20"/>
                <w:color w:val="auto"/>
              </w:rPr>
            </w:pPr>
            <w:r>
              <w:rPr>
                <w:rFonts w:ascii="Arial" w:cs="Arial" w:eastAsia="Arial" w:hAnsi="Arial"/>
                <w:sz w:val="18"/>
                <w:szCs w:val="18"/>
                <w:color w:val="auto"/>
              </w:rPr>
              <w:t>20,474,598</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46,274,632</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28.71</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1360" w:type="dxa"/>
            <w:vAlign w:val="bottom"/>
          </w:tcPr>
          <w:p>
            <w:pPr>
              <w:jc w:val="right"/>
              <w:ind w:right="34"/>
              <w:spacing w:after="0"/>
              <w:rPr>
                <w:sz w:val="20"/>
                <w:szCs w:val="20"/>
                <w:color w:val="auto"/>
              </w:rPr>
            </w:pPr>
            <w:r>
              <w:rPr>
                <w:rFonts w:ascii="Arial" w:cs="Arial" w:eastAsia="Arial" w:hAnsi="Arial"/>
                <w:sz w:val="18"/>
                <w:szCs w:val="18"/>
                <w:color w:val="auto"/>
              </w:rPr>
              <w:t>11,845,481</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28,610,972</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30.29</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7"/>
        </w:trPr>
        <w:tc>
          <w:tcPr>
            <w:tcW w:w="1360" w:type="dxa"/>
            <w:vAlign w:val="bottom"/>
          </w:tcPr>
          <w:p>
            <w:pPr>
              <w:jc w:val="right"/>
              <w:ind w:right="34"/>
              <w:spacing w:after="0"/>
              <w:rPr>
                <w:sz w:val="20"/>
                <w:szCs w:val="20"/>
                <w:color w:val="auto"/>
              </w:rPr>
            </w:pPr>
            <w:r>
              <w:rPr>
                <w:rFonts w:ascii="Arial" w:cs="Arial" w:eastAsia="Arial" w:hAnsi="Arial"/>
                <w:sz w:val="18"/>
                <w:szCs w:val="18"/>
                <w:color w:val="auto"/>
              </w:rPr>
              <w:t>1,494,806</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3,344,700</w:t>
            </w:r>
          </w:p>
        </w:tc>
        <w:tc>
          <w:tcPr>
            <w:tcW w:w="1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32.09</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1360" w:type="dxa"/>
            <w:vAlign w:val="bottom"/>
          </w:tcPr>
          <w:p>
            <w:pPr>
              <w:jc w:val="right"/>
              <w:ind w:right="34"/>
              <w:spacing w:after="0"/>
              <w:rPr>
                <w:sz w:val="20"/>
                <w:szCs w:val="20"/>
                <w:color w:val="auto"/>
              </w:rPr>
            </w:pPr>
            <w:r>
              <w:rPr>
                <w:rFonts w:ascii="Arial" w:cs="Arial" w:eastAsia="Arial" w:hAnsi="Arial"/>
                <w:sz w:val="18"/>
                <w:szCs w:val="18"/>
                <w:color w:val="auto"/>
              </w:rPr>
              <w:t>1,440,609</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3,236,327</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32.02</w:t>
            </w: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-1344930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-984885</wp:posOffset>
            </wp:positionV>
            <wp:extent cx="713232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-565150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-213360</wp:posOffset>
            </wp:positionV>
            <wp:extent cx="713232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283"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283"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the aggregate number of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and PSUs that were outstanding as of March 31,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6"/>
                <w:szCs w:val="16"/>
                <w:b w:val="1"/>
                <w:bCs w:val="1"/>
                <w:color w:val="auto"/>
              </w:rPr>
              <w:t>Class A</w:t>
            </w:r>
          </w:p>
        </w:tc>
        <w:tc>
          <w:tcPr>
            <w:tcW w:w="1440" w:type="dxa"/>
            <w:vAlign w:val="bottom"/>
            <w:gridSpan w:val="2"/>
          </w:tcPr>
          <w:p>
            <w:pPr>
              <w:ind w:left="400"/>
              <w:spacing w:after="0"/>
              <w:rPr>
                <w:sz w:val="20"/>
                <w:szCs w:val="20"/>
                <w:color w:val="auto"/>
              </w:rPr>
            </w:pPr>
            <w:r>
              <w:rPr>
                <w:rFonts w:ascii="Arial" w:cs="Arial" w:eastAsia="Arial" w:hAnsi="Arial"/>
                <w:sz w:val="16"/>
                <w:szCs w:val="16"/>
                <w:b w:val="1"/>
                <w:bCs w:val="1"/>
                <w:color w:val="auto"/>
              </w:rPr>
              <w:t>Class B</w:t>
            </w:r>
          </w:p>
        </w:tc>
        <w:tc>
          <w:tcPr>
            <w:tcW w:w="1340" w:type="dxa"/>
            <w:vAlign w:val="bottom"/>
          </w:tcPr>
          <w:p>
            <w:pPr>
              <w:jc w:val="right"/>
              <w:ind w:right="312"/>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Held by Liberty Global employees: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471,979</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938,931</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PSUs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3,395,295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1,330,000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6,790,516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Held by former Liberty Global employees: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PSUs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vMerge w:val="continue"/>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47,671</w:t>
            </w: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95,340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the three months ended March 31, 2020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Employee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severance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Office</w:t>
            </w:r>
          </w:p>
        </w:tc>
        <w:tc>
          <w:tcPr>
            <w:tcW w:w="32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Contract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termination</w:t>
            </w: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closures</w:t>
            </w:r>
          </w:p>
        </w:tc>
        <w:tc>
          <w:tcPr>
            <w:tcW w:w="3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termination</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Restructuring liability as of March 31, 2020</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r>
      <w:tr>
        <w:trPr>
          <w:trHeight w:val="67"/>
        </w:trPr>
        <w:tc>
          <w:tcPr>
            <w:tcW w:w="5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37"/>
        </w:trPr>
        <w:tc>
          <w:tcPr>
            <w:tcW w:w="508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r>
      <w:tr>
        <w:trPr>
          <w:trHeight w:val="27"/>
        </w:trPr>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Our restructuring charges during the three months ended March 31, 2020 included employee severance and termination costs related to certain reorganization activities of $12.7 million in Switzerland, $3.8 million in U.K./Ireland and $3.0 million in Central and Corporate.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8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or Loss per Share</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PSARs and PSUs) as if they had been exercised, vested or converted at the beginning of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the calculations of our basic and diluted EPS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57"/>
        </w:trPr>
        <w:tc>
          <w:tcPr>
            <w:tcW w:w="8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7"/>
              </w:rPr>
              <w:t>March 31,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8220" w:type="dxa"/>
            <w:vAlign w:val="bottom"/>
          </w:tcPr>
          <w:p>
            <w:pPr>
              <w:ind w:left="280"/>
              <w:spacing w:after="0"/>
              <w:rPr>
                <w:sz w:val="20"/>
                <w:szCs w:val="20"/>
                <w:color w:val="auto"/>
              </w:rPr>
            </w:pPr>
            <w:r>
              <w:rPr>
                <w:rFonts w:ascii="Arial" w:cs="Arial" w:eastAsia="Arial" w:hAnsi="Arial"/>
                <w:sz w:val="18"/>
                <w:szCs w:val="18"/>
                <w:color w:val="auto"/>
                <w:w w:val="92"/>
              </w:rPr>
              <w:t>Net earnings (loss) from continuing operations attributable to Liberty Global shareholders (basic and diluted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77"/>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EPS computation)</w:t>
            </w:r>
          </w:p>
        </w:tc>
        <w:tc>
          <w:tcPr>
            <w:tcW w:w="2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ordinary shares outstanding (basic EPS computation)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630,472,769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742,090,960</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w w:val="92"/>
              </w:rPr>
              <w:t>Incremental shares attributable to the assumed exercise of outstanding options and SARs and the release of</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40"/>
              <w:spacing w:after="0"/>
              <w:rPr>
                <w:sz w:val="20"/>
                <w:szCs w:val="20"/>
                <w:color w:val="auto"/>
              </w:rPr>
            </w:pPr>
            <w:r>
              <w:rPr>
                <w:rFonts w:ascii="Arial" w:cs="Arial" w:eastAsia="Arial" w:hAnsi="Arial"/>
                <w:sz w:val="18"/>
                <w:szCs w:val="18"/>
                <w:color w:val="auto"/>
              </w:rPr>
              <w:t>RSUs and PSUs upon vesting (treasury stock method)</w:t>
            </w:r>
          </w:p>
        </w:tc>
        <w:tc>
          <w:tcPr>
            <w:tcW w:w="2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1,305,793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ordinary shares outstanding (diluted EPS computation)</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631,778,562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742,090,960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total of 59.7 million options, SARs and RSUs and 22.2 million PSARs and PSUs were excluded from the calculation of diluted earnings per share during the three months ended March 31, 2020 because their effect would have been anti-dilutive or, in the case of the PSARs and PSUs, because such awards had not yet met the applicable performance criteria.</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reported a loss from continuing operations attributable to Liberty Global shareholders for the three months ended March 31, 2019. Therefore, the potentially dilutive effect at March 31, 2019 of the following items was not included in the computation of diluted loss from continuing operations attributable to Liberty Global shareholders per share for such period because their inclusion would have been anti-dilutive to the computation or, in the case of certain PSARs and PSUs, because such awards had not yet met the applicable performance criteria: (i) the aggregate number of shares issuable pursuant to outstanding options, SARs and RSUs of 57.6 million and (ii) the aggregate number of shares issuable pursuant to PSARs and PSUs of 25.4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8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we have entered into agreements that commit our company to make cash payments in future periods with respect to programming contracts, network and connectivity commitments, purchases of customer premises and other equipment and services and other items. The following table sets forth the U.S. dollar equivalents of such commitments as of March 31, 2020. The commitments included in this table do not reflect any liabilities that are included on our March 31, 2020 condensed consolidated balance sheet.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Payments due during: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90"/>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Remainder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2020</w:t>
            </w: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r>
      <w:tr>
        <w:trPr>
          <w:trHeight w:val="33"/>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03"/>
        </w:trPr>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Programming commitments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2,083.9</w:t>
            </w: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260" w:type="dxa"/>
            <w:vAlign w:val="bottom"/>
          </w:tcPr>
          <w:p>
            <w:pPr>
              <w:ind w:left="120"/>
              <w:spacing w:after="0"/>
              <w:rPr>
                <w:sz w:val="20"/>
                <w:szCs w:val="20"/>
                <w:color w:val="auto"/>
              </w:rPr>
            </w:pPr>
            <w:r>
              <w:rPr>
                <w:rFonts w:ascii="Arial" w:cs="Arial" w:eastAsia="Arial" w:hAnsi="Arial"/>
                <w:sz w:val="18"/>
                <w:szCs w:val="18"/>
                <w:color w:val="auto"/>
              </w:rPr>
              <w:t>commitments</w:t>
            </w: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681.1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1,841.8</w:t>
            </w:r>
          </w:p>
        </w:tc>
      </w:tr>
      <w:tr>
        <w:trPr>
          <w:trHeight w:val="27"/>
        </w:trPr>
        <w:tc>
          <w:tcPr>
            <w:tcW w:w="2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w:t>
            </w:r>
          </w:p>
        </w:tc>
      </w:tr>
      <w:tr>
        <w:trPr>
          <w:trHeight w:val="243"/>
        </w:trPr>
        <w:tc>
          <w:tcPr>
            <w:tcW w:w="226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31.9</w:t>
            </w:r>
          </w:p>
        </w:tc>
      </w:tr>
      <w:tr>
        <w:trPr>
          <w:trHeight w:val="27"/>
        </w:trPr>
        <w:tc>
          <w:tcPr>
            <w:tcW w:w="2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8"/>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4,857.6</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$468.2 million and $437.4 million during the three months ended March 31, 2020 and 2019, respectively.</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Network and connectivity commitments include (i) Telenet’s commitments for certain operating costs associated with its leased network, (ii) service commitments associated with our network extension projects, primarily in the U.K. and (iii) commitments associated with our mobile virtual network operator (</w:t>
      </w:r>
      <w:r>
        <w:rPr>
          <w:rFonts w:ascii="Arial" w:cs="Arial" w:eastAsia="Arial" w:hAnsi="Arial"/>
          <w:sz w:val="16"/>
          <w:szCs w:val="16"/>
          <w:b w:val="1"/>
          <w:bCs w:val="1"/>
          <w:color w:val="auto"/>
        </w:rPr>
        <w:t>MVNO</w:t>
      </w:r>
      <w:r>
        <w:rPr>
          <w:rFonts w:ascii="Arial" w:cs="Arial" w:eastAsia="Arial" w:hAnsi="Arial"/>
          <w:sz w:val="16"/>
          <w:szCs w:val="16"/>
          <w:color w:val="auto"/>
        </w:rPr>
        <w:t>) agreements,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2020 and 2019, see note 6.</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8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portions of our broadband communication systems. Such amounts are not included in the above table because they are not fixed or determinable.</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Interkabel Acquisition. </w:t>
      </w:r>
      <w:r>
        <w:rPr>
          <w:rFonts w:ascii="Arial" w:cs="Arial" w:eastAsia="Arial" w:hAnsi="Arial"/>
          <w:sz w:val="17"/>
          <w:szCs w:val="17"/>
          <w:color w:val="auto"/>
        </w:rPr>
        <w:t>On November 26, 2007, Telenet and four associations of municipalities in Belgium, which we refer to as the pure</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intercommunales or the “</w:t>
      </w:r>
      <w:r>
        <w:rPr>
          <w:rFonts w:ascii="Arial" w:cs="Arial" w:eastAsia="Arial" w:hAnsi="Arial"/>
          <w:sz w:val="17"/>
          <w:szCs w:val="17"/>
          <w:b w:val="1"/>
          <w:bCs w:val="1"/>
          <w:color w:val="auto"/>
        </w:rPr>
        <w:t>PICs</w:t>
      </w:r>
      <w:r>
        <w:rPr>
          <w:rFonts w:ascii="Arial" w:cs="Arial" w:eastAsia="Arial" w:hAnsi="Arial"/>
          <w:sz w:val="17"/>
          <w:szCs w:val="17"/>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7"/>
          <w:szCs w:val="17"/>
          <w:b w:val="1"/>
          <w:bCs w:val="1"/>
          <w:color w:val="auto"/>
        </w:rPr>
        <w:t>2008 PICs Agreement</w:t>
      </w:r>
      <w:r>
        <w:rPr>
          <w:rFonts w:ascii="Arial" w:cs="Arial" w:eastAsia="Arial" w:hAnsi="Arial"/>
          <w:sz w:val="17"/>
          <w:szCs w:val="17"/>
          <w:color w:val="auto"/>
        </w:rPr>
        <w:t>), which closed effective October 1, 2008. Beginning in December 2007, Proximus NV/SA (</w:t>
      </w:r>
      <w:r>
        <w:rPr>
          <w:rFonts w:ascii="Arial" w:cs="Arial" w:eastAsia="Arial" w:hAnsi="Arial"/>
          <w:sz w:val="17"/>
          <w:szCs w:val="17"/>
          <w:b w:val="1"/>
          <w:bCs w:val="1"/>
          <w:color w:val="auto"/>
        </w:rPr>
        <w:t>Proximus</w:t>
      </w:r>
      <w:r>
        <w:rPr>
          <w:rFonts w:ascii="Arial" w:cs="Arial" w:eastAsia="Arial" w:hAnsi="Arial"/>
          <w:sz w:val="17"/>
          <w:szCs w:val="17"/>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7"/>
          <w:szCs w:val="17"/>
          <w:b w:val="1"/>
          <w:bCs w:val="1"/>
          <w:color w:val="auto"/>
        </w:rPr>
        <w:t>Belgian Supreme Court</w:t>
      </w:r>
      <w:r>
        <w:rPr>
          <w:rFonts w:ascii="Arial" w:cs="Arial" w:eastAsia="Arial" w:hAnsi="Arial"/>
          <w:sz w:val="17"/>
          <w:szCs w:val="17"/>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2017, the Court of Appeals of Antwerp issued a judgment rejecting Proximus’ claims. In June 2019, Proximus filed an appeal of the Court of Appeals of Antwerp’s judgment with the Belgian Supreme Court.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($21.9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9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28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sectors (together,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for an interim period. On July 5, 2019, the Belgium Regulatory Authorities published for consultation a draft decision regarding “reasonable access tariffs” that will replace the interim prices. As applicable to Telenet, the proposed tariffs represent an estimated additional 25% reduction compared to the interim prices. In September 2019, Telenet submitted its comments to the Belgium Regulatory Authorities opposing the “reasonable access tariffs.” On April 6, 2020, the Belgium Regulatory Authorities notified the European Commission of a modified draft decision regarding “reasonable access tariffs” that represents, depending on the speed tier, an estimated increase of up to 25%, as compared to the July 5, 2019 draft rates. Adoption of a final decision and application of new tariffs is likely to occur in the second or third quarter of 2020.</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challenged the 2018 Decision in the Brussels Court of Appeal. In September 2019, the Brussels Court of Appeal upheld the 2018 Decision, and consequently, the above-mentioned obligations stemming from the 2018 Decision remain in place. Telenet is currently considering whether to appeal the decision further.</w:t>
      </w:r>
    </w:p>
    <w:p>
      <w:pPr>
        <w:spacing w:after="0" w:line="12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Virgin Media VAT Matters. </w:t>
      </w:r>
      <w:r>
        <w:rPr>
          <w:rFonts w:ascii="Arial" w:cs="Arial" w:eastAsia="Arial" w:hAnsi="Arial"/>
          <w:sz w:val="16"/>
          <w:szCs w:val="16"/>
          <w:color w:val="auto"/>
        </w:rPr>
        <w:t>Virgin Media’s application of VAT with respect to certain revenue generating activities has been challenged by the U.K.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w:t>
      </w:r>
      <w:r>
        <w:rPr>
          <w:rFonts w:ascii="Arial" w:cs="Arial" w:eastAsia="Arial" w:hAnsi="Arial"/>
          <w:sz w:val="16"/>
          <w:szCs w:val="16"/>
          <w:b w:val="1"/>
          <w:bCs w:val="1"/>
          <w:color w:val="auto"/>
        </w:rPr>
        <w:t>HMRC</w:t>
      </w:r>
      <w:r>
        <w:rPr>
          <w:rFonts w:ascii="Arial" w:cs="Arial" w:eastAsia="Arial" w:hAnsi="Arial"/>
          <w:sz w:val="16"/>
          <w:szCs w:val="16"/>
          <w:color w:val="auto"/>
        </w:rPr>
        <w:t>). HMRC claimed that amounts charged to certain Virgin Media customers 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 Tribunal rejected our appeal and ruled in favor of HMRC. Accordingly, during the fourth quarter of 2019 we recorded a net provision for litigation of £41.3 million ($54.0 million at the applicable rate). Virgin Media is seeking permission to appeal the case to the Upper Tribunal and the timing of the final outcome of the litigation matter remains uncertain.</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 separate matter, 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HMRC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HMRC. Accordingly, during the third quarter of 2018, we recorded a provision for litigation of £63.7 million ($83.1 million at the average rate for the period) and related interest expense of £3.3 million ($4.4 million at the average rate for the period) in our condensed consolidated statement of operations. The First Tier Tribunal gave permission to appeal to the Upper Tribunal and we submitted grounds for appeal on February 22, 2019. In April 2020, the Upper Tribunal rejected our appeal, ruling in favor of HMRC. Virgin Media is currently seeking permission to appeal to the Court of Appeal; however, no assurance can be given as to the ultimate outcome of this matter.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8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UPC Austria Matter</w:t>
      </w:r>
      <w:r>
        <w:rPr>
          <w:rFonts w:ascii="Arial" w:cs="Arial" w:eastAsia="Arial" w:hAnsi="Arial"/>
          <w:sz w:val="18"/>
          <w:szCs w:val="18"/>
          <w:color w:val="auto"/>
        </w:rPr>
        <w:t>. 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Telekom</w:t>
      </w:r>
      <w:r>
        <w:rPr>
          <w:rFonts w:ascii="Arial" w:cs="Arial" w:eastAsia="Arial" w:hAnsi="Arial"/>
          <w:sz w:val="18"/>
          <w:szCs w:val="18"/>
          <w:color w:val="auto"/>
        </w:rPr>
        <w:t>). In October of 2019, we received notification under the terms of the relevant acquisition agreements from Deutsche Telekom and its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T-Mobile Austria Holding GmbH (together, the </w:t>
      </w:r>
      <w:r>
        <w:rPr>
          <w:rFonts w:ascii="Arial" w:cs="Arial" w:eastAsia="Arial" w:hAnsi="Arial"/>
          <w:sz w:val="18"/>
          <w:szCs w:val="18"/>
          <w:b w:val="1"/>
          <w:bCs w:val="1"/>
          <w:color w:val="auto"/>
        </w:rPr>
        <w:t>UPC Austria Sale Counterparties</w:t>
      </w:r>
      <w:r>
        <w:rPr>
          <w:rFonts w:ascii="Arial" w:cs="Arial" w:eastAsia="Arial" w:hAnsi="Arial"/>
          <w:sz w:val="18"/>
          <w:szCs w:val="18"/>
          <w:color w:val="auto"/>
        </w:rPr>
        <w:t>), asserting claims of approximately €70.5 million ($77.3 million) together with an invitation to engage in amicable discussions to resolve the matter in a time and cost effective manner. We since received further asserted claims of approximately €20.6 million ($22.6 million). Discussions regarding the claims are preliminary and no amounts have been accrued by our company with respect to this matter as the likelihood of loss is not considered to be probable at this stage. We are unable to provide any meaningful estimate of a possible range of loss because, among other reasons, (i) we believe the assertions are unsupported and/or exaggerated, (ii) there are significant factual matters to be resolved and (iii) the matter is in a preliminary stage and we have yet to engage in detail with the UPC Austria Sale Counterparties. The acquisition agreement provides for arbitration of disputes in the event the parties are unable to resolve any differences. We intend to vigorously defend this matter.</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2019, we expect the aggregate amount of this increase will be approximately £17 million ($21 million) in 2020. Beyond 2020,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9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U.K. Office of Communications (</w:t>
      </w:r>
      <w:r>
        <w:rPr>
          <w:rFonts w:ascii="Arial" w:cs="Arial" w:eastAsia="Arial" w:hAnsi="Arial"/>
          <w:sz w:val="18"/>
          <w:szCs w:val="18"/>
          <w:b w:val="1"/>
          <w:bCs w:val="1"/>
          <w:color w:val="auto"/>
        </w:rPr>
        <w:t>Ofcom</w:t>
      </w:r>
      <w:r>
        <w:rPr>
          <w:rFonts w:ascii="Arial" w:cs="Arial" w:eastAsia="Arial" w:hAnsi="Arial"/>
          <w:sz w:val="18"/>
          <w:szCs w:val="18"/>
          <w:color w:val="auto"/>
        </w:rPr>
        <w:t>) is the key regulatory authority for the communications sector in which we operate in the U.K. Ofcom has recently issued new regulatory requirements that, effective in February 2020, obligate us to (i) alert customers who are approaching the end of a minimum contract term to the fact that their contract period is coming to an end and to set out the best new price that we can offer them and (ii) once a year, alert customers who are out of contract to that fact and again confirm the best new price we can offer them. In both cases, we must also set out the price available to new customers for an equivalent service offering. These requirements could have a material adverse impact on our revenue and Adjusted OIBDA in 2020 and future periods.</w:t>
      </w:r>
    </w:p>
    <w:p>
      <w:pPr>
        <w:spacing w:after="0" w:line="1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late February 2020, we became aware that one of our databases did not have adequate access security protection and was accessed without permission. We immediately took remedial actions, ceased access to the database and commenced an investigation. The information in the database did not include any individual’s passwords or financial details, such as credit card information, or bank account numbers. We have taken steps to inform those individuals impacted and relevant regulatory authorities. The database had information pertaining to approximately 900,000 individuals (including customers and non-customers), representing a number that would be less than 15% of our total customer base. We do not expect this incident to have a material adverse impact on our results of operations, cash flows or financial condition for any fiscal period and given the preliminary nature of the matter we are unable to provide a meaningful estimate of a possible range of loss, if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8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37"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OIBDA</w:t>
      </w:r>
      <w:r>
        <w:rPr>
          <w:rFonts w:ascii="Arial" w:cs="Arial" w:eastAsia="Arial" w:hAnsi="Arial"/>
          <w:sz w:val="17"/>
          <w:szCs w:val="17"/>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earnings (loss) from continuing operations before income taxes is presented below.</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2020,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121" w:lineRule="exact"/>
        <w:rPr>
          <w:sz w:val="20"/>
          <w:szCs w:val="20"/>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U.K./Ireland</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121" w:lineRule="exact"/>
        <w:rPr>
          <w:sz w:val="20"/>
          <w:szCs w:val="20"/>
          <w:color w:val="auto"/>
        </w:rPr>
      </w:pPr>
    </w:p>
    <w:p>
      <w:pPr>
        <w:ind w:left="720" w:hanging="388"/>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VodafoneZiggo JV</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16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Our central and corporate functions (</w:t>
      </w:r>
      <w:r>
        <w:rPr>
          <w:rFonts w:ascii="Arial" w:cs="Arial" w:eastAsia="Arial" w:hAnsi="Arial"/>
          <w:sz w:val="17"/>
          <w:szCs w:val="17"/>
          <w:b w:val="1"/>
          <w:bCs w:val="1"/>
          <w:color w:val="auto"/>
        </w:rPr>
        <w:t>Central and Corporate</w:t>
      </w:r>
      <w:r>
        <w:rPr>
          <w:rFonts w:ascii="Arial" w:cs="Arial" w:eastAsia="Arial" w:hAnsi="Arial"/>
          <w:sz w:val="17"/>
          <w:szCs w:val="17"/>
          <w:color w:val="auto"/>
        </w:rPr>
        <w:t>) primarily include (i) revenue earned from services provided to the VodafoneZiggo JV and various third parties related to transitional service agreements, (ii) revenue from sales of customer premises equipment to the VodafoneZiggo JV, (iii) costs associated with certain centralized functions, including billing systems, network operations, technology, marketing, facilities, finance and other administrative functions, and (iv) less significant consolidated operating segments that provide programming and other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8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2019, we changed the presentation of certain costs related to our centrally-managed technology and innovation function. These costs, which were previously included in Central and Corporate, are now allocated to our consolidated reportable segments. This change, which we refer to as the “</w:t>
      </w:r>
      <w:r>
        <w:rPr>
          <w:rFonts w:ascii="Arial" w:cs="Arial" w:eastAsia="Arial" w:hAnsi="Arial"/>
          <w:sz w:val="18"/>
          <w:szCs w:val="18"/>
          <w:b w:val="1"/>
          <w:bCs w:val="1"/>
          <w:color w:val="auto"/>
        </w:rPr>
        <w:t>Centrally-held Cost Allocation</w:t>
      </w:r>
      <w:r>
        <w:rPr>
          <w:rFonts w:ascii="Arial" w:cs="Arial" w:eastAsia="Arial" w:hAnsi="Arial"/>
          <w:sz w:val="18"/>
          <w:szCs w:val="18"/>
          <w:color w:val="auto"/>
        </w:rPr>
        <w:t>,” was made as a result of internal changes with respect to the way in which our chief operating decision maker evaluates the Adjusted OIBDA of our operating segments. Segment information for the three months ended March 31, 2019 has been revised to reflect this change. The following table provides a summary of the impact on the Adjusted OIBDA of our consolidated reportable segments and Central and Corporate that resulted from the Centrally-held Cost Allocation.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2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Adjusted OIBDA:</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(16.1)</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 and Corporate</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Liberty Global</w:t>
            </w:r>
          </w:p>
        </w:tc>
        <w:tc>
          <w:tcPr>
            <w:tcW w:w="1040" w:type="dxa"/>
            <w:vAlign w:val="bottom"/>
            <w:tcBorders>
              <w:top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amounts presented below represent 100% of each of our reportable segment’s revenue and Adjusted OIBDA. As we have the ability to control Telenet, we consolidate 100% of Telenet’s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condensed 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89"/>
              </w:rPr>
              <w:t>Revenue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211"/>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in millions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4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Belgium</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718.1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4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4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Intersegment eliminations (a)</w:t>
            </w:r>
          </w:p>
        </w:tc>
        <w:tc>
          <w:tcPr>
            <w:tcW w:w="4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4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1,097.1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w w:val="96"/>
              </w:rPr>
              <w:t>Adjusted OIBDA</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center"/>
              <w:ind w:right="211"/>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 (a)</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753"/>
              <w:spacing w:after="0"/>
              <w:rPr>
                <w:sz w:val="20"/>
                <w:szCs w:val="20"/>
                <w:color w:val="auto"/>
              </w:rPr>
            </w:pPr>
            <w:r>
              <w:rPr>
                <w:rFonts w:ascii="Arial" w:cs="Arial" w:eastAsia="Arial" w:hAnsi="Arial"/>
                <w:sz w:val="16"/>
                <w:szCs w:val="16"/>
                <w:b w:val="1"/>
                <w:bCs w:val="1"/>
                <w:color w:val="auto"/>
                <w:w w:val="90"/>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Belgium</w:t>
            </w:r>
          </w:p>
        </w:tc>
        <w:tc>
          <w:tcPr>
            <w:tcW w:w="3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Intersegment eliminations (b)</w:t>
            </w: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described above.</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for the 2019 period are related to transactions between our continuing and discontinued operations prior to the disposal dates of such discontinued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Adjusted OIBDA from continuing operations to earnings (loss) from continuing operations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1,183.3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 on derivative instruments,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Foreign currency transaction gains, net</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losses due to changes in fair values of certain investments and debt,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Losses on debt extinguishment, net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results of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(loss) from continuing operations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540"/>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property and equipment additions of our reportable segments (including capital additions financed under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60" w:type="dxa"/>
            <w:vAlign w:val="bottom"/>
            <w:gridSpan w:val="5"/>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Belgium</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Assets acquired under finance leases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36"/>
        </w:trPr>
        <w:tc>
          <w:tcPr>
            <w:tcW w:w="798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980" w:type="dxa"/>
            <w:vAlign w:val="bottom"/>
            <w:tcBorders>
              <w:top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9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 - VodafoneZiggo JV</w:t>
            </w: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170" w:lineRule="exact"/>
        <w:rPr>
          <w:rFonts w:ascii="Arial" w:cs="Arial" w:eastAsia="Arial" w:hAnsi="Arial"/>
          <w:sz w:val="18"/>
          <w:szCs w:val="18"/>
          <w:color w:val="auto"/>
        </w:rPr>
      </w:pPr>
    </w:p>
    <w:p>
      <w:pPr>
        <w:jc w:val="center"/>
        <w:ind w:left="5540" w:right="100" w:hanging="5532"/>
        <w:spacing w:after="0" w:line="52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the VodafoneZiggo JV and our discontinued operations, as applicable. 43</w:t>
      </w:r>
    </w:p>
    <w:p>
      <w:pPr>
        <w:sectPr>
          <w:pgSz w:w="11900" w:h="16838" w:orient="portrait"/>
          <w:cols w:equalWidth="0" w:num="1">
            <w:col w:w="11240"/>
          </w:cols>
          <w:pgMar w:left="320" w:top="28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1,863.7</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1,917.7</w:t>
            </w:r>
          </w:p>
        </w:tc>
        <w:tc>
          <w:tcPr>
            <w:tcW w:w="0" w:type="dxa"/>
            <w:vAlign w:val="bottom"/>
          </w:tcPr>
          <w:p>
            <w:pPr>
              <w:spacing w:after="0"/>
              <w:rPr>
                <w:sz w:val="1"/>
                <w:szCs w:val="1"/>
                <w:color w:val="auto"/>
              </w:rPr>
            </w:pPr>
          </w:p>
        </w:tc>
      </w:tr>
      <w:tr>
        <w:trPr>
          <w:trHeight w:val="223"/>
        </w:trPr>
        <w:tc>
          <w:tcPr>
            <w:tcW w:w="798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2,252.3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798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2,875.8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308"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42" w:lineRule="exact"/>
        <w:rPr>
          <w:rFonts w:ascii="Arial" w:cs="Arial" w:eastAsia="Arial" w:hAnsi="Arial"/>
          <w:sz w:val="17"/>
          <w:szCs w:val="17"/>
          <w:color w:val="auto"/>
        </w:rPr>
      </w:pPr>
    </w:p>
    <w:p>
      <w:pPr>
        <w:jc w:val="both"/>
        <w:ind w:left="500" w:hanging="492"/>
        <w:spacing w:after="0" w:line="258"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services to certain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8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left="50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JV Services and the sale of customer premises equipment to the VodafoneZiggo JV, (ii) revenue earned from transitional and other services provided to various third parties, (iii) revenue from De Vijver Media and (iv) broadcasting revenue in Ireland.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432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U.K.</w:t>
            </w:r>
          </w:p>
        </w:tc>
        <w:tc>
          <w:tcPr>
            <w:tcW w:w="4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1,496.4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Poland</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3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(the Netherlands)</w:t>
            </w:r>
          </w:p>
        </w:tc>
        <w:tc>
          <w:tcPr>
            <w:tcW w:w="4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45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and analysis, which should be read in conjunction with our condensed consolidated financial statements and the discussion and analysis included in our 10-K, is intended to assist in providing an understanding of our financial condition, changes in financial condition and results of operations and is organized as follows:</w:t>
      </w:r>
    </w:p>
    <w:p>
      <w:pPr>
        <w:spacing w:after="0" w:line="184"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This section provides a description of certain factors that could cause actual results or events to differ materially</w:t>
      </w:r>
      <w:r>
        <w:rPr>
          <w:rFonts w:ascii="Arial" w:cs="Arial" w:eastAsia="Arial" w:hAnsi="Arial"/>
          <w:sz w:val="18"/>
          <w:szCs w:val="18"/>
          <w:i w:val="1"/>
          <w:iCs w:val="1"/>
          <w:color w:val="auto"/>
        </w:rPr>
        <w:t xml:space="preserve"> </w:t>
      </w:r>
      <w:r>
        <w:rPr>
          <w:rFonts w:ascii="Arial" w:cs="Arial" w:eastAsia="Arial" w:hAnsi="Arial"/>
          <w:sz w:val="18"/>
          <w:szCs w:val="18"/>
          <w:color w:val="auto"/>
        </w:rPr>
        <w:t>from anticipated results or events.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Results of Operations. </w:t>
      </w:r>
      <w:r>
        <w:rPr>
          <w:rFonts w:ascii="Arial" w:cs="Arial" w:eastAsia="Arial" w:hAnsi="Arial"/>
          <w:sz w:val="18"/>
          <w:szCs w:val="18"/>
          <w:color w:val="auto"/>
        </w:rPr>
        <w:t>This section provides an analysis of our results of operations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in Financial Condition. </w:t>
      </w:r>
      <w:r>
        <w:rPr>
          <w:rFonts w:ascii="Arial" w:cs="Arial" w:eastAsia="Arial" w:hAnsi="Arial"/>
          <w:sz w:val="18"/>
          <w:szCs w:val="18"/>
          <w:color w:val="auto"/>
        </w:rPr>
        <w:t>This section provides an analysis of our corporate and subsidiary liquidity,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cash flows and contractual commitments.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and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may contain forward-looking statements, including statements regarding our business, product, foreign currency and finance strategies, our property and equipment additions (including with respect to the Network Extensions, as defined below), subscriber growth and retention rates, competitive, regulatory and economic factors, the timing and impacts of proposed transactions, the maturity of our markets, the potential impact of the recent outbreak of the novel coronavirus (</w:t>
      </w:r>
      <w:r>
        <w:rPr>
          <w:rFonts w:ascii="Arial" w:cs="Arial" w:eastAsia="Arial" w:hAnsi="Arial"/>
          <w:sz w:val="17"/>
          <w:szCs w:val="17"/>
          <w:b w:val="1"/>
          <w:bCs w:val="1"/>
          <w:color w:val="auto"/>
        </w:rPr>
        <w:t>COVID-19</w:t>
      </w:r>
      <w:r>
        <w:rPr>
          <w:rFonts w:ascii="Arial" w:cs="Arial" w:eastAsia="Arial" w:hAnsi="Arial"/>
          <w:sz w:val="17"/>
          <w:szCs w:val="17"/>
          <w:color w:val="auto"/>
        </w:rPr>
        <w:t>)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our 10-K and this Quarterly Report on Form 10-Q, as well as the following list of some but not all of the factors that could cause actual results or events to differ materially from anticipated results or events:</w:t>
      </w:r>
    </w:p>
    <w:p>
      <w:pPr>
        <w:spacing w:after="0" w:line="18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7" w:right="339" w:bottom="1440" w:gutter="0" w:footer="0" w:header="0"/>
        </w:sectPr>
      </w:pPr>
    </w:p>
    <w:bookmarkStart w:id="49" w:name="page50"/>
    <w:bookmarkEnd w:id="49"/>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broadband internet, cable television,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government intervention that requires opening our broadband distribution networks to competitors, such as the obligations imposed in Belgium;</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regulatory approval and satisfy other conditions necessary to close acquisitions and dispositions and the impact of conditions imposed by competition and other regulatory authorities in connection with acquisitions;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navigate the potential impacts on our business of the U.K.’s departure from the E.U.;</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MVNO arrangements) to timely deliver quality products, equipment, software, services and access;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our network extension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or epidemics (such as COVID-19) and other similar events.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international provider of broadband internet, video, fixed-line telephony and mobile communications services to residential customers and businesses in Europe. Our continuing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further described in note 4 to our condensed consolidated financial statements, we (i) completed the sale of our operations in Germany, Romania, Hungary and the Czech Republic (exclusive of our DTH operations) on July 31, 2019 and (ii) completed the sale of the operations of UPC DTH on May 2, 2019. Accordingly, our operations in Germany, Romania, Hungary and the Czech Republic and the operations of UPC DTH for the three months ended March 31, 2019 are presented as discontinued operations. In the following discussion and analysis, the operating statistics, results of operations, cash flows and financial condition that we present and discuss are those of our continuing operations unless otherwise indicated.</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2020, our continuing operations owned and operated networks that passed 25,879,100 homes and served 10,711,800 fixed-line customers and 6,362,600 mobile subscribers.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the first three months of 2020, pursuant to the Network Extensions, our continuing operations connected approximately 123,000 additional residential and commercial premises (excluding upgrades) to our two-way networks, including approximately 93,000 residential and commercial premises connected by Virgin Media in the U.K. and Ireland. Depending on a variety of factors, including the financial and operational results of these programs, the Network Extensions may be continued, modified or cancelled at our discretion.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March 2020, the World Health Organization declared the recent outbreak of COVID-19 to be a global pandemic. In response to the COVID-19 pandemic, emergency measures have been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In accordance with government mandates or recommended guidelines, as well as our desire to protect the health and safety of our employees, customers and communities, we temporarily closed many of our retail stores in mid-March 2020, and most of these retail stores continue to remain closed. In addition, on March 16, 2020, most of our office personnel began working remotely, and we are actively developing new policies and guidelines across all our operations that will be implemented prior to returning our employees to our office buildings. We have also taken a number of commercial initiatives in response to the pandemic with respect to our product and service offerings, including (i) free-of-charge speed upgrades for many of our broadband internet customers, (ii) the offering of unlimited minutes to many of our postpaid mobile subscribers, (iii) increases in the number of available kids channels, as well as the offering of several free movies and television series to many of our video subscribers, (iv) modifications to our disconnection policies for non-paying customers, including (a) extended time periods for delinquent accounts before we commence service restrictions or disconnections and (b) the temporary suspension of certain late payment charges, and (v) the temporary pausing of certain sports subscription charges.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facts and circumstances surrounding the COVID-19 pandemic continue to change rapidly and, accordingly, the ultimate impact that COVID-19 will have on the global economy and our company is highly uncertain and impossible to predict. To date, our company has not experienced an overall material adverse impact from the COVID-19 pandemic, as demand for the products and services that we provide has increased following the stay-at-home and remote work restrictions or recommendations that have been implemented throughout the countries in which we operate. In this regard, our residential net customer losses during the first quarter of 2020 were generally in line with our expectations, as declines in gross residential customer additions were largely offset by reductions in residential churn rates across all our markets. Although we have not yet experienced any material adverse impact to cash collections from our residential or B2B customers, the risk that certain customers will be unable to continue to pay for our services in future periods will increase to the extent that the current economic disruption is prolonged. For additional information regarding the impact of COVID-19 on our results of operations for the three months ended March 31, 2020,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324"/>
        <w:spacing w:after="0" w:line="290" w:lineRule="auto"/>
        <w:rPr>
          <w:sz w:val="20"/>
          <w:szCs w:val="20"/>
          <w:color w:val="auto"/>
        </w:rPr>
      </w:pPr>
      <w:r>
        <w:rPr>
          <w:rFonts w:ascii="Arial" w:cs="Arial" w:eastAsia="Arial" w:hAnsi="Arial"/>
          <w:sz w:val="16"/>
          <w:szCs w:val="16"/>
          <w:color w:val="auto"/>
        </w:rPr>
        <w:t>As our residential and business customers navigate through the COVID-19 pandemic, the connectivity that our broadband networks allow has been essential, and demand for the products and services that we provide has increased. This has resulted in a significant increase in data consumption by our customers, as well as the extension of peak traffic times, which were previously concentrated during evening hours and now span the majority of the day. Notwithstanding these increased traffic levels, our networks have continued to perform exceptionally well, and our technicians have and will continue to work diligently to ensure the reliability of our networks. It is possible that our inventory levels with respect to certain customer premises equipment could be impacted by supply chain issues in China, particularly if the current economic disruption were to worsen or continue for extended periods. Similarly, it is likely that the timing of certain of our new build programs will to some extent be delayed as a result of the COVID-19 pandemic, as we focus on the maintenance of our networks in order to continue to meet the needs of our existing residential and B2B customers.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indicated above, the COVID-19 pandemic has caused significant distress in global financial markets that could have an adverse impact on our company. However, we currently believe our financial risks are mitigated by several factors, including the following: (i) our access to our cash and cash equivalents and short-term investments has not been impaired during the three months ended March 31, 2020, (ii) we do not currently perceive a significant risk of a credit event that would impair our cash holdings, derivative assets or restrict available credit facilities, (iii) we continue to maintain a strong balance sheet, with over 70% of our debt not due until 2026 or later, (iv) our credit facilities do not contain maintenance-based leverage covenants, with the exception of any revolving facilities that are drawn in excess of 40% of total availability (such revolving facilities were undrawn at March 31, 2020), and</w:t>
      </w:r>
    </w:p>
    <w:p>
      <w:pPr>
        <w:spacing w:after="0" w:line="4" w:lineRule="exact"/>
        <w:rPr>
          <w:sz w:val="20"/>
          <w:szCs w:val="20"/>
          <w:color w:val="auto"/>
        </w:rPr>
      </w:pPr>
    </w:p>
    <w:p>
      <w:pPr>
        <w:jc w:val="both"/>
        <w:ind w:firstLine="8"/>
        <w:spacing w:after="0" w:line="255" w:lineRule="auto"/>
        <w:tabs>
          <w:tab w:leader="none" w:pos="2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derivative instruments provide protection against adverse changes in financial markets, such as the weakening of the British pound sterling and declines in the value of certain of our fair value investments. In addition, we have implemented enhanced risk monitoring procedures at this time of heightened market volatility.</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Arial" w:cs="Arial" w:eastAsia="Arial" w:hAnsi="Arial"/>
          <w:sz w:val="17"/>
          <w:szCs w:val="17"/>
          <w:b w:val="1"/>
          <w:bCs w:val="1"/>
          <w:color w:val="auto"/>
        </w:rPr>
        <w:t>ARPU</w:t>
      </w:r>
      <w:r>
        <w:rPr>
          <w:rFonts w:ascii="Arial" w:cs="Arial" w:eastAsia="Arial" w:hAnsi="Arial"/>
          <w:sz w:val="17"/>
          <w:szCs w:val="17"/>
          <w:color w:val="auto"/>
        </w:rPr>
        <w:t xml:space="preserve">). For additional information regarding the revenue impact of changes in fixed-line customers and ARPU of our consolidated reportable segments, see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below</w:t>
      </w:r>
      <w:r>
        <w:rPr>
          <w:rFonts w:ascii="Arial" w:cs="Arial" w:eastAsia="Arial" w:hAnsi="Arial"/>
          <w:sz w:val="17"/>
          <w:szCs w:val="17"/>
          <w:i w:val="1"/>
          <w:iCs w:val="1"/>
          <w:color w:val="auto"/>
        </w:rPr>
        <w: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competition, our operations are subject to macroeconomic, political and other risks that are outside of our control. For example, on June 23, 2016, the U.K. held a referendum in which voters approved, on an advisory basis, an exit from the E.U., commonly referred to as “</w:t>
      </w:r>
      <w:r>
        <w:rPr>
          <w:rFonts w:ascii="Arial" w:cs="Arial" w:eastAsia="Arial" w:hAnsi="Arial"/>
          <w:sz w:val="16"/>
          <w:szCs w:val="16"/>
          <w:b w:val="1"/>
          <w:bCs w:val="1"/>
          <w:color w:val="auto"/>
        </w:rPr>
        <w:t>Brexit</w:t>
      </w:r>
      <w:r>
        <w:rPr>
          <w:rFonts w:ascii="Arial" w:cs="Arial" w:eastAsia="Arial" w:hAnsi="Arial"/>
          <w:sz w:val="16"/>
          <w:szCs w:val="16"/>
          <w:color w:val="auto"/>
        </w:rPr>
        <w:t>.” The U.K. formally exited the E.U. on January 31, 2020, and has now entered into a transition period until December 31, 2020, during which the U.K. and the E.U. will negotiate to formalize the future U.K.-E.U. relationship with respect to a number of matters, most notably trade. Although the U.K. has ceased to be an E.U. member, during the transition period their trading relationship will remain the same and the U.K. will continue to follow the E.U.'s rules, such as accepting rulings from the European Court of Justice, and the U.K. will continue to contribute to the E.U.’s budget. Uncertainty remains as to what specific terms of separation may be agreed during the transition period. It is possible that the U.K. will fail to agree to specific separation terms with the E.U. by the end of the transition period, which, absent extension, may require the U.K. to leave the E.U. under a so-called “hard Brexit” or “no-deal Brexit” without specific agreements on trade, finance and other key elements. The foregoing has caused uncertainty as to Brexit’s impact on the free movement of goods, services, people and capital between the U.K. and the E.U., customer behavior, economic conditions, interest rates, currency exchange rates and availability of capital. The effects of Brexit could adversely affect our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a number of transactions that impact the comparability of our results of operations, the most notable of which is the De Vijver Media Acquisition on June 3, 2019. For further information, see note 4 to our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324"/>
        <w:spacing w:after="0" w:line="292" w:lineRule="auto"/>
        <w:rPr>
          <w:sz w:val="20"/>
          <w:szCs w:val="20"/>
          <w:color w:val="auto"/>
        </w:rPr>
      </w:pPr>
      <w:r>
        <w:rPr>
          <w:rFonts w:ascii="Arial" w:cs="Arial" w:eastAsia="Arial" w:hAnsi="Arial"/>
          <w:sz w:val="16"/>
          <w:szCs w:val="16"/>
          <w:color w:val="auto"/>
        </w:rPr>
        <w:t xml:space="preserve">In the following discussion, we quantify the estimated impact of acquisitions (the </w:t>
      </w:r>
      <w:r>
        <w:rPr>
          <w:rFonts w:ascii="Arial" w:cs="Arial" w:eastAsia="Arial" w:hAnsi="Arial"/>
          <w:sz w:val="16"/>
          <w:szCs w:val="16"/>
          <w:b w:val="1"/>
          <w:bCs w:val="1"/>
          <w:color w:val="auto"/>
        </w:rPr>
        <w:t>Acquisition Impact</w:t>
      </w:r>
      <w:r>
        <w:rPr>
          <w:rFonts w:ascii="Arial" w:cs="Arial" w:eastAsia="Arial" w:hAnsi="Arial"/>
          <w:sz w:val="16"/>
          <w:szCs w:val="16"/>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Arial" w:cs="Arial" w:eastAsia="Arial" w:hAnsi="Arial"/>
          <w:sz w:val="16"/>
          <w:szCs w:val="16"/>
          <w:b w:val="1"/>
          <w:bCs w:val="1"/>
          <w:color w:val="auto"/>
        </w:rPr>
        <w:t>FX</w:t>
      </w:r>
      <w:r>
        <w:rPr>
          <w:rFonts w:ascii="Arial" w:cs="Arial" w:eastAsia="Arial" w:hAnsi="Arial"/>
          <w:sz w:val="16"/>
          <w:szCs w:val="16"/>
          <w:color w:val="auto"/>
        </w:rPr>
        <w:t xml:space="preserve">) risk during the three months ended March 31, 2020 was to the British pound sterling and euro as 52.0% and 33.2%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below. For information regarding our foreign currency risks and the applicable foreign currency exchange rates in effect for the periods covered by this Quarterly Report, see Part I, Item 3. </w:t>
      </w:r>
      <w:r>
        <w:rPr>
          <w:rFonts w:ascii="Arial" w:cs="Arial" w:eastAsia="Arial" w:hAnsi="Arial"/>
          <w:sz w:val="16"/>
          <w:szCs w:val="16"/>
          <w:i w:val="1"/>
          <w:iCs w:val="1"/>
          <w:color w:val="auto"/>
        </w:rPr>
        <w:t>Quantitative and Qualitative Disclosures about Market Risk — Foreign Currency Risk</w:t>
      </w:r>
      <w:r>
        <w:rPr>
          <w:rFonts w:ascii="Arial" w:cs="Arial" w:eastAsia="Arial" w:hAnsi="Arial"/>
          <w:sz w:val="16"/>
          <w:szCs w:val="16"/>
          <w:color w:val="auto"/>
        </w:rPr>
        <w:t xml:space="preserve"> below.</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amounts presented and discussed below represent 100% of each of our consolidated reportable segment’s revenue and Adjusted OIBDA. As we have the ability to control Telenet, we consolidate 100% of its revenue and expenses in our condensed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condensed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All of our reportable segments derive their revenue primarily from residential and B2B communications services, including broadband internet, video, fixed-line telephony and mobile services. For detailed information regarding the composition of our reportable segments and how we define and categorize our revenue components, see note 17 to our condensed consolidated financial statements. For more information regarding the results of operations of the VodafoneZiggo JV, refer to </w:t>
      </w:r>
      <w:r>
        <w:rPr>
          <w:rFonts w:ascii="Arial" w:cs="Arial" w:eastAsia="Arial" w:hAnsi="Arial"/>
          <w:sz w:val="17"/>
          <w:szCs w:val="17"/>
          <w:i w:val="1"/>
          <w:iCs w:val="1"/>
          <w:color w:val="auto"/>
        </w:rPr>
        <w:t>Discussion and Analysis of our Consolidated Operating Results — Share of results of affiliates</w:t>
      </w:r>
      <w:r>
        <w:rPr>
          <w:rFonts w:ascii="Arial" w:cs="Arial" w:eastAsia="Arial" w:hAnsi="Arial"/>
          <w:sz w:val="17"/>
          <w:szCs w:val="17"/>
          <w:color w:val="auto"/>
        </w:rPr>
        <w:t xml:space="preserve"> below.</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tables presented below in this section provide the details of the revenue and Adjusted OIBDA of our consolidated reportable segments for the three months ended March 31, 2020 and 2019.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prior-year rate during all periods presented. We also provide a table showing the Adjusted OIBDA margins of our consolidated reportable segments for three months ended March 31, 2020 and 2019 at the end of this section.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March 31,</w:t>
            </w:r>
          </w:p>
        </w:tc>
        <w:tc>
          <w:tcPr>
            <w:tcW w:w="300" w:type="dxa"/>
            <w:vAlign w:val="bottom"/>
          </w:tcPr>
          <w:p>
            <w:pPr>
              <w:spacing w:after="0"/>
              <w:rPr>
                <w:sz w:val="18"/>
                <w:szCs w:val="18"/>
                <w:color w:val="auto"/>
              </w:rPr>
            </w:pPr>
          </w:p>
        </w:tc>
        <w:tc>
          <w:tcPr>
            <w:tcW w:w="210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1,620.6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2,875.8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2,868.0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left="50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primarily include revenue earned from transition and other services provided to the VodafoneZiggo JV and various third parties and the sale of customer premises equipment to the VodafoneZiggo JV. For additional information, see notes 4 and 5 to our condensed consolidated financial statements.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decrease in U.K./Ireland</w:t>
      </w:r>
      <w:r>
        <w:rPr>
          <w:rFonts w:ascii="Arial" w:cs="Arial" w:eastAsia="Arial" w:hAnsi="Arial"/>
          <w:sz w:val="18"/>
          <w:szCs w:val="18"/>
          <w:color w:val="2C2C2C"/>
        </w:rPr>
        <w:t>’s revenue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2019, are set f</w:t>
      </w:r>
      <w:r>
        <w:rPr>
          <w:rFonts w:ascii="Arial" w:cs="Arial" w:eastAsia="Arial" w:hAnsi="Arial"/>
          <w:sz w:val="18"/>
          <w:szCs w:val="18"/>
          <w:color w:val="auto"/>
        </w:rPr>
        <w:t>orth below:</w:t>
      </w:r>
    </w:p>
    <w:p>
      <w:pPr>
        <w:sectPr>
          <w:pgSz w:w="11900" w:h="16838" w:orient="portrait"/>
          <w:cols w:equalWidth="0" w:num="1">
            <w:col w:w="11240"/>
          </w:cols>
          <w:pgMar w:left="320" w:top="337" w:right="3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 partially offset by lower ARPU. The decrease in residential mobile non-subscription revenue is primarily attributable to a decrease in revenue from mobile handset sales in the U.K., due in part to the impact of retail store closures as a result of the COVID-19 pandemic.</w:t>
      </w:r>
    </w:p>
    <w:p>
      <w:pPr>
        <w:spacing w:after="0" w:line="18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SOHO customers in the U.K. The decrease in B2B non-subscription revenue is primarily attributable to our operations in the U.K., including the net effect of (i) a decrease in lower margin revenue related to business network services, (ii) an increase in revenue associated with long-term leases of a portion of our network, (iii) lower revenue from data services and (iv) lower installation revenue.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6" w:right="339" w:bottom="1440" w:gutter="0" w:footer="0" w:header="0"/>
        </w:sectPr>
      </w:pPr>
    </w:p>
    <w:bookmarkStart w:id="54" w:name="page55"/>
    <w:bookmarkEnd w:id="54"/>
    <w:p>
      <w:pPr>
        <w:ind w:left="340"/>
        <w:spacing w:after="0"/>
        <w:rPr>
          <w:sz w:val="20"/>
          <w:szCs w:val="20"/>
          <w:color w:val="auto"/>
        </w:rPr>
      </w:pPr>
      <w:r>
        <w:rPr>
          <w:rFonts w:ascii="Arial" w:cs="Arial" w:eastAsia="Arial" w:hAnsi="Arial"/>
          <w:sz w:val="16"/>
          <w:szCs w:val="16"/>
          <w:i w:val="1"/>
          <w:iCs w:val="1"/>
          <w:color w:val="auto"/>
        </w:rPr>
        <w:t xml:space="preserve">Belgium. </w:t>
      </w:r>
      <w:r>
        <w:rPr>
          <w:rFonts w:ascii="Arial" w:cs="Arial" w:eastAsia="Arial" w:hAnsi="Arial"/>
          <w:sz w:val="16"/>
          <w:szCs w:val="16"/>
          <w:color w:val="auto"/>
        </w:rPr>
        <w:t>The details of the increase in Belgium’s revenue during the three months ended March 31, 2020</w:t>
      </w:r>
      <w:r>
        <w:rPr>
          <w:rFonts w:ascii="Arial" w:cs="Arial" w:eastAsia="Arial" w:hAnsi="Arial"/>
          <w:sz w:val="16"/>
          <w:szCs w:val="16"/>
          <w:color w:val="2C2C2C"/>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corresponding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C2C2C"/>
        </w:rPr>
        <w:t>2019</w:t>
      </w:r>
      <w:r>
        <w:rPr>
          <w:rFonts w:ascii="Arial" w:cs="Arial" w:eastAsia="Arial" w:hAnsi="Arial"/>
          <w:sz w:val="18"/>
          <w:szCs w:val="18"/>
          <w:color w:val="000000"/>
        </w:rPr>
        <w:t>, are set forth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increase in residential mobile subscription revenue is attributable to higher ARPU and an increase in the average number of mobile subscribers.</w:t>
      </w:r>
    </w:p>
    <w:p>
      <w:pPr>
        <w:spacing w:after="0" w:line="248"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increase in B2B subscription revenue is primarily due to an increase in the average number of SOHO customers. The decrease in B2B non-subscription revenue is primarily attributable to (i) lower revenue from wholesale services, (ii) a decrease in revenue from mobile handset sales, due in part to the impact of retail store closures as a result of the COVID-19 pandemic, and (iii) a decrease in interconnect revenue.</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in note 16 to our condensed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5" w:name="page56"/>
    <w:bookmarkEnd w:id="55"/>
    <w:p>
      <w:pPr>
        <w:ind w:firstLine="324"/>
        <w:spacing w:after="0" w:line="277"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 in Switzerland’s revenue during the three months ended March 31,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in </w:t>
      </w:r>
      <w:r>
        <w:rPr>
          <w:rFonts w:ascii="Arial" w:cs="Arial" w:eastAsia="Arial" w:hAnsi="Arial"/>
          <w:sz w:val="18"/>
          <w:szCs w:val="18"/>
          <w:color w:val="2C2C2C"/>
        </w:rPr>
        <w:t>2019</w:t>
      </w:r>
      <w:r>
        <w:rPr>
          <w:rFonts w:ascii="Arial" w:cs="Arial" w:eastAsia="Arial" w:hAnsi="Arial"/>
          <w:sz w:val="18"/>
          <w:szCs w:val="18"/>
          <w:color w:val="auto"/>
        </w:rPr>
        <w:t>,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(a)</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 (b)</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(decrease) in B2B revenue (c)</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74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4"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increase in residential cable non-subscription revenue is primarily attributable to an increase in revenue associated with our Swiss sports channels, including a $1.7 million increase associated with the acceleration of revenue from our distribution partner for the broadcast of ice hockey in Switzerland. As further described below under </w:t>
      </w:r>
      <w:r>
        <w:rPr>
          <w:rFonts w:ascii="Arial" w:cs="Arial" w:eastAsia="Arial" w:hAnsi="Arial"/>
          <w:sz w:val="18"/>
          <w:szCs w:val="18"/>
          <w:i w:val="1"/>
          <w:iCs w:val="1"/>
          <w:color w:val="auto"/>
        </w:rPr>
        <w:t>Discussion and Analysis of our Consolidated Operating Results — Programming and other direct</w:t>
      </w:r>
      <w:r>
        <w:rPr>
          <w:rFonts w:ascii="Arial" w:cs="Arial" w:eastAsia="Arial" w:hAnsi="Arial"/>
          <w:sz w:val="18"/>
          <w:szCs w:val="18"/>
          <w:color w:val="auto"/>
        </w:rPr>
        <w:t xml:space="preserve"> </w:t>
      </w:r>
      <w:r>
        <w:rPr>
          <w:rFonts w:ascii="Arial" w:cs="Arial" w:eastAsia="Arial" w:hAnsi="Arial"/>
          <w:sz w:val="18"/>
          <w:szCs w:val="18"/>
          <w:i w:val="1"/>
          <w:iCs w:val="1"/>
          <w:color w:val="auto"/>
        </w:rPr>
        <w:t>costs of services</w:t>
      </w:r>
      <w:r>
        <w:rPr>
          <w:rFonts w:ascii="Arial" w:cs="Arial" w:eastAsia="Arial" w:hAnsi="Arial"/>
          <w:sz w:val="18"/>
          <w:szCs w:val="18"/>
          <w:color w:val="auto"/>
        </w:rPr>
        <w:t>, Switzerland's ice hockey league has been cancelled as a result of the COVID-19 pandemic, which resulted in the prepaid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associated sports rights that were previously scheduled to be expensed during the second quarter of 2020 to be recognized during the first quarter of 2020. Accordingly, $1.7 million of associated revenue that would have been recorded in April 2020 has been recognized during the first quarter of 2020.</w:t>
      </w:r>
    </w:p>
    <w:p>
      <w:pPr>
        <w:spacing w:after="0" w:line="194"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 The increase in residential mobile non-subscription revenue is largely attributable to (i) an increase in revenue from mobile handset sales and (ii) higher interconnect revenue.</w:t>
      </w:r>
    </w:p>
    <w:p>
      <w:pPr>
        <w:spacing w:after="0" w:line="18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increase in B2B non-subscription revenue is primarily attributable to (i) an increase in interconnect revenue and (ii) higher revenue from wholesale fixed-line telephony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41" w:right="339" w:bottom="1440" w:gutter="0" w:footer="0" w:header="0"/>
        </w:sectPr>
      </w:pPr>
    </w:p>
    <w:bookmarkStart w:id="56" w:name="page57"/>
    <w:bookmarkEnd w:id="56"/>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Central and Eastern Europe’s revenue during the three months ended March 31, 2020</w:t>
      </w:r>
      <w:r>
        <w:rPr>
          <w:rFonts w:ascii="Arial" w:cs="Arial" w:eastAsia="Arial" w:hAnsi="Arial"/>
          <w:sz w:val="18"/>
          <w:szCs w:val="18"/>
          <w:color w:val="2C2C2C"/>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period in </w:t>
      </w:r>
      <w:r>
        <w:rPr>
          <w:rFonts w:ascii="Arial" w:cs="Arial" w:eastAsia="Arial" w:hAnsi="Arial"/>
          <w:sz w:val="18"/>
          <w:szCs w:val="18"/>
          <w:color w:val="2C2C2C"/>
        </w:rPr>
        <w:t>2019</w:t>
      </w:r>
      <w:r>
        <w:rPr>
          <w:rFonts w:ascii="Arial" w:cs="Arial" w:eastAsia="Arial" w:hAnsi="Arial"/>
          <w:sz w:val="18"/>
          <w:szCs w:val="18"/>
          <w:color w:val="auto"/>
        </w:rPr>
        <w:t>,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Subscription</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24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customers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ARPU</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Increase in B2B revenue</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744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OIBDA is the primary measure used by our chief operating decision maker to evaluate segment operating performance. For the definition of this performance measure and for a reconciliation of Adjusted OIBDA from continuing operations to earnings (loss) from continuing operations before income taxes, see note 17 to our condensed consolidated financial statements.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4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March 31,</w:t>
            </w:r>
          </w:p>
        </w:tc>
        <w:tc>
          <w:tcPr>
            <w:tcW w:w="300" w:type="dxa"/>
            <w:vAlign w:val="bottom"/>
          </w:tcPr>
          <w:p>
            <w:pPr>
              <w:spacing w:after="0"/>
              <w:rPr>
                <w:sz w:val="18"/>
                <w:szCs w:val="18"/>
                <w:color w:val="auto"/>
              </w:rPr>
            </w:pPr>
          </w:p>
        </w:tc>
        <w:tc>
          <w:tcPr>
            <w:tcW w:w="210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2019 (a)</w:t>
            </w:r>
          </w:p>
        </w:tc>
        <w:tc>
          <w:tcPr>
            <w:tcW w:w="300" w:type="dxa"/>
            <w:vAlign w:val="bottom"/>
          </w:tcPr>
          <w:p>
            <w:pPr>
              <w:spacing w:after="0"/>
              <w:rPr>
                <w:sz w:val="20"/>
                <w:szCs w:val="20"/>
                <w:color w:val="auto"/>
              </w:rPr>
            </w:pPr>
          </w:p>
        </w:tc>
        <w:tc>
          <w:tcPr>
            <w:tcW w:w="80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692.2</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1,183.3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17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57" w:name="page58"/>
    <w:bookmarkEnd w:id="57"/>
    <w:p>
      <w:pPr>
        <w:ind w:left="180"/>
        <w:spacing w:after="0"/>
        <w:rPr>
          <w:sz w:val="20"/>
          <w:szCs w:val="20"/>
          <w:color w:val="auto"/>
        </w:rPr>
      </w:pPr>
      <w:r>
        <w:rPr>
          <w:rFonts w:ascii="Arial" w:cs="Arial" w:eastAsia="Arial" w:hAnsi="Arial"/>
          <w:sz w:val="18"/>
          <w:szCs w:val="18"/>
          <w:b w:val="1"/>
          <w:bCs w:val="1"/>
          <w:i w:val="1"/>
          <w:iCs w:val="1"/>
          <w:color w:val="auto"/>
        </w:rPr>
        <w:t>Adjusted OIBDA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Adjusted OIBDA margins (Adjusted OIBDA divided by revenue) of each of our consolidated reportable segments: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260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6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8640" w:type="dxa"/>
            <w:vAlign w:val="bottom"/>
          </w:tcPr>
          <w:p>
            <w:pPr>
              <w:spacing w:after="0"/>
              <w:rPr>
                <w:sz w:val="20"/>
                <w:szCs w:val="20"/>
                <w:color w:val="auto"/>
              </w:rPr>
            </w:pPr>
          </w:p>
        </w:tc>
        <w:tc>
          <w:tcPr>
            <w:tcW w:w="1300" w:type="dxa"/>
            <w:vAlign w:val="bottom"/>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1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 (a)</w:t>
            </w:r>
          </w:p>
        </w:tc>
      </w:tr>
      <w:tr>
        <w:trPr>
          <w:trHeight w:val="33"/>
        </w:trPr>
        <w:tc>
          <w:tcPr>
            <w:tcW w:w="86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8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Belgium</w:t>
            </w:r>
          </w:p>
        </w:tc>
        <w:tc>
          <w:tcPr>
            <w:tcW w:w="13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8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13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97"/>
        </w:trPr>
        <w:tc>
          <w:tcPr>
            <w:tcW w:w="8640" w:type="dxa"/>
            <w:vAlign w:val="bottom"/>
          </w:tcPr>
          <w:p>
            <w:pPr>
              <w:spacing w:after="0"/>
              <w:rPr>
                <w:sz w:val="20"/>
                <w:szCs w:val="20"/>
                <w:color w:val="auto"/>
              </w:rPr>
            </w:pPr>
            <w:r>
              <w:rPr>
                <w:rFonts w:ascii="Arial" w:cs="Arial" w:eastAsia="Arial" w:hAnsi="Arial"/>
                <w:sz w:val="18"/>
                <w:szCs w:val="18"/>
                <w:color w:val="auto"/>
              </w:rPr>
              <w:t>_______________</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have been revised to reflect the retrospective impact of the Centrally-held Cost Allocation, as further described in note 17 to our condensed consolidated financial statements.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180" w:type="dxa"/>
            <w:vAlign w:val="bottom"/>
          </w:tcPr>
          <w:p>
            <w:pPr>
              <w:spacing w:after="0"/>
              <w:rPr>
                <w:sz w:val="18"/>
                <w:szCs w:val="18"/>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ind w:left="100"/>
              <w:spacing w:after="0"/>
              <w:rPr>
                <w:sz w:val="20"/>
                <w:szCs w:val="20"/>
                <w:color w:val="auto"/>
              </w:rPr>
            </w:pPr>
            <w:r>
              <w:rPr>
                <w:rFonts w:ascii="Arial" w:cs="Arial" w:eastAsia="Arial" w:hAnsi="Arial"/>
                <w:sz w:val="16"/>
                <w:szCs w:val="16"/>
                <w:b w:val="1"/>
                <w:bCs w:val="1"/>
                <w:color w:val="auto"/>
                <w:w w:val="96"/>
              </w:rPr>
              <w:t>in millions,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86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2,252.3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86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860" w:type="dxa"/>
            <w:vAlign w:val="bottom"/>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2,875.8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2,868.0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86"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$59.6 million and $61.0 million during the three months ended March 31, 2020 and 2019, respectively.</w:t>
      </w:r>
    </w:p>
    <w:p>
      <w:pPr>
        <w:spacing w:after="0" w:line="165"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37" w:right="339" w:bottom="1440" w:gutter="0" w:footer="0" w:header="0"/>
        </w:sectPr>
      </w:pPr>
    </w:p>
    <w:bookmarkStart w:id="59" w:name="page60"/>
    <w:bookmarkEnd w:id="59"/>
    <w:p>
      <w:pPr>
        <w:jc w:val="both"/>
        <w:ind w:left="50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revenue includes, among other items, (i) revenue earned from the JV Services and the sale of customer premises equipment to the VodafoneZiggo JV, (ii) revenue earned from transitional and other services provided to various third parties, (iii) revenue from De Vijver Media and (iv) broadcasting revenue in Ireland.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$7.8 million or 0.3% during the three months ended March 31,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2019. This increase includes an increase of $29.1 million attributable to the impact of acquisitions. On an organic basis, our consolidated revenue decreased $10.9 million or 0.4%.</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decrease in our consolidated residential revenue for the three months ended March 31, 2020,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period in 2019,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54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cable revenue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Increase in residential mobile subscription revenue</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non-subscription revenue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9680" w:type="dxa"/>
            <w:vAlign w:val="bottom"/>
          </w:tcPr>
          <w:p>
            <w:pPr>
              <w:ind w:left="420"/>
              <w:spacing w:after="0"/>
              <w:rPr>
                <w:sz w:val="20"/>
                <w:szCs w:val="20"/>
                <w:color w:val="auto"/>
              </w:rPr>
            </w:pPr>
            <w:r>
              <w:rPr>
                <w:rFonts w:ascii="Arial" w:cs="Arial" w:eastAsia="Arial" w:hAnsi="Arial"/>
                <w:sz w:val="18"/>
                <w:szCs w:val="18"/>
                <w:color w:val="auto"/>
              </w:rPr>
              <w:t>Total organic decrease in residential revenue</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revenue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cable subscription revenue decreased $16.7 million or 0.9% during the three months ended March 31, 2020, as compared to the corresponding period in 2019. This decrease is primarily attributable to decreases in Switzerland and Belgium, partially offset by an increase in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 organic basis, our consolidated residential cable non-subscription revenue decreased $0.4 million or 0.8% during the three months ended March 31, 2020, as compared to the corresponding period in 2019. This decrease is primarily due to a decrease in Belgium, partially offset by an increase in Switzerland.</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On an organic basis, our consolidated residential mobile subscription revenue increased $12.8 million or 5.6% during the three months ended March 31, 2020, as compared to the corresponding period in 2019. This increase is attributable to increases in Belgium, Switzerland and </w:t>
      </w:r>
      <w:r>
        <w:rPr>
          <w:rFonts w:ascii="Arial" w:cs="Arial" w:eastAsia="Arial" w:hAnsi="Arial"/>
          <w:sz w:val="16"/>
          <w:szCs w:val="16"/>
          <w:color w:val="2C2C2C"/>
        </w:rPr>
        <w:t>U.K./Ireland</w:t>
      </w:r>
      <w:r>
        <w:rPr>
          <w:rFonts w:ascii="Arial" w:cs="Arial" w:eastAsia="Arial" w:hAnsi="Arial"/>
          <w:sz w:val="16"/>
          <w:szCs w:val="16"/>
          <w:color w:val="auto"/>
        </w:rPr>
        <w: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$8.8 million or 5.6% during the three months ended March 31, 2020, as compared to the corresponding period in 2019. This decrease is primarily attributable to decreases in </w:t>
      </w:r>
      <w:r>
        <w:rPr>
          <w:rFonts w:ascii="Arial" w:cs="Arial" w:eastAsia="Arial" w:hAnsi="Arial"/>
          <w:sz w:val="18"/>
          <w:szCs w:val="18"/>
          <w:color w:val="2C2C2C"/>
        </w:rPr>
        <w:t>U.K./Ireland</w:t>
      </w:r>
      <w:r>
        <w:rPr>
          <w:rFonts w:ascii="Arial" w:cs="Arial" w:eastAsia="Arial" w:hAnsi="Arial"/>
          <w:sz w:val="18"/>
          <w:szCs w:val="18"/>
          <w:color w:val="auto"/>
        </w:rPr>
        <w:t xml:space="preserve"> and Belgium that were only partially offset by an increase in Switzerland.</w:t>
      </w:r>
    </w:p>
    <w:p>
      <w:pPr>
        <w:spacing w:after="0" w:line="18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B2B revenue. </w:t>
      </w:r>
      <w:r>
        <w:rPr>
          <w:rFonts w:ascii="Arial" w:cs="Arial" w:eastAsia="Arial" w:hAnsi="Arial"/>
          <w:sz w:val="16"/>
          <w:szCs w:val="16"/>
          <w:color w:val="auto"/>
        </w:rPr>
        <w:t>On an organic basis, our consolidated B2B subscription revenue increased $14.1 million or 12.4% during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31, 2020, as compared to the corresponding period in 2019. This increase is primarily due to increases in SOHO revenue in Belgium and </w:t>
      </w:r>
      <w:r>
        <w:rPr>
          <w:rFonts w:ascii="Arial" w:cs="Arial" w:eastAsia="Arial" w:hAnsi="Arial"/>
          <w:sz w:val="16"/>
          <w:szCs w:val="16"/>
          <w:color w:val="2C2C2C"/>
        </w:rPr>
        <w:t>U.K./Ireland</w:t>
      </w:r>
      <w:r>
        <w:rPr>
          <w:rFonts w:ascii="Arial" w:cs="Arial" w:eastAsia="Arial" w:hAnsi="Arial"/>
          <w:sz w:val="16"/>
          <w:szCs w:val="16"/>
          <w:color w:val="auto"/>
        </w:rPr>
        <w: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an organic basis, our consolidated B2B non-subscription revenue decreased $14.8 million or 4.0% during the three months ended March 31, 2020, as compared to the corresponding period in 2019. This decrease is primarily due to decreases in </w:t>
      </w:r>
      <w:r>
        <w:rPr>
          <w:rFonts w:ascii="Arial" w:cs="Arial" w:eastAsia="Arial" w:hAnsi="Arial"/>
          <w:sz w:val="18"/>
          <w:szCs w:val="18"/>
          <w:color w:val="2C2C2C"/>
        </w:rPr>
        <w:t>U.K./Ireland</w:t>
      </w:r>
      <w:r>
        <w:rPr>
          <w:rFonts w:ascii="Arial" w:cs="Arial" w:eastAsia="Arial" w:hAnsi="Arial"/>
          <w:sz w:val="18"/>
          <w:szCs w:val="18"/>
          <w:color w:val="auto"/>
        </w:rPr>
        <w:t xml:space="preserve"> and Belgium, partially offset by an increase in Switzerland.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increased $2.9 million or 1.9% during the three months ended March 31,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corresponding period in 2019. This increase is primarily due to revenue earned from sales of customer premises equipment to the VodafoneZiggo JV.</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557" w:right="339" w:bottom="1440" w:gutter="0" w:footer="0" w:header="0"/>
        </w:sectPr>
      </w:pPr>
    </w:p>
    <w:bookmarkStart w:id="60" w:name="page61"/>
    <w:bookmarkEnd w:id="60"/>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460" w:type="dxa"/>
            <w:vAlign w:val="bottom"/>
            <w:gridSpan w:val="6"/>
          </w:tcPr>
          <w:p>
            <w:pPr>
              <w:ind w:left="12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Pr>
          <w:p>
            <w:pPr>
              <w:spacing w:after="0"/>
              <w:rPr>
                <w:sz w:val="18"/>
                <w:szCs w:val="18"/>
                <w:color w:val="auto"/>
              </w:rPr>
            </w:pPr>
          </w:p>
        </w:tc>
        <w:tc>
          <w:tcPr>
            <w:tcW w:w="2320" w:type="dxa"/>
            <w:vAlign w:val="bottom"/>
            <w:gridSpan w:val="4"/>
          </w:tcPr>
          <w:p>
            <w:pPr>
              <w:ind w:left="40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2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Organic increase</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8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programming and other direct costs of services increased $54.7 million or 6.8% during the three months ended March 31, 2020, as compared to the corresponding period in 2019. This increase includes an increase of $19.8 million attributable to the impact of acquisitions. On an organic basis, our programming and other direct costs of services increased $48.5 million or 5.9%. This increase includes the following factors:</w:t>
      </w:r>
    </w:p>
    <w:p>
      <w:pPr>
        <w:spacing w:after="0" w:line="165" w:lineRule="exact"/>
        <w:rPr>
          <w:sz w:val="20"/>
          <w:szCs w:val="20"/>
          <w:color w:val="auto"/>
        </w:rPr>
      </w:pPr>
    </w:p>
    <w:p>
      <w:pPr>
        <w:jc w:val="both"/>
        <w:ind w:left="660" w:hanging="328"/>
        <w:spacing w:after="0" w:line="296" w:lineRule="auto"/>
        <w:tabs>
          <w:tab w:leader="none" w:pos="6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An increase in programming and copyright costs of $19.7 million or 4.6%, primarily due to increases in Belgium, U.K./Ireland and Switzerland. This increase is primarily due to higher costs for certain premium and/or basic content, including an increase of $14.9 million due to the acceleration of certain costs for sports rights as a result of the COVID-19 pandemic. In this respect, certain sports leagues in Belgium and Switzerland have been or are expected to be cancelled. Accordingly, the prepaid amounts for the associated sports rights that were previously scheduled to be expensed during the second and third quarters of 2020 have been recognized during the first quarter of 2020;</w:t>
      </w:r>
    </w:p>
    <w:p>
      <w:pPr>
        <w:spacing w:after="0" w:line="161" w:lineRule="exact"/>
        <w:rPr>
          <w:rFonts w:ascii="Arial" w:cs="Arial" w:eastAsia="Arial" w:hAnsi="Arial"/>
          <w:sz w:val="16"/>
          <w:szCs w:val="16"/>
          <w:b w:val="1"/>
          <w:bCs w:val="1"/>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An increase in interconnect and access costs of $16.1 million or 8.0%, primarily due to (i) an increase in interconnect and roaming costs, as increases in U.K./Ireland and Switzerland were only partially offset by a decrease in Belgium, and (ii) higher MVNO costs in Switzerland and U.K./Ireland; and</w:t>
      </w:r>
    </w:p>
    <w:p>
      <w:pPr>
        <w:spacing w:after="0" w:line="183"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an increase of $4.4 million that was fully offset by a corresponding decrease in various other operating expenses within Central and Corporate.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460" w:type="dxa"/>
            <w:vAlign w:val="bottom"/>
            <w:gridSpan w:val="6"/>
          </w:tcPr>
          <w:p>
            <w:pPr>
              <w:ind w:left="12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Pr>
          <w:p>
            <w:pPr>
              <w:spacing w:after="0"/>
              <w:rPr>
                <w:sz w:val="18"/>
                <w:szCs w:val="18"/>
                <w:color w:val="auto"/>
              </w:rPr>
            </w:pPr>
          </w:p>
        </w:tc>
        <w:tc>
          <w:tcPr>
            <w:tcW w:w="222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8"/>
                <w:szCs w:val="18"/>
                <w:color w:val="auto"/>
                <w:w w:val="96"/>
              </w:rPr>
              <w:t>Total other operating expenses excluding share-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1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based compensation expense</w:t>
            </w: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other operating expenses (exclusive of share-based compensation expense) increased $0.9 million or 0.2% during the three months ended March 31, 2020, as compared to the corresponding period in 2019. On an organic basis, our other operating expenses increased $8.2 million or 2.0%. This increase includes the following factors:</w:t>
      </w:r>
    </w:p>
    <w:p>
      <w:pPr>
        <w:spacing w:after="0" w:line="184" w:lineRule="exact"/>
        <w:rPr>
          <w:sz w:val="20"/>
          <w:szCs w:val="20"/>
          <w:color w:val="auto"/>
        </w:rPr>
      </w:pPr>
    </w:p>
    <w:p>
      <w:pPr>
        <w:ind w:left="660" w:hanging="328"/>
        <w:spacing w:after="0" w:line="342" w:lineRule="auto"/>
        <w:tabs>
          <w:tab w:leader="none" w:pos="6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An increase in network infrastructure charges in U.K./Ireland of $10.0 million following an increase in the rateable value of certain of Virgin Media’s assets. For additional information, see “</w:t>
      </w:r>
      <w:r>
        <w:rPr>
          <w:rFonts w:ascii="Arial" w:cs="Arial" w:eastAsia="Arial" w:hAnsi="Arial"/>
          <w:sz w:val="16"/>
          <w:szCs w:val="16"/>
          <w:i w:val="1"/>
          <w:iCs w:val="1"/>
          <w:color w:val="auto"/>
        </w:rPr>
        <w:t>Other Regulatory Issues”</w:t>
      </w:r>
      <w:r>
        <w:rPr>
          <w:rFonts w:ascii="Arial" w:cs="Arial" w:eastAsia="Arial" w:hAnsi="Arial"/>
          <w:sz w:val="16"/>
          <w:szCs w:val="16"/>
          <w:color w:val="auto"/>
        </w:rPr>
        <w:t xml:space="preserve"> in note 16 to our condensed consolidated financial statements; and</w:t>
      </w:r>
    </w:p>
    <w:p>
      <w:pPr>
        <w:spacing w:after="0" w:line="123" w:lineRule="exact"/>
        <w:rPr>
          <w:rFonts w:ascii="Arial" w:cs="Arial" w:eastAsia="Arial" w:hAnsi="Arial"/>
          <w:sz w:val="16"/>
          <w:szCs w:val="16"/>
          <w:b w:val="1"/>
          <w:bCs w:val="1"/>
          <w:color w:val="auto"/>
        </w:rPr>
      </w:pPr>
    </w:p>
    <w:p>
      <w:pPr>
        <w:jc w:val="both"/>
        <w:ind w:left="660" w:hanging="328"/>
        <w:spacing w:after="0" w:line="286" w:lineRule="auto"/>
        <w:tabs>
          <w:tab w:leader="none" w:pos="660"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An increase in business service costs of $3.6 million or 7.1%, primarily due to the net effect of (i) an increase in energy costs, primarily in U.K./Ireland and Belgium, (ii) higher consulting costs, primarily due to increases in Central and Corporate and Switzerland that were only partially offset by a decrease in U.K./Ireland, and (iii) a decrease in travel and entertainment expenses, primarily in U.K./Ireland.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41"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460" w:type="dxa"/>
            <w:vAlign w:val="bottom"/>
            <w:gridSpan w:val="6"/>
          </w:tcPr>
          <w:p>
            <w:pPr>
              <w:ind w:left="12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Pr>
          <w:p>
            <w:pPr>
              <w:spacing w:after="0"/>
              <w:rPr>
                <w:sz w:val="18"/>
                <w:szCs w:val="18"/>
                <w:color w:val="auto"/>
              </w:rPr>
            </w:pPr>
          </w:p>
        </w:tc>
        <w:tc>
          <w:tcPr>
            <w:tcW w:w="2220" w:type="dxa"/>
            <w:vAlign w:val="bottom"/>
            <w:gridSpan w:val="3"/>
          </w:tcPr>
          <w:p>
            <w:pPr>
              <w:jc w:val="right"/>
              <w:ind w:right="411"/>
              <w:spacing w:after="0"/>
              <w:rPr>
                <w:sz w:val="20"/>
                <w:szCs w:val="20"/>
                <w:color w:val="auto"/>
              </w:rPr>
            </w:pPr>
            <w:r>
              <w:rPr>
                <w:rFonts w:ascii="Arial" w:cs="Arial" w:eastAsia="Arial" w:hAnsi="Arial"/>
                <w:sz w:val="16"/>
                <w:szCs w:val="16"/>
                <w:b w:val="1"/>
                <w:bCs w:val="1"/>
                <w:color w:val="auto"/>
              </w:rPr>
              <w:t>Increase (decrease)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3"/>
          </w:tcPr>
          <w:p>
            <w:pPr>
              <w:jc w:val="right"/>
              <w:ind w:right="111"/>
              <w:spacing w:after="0"/>
              <w:rPr>
                <w:sz w:val="20"/>
                <w:szCs w:val="20"/>
                <w:color w:val="auto"/>
              </w:rPr>
            </w:pPr>
            <w:r>
              <w:rPr>
                <w:rFonts w:ascii="Arial" w:cs="Arial" w:eastAsia="Arial" w:hAnsi="Arial"/>
                <w:sz w:val="16"/>
                <w:szCs w:val="16"/>
                <w:b w:val="1"/>
                <w:bCs w:val="1"/>
                <w:color w:val="auto"/>
                <w:w w:val="90"/>
              </w:rPr>
              <w:t>Organic increase (decrease)</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0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right"/>
              <w:ind w:right="11"/>
              <w:spacing w:after="0"/>
              <w:rPr>
                <w:sz w:val="20"/>
                <w:szCs w:val="20"/>
                <w:color w:val="auto"/>
              </w:rPr>
            </w:pPr>
            <w:r>
              <w:rPr>
                <w:rFonts w:ascii="Arial" w:cs="Arial" w:eastAsia="Arial" w:hAnsi="Arial"/>
                <w:sz w:val="16"/>
                <w:szCs w:val="16"/>
                <w:b w:val="1"/>
                <w:bCs w:val="1"/>
                <w:color w:val="auto"/>
                <w:w w:val="88"/>
              </w:rPr>
              <w:t>in millions, except percentages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Central and Corporate</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8"/>
                <w:szCs w:val="18"/>
                <w:color w:val="auto"/>
              </w:rPr>
              <w:t>Total SG&amp;A expenses excluding share-based</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compensation expense</w:t>
            </w: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460" w:type="dxa"/>
            <w:vAlign w:val="bottom"/>
            <w:gridSpan w:val="6"/>
          </w:tcPr>
          <w:p>
            <w:pPr>
              <w:ind w:left="12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Pr>
          <w:p>
            <w:pPr>
              <w:spacing w:after="0"/>
              <w:rPr>
                <w:sz w:val="18"/>
                <w:szCs w:val="18"/>
                <w:color w:val="auto"/>
              </w:rPr>
            </w:pPr>
          </w:p>
        </w:tc>
        <w:tc>
          <w:tcPr>
            <w:tcW w:w="148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87"/>
              </w:rPr>
              <w:t>Decrease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5"/>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900" w:type="dxa"/>
            <w:vAlign w:val="bottom"/>
            <w:vMerge w:val="restart"/>
          </w:tcPr>
          <w:p>
            <w:pPr>
              <w:jc w:val="right"/>
              <w:ind w:right="245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SG&amp;A expenses (exclusive of share-based compensation expense) decreased $14.8 million or 3.2% during the three months ended March 31, 2020, as compared to the corresponding period in 2019. This decrease includes an increase of $11.1 million attributable to the impact of acquisitions. On an organic basis, our SG&amp;A expenses decreased $18.6 million or 3.9%. The organic decrease is primarily due to a decrease in external sales and marketing costs of $11.9 million or 11.0% due to lower costs associated with advertising campaigns in U.K./Ireland, Belgium and Switzerland.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63" w:name="page64"/>
    <w:bookmarkEnd w:id="63"/>
    <w:p>
      <w:pPr>
        <w:ind w:left="18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33020</wp:posOffset>
            </wp:positionV>
            <wp:extent cx="1491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incentive awards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(b)</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Included 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SG&amp;A expense</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9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Includes share-based compensation expense related to (i) PSUs, (ii) the 2019 Challenge Performance Awards, which included PSARs and PSUs, and (iii) for the 2020 period, the performance-based portion of the 2019 CEO Performance Award, which was granted in April 2019.</w:t>
      </w:r>
    </w:p>
    <w:p>
      <w:pPr>
        <w:spacing w:after="0" w:line="146"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our share-based compensation expense, see note 13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depreciation and amortization expense was $783.5 million and $939.6 million for the three months ended March 31, 2020 and 2019, respectively. Excluding the effects of FX, depreciation and amortization expense decreased $141.7 million or 15.1% during the three months ended March 31, 2020, as compared to the corresponding period in 2019. This decrease is primarily due to the net effect of (i) a decrease associated with certain assets becoming fully depreciated, primarily in U.K./Ireland, Central and Corporate and Belgium, (ii) a decrease due to assets becoming fully amortized, primarily in U.K./Ireland, and (iii) an increase associated with property and equipment additions related to the installation of customer premises equipment, the expansion and upgrade of our networks and other capital initiatives.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impairment, restructuring and other operating items, net, of $31.0 million and $70.9 million during the three months ended March 31, 2020 and 2019, respectively.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for the 2020 period includes (i) restructuring charges of $21.2 million, including $19.8 million of employee severance and termination costs related to certain reorganization activities, primarily in Switzerland, U.K./Ireland and Central and Corporate, (ii) direct acquisition and disposition costs of $6.3 million and (iii) impairment charges of $5.6 million, primarily in Belgium.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for the 2019 period includes (i) restructuring charges of $37.5 million including $34.9 million of employee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severance and termination costs related to certain reorganization activities, primarily in U.K./Ireland and Central and Corporate, and (ii) impairment charges of $22.6 million related to the write-off of certain network assets in U.K./Ireland.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among other factors, (i) our equity values were to decline or (ii) the adverse impacts of economic, competitive, regulatory or other factors (including with respect to COVID-19</w:t>
      </w:r>
      <w:r>
        <w:rPr>
          <w:rFonts w:ascii="Arial" w:cs="Arial" w:eastAsia="Arial" w:hAnsi="Arial"/>
          <w:sz w:val="18"/>
          <w:szCs w:val="18"/>
          <w:b w:val="1"/>
          <w:bCs w:val="1"/>
          <w:color w:val="auto"/>
        </w:rPr>
        <w:t>)</w:t>
      </w:r>
      <w:r>
        <w:rPr>
          <w:rFonts w:ascii="Arial" w:cs="Arial" w:eastAsia="Arial" w:hAnsi="Arial"/>
          <w:sz w:val="18"/>
          <w:szCs w:val="18"/>
          <w:color w:val="auto"/>
        </w:rPr>
        <w:t xml:space="preserve">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14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interest expense of $313.3 million and $367.3 million during the three months ended March 31, 2020 and 2019, respectively. Excluding the effects of FX, interest expense decreased $47.7 million or 13.0% during the three months ended March 31, 2020, as compared to the corresponding period in 2019. This decrease is primarily attributable to lower weighted average interest rates. For additional information regarding our outstanding indebtedness, see note 9 to our condensed consolidated financial statements.</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w:t>
      </w:r>
      <w:r>
        <w:rPr>
          <w:rFonts w:ascii="Arial" w:cs="Arial" w:eastAsia="Arial" w:hAnsi="Arial"/>
          <w:sz w:val="17"/>
          <w:szCs w:val="17"/>
          <w:i w:val="1"/>
          <w:iCs w:val="1"/>
          <w:color w:val="auto"/>
        </w:rPr>
        <w:t xml:space="preserve">Quantitative and Qualitative Disclosures about Market Risk </w:t>
      </w:r>
      <w:r>
        <w:rPr>
          <w:rFonts w:ascii="Arial" w:cs="Arial" w:eastAsia="Arial" w:hAnsi="Arial"/>
          <w:sz w:val="17"/>
          <w:szCs w:val="17"/>
          <w:color w:val="auto"/>
        </w:rPr>
        <w:t>below, we use derivative instruments to manage our interest rate risks.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95"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33020</wp:posOffset>
            </wp:positionV>
            <wp:extent cx="1491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2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 Forward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89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8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96"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gain during the 2020 period is attributable to (i) a net gain associated with changes in the relative value of certain currencies and (ii) a net gain associated with changes in certain market interest rates. In addition, the gain for the 2020 period includes a net gain of $66.3 million resulting from changes in our credit risk valuation adjustments. The loss for the 2019 period is primarily attributable to the net effect of (a) a net loss associated with changes in certain market interest rates and (b) a net gain associated with changes in the relative value of certain currencies. In addition, the loss for the 2019 period includes a net loss of $58.1 million resulting from changes in our credit risk valuation adjustments.</w:t>
      </w:r>
    </w:p>
    <w:p>
      <w:pPr>
        <w:spacing w:after="0" w:line="161" w:lineRule="exact"/>
        <w:rPr>
          <w:rFonts w:ascii="Arial" w:cs="Arial" w:eastAsia="Arial" w:hAnsi="Arial"/>
          <w:sz w:val="16"/>
          <w:szCs w:val="16"/>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recurring fair value measurements of our equity-related derivative instruments are based on Black-Scholes pricing models.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41"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6"/>
          <w:szCs w:val="16"/>
          <w:color w:val="auto"/>
        </w:rPr>
        <w:t>For additional information concerning our derivative instruments, see notes 6 and 7 to our condensed consolidated financial statements and Part I, Item</w:t>
      </w:r>
    </w:p>
    <w:p>
      <w:pPr>
        <w:spacing w:after="0" w:line="46" w:lineRule="exact"/>
        <w:rPr>
          <w:sz w:val="20"/>
          <w:szCs w:val="20"/>
          <w:color w:val="auto"/>
        </w:rPr>
      </w:pPr>
    </w:p>
    <w:p>
      <w:pPr>
        <w:ind w:left="180" w:right="6200" w:hanging="172"/>
        <w:spacing w:after="0" w:line="492" w:lineRule="auto"/>
        <w:tabs>
          <w:tab w:leader="none" w:pos="198"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below.</w:t>
      </w:r>
      <w:r>
        <w:rPr>
          <w:rFonts w:ascii="Arial" w:cs="Arial" w:eastAsia="Arial" w:hAnsi="Arial"/>
          <w:sz w:val="18"/>
          <w:szCs w:val="18"/>
          <w:i w:val="1"/>
          <w:iCs w:val="1"/>
          <w:color w:val="auto"/>
        </w:rPr>
        <w:t xml:space="preserve"> Foreign currency transaction gains, net</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net, are as follows:</w:t>
      </w:r>
    </w:p>
    <w:p>
      <w:pPr>
        <w:spacing w:after="0" w:line="133"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33020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1"/>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Intercompany payables and receivables denominated in a currency other than the entity’s functional currency (a)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U.S. dollar-denominated debt issued by British pound sterling functional currency entities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sterling-denominated debt issued by a U.S. dollar functional currency entity</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U.S. dollar-denominated debt issued by euro functional currency entities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Euro-denominated debt issued by British pound sterling functional currency entities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42"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losses due to changes in fair values of certain investments and debt, net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5, 7 and 9, respectively, to our condensed consolidated financial statements. The details of our realized and unrealized losses due to changes in fair values of certain investments and debt, net, are as follows:</w:t>
      </w:r>
    </w:p>
    <w:p>
      <w:pPr>
        <w:spacing w:after="0" w:line="104"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ITV</w:t>
            </w:r>
          </w:p>
        </w:tc>
        <w:tc>
          <w:tcPr>
            <w:tcW w:w="5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SMAs</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ITI Neovision</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Debt</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2850"/>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i w:val="1"/>
          <w:iCs w:val="1"/>
          <w:color w:val="auto"/>
        </w:rPr>
        <w:t>Losses on debt extinguishment, net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recognized net losses on debt extinguishment of $54.5 million and $0.5 million during the three months ended March 31, 2020 and 2019, respectively.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loss during the three months ended March 31, 2020 is attributable to (i) the payment of $30.7 million of redemption premiums and (ii) the write-off of $23.8 million of net unamortized deferred financing costs, discounts and premiums.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concerning our losses on debt extinguishment, net, see note 9 to our condensed consolidated financial statements.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33020</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All3Media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Formula 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890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89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3"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$10.8 million and $12.6 million, respectively, representing 100% of the interest earned on the VodafoneZiggo JV Receivable and (ii) our 50% share of the results of operations of the VodafoneZiggo JV. The summarized results of operations of the VodafoneZiggo JV are set forth below:</w:t>
      </w:r>
    </w:p>
    <w:p>
      <w:pPr>
        <w:spacing w:after="0" w:line="130" w:lineRule="exact"/>
        <w:rPr>
          <w:sz w:val="20"/>
          <w:szCs w:val="20"/>
          <w:color w:val="auto"/>
        </w:rPr>
      </w:pPr>
    </w:p>
    <w:p>
      <w:pPr>
        <w:jc w:val="center"/>
        <w:ind w:left="77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7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33020</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2"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income (expense) (1)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Includes interest expense of $151.7 million and $164.5 million, respectively.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VodafoneZiggo JV is experiencing significant competition. In particular, the mobile operations of the VodafoneZiggo JV continue to experience competitive pressure on pricing. In light of this competition, as well as regulatory and economic factors (including with respect to COVID-19</w:t>
      </w:r>
      <w:r>
        <w:rPr>
          <w:rFonts w:ascii="Arial" w:cs="Arial" w:eastAsia="Arial" w:hAnsi="Arial"/>
          <w:sz w:val="17"/>
          <w:szCs w:val="17"/>
          <w:b w:val="1"/>
          <w:bCs w:val="1"/>
          <w:color w:val="auto"/>
        </w:rPr>
        <w:t>)</w:t>
      </w:r>
      <w:r>
        <w:rPr>
          <w:rFonts w:ascii="Arial" w:cs="Arial" w:eastAsia="Arial" w:hAnsi="Arial"/>
          <w:sz w:val="17"/>
          <w:szCs w:val="17"/>
          <w:color w:val="auto"/>
        </w:rPr>
        <w:t>, we could conclude in future periods that our investment in the VodafoneZiggo JV is impaired or management of the VodafoneZiggo JV could conclude that an impairment of the VodafoneZiggo JV’s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41" w:right="339" w:bottom="1440" w:gutter="0" w:footer="0" w:header="0"/>
        </w:sectPr>
      </w:pPr>
    </w:p>
    <w:bookmarkStart w:id="67" w:name="page68"/>
    <w:bookmarkEnd w:id="67"/>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other income, net, of $52.4 million and $6.5 million for the three months ended March 31, 2020 and 2019, respectively. These amounts include (i) interest and dividend income of $31.6 million and $3.0 million, respectively, and (ii) credits related to the non-service components of our net periodic pension costs of $4.5 million and $3.3 million, respectively. In addition, other income, net, for the three months ended March 31, 2020 includes a $15.3 million gain related to certain assets that were contributed to a joint venture.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income tax expense of $80.1 million and $27.8 million during the three months ended March 31, 2020 and 2019, respectively.</w:t>
      </w: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income tax expense during the three months ended March 31, 2020 differs from the expected income tax expense of $192.1 million (based on the U.K. blended income tax rate of 17.5%) primarily due to the net positive impact of (i) non-deductible or non-taxable foreign currency exchange results and</w:t>
      </w:r>
    </w:p>
    <w:p>
      <w:pPr>
        <w:ind w:right="20" w:firstLine="8"/>
        <w:spacing w:after="0" w:line="260"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benefits associated with technology innovation incentives. The net positive impact of these items was partially offset by the negative impact of a net increase in valuation allowances.</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income tax expense during the three months ended March 31, 2019 differs from the expected income tax benefit of $53.0 million (based on the U.K. statutory income tax rate of 19.0%) primarily due to the net negative impact of certain permanent differences between the financial and tax accounting treatment of (i) items associated with investments in subsidiaries and (ii) interest and other items. The net negative impact of these items was partially offset by the net positive impact of non-deductible or non-taxable foreign currency exchange results.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11 to our condensed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March 31, 2020 and 2019, we reported earnings (loss) from continuing operations of $1,017.7 million and ($306.9 million), respectively, consisting of (i) operating income of $280.6 million and $105.5 million, respectively, (ii) net non-operating income (expense) of $817.2 million and ($384.6 million), respectively, and (iii) income tax expense of $80.1 million and $27.8 million, respectively.</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Due largely to the fact that we seek to maintain our debt at levels that provide for attractive equity returns, as discussed below under </w:t>
      </w:r>
      <w:r>
        <w:rPr>
          <w:rFonts w:ascii="Arial" w:cs="Arial" w:eastAsia="Arial" w:hAnsi="Arial"/>
          <w:sz w:val="16"/>
          <w:szCs w:val="16"/>
          <w:i w:val="1"/>
          <w:iCs w:val="1"/>
          <w:color w:val="auto"/>
        </w:rPr>
        <w:t>Material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Financial Condition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Capitalization</w:t>
      </w:r>
      <w:r>
        <w:rPr>
          <w:rFonts w:ascii="Arial" w:cs="Arial" w:eastAsia="Arial" w:hAnsi="Arial"/>
          <w:sz w:val="16"/>
          <w:szCs w:val="16"/>
          <w:color w:val="auto"/>
        </w:rPr>
        <w:t>, we expect we will continue to report significant levels of interest expense for the foreseeable future.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6"/>
          <w:szCs w:val="16"/>
          <w:i w:val="1"/>
          <w:iCs w:val="1"/>
          <w:color w:val="auto"/>
        </w:rPr>
        <w:t>Overview</w:t>
      </w:r>
      <w:r>
        <w:rPr>
          <w:rFonts w:ascii="Arial" w:cs="Arial" w:eastAsia="Arial" w:hAnsi="Arial"/>
          <w:sz w:val="16"/>
          <w:szCs w:val="16"/>
          <w:color w:val="auto"/>
        </w:rPr>
        <w:t xml:space="preserve"> above. For information concerning the reasons for changes in specific line items in our condensed consolidated statements of operations, see </w:t>
      </w:r>
      <w:r>
        <w:rPr>
          <w:rFonts w:ascii="Arial" w:cs="Arial" w:eastAsia="Arial" w:hAnsi="Arial"/>
          <w:sz w:val="16"/>
          <w:szCs w:val="16"/>
          <w:i w:val="1"/>
          <w:iCs w:val="1"/>
          <w:color w:val="auto"/>
        </w:rPr>
        <w:t>Discussion and Analysis of our Reportable Segments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Discussion and Analysis of our Consolidated Operating Results</w:t>
      </w:r>
      <w:r>
        <w:rPr>
          <w:rFonts w:ascii="Arial" w:cs="Arial" w:eastAsia="Arial" w:hAnsi="Arial"/>
          <w:sz w:val="16"/>
          <w:szCs w:val="16"/>
          <w:color w:val="auto"/>
        </w:rPr>
        <w:t xml:space="preserve"> above.</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reported earnings from discontinued operations, net of taxes, of $322.6 million during the three months ended March 31, 2019 related to the operations of the Vodafone Disposal Group and UPC DTH. For additional information, see note 4 to our condensed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41" w:right="339" w:bottom="1440" w:gutter="0" w:footer="0" w:header="0"/>
        </w:sectPr>
      </w:pPr>
    </w:p>
    <w:bookmarkStart w:id="68" w:name="page69"/>
    <w:bookmarkEnd w:id="68"/>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earnings attributable to noncontrolling interests increased $59.2 million during the three months ended March 31, 2020, as compared to the corresponding period in 2019, primarily attributable to the results of operations of Telenet.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March 31, 2020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Liberty Global (a)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r>
      <w:tr>
        <w:trPr>
          <w:trHeight w:val="243"/>
        </w:trPr>
        <w:tc>
          <w:tcPr>
            <w:tcW w:w="10020" w:type="dxa"/>
            <w:vAlign w:val="bottom"/>
          </w:tcPr>
          <w:p>
            <w:pPr>
              <w:ind w:left="280"/>
              <w:spacing w:after="0"/>
              <w:rPr>
                <w:sz w:val="20"/>
                <w:szCs w:val="20"/>
                <w:color w:val="auto"/>
              </w:rPr>
            </w:pPr>
            <w:r>
              <w:rPr>
                <w:rFonts w:ascii="Arial" w:cs="Arial" w:eastAsia="Arial" w:hAnsi="Arial"/>
                <w:sz w:val="18"/>
                <w:szCs w:val="18"/>
                <w:color w:val="auto"/>
              </w:rPr>
              <w:t>Unrestricted subsidiaries (b)</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5,147.2</w:t>
            </w:r>
          </w:p>
        </w:tc>
      </w:tr>
      <w:tr>
        <w:trPr>
          <w:trHeight w:val="27"/>
        </w:trPr>
        <w:tc>
          <w:tcPr>
            <w:tcW w:w="10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10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Liberty Global and unrestricted subsidiaries</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5,240.0</w:t>
            </w: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40"/>
        </w:trPr>
        <w:tc>
          <w:tcPr>
            <w:tcW w:w="10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Telenet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r>
      <w:tr>
        <w:trPr>
          <w:trHeight w:val="243"/>
        </w:trPr>
        <w:tc>
          <w:tcPr>
            <w:tcW w:w="10020" w:type="dxa"/>
            <w:vAlign w:val="bottom"/>
          </w:tcPr>
          <w:p>
            <w:pPr>
              <w:ind w:left="280"/>
              <w:spacing w:after="0"/>
              <w:rPr>
                <w:sz w:val="20"/>
                <w:szCs w:val="20"/>
                <w:color w:val="auto"/>
              </w:rPr>
            </w:pPr>
            <w:r>
              <w:rPr>
                <w:rFonts w:ascii="Arial" w:cs="Arial" w:eastAsia="Arial" w:hAnsi="Arial"/>
                <w:sz w:val="18"/>
                <w:szCs w:val="18"/>
                <w:color w:val="auto"/>
              </w:rPr>
              <w:t>Virgin Media (d)</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10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UPC Holding</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37"/>
        </w:trPr>
        <w:tc>
          <w:tcPr>
            <w:tcW w:w="10020" w:type="dxa"/>
            <w:vAlign w:val="bottom"/>
          </w:tcPr>
          <w:p>
            <w:pPr>
              <w:ind w:left="440"/>
              <w:spacing w:after="0"/>
              <w:rPr>
                <w:sz w:val="20"/>
                <w:szCs w:val="20"/>
                <w:color w:val="auto"/>
              </w:rPr>
            </w:pPr>
            <w:r>
              <w:rPr>
                <w:rFonts w:ascii="Arial" w:cs="Arial" w:eastAsia="Arial" w:hAnsi="Arial"/>
                <w:sz w:val="18"/>
                <w:szCs w:val="18"/>
                <w:color w:val="auto"/>
              </w:rPr>
              <w:t>Total borrowing groups</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200.5</w:t>
            </w:r>
          </w:p>
        </w:tc>
      </w:tr>
      <w:tr>
        <w:trPr>
          <w:trHeight w:val="27"/>
        </w:trPr>
        <w:tc>
          <w:tcPr>
            <w:tcW w:w="10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$92.8 million of cash and cash equivalents held by Liberty Global and, subject to certain tax and legal considerations, the $5,147.2 million of aggregate cash and cash equivalents held by unrestricted subsidiaries, together with the $1,974.0 million of investments held under SMAs, represented available liquidity at the corporate level at March 31, 2020. Our remaining cash and cash equivalents of $200.5 million at March 31, 2020 were held by our borrowing groups, as set forth in the table above. As noted above, various factors may limit our ability to access the cash of our borrowing groups. For information regarding certain limitations imposed by our subsidiaries’ debt instruments at March 31, 2020, see note 9 to our condensed consolidated financial statements.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dividends received from the VodafoneZiggo JV, (iv) principal and interest payments received with respect to the VodafoneZiggo JV Receivable and (v) cash received with respect to transitional and other services provided to various third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324"/>
        <w:spacing w:after="0" w:line="254" w:lineRule="auto"/>
        <w:rPr>
          <w:sz w:val="20"/>
          <w:szCs w:val="20"/>
          <w:color w:val="auto"/>
        </w:rPr>
      </w:pPr>
      <w:r>
        <w:rPr>
          <w:rFonts w:ascii="Arial" w:cs="Arial" w:eastAsia="Arial" w:hAnsi="Arial"/>
          <w:sz w:val="18"/>
          <w:szCs w:val="18"/>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March 31, 2020, our consolidated cash and cash equivalents balance included $5,333.6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corporate liquidity requirements include (i) corporate general and administrative expenses, (ii) interest payments on the ITV Collar Loan and (iii) principal payments on the ITV Collar Loan and the Lionsgate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$7.9 million at March 31, 2020 with varying maturity dates).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the aggregate amount of our share repurchases was $224.4 million, including direct acquisition costs. At March 31, 2020, the remaining amount authorized for share repurchases was $842.7 million. For additional information, see note 12 to our condensed consolidated financial statements.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March 31, 2020, see note 9 to our condensed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w:t>
      </w:r>
    </w:p>
    <w:p>
      <w:pPr>
        <w:spacing w:after="0" w:line="4" w:lineRule="exact"/>
        <w:rPr>
          <w:sz w:val="20"/>
          <w:szCs w:val="20"/>
          <w:color w:val="auto"/>
        </w:rPr>
      </w:pPr>
    </w:p>
    <w:p>
      <w:pPr>
        <w:ind w:firstLine="8"/>
        <w:spacing w:after="0" w:line="260" w:lineRule="auto"/>
        <w:tabs>
          <w:tab w:leader="none" w:pos="3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capital distributions to Liberty Global and other equity owners or (iv) the satisfaction of contingent liabilities. No assurance can be given that any external funding would be available to our borrowing groups on favorable terms, or at all.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our consolidated cash flows, see the discussion under </w:t>
      </w:r>
      <w:r>
        <w:rPr>
          <w:rFonts w:ascii="Arial" w:cs="Arial" w:eastAsia="Arial" w:hAnsi="Arial"/>
          <w:sz w:val="16"/>
          <w:szCs w:val="16"/>
          <w:i w:val="1"/>
          <w:iCs w:val="1"/>
          <w:color w:val="auto"/>
        </w:rPr>
        <w:t>Condensed Consolidated Statements of Cash Flows</w:t>
      </w:r>
      <w:r>
        <w:rPr>
          <w:rFonts w:ascii="Arial" w:cs="Arial" w:eastAsia="Arial" w:hAnsi="Arial"/>
          <w:sz w:val="16"/>
          <w:szCs w:val="16"/>
          <w:color w:val="auto"/>
        </w:rPr>
        <w:t xml:space="preserve"> below.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341" w:right="339" w:bottom="1440" w:gutter="0" w:footer="0" w:header="0"/>
        </w:sectPr>
      </w:pPr>
    </w:p>
    <w:bookmarkStart w:id="71" w:name="page72"/>
    <w:bookmarkEnd w:id="71"/>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March 31, 2020 consolidated debt to our consolidated Adjusted OIBDA for the last twelve months was 5.2x. In addition, the ratio of our March 31, 2020 consolidated net debt (debt, as defined above, less cash and cash equivalents and investments held under SMAs) to our consolidated Adjusted OIBDA for the last twelve months was 3.7x. Prior to December 31, 2019, we presented our debt and net debt ratios based on our annualized consolidated Adjusted OIBDA for the most recent quarter. Under this approach, our debt and net debt ratios were 5.5x and 3.8x, respectively.</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OIBDA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March 31, 2020,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8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March 31, 2020, the outstanding principal amount of our consolidated debt, together with our finance lease obligations, aggregated $27.5 billion, including $3.9 billion that is classified as current on our condensed consolidated balance sheet and $19.3 billion that is not due until 2026 or thereafter. All of our consolidated debt and finance lease obligations have been borrowed or incurred by our subsidiaries at March 31, 2020.</w:t>
      </w:r>
    </w:p>
    <w:p>
      <w:pPr>
        <w:spacing w:after="0" w:line="16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recent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information regarding the potential impact of the COVID-19 pandemic on our company’s liquidity, see the discussion included above in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For additional information concerning our debt and finance lease obligations, see notes 9 and 10, respectively, to our condensed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41" w:right="3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condensed consolidated statements of cash flows of our continuing operations for the three months ended March 31, 2020 and 2019 are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7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(1,981.5)</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increase in net cash provided by our operating activities is primarily attributable to the net effect of (i) an increase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due to lower payments for taxes, (ii) an increase in cash provided due to lower payments of interest, (iii) a decrease in the cash provided by our Adjusted OIBDA and related working capital items and (iv) a decrease in cash provided due to higher cash payments related to derivative instruments.</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by our investing activities is primarily attributable to the net effect of (i) an increase in cash used of</w:t>
      </w:r>
      <w:r>
        <w:rPr>
          <w:rFonts w:ascii="Arial" w:cs="Arial" w:eastAsia="Arial" w:hAnsi="Arial"/>
          <w:sz w:val="18"/>
          <w:szCs w:val="18"/>
          <w:i w:val="1"/>
          <w:iCs w:val="1"/>
          <w:color w:val="auto"/>
        </w:rPr>
        <w:t xml:space="preserve"> </w:t>
      </w:r>
      <w:r>
        <w:rPr>
          <w:rFonts w:ascii="Arial" w:cs="Arial" w:eastAsia="Arial" w:hAnsi="Arial"/>
          <w:sz w:val="18"/>
          <w:szCs w:val="18"/>
          <w:color w:val="auto"/>
        </w:rPr>
        <w:t>$3,179.7 million associated with higher cash paid for investments, primarily related to our investments held under SMAs, (ii) a decrease in cash used of $1,218.0 million as a result of the net cash received from the sale of investments, primarily related to our investments held under SMAs, and (iii) an increase in cash used of $16.5 million due to higher capital expenditures. Capital expenditures increased from $331.3 million during the first three months of 2019 to $347.8 million during the first three months of 2020 due to the net effect of (a) a decrease in proceeds received for transfers to related parties, (b) a decrease in our net local currency capital expenditures and related working capital movements, including the impact of lower capital-related vendor financing, and (c) a decrease due to FX.</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73" w:name="page74"/>
    <w:bookmarkEnd w:id="73"/>
    <w:p>
      <w:pPr>
        <w:jc w:val="both"/>
        <w:ind w:firstLine="324"/>
        <w:spacing w:after="0" w:line="271" w:lineRule="auto"/>
        <w:rPr>
          <w:sz w:val="20"/>
          <w:szCs w:val="20"/>
          <w:color w:val="auto"/>
        </w:rPr>
      </w:pPr>
      <w:r>
        <w:rPr>
          <w:rFonts w:ascii="Arial" w:cs="Arial" w:eastAsia="Arial" w:hAnsi="Arial"/>
          <w:sz w:val="17"/>
          <w:szCs w:val="17"/>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17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25"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Third-party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7"/>
        </w:trPr>
        <w:tc>
          <w:tcPr>
            <w:tcW w:w="86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Primarily relates to transfers of centrally-procured property and equipment to the VodafoneZiggo JV and our discontinued operations, as applicable.</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decrease in our property and equipment additions during the three months ended March 31, 2020, as compared to the corresponding period in 2019, is due to (i) a decrease in local currency expenditures of our subsidiaries due to the net effect of (a) a decrease in expenditures for the purchase and installation of customer premises equipment, (b) an increase in expenditures for new build and upgrade projects, (c) an increase in baseline expenditures, including network improvements and expenditures for property and facilities and information technology systems and (d) an increase in expenditures to support new customer products and operational efficiency initiatives and (ii) a decrease due to FX.</w:t>
      </w:r>
    </w:p>
    <w:p>
      <w:pPr>
        <w:spacing w:after="0" w:line="1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The increase in net cash used by our financing activities is primarily attributable to the net effect of (i) an increase in cash used of</w:t>
      </w:r>
      <w:r>
        <w:rPr>
          <w:rFonts w:ascii="Arial" w:cs="Arial" w:eastAsia="Arial" w:hAnsi="Arial"/>
          <w:sz w:val="16"/>
          <w:szCs w:val="16"/>
          <w:i w:val="1"/>
          <w:iCs w:val="1"/>
          <w:color w:val="auto"/>
        </w:rPr>
        <w:t xml:space="preserve"> </w:t>
      </w:r>
      <w:r>
        <w:rPr>
          <w:rFonts w:ascii="Arial" w:cs="Arial" w:eastAsia="Arial" w:hAnsi="Arial"/>
          <w:sz w:val="16"/>
          <w:szCs w:val="16"/>
          <w:color w:val="auto"/>
        </w:rPr>
        <w:t>$40.1 million due to higher payments for financing costs and debt premiums, (ii) a decrease in cash used of $25.3 million due to lower repurchases by Telenet of its outstanding shares and (iii) an increase in cash used of $20.3 million due to higher cash payments related to derivative instruments.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41" w:right="339" w:bottom="1440" w:gutter="0" w:footer="0" w:header="0"/>
        </w:sectPr>
      </w:pPr>
    </w:p>
    <w:bookmarkStart w:id="74" w:name="page75"/>
    <w:bookmarkEnd w:id="74"/>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condensed consolidated statements of cash flows.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33020</wp:posOffset>
            </wp:positionV>
            <wp:extent cx="1637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8"/>
                <w:szCs w:val="18"/>
                <w:color w:val="auto"/>
              </w:rPr>
            </w:pPr>
          </w:p>
        </w:tc>
      </w:tr>
      <w:tr>
        <w:trPr>
          <w:trHeight w:val="303"/>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financed by an intermediary (b)</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Principal payments on certain finance leases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w:t>
      </w:r>
    </w:p>
    <w:p>
      <w:pPr>
        <w:spacing w:after="0" w:line="211" w:lineRule="exact"/>
        <w:rPr>
          <w:sz w:val="20"/>
          <w:szCs w:val="20"/>
          <w:color w:val="auto"/>
        </w:rPr>
      </w:pPr>
    </w:p>
    <w:p>
      <w:pPr>
        <w:ind w:left="500" w:hanging="492"/>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2019 amount includes interest payments related to debt that was repaid in connection with the completion of the disposition of the Vodafone Disposal Group. These interest payments were not allocated to discontinued operations.</w:t>
      </w:r>
    </w:p>
    <w:p>
      <w:pPr>
        <w:spacing w:after="0" w:line="170"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57" w:right="339" w:bottom="1440" w:gutter="0" w:footer="0" w:header="0"/>
        </w:sectPr>
      </w:pPr>
    </w:p>
    <w:bookmarkStart w:id="75" w:name="page76"/>
    <w:bookmarkEnd w:id="75"/>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during: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18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(excluding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1,440.0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1,584.2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26,886.3</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w w:val="99"/>
              </w:rPr>
              <w:t>Finance leases (excluding interest)</w:t>
            </w: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2,083.9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1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8"/>
                <w:szCs w:val="18"/>
                <w:color w:val="auto"/>
              </w:rPr>
              <w:t>Total (a)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5,357.4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2,993.2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6"/>
              </w:rPr>
              <w:t>1,317.5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1,741.4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20,122.5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32,936.4</w:t>
            </w:r>
          </w:p>
        </w:tc>
        <w:tc>
          <w:tcPr>
            <w:tcW w:w="0" w:type="dxa"/>
            <w:vAlign w:val="bottom"/>
          </w:tcPr>
          <w:p>
            <w:pPr>
              <w:spacing w:after="0"/>
              <w:rPr>
                <w:sz w:val="1"/>
                <w:szCs w:val="1"/>
                <w:color w:val="auto"/>
              </w:rPr>
            </w:pPr>
          </w:p>
        </w:tc>
      </w:tr>
      <w:tr>
        <w:trPr>
          <w:trHeight w:val="67"/>
        </w:trPr>
        <w:tc>
          <w:tcPr>
            <w:tcW w:w="28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8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Projected cash interest payments 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debt and finance lease obligations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777.9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6"/>
              </w:rPr>
              <w:t>1,006.3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964.8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815.0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2,171.4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7,650.4</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jc w:val="both"/>
        <w:ind w:left="500" w:hanging="492"/>
        <w:spacing w:after="0" w:line="259"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commitments included in this table do not reflect any liabilities that are included in our March 31, 2020 condensed consolidated balance sheet other than debt and finance and operating lease obligations. Our liability for uncertain tax positions in the various jurisdictions in which we operate ($577.3 million at March 31, 2020) has been excluded from the table as the amount and timing of any related payments are not subject to reasonable estimation.</w:t>
      </w:r>
    </w:p>
    <w:p>
      <w:pPr>
        <w:spacing w:after="0" w:line="186" w:lineRule="exact"/>
        <w:rPr>
          <w:rFonts w:ascii="Arial" w:cs="Arial" w:eastAsia="Arial" w:hAnsi="Arial"/>
          <w:sz w:val="18"/>
          <w:szCs w:val="18"/>
          <w:color w:val="auto"/>
        </w:rPr>
      </w:pPr>
    </w:p>
    <w:p>
      <w:pPr>
        <w:jc w:val="both"/>
        <w:ind w:left="500" w:hanging="492"/>
        <w:spacing w:after="0" w:line="311" w:lineRule="auto"/>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March 31, 2020.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obligations, finance and operating lease liabilities and commitments, see notes 9, 10 and 16, respectively, to our condensed consolidated financial statements.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the three months ended March 31, 2020 and 2019, see note 6 to our condensed consolidated financial statements. For information regarding projected cash flows associated with these derivative instruments, see Part I, Item</w:t>
      </w:r>
    </w:p>
    <w:p>
      <w:pPr>
        <w:spacing w:after="0" w:line="1" w:lineRule="exact"/>
        <w:rPr>
          <w:sz w:val="20"/>
          <w:szCs w:val="20"/>
          <w:color w:val="auto"/>
        </w:rPr>
      </w:pPr>
    </w:p>
    <w:p>
      <w:pPr>
        <w:ind w:left="5540" w:right="1480" w:hanging="5532"/>
        <w:spacing w:after="0" w:line="761" w:lineRule="auto"/>
        <w:tabs>
          <w:tab w:leader="none" w:pos="19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 Projected Cash Flows Associated with Derivative Instruments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The information in this section should be read in conjunction with the more complete discussion that appears under Part II,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Qualitative Disclosures About Market Risk </w:t>
      </w:r>
      <w:r>
        <w:rPr>
          <w:rFonts w:ascii="Arial" w:cs="Arial" w:eastAsia="Arial" w:hAnsi="Arial"/>
          <w:sz w:val="17"/>
          <w:szCs w:val="17"/>
          <w:color w:val="auto"/>
        </w:rPr>
        <w:t>in our 10-K. The following discussion updates selected numerical information to March 31, 2020.</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convenience translations into U.S. dollars are calculated as of March 31, 2020.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March 31, 2020, $5,004.2 million or 92.0% and $313.7 million or 5.8% of our consolidated cash balances were denominated in U.S. dollars and euros, respectively.</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March 31,</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7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00" w:type="dxa"/>
            <w:vAlign w:val="bottom"/>
            <w:vMerge w:val="restart"/>
          </w:tcPr>
          <w:p>
            <w:pPr>
              <w:spacing w:after="0"/>
              <w:rPr>
                <w:sz w:val="20"/>
                <w:szCs w:val="20"/>
                <w:color w:val="auto"/>
              </w:rPr>
            </w:pPr>
            <w:r>
              <w:rPr>
                <w:rFonts w:ascii="Arial" w:cs="Arial" w:eastAsia="Arial" w:hAnsi="Arial"/>
                <w:sz w:val="16"/>
                <w:szCs w:val="16"/>
                <w:b w:val="1"/>
                <w:bCs w:val="1"/>
                <w:color w:val="auto"/>
              </w:rPr>
              <w:t>Spot rates:</w:t>
            </w: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0.9115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0.8906</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0.8066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0.7540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0.9664</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4.1565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3.7906</w:t>
            </w:r>
          </w:p>
        </w:tc>
        <w:tc>
          <w:tcPr>
            <w:tcW w:w="0" w:type="dxa"/>
            <w:vAlign w:val="bottom"/>
          </w:tcPr>
          <w:p>
            <w:pPr>
              <w:spacing w:after="0"/>
              <w:rPr>
                <w:sz w:val="1"/>
                <w:szCs w:val="1"/>
                <w:color w:val="auto"/>
              </w:rPr>
            </w:pPr>
          </w:p>
        </w:tc>
      </w:tr>
      <w:tr>
        <w:trPr>
          <w:trHeight w:val="588"/>
        </w:trPr>
        <w:tc>
          <w:tcPr>
            <w:tcW w:w="36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88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61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Average rates:</w:t>
            </w:r>
          </w:p>
        </w:tc>
        <w:tc>
          <w:tcPr>
            <w:tcW w:w="48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640" w:type="dxa"/>
            <w:vAlign w:val="bottom"/>
            <w:vMerge w:val="continue"/>
          </w:tcPr>
          <w:p>
            <w:pPr>
              <w:spacing w:after="0"/>
              <w:rPr>
                <w:sz w:val="17"/>
                <w:szCs w:val="17"/>
                <w:color w:val="auto"/>
              </w:rPr>
            </w:pPr>
          </w:p>
        </w:tc>
        <w:tc>
          <w:tcPr>
            <w:tcW w:w="4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4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0.8807</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0.7819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0.7679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61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0.9683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0.9972</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6160" w:type="dxa"/>
            <w:vAlign w:val="bottom"/>
            <w:gridSpan w:val="2"/>
          </w:tcPr>
          <w:p>
            <w:pPr>
              <w:jc w:val="right"/>
              <w:ind w:right="39"/>
              <w:spacing w:after="0"/>
              <w:rPr>
                <w:sz w:val="20"/>
                <w:szCs w:val="20"/>
                <w:color w:val="auto"/>
              </w:rPr>
            </w:pPr>
            <w:r>
              <w:rPr>
                <w:rFonts w:ascii="Arial" w:cs="Arial" w:eastAsia="Arial" w:hAnsi="Arial"/>
                <w:sz w:val="18"/>
                <w:szCs w:val="18"/>
                <w:color w:val="auto"/>
              </w:rPr>
              <w:t>3.9220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3.7892</w:t>
            </w:r>
          </w:p>
        </w:tc>
        <w:tc>
          <w:tcPr>
            <w:tcW w:w="0" w:type="dxa"/>
            <w:vAlign w:val="bottom"/>
          </w:tcPr>
          <w:p>
            <w:pPr>
              <w:spacing w:after="0"/>
              <w:rPr>
                <w:sz w:val="1"/>
                <w:szCs w:val="1"/>
                <w:color w:val="auto"/>
              </w:rPr>
            </w:pPr>
          </w:p>
        </w:tc>
      </w:tr>
      <w:tr>
        <w:trPr>
          <w:trHeight w:val="459"/>
        </w:trPr>
        <w:tc>
          <w:tcPr>
            <w:tcW w:w="3640" w:type="dxa"/>
            <w:vAlign w:val="bottom"/>
          </w:tcPr>
          <w:p>
            <w:pPr>
              <w:spacing w:after="0"/>
              <w:rPr>
                <w:sz w:val="24"/>
                <w:szCs w:val="24"/>
                <w:color w:val="auto"/>
              </w:rPr>
            </w:pPr>
          </w:p>
        </w:tc>
        <w:tc>
          <w:tcPr>
            <w:tcW w:w="4800" w:type="dxa"/>
            <w:vAlign w:val="bottom"/>
          </w:tcPr>
          <w:p>
            <w:pPr>
              <w:jc w:val="right"/>
              <w:ind w:right="2631"/>
              <w:spacing w:after="0"/>
              <w:rPr>
                <w:sz w:val="20"/>
                <w:szCs w:val="20"/>
                <w:color w:val="auto"/>
              </w:rPr>
            </w:pPr>
            <w:r>
              <w:rPr>
                <w:rFonts w:ascii="Arial" w:cs="Arial" w:eastAsia="Arial" w:hAnsi="Arial"/>
                <w:sz w:val="18"/>
                <w:szCs w:val="18"/>
                <w:color w:val="auto"/>
              </w:rPr>
              <w:t>73</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77" w:name="page78"/>
    <w:bookmarkEnd w:id="77"/>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interest rate cap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March 31, 2020, the outstanding principal amount of our variable-rate indebtedness aggregated $12.6</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3.1%,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$63.0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557" w:right="339" w:bottom="1440" w:gutter="0" w:footer="0" w:header="0"/>
        </w:sectPr>
      </w:pPr>
    </w:p>
    <w:bookmarkStart w:id="78" w:name="page79"/>
    <w:bookmarkEnd w:id="78"/>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6 and 7 to our condensed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2020:</w:t>
      </w:r>
    </w:p>
    <w:p>
      <w:pPr>
        <w:spacing w:after="0" w:line="225" w:lineRule="exact"/>
        <w:rPr>
          <w:sz w:val="20"/>
          <w:szCs w:val="20"/>
          <w:color w:val="auto"/>
        </w:rPr>
      </w:pPr>
    </w:p>
    <w:p>
      <w:pPr>
        <w:jc w:val="both"/>
        <w:ind w:left="820" w:hanging="488"/>
        <w:spacing w:after="0" w:line="263"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British pound sterling relative to the U.S. dollar would have decreased (increased) the aggregate fair value of the Virgin Media cross-currency and interest rate derivative contracts by approximately £597 million ($741 million); and</w:t>
      </w:r>
    </w:p>
    <w:p>
      <w:pPr>
        <w:spacing w:after="0" w:line="183" w:lineRule="exact"/>
        <w:rPr>
          <w:rFonts w:ascii="Arial" w:cs="Arial" w:eastAsia="Arial" w:hAnsi="Arial"/>
          <w:sz w:val="18"/>
          <w:szCs w:val="18"/>
          <w:color w:val="auto"/>
        </w:rPr>
      </w:pPr>
    </w:p>
    <w:p>
      <w:pPr>
        <w:ind w:left="820" w:right="20" w:hanging="488"/>
        <w:spacing w:after="0" w:line="308" w:lineRule="auto"/>
        <w:tabs>
          <w:tab w:leader="none" w:pos="8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Virgin Media cross-currency and interest rate derivative contracts by approximately £66 million ($82 million).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2020:</w:t>
      </w:r>
    </w:p>
    <w:p>
      <w:pPr>
        <w:spacing w:after="0" w:line="225" w:lineRule="exact"/>
        <w:rPr>
          <w:sz w:val="20"/>
          <w:szCs w:val="20"/>
          <w:color w:val="auto"/>
        </w:rPr>
      </w:pPr>
    </w:p>
    <w:p>
      <w:pPr>
        <w:jc w:val="both"/>
        <w:ind w:left="820" w:hanging="488"/>
        <w:spacing w:after="0" w:line="263" w:lineRule="auto"/>
        <w:tabs>
          <w:tab w:leader="none" w:pos="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€369 million ($405 million); and</w:t>
      </w:r>
    </w:p>
    <w:p>
      <w:pPr>
        <w:spacing w:after="0" w:line="183" w:lineRule="exact"/>
        <w:rPr>
          <w:rFonts w:ascii="Arial" w:cs="Arial" w:eastAsia="Arial" w:hAnsi="Arial"/>
          <w:sz w:val="18"/>
          <w:szCs w:val="18"/>
          <w:color w:val="auto"/>
        </w:rPr>
      </w:pPr>
    </w:p>
    <w:p>
      <w:pPr>
        <w:ind w:left="820" w:hanging="488"/>
        <w:spacing w:after="0" w:line="342" w:lineRule="auto"/>
        <w:tabs>
          <w:tab w:leader="none" w:pos="8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Swiss franc relative to the U.S. dollar would have decreased (increased) the aggregate fair value of the UPC Holding cross-currency and interest rate derivative contracts by approximately €101 million ($111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March 31, 2020:</w:t>
      </w:r>
    </w:p>
    <w:p>
      <w:pPr>
        <w:spacing w:after="0" w:line="225" w:lineRule="exact"/>
        <w:rPr>
          <w:sz w:val="20"/>
          <w:szCs w:val="20"/>
          <w:color w:val="auto"/>
        </w:rPr>
      </w:pPr>
    </w:p>
    <w:p>
      <w:pPr>
        <w:ind w:left="820" w:hanging="488"/>
        <w:spacing w:after="0" w:line="308" w:lineRule="auto"/>
        <w:tabs>
          <w:tab w:leader="none" w:pos="8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€363 million ($398 million); and</w:t>
      </w:r>
    </w:p>
    <w:p>
      <w:pPr>
        <w:spacing w:after="0" w:line="146" w:lineRule="exact"/>
        <w:rPr>
          <w:rFonts w:ascii="Arial" w:cs="Arial" w:eastAsia="Arial" w:hAnsi="Arial"/>
          <w:sz w:val="17"/>
          <w:szCs w:val="17"/>
          <w:color w:val="auto"/>
        </w:rPr>
      </w:pPr>
    </w:p>
    <w:p>
      <w:pPr>
        <w:ind w:left="820" w:right="20" w:hanging="488"/>
        <w:spacing w:after="0" w:line="308" w:lineRule="auto"/>
        <w:tabs>
          <w:tab w:leader="none" w:pos="8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Telenet cross-currency and interest rate derivative contracts by approximately €107 million ($117 million).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41" w:right="339" w:bottom="1440" w:gutter="0" w:footer="0" w:header="0"/>
        </w:sectPr>
      </w:pPr>
    </w:p>
    <w:bookmarkStart w:id="79" w:name="page80"/>
    <w:bookmarkEnd w:id="79"/>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provides information regarding the projected cash flows associated with our derivative instruments. The U.S. dollar equivalents presented below are based on interest rate projections and exchange rates as of March 31, 2020.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8"/>
          </w:tcPr>
          <w:p>
            <w:pPr>
              <w:ind w:left="60"/>
              <w:spacing w:after="0"/>
              <w:rPr>
                <w:sz w:val="20"/>
                <w:szCs w:val="20"/>
                <w:color w:val="auto"/>
              </w:rPr>
            </w:pPr>
            <w:r>
              <w:rPr>
                <w:rFonts w:ascii="Arial" w:cs="Arial" w:eastAsia="Arial" w:hAnsi="Arial"/>
                <w:sz w:val="16"/>
                <w:szCs w:val="16"/>
                <w:b w:val="1"/>
                <w:bCs w:val="1"/>
                <w:color w:val="auto"/>
              </w:rPr>
              <w:t>Payments (receipts) due during: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Remainder</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of 2020</w:t>
            </w: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700" w:type="dxa"/>
            <w:vAlign w:val="bottom"/>
          </w:tcPr>
          <w:p>
            <w:pPr>
              <w:ind w:left="40"/>
              <w:spacing w:after="0"/>
              <w:rPr>
                <w:sz w:val="20"/>
                <w:szCs w:val="20"/>
                <w:color w:val="auto"/>
              </w:rPr>
            </w:pPr>
            <w:r>
              <w:rPr>
                <w:rFonts w:ascii="Arial" w:cs="Arial" w:eastAsia="Arial" w:hAnsi="Arial"/>
                <w:sz w:val="18"/>
                <w:szCs w:val="18"/>
                <w:color w:val="auto"/>
                <w:w w:val="92"/>
              </w:rPr>
              <w:t>Projected derivative cash payments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00" w:type="dxa"/>
            <w:vAlign w:val="bottom"/>
          </w:tcPr>
          <w:p>
            <w:pPr>
              <w:jc w:val="center"/>
              <w:ind w:right="1170"/>
              <w:spacing w:after="0"/>
              <w:rPr>
                <w:sz w:val="20"/>
                <w:szCs w:val="20"/>
                <w:color w:val="auto"/>
              </w:rPr>
            </w:pPr>
            <w:r>
              <w:rPr>
                <w:rFonts w:ascii="Arial" w:cs="Arial" w:eastAsia="Arial" w:hAnsi="Arial"/>
                <w:sz w:val="18"/>
                <w:szCs w:val="18"/>
                <w:color w:val="auto"/>
                <w:w w:val="90"/>
              </w:rPr>
              <w:t>(receipts),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Interest-related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2700" w:type="dxa"/>
            <w:vAlign w:val="bottom"/>
          </w:tcPr>
          <w:p>
            <w:pPr>
              <w:ind w:left="280"/>
              <w:spacing w:after="0"/>
              <w:rPr>
                <w:sz w:val="20"/>
                <w:szCs w:val="20"/>
                <w:color w:val="auto"/>
              </w:rPr>
            </w:pPr>
            <w:r>
              <w:rPr>
                <w:rFonts w:ascii="Arial" w:cs="Arial" w:eastAsia="Arial" w:hAnsi="Arial"/>
                <w:sz w:val="18"/>
                <w:szCs w:val="18"/>
                <w:color w:val="auto"/>
              </w:rPr>
              <w:t>Principal-related (b)</w:t>
            </w: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(962.7)</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(2,017.7)</w:t>
            </w:r>
          </w:p>
        </w:tc>
        <w:tc>
          <w:tcPr>
            <w:tcW w:w="0" w:type="dxa"/>
            <w:vAlign w:val="bottom"/>
          </w:tcPr>
          <w:p>
            <w:pPr>
              <w:spacing w:after="0"/>
              <w:rPr>
                <w:sz w:val="1"/>
                <w:szCs w:val="1"/>
                <w:color w:val="auto"/>
              </w:rPr>
            </w:pPr>
          </w:p>
        </w:tc>
      </w:tr>
      <w:tr>
        <w:trPr>
          <w:trHeight w:val="27"/>
        </w:trPr>
        <w:tc>
          <w:tcPr>
            <w:tcW w:w="2700" w:type="dxa"/>
            <w:vAlign w:val="bottom"/>
            <w:vMerge w:val="restart"/>
          </w:tcPr>
          <w:p>
            <w:pPr>
              <w:jc w:val="right"/>
              <w:ind w:right="1190"/>
              <w:spacing w:after="0"/>
              <w:rPr>
                <w:sz w:val="20"/>
                <w:szCs w:val="20"/>
                <w:color w:val="auto"/>
              </w:rPr>
            </w:pPr>
            <w:r>
              <w:rPr>
                <w:rFonts w:ascii="Arial" w:cs="Arial" w:eastAsia="Arial" w:hAnsi="Arial"/>
                <w:sz w:val="18"/>
                <w:szCs w:val="18"/>
                <w:color w:val="auto"/>
                <w:w w:val="93"/>
              </w:rPr>
              <w:t>_______________</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swaption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March 31, 2020.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March 31, 2020 effectively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addition to the other information contained in this Quarterly Report on Form 10-Q, you should consider the following risk factor, which supplements those contained in our most recently filed Annual Report on Form 10-K, as amended (our </w:t>
      </w:r>
      <w:r>
        <w:rPr>
          <w:rFonts w:ascii="Arial" w:cs="Arial" w:eastAsia="Arial" w:hAnsi="Arial"/>
          <w:sz w:val="18"/>
          <w:szCs w:val="18"/>
          <w:b w:val="1"/>
          <w:bCs w:val="1"/>
          <w:color w:val="auto"/>
        </w:rPr>
        <w:t>10-K</w:t>
      </w:r>
      <w:r>
        <w:rPr>
          <w:rFonts w:ascii="Arial" w:cs="Arial" w:eastAsia="Arial" w:hAnsi="Arial"/>
          <w:sz w:val="18"/>
          <w:szCs w:val="18"/>
          <w:color w:val="auto"/>
        </w:rPr>
        <w:t>), in evaluating our results of operations, financial condition, business and operations or an investment in the shares of our company. Other than the risk factor set forth below, there have been no material changes from the risk factors disclosed in our 10-K.</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 are exposed to the risks arising from widespread epidemic diseases in the countries in which we operate, such as the recent outbreak of COVID-19, which could have a material adverse impact on our business, financial condition and results of operations. </w:t>
      </w:r>
      <w:r>
        <w:rPr>
          <w:rFonts w:ascii="Arial" w:cs="Arial" w:eastAsia="Arial" w:hAnsi="Arial"/>
          <w:sz w:val="17"/>
          <w:szCs w:val="17"/>
          <w:color w:val="auto"/>
        </w:rPr>
        <w:t>In March 2020, the World Health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declared the recent outbreak of a novel strain of coronavirus (</w:t>
      </w:r>
      <w:r>
        <w:rPr>
          <w:rFonts w:ascii="Arial" w:cs="Arial" w:eastAsia="Arial" w:hAnsi="Arial"/>
          <w:sz w:val="17"/>
          <w:szCs w:val="17"/>
          <w:b w:val="1"/>
          <w:bCs w:val="1"/>
          <w:color w:val="auto"/>
        </w:rPr>
        <w:t>COVID-19</w:t>
      </w:r>
      <w:r>
        <w:rPr>
          <w:rFonts w:ascii="Arial" w:cs="Arial" w:eastAsia="Arial" w:hAnsi="Arial"/>
          <w:sz w:val="17"/>
          <w:szCs w:val="17"/>
          <w:color w:val="auto"/>
        </w:rPr>
        <w:t>) to be a global pandemic. In response to the COVID-19 pandemic, emergency measures have been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 including with respect to, among other items, (1) our ability to access capital necessary to fund property and equipment additions, debt service requirements, acquisitions and other investment opportunities, the repurchase of equity securities or other liquidity needs, (2) the ability of our customers to pay for our products and services, (3) our ability to maintain or increase our residential and business subscriber levels, (4) our ability to offer attractive programming, particularly in consideration of the recent cancellation of numerous worldwide sporting events, (5) the ability of our suppliers and vendors to provide products and services to us and (6) our share price. We may also be adversely impacted by any government mandated regulations on our business that could be implemented in response to the COVID-19 pandemic. In addition, countries may seek new or increased revenue sources due to fiscal deficits that result from measures taken to mitigate the adverse economic impacts of COVID-19, such as by imposing new taxes on the products and services we provide. We are currently unable to predict the extent of any of these potential adverse effects.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r>
      <w:tr>
        <w:trPr>
          <w:trHeight w:val="203"/>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Total number of</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dollar value of</w:t>
            </w:r>
          </w:p>
        </w:tc>
      </w:tr>
      <w:tr>
        <w:trPr>
          <w:trHeight w:val="203"/>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 purchased as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shares that may</w:t>
            </w:r>
          </w:p>
        </w:tc>
      </w:tr>
      <w:tr>
        <w:trPr>
          <w:trHeight w:val="203"/>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part of publicly</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yet be purchased</w:t>
            </w:r>
          </w:p>
        </w:tc>
      </w:tr>
      <w:tr>
        <w:trPr>
          <w:trHeight w:val="203"/>
        </w:trPr>
        <w:tc>
          <w:tcPr>
            <w:tcW w:w="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 of</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announced plans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 or</w:t>
            </w:r>
          </w:p>
        </w:tc>
      </w:tr>
      <w:tr>
        <w:trPr>
          <w:trHeight w:val="210"/>
        </w:trPr>
        <w:tc>
          <w:tcPr>
            <w:tcW w:w="478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 purchased</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 per share (a)</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or programs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r>
      <w:tr>
        <w:trPr>
          <w:trHeight w:val="33"/>
        </w:trPr>
        <w:tc>
          <w:tcPr>
            <w:tcW w:w="680" w:type="dxa"/>
            <w:vAlign w:val="bottom"/>
            <w:tcBorders>
              <w:bottom w:val="single" w:sz="8" w:color="auto"/>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680" w:type="dxa"/>
            <w:vAlign w:val="bottom"/>
            <w:shd w:val="clear" w:color="auto" w:fill="CCEEFF"/>
          </w:tcPr>
          <w:p>
            <w:pPr>
              <w:spacing w:after="0"/>
              <w:rPr>
                <w:sz w:val="22"/>
                <w:szCs w:val="22"/>
                <w:color w:val="auto"/>
              </w:rPr>
            </w:pPr>
          </w:p>
        </w:tc>
        <w:tc>
          <w:tcPr>
            <w:tcW w:w="4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February 1, 2020 through February 29, 2020:</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1,545,500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w:t>
            </w: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March 1, 2020 through March 31, 2020:</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A</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w:t>
            </w:r>
          </w:p>
        </w:tc>
      </w:tr>
      <w:tr>
        <w:trPr>
          <w:trHeight w:val="243"/>
        </w:trPr>
        <w:tc>
          <w:tcPr>
            <w:tcW w:w="478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11,907,100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11,907,100</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7"/>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 January 1, 2020 through March 31, 2020:</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280"/>
              <w:spacing w:after="0"/>
              <w:rPr>
                <w:sz w:val="20"/>
                <w:szCs w:val="20"/>
                <w:color w:val="auto"/>
              </w:rPr>
            </w:pPr>
            <w:r>
              <w:rPr>
                <w:rFonts w:ascii="Arial" w:cs="Arial" w:eastAsia="Arial" w:hAnsi="Arial"/>
                <w:sz w:val="18"/>
                <w:szCs w:val="18"/>
                <w:color w:val="auto"/>
              </w:rPr>
              <w:t>Class A</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7"/>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13,452,600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13,452,600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(b)</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February 2020, our board of directors authorized an additional $1.0 billion for share repurchases. At March 31, 2020, the remaining amount authorized for share repurchases was $842.7 million under our most recent share repurchase program.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exhibits filed as part of this Quarterly Report (according to the number assigned to them in Item 601 of Regulation S-K):</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4.1</w:t>
            </w:r>
          </w:p>
        </w:tc>
        <w:tc>
          <w:tcPr>
            <w:tcW w:w="9720" w:type="dxa"/>
            <w:vAlign w:val="bottom"/>
            <w:tcBorders>
              <w:bottom w:val="single" w:sz="8" w:color="0000FF"/>
            </w:tcBorders>
            <w:gridSpan w:val="5"/>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Additional Facility AR Accession Agreement dated January 24, 2020 and entered into between, among others, Telenet Financing USD</w:t>
              </w:r>
            </w:hyperlink>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LLC as the Borrower, Telenet BVBA as a Guarantor and The Bank of Nova Scotia as the Facility Agent (incorporated by reference to</w:t>
              </w:r>
            </w:hyperlink>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Exhibit 4.1 to the Registrant’s Current Report on Form 8-K filed on January 30, 2020 (File No. 001-35961) (the January 30, 2020 8-</w:t>
              </w:r>
            </w:hyperlink>
          </w:p>
        </w:tc>
      </w:tr>
      <w:tr>
        <w:trPr>
          <w:trHeight w:val="196"/>
        </w:trPr>
        <w:tc>
          <w:tcPr>
            <w:tcW w:w="1040" w:type="dxa"/>
            <w:vAlign w:val="bottom"/>
          </w:tcPr>
          <w:p>
            <w:pPr>
              <w:spacing w:after="0"/>
              <w:rPr>
                <w:sz w:val="17"/>
                <w:szCs w:val="17"/>
                <w:color w:val="auto"/>
              </w:rPr>
            </w:pPr>
          </w:p>
        </w:tc>
        <w:tc>
          <w:tcPr>
            <w:tcW w:w="9720" w:type="dxa"/>
            <w:vAlign w:val="bottom"/>
            <w:gridSpan w:val="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K)).</w:t>
              </w:r>
            </w:hyperlink>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4.2</w:t>
            </w:r>
          </w:p>
        </w:tc>
        <w:tc>
          <w:tcPr>
            <w:tcW w:w="9720" w:type="dxa"/>
            <w:vAlign w:val="bottom"/>
            <w:gridSpan w:val="5"/>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Additional Facility AQ Accession Agreement dated January 24, 2020 and entered into between, among others, Telenet International</w:t>
              </w:r>
            </w:hyperlink>
          </w:p>
        </w:tc>
      </w:tr>
      <w:tr>
        <w:trPr>
          <w:trHeight w:val="20"/>
        </w:trPr>
        <w:tc>
          <w:tcPr>
            <w:tcW w:w="10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Finance S.à r.l. as the Borrower, Telenet BVBA as a Guarantor and The Bank of Nova Scotia as the Facility Agent (incorporated by</w:t>
              </w:r>
            </w:hyperlink>
          </w:p>
        </w:tc>
      </w:tr>
      <w:tr>
        <w:trPr>
          <w:trHeight w:val="196"/>
        </w:trPr>
        <w:tc>
          <w:tcPr>
            <w:tcW w:w="1040" w:type="dxa"/>
            <w:vAlign w:val="bottom"/>
          </w:tcPr>
          <w:p>
            <w:pPr>
              <w:spacing w:after="0"/>
              <w:rPr>
                <w:sz w:val="17"/>
                <w:szCs w:val="17"/>
                <w:color w:val="auto"/>
              </w:rPr>
            </w:pPr>
          </w:p>
        </w:tc>
        <w:tc>
          <w:tcPr>
            <w:tcW w:w="9720" w:type="dxa"/>
            <w:vAlign w:val="bottom"/>
            <w:gridSpan w:val="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reference to Exhibit 4.2 to the January 30, 2020 8-K).</w:t>
              </w:r>
            </w:hyperlink>
          </w:p>
        </w:tc>
      </w:tr>
      <w:tr>
        <w:trPr>
          <w:trHeight w:val="20"/>
        </w:trPr>
        <w:tc>
          <w:tcPr>
            <w:tcW w:w="10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4.3</w:t>
            </w:r>
          </w:p>
        </w:tc>
        <w:tc>
          <w:tcPr>
            <w:tcW w:w="9720" w:type="dxa"/>
            <w:vAlign w:val="bottom"/>
            <w:gridSpan w:val="5"/>
          </w:tcPr>
          <w:p>
            <w:pPr>
              <w:spacing w:after="0"/>
              <w:rPr>
                <w:rFonts w:ascii="Arial" w:cs="Arial" w:eastAsia="Arial" w:hAnsi="Arial"/>
                <w:sz w:val="18"/>
                <w:szCs w:val="18"/>
                <w:color w:val="0000FF"/>
                <w:w w:val="96"/>
              </w:rPr>
            </w:pPr>
            <w:hyperlink r:id="rId31">
              <w:r>
                <w:rPr>
                  <w:rFonts w:ascii="Arial" w:cs="Arial" w:eastAsia="Arial" w:hAnsi="Arial"/>
                  <w:sz w:val="18"/>
                  <w:szCs w:val="18"/>
                  <w:color w:val="0000FF"/>
                  <w:w w:val="96"/>
                </w:rPr>
                <w:t>Additional Facility AT Accession Agreement dated January 31, 2020 and entered into between, among others, UPC Financing</w:t>
              </w:r>
            </w:hyperlink>
          </w:p>
        </w:tc>
      </w:tr>
      <w:tr>
        <w:trPr>
          <w:trHeight w:val="20"/>
        </w:trPr>
        <w:tc>
          <w:tcPr>
            <w:tcW w:w="10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Partnership as the Borrower and The Bank of Nova Scotia as the Facility Agent (incorporated by reference to Exhibit 4.1 to the</w:t>
              </w:r>
            </w:hyperlink>
          </w:p>
        </w:tc>
      </w:tr>
      <w:tr>
        <w:trPr>
          <w:trHeight w:val="237"/>
        </w:trPr>
        <w:tc>
          <w:tcPr>
            <w:tcW w:w="1040" w:type="dxa"/>
            <w:vAlign w:val="bottom"/>
          </w:tcPr>
          <w:p>
            <w:pPr>
              <w:spacing w:after="0"/>
              <w:rPr>
                <w:sz w:val="20"/>
                <w:szCs w:val="20"/>
                <w:color w:val="auto"/>
              </w:rPr>
            </w:pPr>
          </w:p>
        </w:tc>
        <w:tc>
          <w:tcPr>
            <w:tcW w:w="9720" w:type="dxa"/>
            <w:vAlign w:val="bottom"/>
            <w:gridSpan w:val="5"/>
          </w:tcPr>
          <w:p>
            <w:pPr>
              <w:spacing w:after="0"/>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Registrant’s Current Report on Form 8-K filed on February 6, 2020 (File No. 001-35961) (the February 6, 2020 8-K)).</w:t>
              </w:r>
            </w:hyperlink>
          </w:p>
        </w:tc>
      </w:tr>
      <w:tr>
        <w:trPr>
          <w:trHeight w:val="351"/>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4.4</w:t>
            </w:r>
          </w:p>
        </w:tc>
        <w:tc>
          <w:tcPr>
            <w:tcW w:w="9720" w:type="dxa"/>
            <w:vAlign w:val="bottom"/>
            <w:gridSpan w:val="5"/>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Additional Facility AU Accession Agreement dated January 31, 2020 and entered into between, among others, UPC Broadband</w:t>
              </w:r>
            </w:hyperlink>
          </w:p>
        </w:tc>
      </w:tr>
      <w:tr>
        <w:trPr>
          <w:trHeight w:val="20"/>
        </w:trPr>
        <w:tc>
          <w:tcPr>
            <w:tcW w:w="10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8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Holding B.V. as the Borrower and The Bank of Nova Scotia as the Facility Agent (incorporated by reference to Exhibit 4.2 to the</w:t>
              </w:r>
            </w:hyperlink>
          </w:p>
        </w:tc>
      </w:tr>
      <w:tr>
        <w:trPr>
          <w:trHeight w:val="196"/>
        </w:trPr>
        <w:tc>
          <w:tcPr>
            <w:tcW w:w="1040" w:type="dxa"/>
            <w:vAlign w:val="bottom"/>
          </w:tcPr>
          <w:p>
            <w:pPr>
              <w:spacing w:after="0"/>
              <w:rPr>
                <w:sz w:val="17"/>
                <w:szCs w:val="17"/>
                <w:color w:val="auto"/>
              </w:rPr>
            </w:pPr>
          </w:p>
        </w:tc>
        <w:tc>
          <w:tcPr>
            <w:tcW w:w="16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February 6, 2020 8-K).</w:t>
              </w:r>
            </w:hyperlink>
          </w:p>
        </w:tc>
        <w:tc>
          <w:tcPr>
            <w:tcW w:w="8040" w:type="dxa"/>
            <w:vAlign w:val="bottom"/>
            <w:gridSpan w:val="3"/>
          </w:tcPr>
          <w:p>
            <w:pPr>
              <w:spacing w:after="0"/>
              <w:rPr>
                <w:sz w:val="17"/>
                <w:szCs w:val="17"/>
                <w:color w:val="auto"/>
              </w:rPr>
            </w:pPr>
          </w:p>
        </w:tc>
      </w:tr>
      <w:tr>
        <w:trPr>
          <w:trHeight w:val="372"/>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4.5</w:t>
            </w:r>
          </w:p>
        </w:tc>
        <w:tc>
          <w:tcPr>
            <w:tcW w:w="9720" w:type="dxa"/>
            <w:vAlign w:val="bottom"/>
            <w:gridSpan w:val="5"/>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Supplemental Agreement dated April 6, 2020 between, among others, Telenet BV as company, The Bank of Nova Scotia as facility</w:t>
              </w:r>
            </w:hyperlink>
          </w:p>
        </w:tc>
      </w:tr>
      <w:tr>
        <w:trPr>
          <w:trHeight w:val="20"/>
        </w:trPr>
        <w:tc>
          <w:tcPr>
            <w:tcW w:w="1040" w:type="dxa"/>
            <w:vAlign w:val="bottom"/>
          </w:tcPr>
          <w:p>
            <w:pPr>
              <w:spacing w:after="0" w:line="20" w:lineRule="exact"/>
              <w:rPr>
                <w:sz w:val="1"/>
                <w:szCs w:val="1"/>
                <w:color w:val="auto"/>
              </w:rPr>
            </w:pPr>
          </w:p>
        </w:tc>
        <w:tc>
          <w:tcPr>
            <w:tcW w:w="9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agent and KBC Bank NV as security agent and attached as a schedule thereto, a copy of the Amended and Restated Credit Agreement</w:t>
              </w:r>
            </w:hyperlink>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dated April 6, 2020, between, among others, Telenet BV as original borrower and The Bank of Nova Scotia as facility agent and KBC</w:t>
              </w:r>
            </w:hyperlink>
          </w:p>
        </w:tc>
      </w:tr>
      <w:tr>
        <w:trPr>
          <w:trHeight w:val="222"/>
        </w:trPr>
        <w:tc>
          <w:tcPr>
            <w:tcW w:w="1040" w:type="dxa"/>
            <w:vAlign w:val="bottom"/>
          </w:tcPr>
          <w:p>
            <w:pPr>
              <w:spacing w:after="0"/>
              <w:rPr>
                <w:sz w:val="19"/>
                <w:szCs w:val="19"/>
                <w:color w:val="auto"/>
              </w:rPr>
            </w:pPr>
          </w:p>
        </w:tc>
        <w:tc>
          <w:tcPr>
            <w:tcW w:w="9720" w:type="dxa"/>
            <w:vAlign w:val="bottom"/>
            <w:gridSpan w:val="5"/>
          </w:tcPr>
          <w:p>
            <w:pPr>
              <w:spacing w:after="0"/>
              <w:rPr>
                <w:rFonts w:ascii="Arial" w:cs="Arial" w:eastAsia="Arial" w:hAnsi="Arial"/>
                <w:sz w:val="18"/>
                <w:szCs w:val="18"/>
                <w:u w:val="single" w:color="auto"/>
                <w:color w:val="0000FF"/>
                <w:w w:val="92"/>
              </w:rPr>
            </w:pPr>
            <w:hyperlink r:id="rId33">
              <w:r>
                <w:rPr>
                  <w:rFonts w:ascii="Arial" w:cs="Arial" w:eastAsia="Arial" w:hAnsi="Arial"/>
                  <w:sz w:val="18"/>
                  <w:szCs w:val="18"/>
                  <w:u w:val="single" w:color="auto"/>
                  <w:color w:val="0000FF"/>
                  <w:w w:val="92"/>
                </w:rPr>
                <w:t>Bank NV as security agent (incorporated by reference to Exhibit 4.1 to the Registrant’s Current Report on Form 8-K filed on April 10,</w:t>
              </w:r>
            </w:hyperlink>
          </w:p>
        </w:tc>
      </w:tr>
      <w:tr>
        <w:trPr>
          <w:trHeight w:val="230"/>
        </w:trPr>
        <w:tc>
          <w:tcPr>
            <w:tcW w:w="1040" w:type="dxa"/>
            <w:vAlign w:val="bottom"/>
          </w:tcPr>
          <w:p>
            <w:pPr>
              <w:spacing w:after="0"/>
              <w:rPr>
                <w:sz w:val="20"/>
                <w:szCs w:val="20"/>
                <w:color w:val="auto"/>
              </w:rPr>
            </w:pPr>
          </w:p>
        </w:tc>
        <w:tc>
          <w:tcPr>
            <w:tcW w:w="9720" w:type="dxa"/>
            <w:vAlign w:val="bottom"/>
            <w:gridSpan w:val="5"/>
          </w:tcPr>
          <w:p>
            <w:pPr>
              <w:spacing w:after="0"/>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2020 (File No. 001-35961)).</w:t>
              </w:r>
            </w:hyperlink>
          </w:p>
        </w:tc>
      </w:tr>
      <w:tr>
        <w:trPr>
          <w:trHeight w:val="351"/>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4.6</w:t>
            </w:r>
          </w:p>
        </w:tc>
        <w:tc>
          <w:tcPr>
            <w:tcW w:w="9720" w:type="dxa"/>
            <w:vAlign w:val="bottom"/>
            <w:gridSpan w:val="5"/>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Supplemental Deed dated April 23, 2020 between, among others, UPC Broadband Holding B.V. as Obligors’ Agent and The Bank of</w:t>
              </w:r>
            </w:hyperlink>
          </w:p>
        </w:tc>
      </w:tr>
      <w:tr>
        <w:trPr>
          <w:trHeight w:val="20"/>
        </w:trPr>
        <w:tc>
          <w:tcPr>
            <w:tcW w:w="1040" w:type="dxa"/>
            <w:vAlign w:val="bottom"/>
          </w:tcPr>
          <w:p>
            <w:pPr>
              <w:spacing w:after="0" w:line="20" w:lineRule="exact"/>
              <w:rPr>
                <w:sz w:val="1"/>
                <w:szCs w:val="1"/>
                <w:color w:val="auto"/>
              </w:rPr>
            </w:pPr>
          </w:p>
        </w:tc>
        <w:tc>
          <w:tcPr>
            <w:tcW w:w="9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20" w:type="dxa"/>
            <w:vAlign w:val="bottom"/>
            <w:gridSpan w:val="5"/>
          </w:tcPr>
          <w:p>
            <w:pPr>
              <w:spacing w:after="0" w:line="196"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Nova Scotia as facility agent and security agent, and attached as a schedule thereto, a copy of the Amended Senior Facilities</w:t>
              </w:r>
            </w:hyperlink>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500" w:right="20"/>
        <w:spacing w:after="0" w:line="263"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Agreement dated April 23, 2020 between, among others, UPC Broadband Holding B.V. as borrower and The Bank of Nova Scotia as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facility agent and security agent (incorporated by reference to Exhibit 4.1 to the Registrant’s Current Report on Form 8-K filed on</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April 29, 2020 (File No. 001-35961)).</w:t>
        </w:r>
      </w:hyperlink>
    </w:p>
    <w:p>
      <w:pPr>
        <w:spacing w:after="0" w:line="14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10 — Material Contracts</w:t>
      </w:r>
    </w:p>
    <w:p>
      <w:pPr>
        <w:spacing w:after="0" w:line="167" w:lineRule="exact"/>
        <w:rPr>
          <w:rFonts w:ascii="Arial" w:cs="Arial" w:eastAsia="Arial" w:hAnsi="Arial"/>
          <w:sz w:val="18"/>
          <w:szCs w:val="18"/>
          <w:u w:val="single" w:color="auto"/>
          <w:color w:val="0000FF"/>
        </w:rPr>
      </w:pPr>
    </w:p>
    <w:tbl>
      <w:tblPr>
        <w:tblLayout w:type="fixed"/>
        <w:tblInd w:w="40" w:type="dxa"/>
        <w:tblCellMar>
          <w:top w:w="0" w:type="dxa"/>
          <w:left w:w="0" w:type="dxa"/>
          <w:bottom w:w="0" w:type="dxa"/>
          <w:right w:w="0" w:type="dxa"/>
        </w:tblCellMar>
      </w:tblPr>
      <w:tr>
        <w:trPr>
          <w:trHeight w:val="207"/>
        </w:trPr>
        <w:tc>
          <w:tcPr>
            <w:tcW w:w="1460" w:type="dxa"/>
            <w:vAlign w:val="bottom"/>
          </w:tcPr>
          <w:p>
            <w:pPr>
              <w:ind w:left="380"/>
              <w:spacing w:after="0"/>
              <w:rPr>
                <w:sz w:val="20"/>
                <w:szCs w:val="20"/>
                <w:color w:val="auto"/>
              </w:rPr>
            </w:pPr>
            <w:r>
              <w:rPr>
                <w:rFonts w:ascii="Arial" w:cs="Arial" w:eastAsia="Arial" w:hAnsi="Arial"/>
                <w:sz w:val="18"/>
                <w:szCs w:val="18"/>
                <w:color w:val="auto"/>
              </w:rPr>
              <w:t>10.1</w:t>
            </w:r>
          </w:p>
        </w:tc>
        <w:tc>
          <w:tcPr>
            <w:tcW w:w="9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Liberty Global 2020 Annual Performance Award Program for executive officers under the 2014 Incentive Plan, as amended (the</w:t>
            </w:r>
          </w:p>
        </w:tc>
      </w:tr>
      <w:tr>
        <w:trPr>
          <w:trHeight w:val="196"/>
        </w:trPr>
        <w:tc>
          <w:tcPr>
            <w:tcW w:w="1460" w:type="dxa"/>
            <w:vAlign w:val="bottom"/>
          </w:tcPr>
          <w:p>
            <w:pPr>
              <w:spacing w:after="0"/>
              <w:rPr>
                <w:sz w:val="17"/>
                <w:szCs w:val="17"/>
                <w:color w:val="auto"/>
              </w:rPr>
            </w:pPr>
          </w:p>
        </w:tc>
        <w:tc>
          <w:tcPr>
            <w:tcW w:w="9720" w:type="dxa"/>
            <w:vAlign w:val="bottom"/>
            <w:gridSpan w:val="4"/>
          </w:tcPr>
          <w:p>
            <w:pPr>
              <w:spacing w:after="0" w:line="196" w:lineRule="exact"/>
              <w:rPr>
                <w:sz w:val="20"/>
                <w:szCs w:val="20"/>
                <w:color w:val="auto"/>
              </w:rPr>
            </w:pPr>
            <w:r>
              <w:rPr>
                <w:rFonts w:ascii="Arial" w:cs="Arial" w:eastAsia="Arial" w:hAnsi="Arial"/>
                <w:sz w:val="18"/>
                <w:szCs w:val="18"/>
                <w:color w:val="0000FF"/>
                <w:w w:val="98"/>
              </w:rPr>
              <w:t>Incentive Plan) (description of said plan is incorporated by reference to the description thereof included in Item 5.02(e) of the</w:t>
            </w:r>
          </w:p>
        </w:tc>
      </w:tr>
      <w:tr>
        <w:trPr>
          <w:trHeight w:val="196"/>
        </w:trPr>
        <w:tc>
          <w:tcPr>
            <w:tcW w:w="1460" w:type="dxa"/>
            <w:vAlign w:val="bottom"/>
          </w:tcPr>
          <w:p>
            <w:pPr>
              <w:spacing w:after="0"/>
              <w:rPr>
                <w:sz w:val="17"/>
                <w:szCs w:val="17"/>
                <w:color w:val="auto"/>
              </w:rPr>
            </w:pPr>
          </w:p>
        </w:tc>
        <w:tc>
          <w:tcPr>
            <w:tcW w:w="970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Registrant’s Current Report on Form 8-K filed February 24, 2020 (File No. 001-35961)).</w:t>
            </w:r>
          </w:p>
        </w:tc>
        <w:tc>
          <w:tcPr>
            <w:tcW w:w="2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460" w:type="dxa"/>
            <w:vAlign w:val="bottom"/>
          </w:tcPr>
          <w:p>
            <w:pPr>
              <w:ind w:left="380"/>
              <w:spacing w:after="0"/>
              <w:rPr>
                <w:sz w:val="20"/>
                <w:szCs w:val="20"/>
                <w:color w:val="auto"/>
              </w:rPr>
            </w:pPr>
            <w:r>
              <w:rPr>
                <w:rFonts w:ascii="Arial" w:cs="Arial" w:eastAsia="Arial" w:hAnsi="Arial"/>
                <w:sz w:val="18"/>
                <w:szCs w:val="18"/>
                <w:color w:val="auto"/>
              </w:rPr>
              <w:t>10.2</w:t>
            </w:r>
          </w:p>
        </w:tc>
        <w:tc>
          <w:tcPr>
            <w:tcW w:w="9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Liberty Global 2020 Long-Term Equity Incentive Program for executive officers under the Incentive Plan (description of said plan is</w:t>
            </w:r>
          </w:p>
        </w:tc>
      </w:tr>
      <w:tr>
        <w:trPr>
          <w:trHeight w:val="196"/>
        </w:trPr>
        <w:tc>
          <w:tcPr>
            <w:tcW w:w="1460" w:type="dxa"/>
            <w:vAlign w:val="bottom"/>
          </w:tcPr>
          <w:p>
            <w:pPr>
              <w:spacing w:after="0"/>
              <w:rPr>
                <w:sz w:val="17"/>
                <w:szCs w:val="17"/>
                <w:color w:val="auto"/>
              </w:rPr>
            </w:pPr>
          </w:p>
        </w:tc>
        <w:tc>
          <w:tcPr>
            <w:tcW w:w="9720" w:type="dxa"/>
            <w:vAlign w:val="bottom"/>
            <w:gridSpan w:val="4"/>
          </w:tcPr>
          <w:p>
            <w:pPr>
              <w:spacing w:after="0" w:line="196" w:lineRule="exact"/>
              <w:rPr>
                <w:sz w:val="20"/>
                <w:szCs w:val="20"/>
                <w:color w:val="auto"/>
              </w:rPr>
            </w:pPr>
            <w:r>
              <w:rPr>
                <w:rFonts w:ascii="Arial" w:cs="Arial" w:eastAsia="Arial" w:hAnsi="Arial"/>
                <w:sz w:val="18"/>
                <w:szCs w:val="18"/>
                <w:color w:val="0000FF"/>
                <w:w w:val="95"/>
              </w:rPr>
              <w:t>incorporated by reference to the description thereof included in Item 5.02(e) of the Registrant’s Current Report on Form 8-K filed</w:t>
            </w:r>
          </w:p>
        </w:tc>
      </w:tr>
      <w:tr>
        <w:trPr>
          <w:trHeight w:val="196"/>
        </w:trPr>
        <w:tc>
          <w:tcPr>
            <w:tcW w:w="1460" w:type="dxa"/>
            <w:vAlign w:val="bottom"/>
          </w:tcPr>
          <w:p>
            <w:pPr>
              <w:spacing w:after="0"/>
              <w:rPr>
                <w:sz w:val="17"/>
                <w:szCs w:val="17"/>
                <w:color w:val="auto"/>
              </w:rPr>
            </w:pPr>
          </w:p>
        </w:tc>
        <w:tc>
          <w:tcPr>
            <w:tcW w:w="266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April 3, 2020 (File No. 001-35961)).</w:t>
            </w:r>
          </w:p>
        </w:tc>
        <w:tc>
          <w:tcPr>
            <w:tcW w:w="704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534"/>
        </w:trPr>
        <w:tc>
          <w:tcPr>
            <w:tcW w:w="11180" w:type="dxa"/>
            <w:vAlign w:val="bottom"/>
            <w:gridSpan w:val="5"/>
          </w:tcPr>
          <w:p>
            <w:pPr>
              <w:spacing w:after="0"/>
              <w:rPr>
                <w:sz w:val="20"/>
                <w:szCs w:val="20"/>
                <w:color w:val="auto"/>
              </w:rPr>
            </w:pPr>
            <w:r>
              <w:rPr>
                <w:rFonts w:ascii="Arial" w:cs="Arial" w:eastAsia="Arial" w:hAnsi="Arial"/>
                <w:sz w:val="18"/>
                <w:szCs w:val="18"/>
                <w:color w:val="auto"/>
              </w:rPr>
              <w:t>31 — Rule 13a-14(a)/15d-14(a) Certification:</w:t>
            </w:r>
          </w:p>
        </w:tc>
      </w:tr>
      <w:tr>
        <w:trPr>
          <w:trHeight w:val="391"/>
        </w:trPr>
        <w:tc>
          <w:tcPr>
            <w:tcW w:w="1460" w:type="dxa"/>
            <w:vAlign w:val="bottom"/>
          </w:tcPr>
          <w:p>
            <w:pPr>
              <w:ind w:left="380"/>
              <w:spacing w:after="0"/>
              <w:rPr>
                <w:sz w:val="20"/>
                <w:szCs w:val="20"/>
                <w:color w:val="auto"/>
              </w:rPr>
            </w:pPr>
            <w:r>
              <w:rPr>
                <w:rFonts w:ascii="Arial" w:cs="Arial" w:eastAsia="Arial" w:hAnsi="Arial"/>
                <w:sz w:val="18"/>
                <w:szCs w:val="18"/>
                <w:color w:val="auto"/>
              </w:rPr>
              <w:t>31.1</w:t>
            </w:r>
          </w:p>
        </w:tc>
        <w:tc>
          <w:tcPr>
            <w:tcW w:w="9720" w:type="dxa"/>
            <w:vAlign w:val="bottom"/>
            <w:gridSpan w:val="4"/>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Certification of President and Chief Executive Officer*</w:t>
              </w:r>
            </w:hyperlink>
          </w:p>
        </w:tc>
      </w:tr>
      <w:tr>
        <w:trPr>
          <w:trHeight w:val="392"/>
        </w:trPr>
        <w:tc>
          <w:tcPr>
            <w:tcW w:w="1460" w:type="dxa"/>
            <w:vAlign w:val="bottom"/>
          </w:tcPr>
          <w:p>
            <w:pPr>
              <w:ind w:left="380"/>
              <w:spacing w:after="0"/>
              <w:rPr>
                <w:sz w:val="20"/>
                <w:szCs w:val="20"/>
                <w:color w:val="auto"/>
              </w:rPr>
            </w:pPr>
            <w:r>
              <w:rPr>
                <w:rFonts w:ascii="Arial" w:cs="Arial" w:eastAsia="Arial" w:hAnsi="Arial"/>
                <w:sz w:val="18"/>
                <w:szCs w:val="18"/>
                <w:color w:val="auto"/>
              </w:rPr>
              <w:t>31.2</w:t>
            </w:r>
          </w:p>
        </w:tc>
        <w:tc>
          <w:tcPr>
            <w:tcW w:w="9720" w:type="dxa"/>
            <w:vAlign w:val="bottom"/>
            <w:gridSpan w:val="4"/>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Certification of Executive Vice President and Chief Financial Officer*</w:t>
              </w:r>
            </w:hyperlink>
          </w:p>
        </w:tc>
      </w:tr>
      <w:tr>
        <w:trPr>
          <w:trHeight w:val="391"/>
        </w:trPr>
        <w:tc>
          <w:tcPr>
            <w:tcW w:w="11180" w:type="dxa"/>
            <w:vAlign w:val="bottom"/>
            <w:gridSpan w:val="5"/>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32 — Section 1350 Certification**</w:t>
              </w:r>
            </w:hyperlink>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91"/>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500" w:hanging="1465"/>
        <w:spacing w:after="0"/>
        <w:tabs>
          <w:tab w:leader="none" w:pos="1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20"/>
          </w:cols>
          <w:pgMar w:left="320" w:top="337" w:right="359" w:bottom="1440" w:gutter="0" w:footer="0" w:header="0"/>
          <w:type w:val="continuous"/>
        </w:sectPr>
      </w:pPr>
    </w:p>
    <w:bookmarkStart w:id="82" w:name="page83"/>
    <w:bookmarkEnd w:id="82"/>
    <w:p>
      <w:pPr>
        <w:ind w:left="665" w:hanging="665"/>
        <w:spacing w:after="0"/>
        <w:tabs>
          <w:tab w:leader="none" w:pos="6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665" w:hanging="665"/>
        <w:spacing w:after="0"/>
        <w:tabs>
          <w:tab w:leader="none" w:pos="6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104"/>
          </w:cols>
          <w:pgMar w:left="355" w:top="503" w:right="144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LIBERTY GLOBAL PLC</w:t>
      </w:r>
    </w:p>
    <w:p>
      <w:pPr>
        <w:spacing w:after="0" w:line="387" w:lineRule="exact"/>
        <w:rPr>
          <w:sz w:val="20"/>
          <w:szCs w:val="20"/>
          <w:color w:val="auto"/>
        </w:rPr>
      </w:pPr>
    </w:p>
    <w:p>
      <w:pPr>
        <w:ind w:left="180"/>
        <w:spacing w:after="0"/>
        <w:tabs>
          <w:tab w:leader="none" w:pos="6840" w:val="left"/>
          <w:tab w:leader="none" w:pos="720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ICHAEL</w:t>
      </w:r>
      <w:r>
        <w:rPr>
          <w:rFonts w:ascii="Arial" w:cs="Arial" w:eastAsia="Arial" w:hAnsi="Arial"/>
          <w:sz w:val="17"/>
          <w:szCs w:val="17"/>
          <w:color w:val="auto"/>
        </w:rPr>
        <w:t xml:space="preserve"> T. F</w:t>
      </w:r>
      <w:r>
        <w:rPr>
          <w:rFonts w:ascii="Arial" w:cs="Arial" w:eastAsia="Arial" w:hAnsi="Arial"/>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40640</wp:posOffset>
            </wp:positionV>
            <wp:extent cx="4054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86" w:lineRule="exact"/>
        <w:rPr>
          <w:sz w:val="20"/>
          <w:szCs w:val="20"/>
          <w:color w:val="auto"/>
        </w:rPr>
      </w:pPr>
    </w:p>
    <w:p>
      <w:pPr>
        <w:ind w:left="180"/>
        <w:spacing w:after="0"/>
        <w:tabs>
          <w:tab w:leader="none" w:pos="6600" w:val="left"/>
          <w:tab w:leader="none" w:pos="694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H.R. B</w:t>
      </w:r>
      <w:r>
        <w:rPr>
          <w:rFonts w:ascii="Arial" w:cs="Arial" w:eastAsia="Arial" w:hAnsi="Arial"/>
          <w:sz w:val="13"/>
          <w:szCs w:val="13"/>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40640</wp:posOffset>
            </wp:positionV>
            <wp:extent cx="4054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7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Charles H.R. Bracken</w:t>
      </w:r>
    </w:p>
    <w:p>
      <w:pPr>
        <w:spacing w:after="0" w:line="23"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Executive Vice President and Chief</w:t>
      </w:r>
    </w:p>
    <w:p>
      <w:pPr>
        <w:spacing w:after="0" w:line="9" w:lineRule="exact"/>
        <w:rPr>
          <w:sz w:val="20"/>
          <w:szCs w:val="20"/>
          <w:color w:val="auto"/>
        </w:rPr>
      </w:pPr>
    </w:p>
    <w:p>
      <w:pPr>
        <w:jc w:val="center"/>
        <w:ind w:left="444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37"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2743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Liberty Global plc;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9"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52"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31750</wp:posOffset>
            </wp:positionV>
            <wp:extent cx="2743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49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55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Quarterly Report on Form 10-Q for the period ended March 31, 2020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March 31, 2020 and December 31, 2019, and for the three months ended March 31, 2020 and 2019.</w:t>
      </w:r>
    </w:p>
    <w:p>
      <w:pPr>
        <w:spacing w:after="0" w:line="349" w:lineRule="exact"/>
        <w:rPr>
          <w:sz w:val="20"/>
          <w:szCs w:val="20"/>
          <w:color w:val="auto"/>
        </w:rPr>
      </w:pPr>
    </w:p>
    <w:p>
      <w:pPr>
        <w:ind w:left="1100"/>
        <w:spacing w:after="0"/>
        <w:tabs>
          <w:tab w:leader="none" w:pos="5960" w:val="left"/>
          <w:tab w:leader="none" w:pos="636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700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tabs>
          <w:tab w:leader="none" w:pos="5960" w:val="left"/>
          <w:tab w:leader="none" w:pos="636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2700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1)"/>
      <w:numFmt w:val="decimal"/>
      <w:start w:val="2"/>
    </w:lvl>
  </w:abstractNum>
  <w:abstractNum w:abstractNumId="4">
    <w:nsid w:val="2A487CB0"/>
    <w:multiLevelType w:val="hybridMultilevel"/>
    <w:lvl w:ilvl="0">
      <w:lvlJc w:val="left"/>
      <w:lvlText w:val="(%1)"/>
      <w:numFmt w:val="decimal"/>
      <w:start w:val="3"/>
    </w:lvl>
  </w:abstractNum>
  <w:abstractNum w:abstractNumId="5">
    <w:nsid w:val="1D4ED43B"/>
    <w:multiLevelType w:val="hybridMultilevel"/>
    <w:lvl w:ilvl="0">
      <w:lvlJc w:val="left"/>
      <w:lvlText w:val="(%1)"/>
      <w:numFmt w:val="decimal"/>
      <w:start w:val="4"/>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1)"/>
      <w:numFmt w:val="lowerLetter"/>
      <w:start w:val="4"/>
    </w:lvl>
  </w:abstractNum>
  <w:abstractNum w:abstractNumId="8">
    <w:nsid w:val="57E4CCAF"/>
    <w:multiLevelType w:val="hybridMultilevel"/>
    <w:lvl w:ilvl="0">
      <w:lvlJc w:val="left"/>
      <w:lvlText w:val="(%1)"/>
      <w:numFmt w:val="lowerLetter"/>
      <w:start w:val="1"/>
    </w:lvl>
  </w:abstractNum>
  <w:abstractNum w:abstractNumId="9">
    <w:nsid w:val="7A6D8D3C"/>
    <w:multiLevelType w:val="hybridMultilevel"/>
    <w:lvl w:ilvl="0">
      <w:lvlJc w:val="left"/>
      <w:lvlText w:val="(%1)"/>
      <w:numFmt w:val="lowerLetter"/>
      <w:start w:val="1"/>
    </w:lvl>
  </w:abstractNum>
  <w:abstractNum w:abstractNumId="10">
    <w:nsid w:val="4B588F54"/>
    <w:multiLevelType w:val="hybridMultilevel"/>
    <w:lvl w:ilvl="0">
      <w:lvlJc w:val="left"/>
      <w:lvlText w:val="(%1)"/>
      <w:numFmt w:val="decimal"/>
      <w:start w:val="6"/>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1)"/>
      <w:numFmt w:val="lowerLetter"/>
      <w:start w:val="1"/>
    </w:lvl>
  </w:abstractNum>
  <w:abstractNum w:abstractNumId="13">
    <w:nsid w:val="38437FDB"/>
    <w:multiLevelType w:val="hybridMultilevel"/>
    <w:lvl w:ilvl="0">
      <w:lvlJc w:val="left"/>
      <w:lvlText w:val="(%1)"/>
      <w:numFmt w:val="lowerLetter"/>
      <w:start w:val="1"/>
    </w:lvl>
  </w:abstractNum>
  <w:abstractNum w:abstractNumId="14">
    <w:nsid w:val="7644A45C"/>
    <w:multiLevelType w:val="hybridMultilevel"/>
    <w:lvl w:ilvl="0">
      <w:lvlJc w:val="left"/>
      <w:lvlText w:val="(%1)"/>
      <w:numFmt w:val="lowerLetter"/>
      <w:start w:val="1"/>
    </w:lvl>
  </w:abstractNum>
  <w:abstractNum w:abstractNumId="15">
    <w:nsid w:val="32FFF902"/>
    <w:multiLevelType w:val="hybridMultilevel"/>
    <w:lvl w:ilvl="0">
      <w:lvlJc w:val="left"/>
      <w:lvlText w:val="(%1)"/>
      <w:numFmt w:val="lowerLetter"/>
      <w:start w:val="1"/>
    </w:lvl>
  </w:abstractNum>
  <w:abstractNum w:abstractNumId="16">
    <w:nsid w:val="684A481A"/>
    <w:multiLevelType w:val="hybridMultilevel"/>
    <w:lvl w:ilvl="0">
      <w:lvlJc w:val="left"/>
      <w:lvlText w:val="(%1)"/>
      <w:numFmt w:val="decimal"/>
      <w:start w:val="7"/>
    </w:lvl>
  </w:abstractNum>
  <w:abstractNum w:abstractNumId="17">
    <w:nsid w:val="579478FE"/>
    <w:multiLevelType w:val="hybridMultilevel"/>
    <w:lvl w:ilvl="0">
      <w:lvlJc w:val="left"/>
      <w:lvlText w:val="(%1)"/>
      <w:numFmt w:val="lowerLetter"/>
      <w:start w:val="1"/>
    </w:lvl>
  </w:abstractNum>
  <w:abstractNum w:abstractNumId="18">
    <w:nsid w:val="749ABB43"/>
    <w:multiLevelType w:val="hybridMultilevel"/>
    <w:lvl w:ilvl="0">
      <w:lvlJc w:val="left"/>
      <w:lvlText w:val="(%1)"/>
      <w:numFmt w:val="decimal"/>
      <w:start w:val="9"/>
    </w:lvl>
  </w:abstractNum>
  <w:abstractNum w:abstractNumId="19">
    <w:nsid w:val="3DC240FB"/>
    <w:multiLevelType w:val="hybridMultilevel"/>
    <w:lvl w:ilvl="0">
      <w:lvlJc w:val="left"/>
      <w:lvlText w:val="(%1)"/>
      <w:numFmt w:val="lowerLetter"/>
      <w:start w:val="1"/>
    </w:lvl>
  </w:abstractNum>
  <w:abstractNum w:abstractNumId="20">
    <w:nsid w:val="1BA026FA"/>
    <w:multiLevelType w:val="hybridMultilevel"/>
    <w:lvl w:ilvl="0">
      <w:lvlJc w:val="left"/>
      <w:lvlText w:val="%1"/>
      <w:numFmt w:val="lowerLetter"/>
      <w:start w:val="1"/>
    </w:lvl>
    <w:lvl w:ilvl="1">
      <w:lvlJc w:val="left"/>
      <w:lvlText w:val="(%2)"/>
      <w:numFmt w:val="decimal"/>
      <w:start w:val="1"/>
    </w:lvl>
  </w:abstractNum>
  <w:abstractNum w:abstractNumId="21">
    <w:nsid w:val="79A1DEAA"/>
    <w:multiLevelType w:val="hybridMultilevel"/>
    <w:lvl w:ilvl="0">
      <w:lvlJc w:val="left"/>
      <w:lvlText w:val="(%1)"/>
      <w:numFmt w:val="lowerLetter"/>
      <w:start w:val="3"/>
    </w:lvl>
    <w:lvl w:ilvl="1">
      <w:lvlJc w:val="left"/>
      <w:lvlText w:val="%2"/>
      <w:numFmt w:val="decimal"/>
      <w:start w:val="1"/>
    </w:lvl>
  </w:abstractNum>
  <w:abstractNum w:abstractNumId="22">
    <w:nsid w:val="75C6C33A"/>
    <w:multiLevelType w:val="hybridMultilevel"/>
    <w:lvl w:ilvl="0">
      <w:lvlJc w:val="left"/>
      <w:lvlText w:val="(%1)"/>
      <w:numFmt w:val="lowerLetter"/>
      <w:start w:val="1"/>
    </w:lvl>
  </w:abstractNum>
  <w:abstractNum w:abstractNumId="23">
    <w:nsid w:val="12E685FB"/>
    <w:multiLevelType w:val="hybridMultilevel"/>
    <w:lvl w:ilvl="0">
      <w:lvlJc w:val="left"/>
      <w:lvlText w:val="%1"/>
      <w:numFmt w:val="decimal"/>
      <w:start w:val="1"/>
    </w:lvl>
    <w:lvl w:ilvl="1">
      <w:lvlJc w:val="left"/>
      <w:lvlText w:val="(%2)"/>
      <w:numFmt w:val="decimal"/>
      <w:start w:val="1"/>
    </w:lvl>
  </w:abstractNum>
  <w:abstractNum w:abstractNumId="24">
    <w:nsid w:val="70C6A529"/>
    <w:multiLevelType w:val="hybridMultilevel"/>
    <w:lvl w:ilvl="0">
      <w:lvlJc w:val="left"/>
      <w:lvlText w:val="(%1)"/>
      <w:numFmt w:val="decimal"/>
      <w:start w:val="10"/>
    </w:lvl>
    <w:lvl w:ilvl="1">
      <w:lvlJc w:val="left"/>
      <w:lvlText w:val="%2"/>
      <w:numFmt w:val="decimal"/>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1)"/>
      <w:numFmt w:val="lowerLetter"/>
      <w:start w:val="1"/>
    </w:lvl>
  </w:abstractNum>
  <w:abstractNum w:abstractNumId="27">
    <w:nsid w:val="4F4EF005"/>
    <w:multiLevelType w:val="hybridMultilevel"/>
    <w:lvl w:ilvl="0">
      <w:lvlJc w:val="left"/>
      <w:lvlText w:val="(%1)"/>
      <w:numFmt w:val="decimal"/>
      <w:start w:val="11"/>
    </w:lvl>
  </w:abstractNum>
  <w:abstractNum w:abstractNumId="28">
    <w:nsid w:val="23F9C13C"/>
    <w:multiLevelType w:val="hybridMultilevel"/>
    <w:lvl w:ilvl="0">
      <w:lvlJc w:val="left"/>
      <w:lvlText w:val="(%1)"/>
      <w:numFmt w:val="lowerLetter"/>
      <w:start w:val="1"/>
    </w:lvl>
  </w:abstractNum>
  <w:abstractNum w:abstractNumId="29">
    <w:nsid w:val="649BB77C"/>
    <w:multiLevelType w:val="hybridMultilevel"/>
    <w:lvl w:ilvl="0">
      <w:lvlJc w:val="left"/>
      <w:lvlText w:val="(%1)"/>
      <w:numFmt w:val="lowerLetter"/>
      <w:start w:val="2"/>
    </w:lvl>
  </w:abstractNum>
  <w:abstractNum w:abstractNumId="30">
    <w:nsid w:val="275AC794"/>
    <w:multiLevelType w:val="hybridMultilevel"/>
    <w:lvl w:ilvl="0">
      <w:lvlJc w:val="left"/>
      <w:lvlText w:val="(%1)"/>
      <w:numFmt w:val="decimal"/>
      <w:start w:val="12"/>
    </w:lvl>
  </w:abstractNum>
  <w:abstractNum w:abstractNumId="31">
    <w:nsid w:val="39386575"/>
    <w:multiLevelType w:val="hybridMultilevel"/>
    <w:lvl w:ilvl="0">
      <w:lvlJc w:val="left"/>
      <w:lvlText w:val="(%1)"/>
      <w:numFmt w:val="decimal"/>
      <w:start w:val="13"/>
    </w:lvl>
  </w:abstractNum>
  <w:abstractNum w:abstractNumId="32">
    <w:nsid w:val="1CF10FD8"/>
    <w:multiLevelType w:val="hybridMultilevel"/>
    <w:lvl w:ilvl="0">
      <w:lvlJc w:val="left"/>
      <w:lvlText w:val="(%1)"/>
      <w:numFmt w:val="lowerLetter"/>
      <w:start w:val="1"/>
    </w:lvl>
  </w:abstractNum>
  <w:abstractNum w:abstractNumId="33">
    <w:nsid w:val="180115BE"/>
    <w:multiLevelType w:val="hybridMultilevel"/>
    <w:lvl w:ilvl="0">
      <w:lvlJc w:val="left"/>
      <w:lvlText w:val="(%1)"/>
      <w:numFmt w:val="decimal"/>
      <w:start w:val="14"/>
    </w:lvl>
  </w:abstractNum>
  <w:abstractNum w:abstractNumId="34">
    <w:nsid w:val="235BA861"/>
    <w:multiLevelType w:val="hybridMultilevel"/>
    <w:lvl w:ilvl="0">
      <w:lvlJc w:val="left"/>
      <w:lvlText w:val="(%1)"/>
      <w:numFmt w:val="decimal"/>
      <w:start w:val="15"/>
    </w:lvl>
  </w:abstractNum>
  <w:abstractNum w:abstractNumId="35">
    <w:nsid w:val="47398C89"/>
    <w:multiLevelType w:val="hybridMultilevel"/>
    <w:lvl w:ilvl="0">
      <w:lvlJc w:val="left"/>
      <w:lvlText w:val="(%1)"/>
      <w:numFmt w:val="decimal"/>
      <w:start w:val="16"/>
    </w:lvl>
  </w:abstractNum>
  <w:abstractNum w:abstractNumId="36">
    <w:nsid w:val="354FE9F9"/>
    <w:multiLevelType w:val="hybridMultilevel"/>
    <w:lvl w:ilvl="0">
      <w:lvlJc w:val="left"/>
      <w:lvlText w:val="(%1)"/>
      <w:numFmt w:val="decimal"/>
      <w:start w:val="17"/>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lowerLetter"/>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lowerLetter"/>
      <w:start w:val="5"/>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lowerRoman"/>
      <w:start w:val="5"/>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5"/>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decimal"/>
      <w:start w:val="3"/>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Roman"/>
      <w:start w:val="2"/>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Roman"/>
      <w:start w:val="3"/>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decimal"/>
      <w:start w:val="3"/>
    </w:lvl>
  </w:abstractNum>
  <w:abstractNum w:abstractNumId="70">
    <w:nsid w:val="613EFDC5"/>
    <w:multiLevelType w:val="hybridMultilevel"/>
    <w:lvl w:ilvl="0">
      <w:lvlJc w:val="left"/>
      <w:lvlText w:val="(%1)"/>
      <w:numFmt w:val="lowerRoman"/>
      <w:start w:val="1"/>
    </w:lvl>
  </w:abstractNum>
  <w:abstractNum w:abstractNumId="71">
    <w:nsid w:val="BF72B14"/>
    <w:multiLevelType w:val="hybridMultilevel"/>
    <w:lvl w:ilvl="0">
      <w:lvlJc w:val="left"/>
      <w:lvlText w:val="(%1)"/>
      <w:numFmt w:val="lowerRoman"/>
      <w:start w:val="1"/>
    </w:lvl>
  </w:abstractNum>
  <w:abstractNum w:abstractNumId="72">
    <w:nsid w:val="11447B73"/>
    <w:multiLevelType w:val="hybridMultilevel"/>
    <w:lvl w:ilvl="0">
      <w:lvlJc w:val="left"/>
      <w:lvlText w:val="(%1)"/>
      <w:numFmt w:val="lowerRoman"/>
      <w:start w:val="1"/>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3"/>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decimal"/>
      <w:start w:val="104"/>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29" Type="http://schemas.openxmlformats.org/officeDocument/2006/relationships/hyperlink" Target="http://www.sec.gov/Archives/edgar/data/1570585/000157058520000011/ex41facilityaraccessio.htm" TargetMode="External"/><Relationship Id="rId30" Type="http://schemas.openxmlformats.org/officeDocument/2006/relationships/hyperlink" Target="http://www.sec.gov/Archives/edgar/data/1570585/000157058520000011/ex42facilityaqaccessio.htm" TargetMode="External"/><Relationship Id="rId31" Type="http://schemas.openxmlformats.org/officeDocument/2006/relationships/hyperlink" Target="http://www.sec.gov/Archives/edgar/data/1570585/000157058520000013/ex41facilityataccessio.htm" TargetMode="External"/><Relationship Id="rId32" Type="http://schemas.openxmlformats.org/officeDocument/2006/relationships/hyperlink" Target="http://www.sec.gov/Archives/edgar/data/1570585/000157058520000013/ex42facilityauaccessio.htm" TargetMode="External"/><Relationship Id="rId33" Type="http://schemas.openxmlformats.org/officeDocument/2006/relationships/hyperlink" Target="http://www.sec.gov/Archives/edgar/data/1570585/000157058520000106/ex41telenetnewrevolvin.htm" TargetMode="External"/><Relationship Id="rId34" Type="http://schemas.openxmlformats.org/officeDocument/2006/relationships/hyperlink" Target="http://www.sec.gov/Archives/edgar/data/1570585/000157058520000139/ex41upccancelfacility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2020-05-06T15:43:10Z</dcterms:created>
  <dcterms:modified xsi:type="dcterms:W3CDTF">2020-05-06T15:43:10Z</dcterms:modified>
</cp:coreProperties>
</file>