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620395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517525</wp:posOffset>
            </wp:positionV>
            <wp:extent cx="7132320"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26035"/>
                    </a:xfrm>
                    <a:prstGeom prst="rect">
                      <a:avLst/>
                    </a:prstGeom>
                    <a:noFill/>
                  </pic:spPr>
                </pic:pic>
              </a:graphicData>
            </a:graphic>
          </wp:anchor>
        </w:drawing>
        <w:t>UNITED STATES</w:t>
      </w:r>
    </w:p>
    <w:p>
      <w:pPr>
        <w:spacing w:after="0" w:line="36" w:lineRule="exact"/>
        <w:rPr>
          <w:sz w:val="24"/>
          <w:szCs w:val="24"/>
          <w:color w:val="auto"/>
        </w:rPr>
      </w:pPr>
    </w:p>
    <w:p>
      <w:pPr>
        <w:jc w:val="center"/>
        <w:ind w:right="-79"/>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Washington, D.C. 20549</w:t>
      </w:r>
    </w:p>
    <w:p>
      <w:pPr>
        <w:spacing w:after="0" w:line="245" w:lineRule="exact"/>
        <w:rPr>
          <w:sz w:val="24"/>
          <w:szCs w:val="24"/>
          <w:color w:val="auto"/>
        </w:rPr>
      </w:pPr>
    </w:p>
    <w:p>
      <w:pPr>
        <w:jc w:val="center"/>
        <w:ind w:right="-79"/>
        <w:spacing w:after="0"/>
        <w:rPr>
          <w:sz w:val="20"/>
          <w:szCs w:val="20"/>
          <w:color w:val="auto"/>
        </w:rPr>
      </w:pPr>
      <w:r>
        <w:rPr>
          <w:rFonts w:ascii="Arial" w:cs="Arial" w:eastAsia="Arial" w:hAnsi="Arial"/>
          <w:sz w:val="29"/>
          <w:szCs w:val="2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2122170</wp:posOffset>
            </wp:positionH>
            <wp:positionV relativeFrom="paragraph">
              <wp:posOffset>-199390</wp:posOffset>
            </wp:positionV>
            <wp:extent cx="29057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905760" cy="8255"/>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186055</wp:posOffset>
            </wp:positionV>
            <wp:extent cx="290576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905760" cy="8255"/>
                    </a:xfrm>
                    <a:prstGeom prst="rect">
                      <a:avLst/>
                    </a:prstGeom>
                    <a:noFill/>
                  </pic:spPr>
                </pic:pic>
              </a:graphicData>
            </a:graphic>
          </wp:anchor>
        </w:drawing>
      </w:r>
    </w:p>
    <w:p>
      <w:pPr>
        <w:spacing w:after="0" w:line="200" w:lineRule="exact"/>
        <w:rPr>
          <w:sz w:val="24"/>
          <w:szCs w:val="24"/>
          <w:color w:val="auto"/>
        </w:rPr>
      </w:pPr>
    </w:p>
    <w:p>
      <w:pPr>
        <w:spacing w:after="0" w:line="279" w:lineRule="exact"/>
        <w:rPr>
          <w:sz w:val="24"/>
          <w:szCs w:val="24"/>
          <w:color w:val="auto"/>
        </w:rPr>
      </w:pPr>
    </w:p>
    <w:p>
      <w:pPr>
        <w:jc w:val="center"/>
        <w:ind w:right="-79"/>
        <w:spacing w:after="0"/>
        <w:rPr>
          <w:sz w:val="20"/>
          <w:szCs w:val="20"/>
          <w:color w:val="auto"/>
        </w:rPr>
      </w:pPr>
      <w:r>
        <w:rPr>
          <w:rFonts w:ascii="Arial" w:cs="Arial" w:eastAsia="Arial" w:hAnsi="Arial"/>
          <w:sz w:val="20"/>
          <w:szCs w:val="20"/>
          <w:b w:val="1"/>
          <w:bCs w:val="1"/>
          <w:color w:val="auto"/>
        </w:rPr>
        <w:t>CURRENT REPORT</w:t>
      </w:r>
    </w:p>
    <w:p>
      <w:pPr>
        <w:spacing w:after="0" w:line="229" w:lineRule="exact"/>
        <w:rPr>
          <w:sz w:val="24"/>
          <w:szCs w:val="24"/>
          <w:color w:val="auto"/>
        </w:rPr>
      </w:pPr>
    </w:p>
    <w:p>
      <w:pPr>
        <w:jc w:val="center"/>
        <w:ind w:right="-79"/>
        <w:spacing w:after="0"/>
        <w:rPr>
          <w:sz w:val="20"/>
          <w:szCs w:val="20"/>
          <w:color w:val="auto"/>
        </w:rPr>
      </w:pPr>
      <w:r>
        <w:rPr>
          <w:rFonts w:ascii="Arial" w:cs="Arial" w:eastAsia="Arial" w:hAnsi="Arial"/>
          <w:sz w:val="20"/>
          <w:szCs w:val="20"/>
          <w:b w:val="1"/>
          <w:bCs w:val="1"/>
          <w:color w:val="auto"/>
        </w:rPr>
        <w:t>PURSUANT TO SECTION 13 OR 15(d) OF THE SECURITIES EXCHANGE ACT OF 1934</w:t>
      </w:r>
    </w:p>
    <w:p>
      <w:pPr>
        <w:spacing w:after="0" w:line="220"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Date of report (Date of earliest event reported): May 6,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2122170</wp:posOffset>
            </wp:positionH>
            <wp:positionV relativeFrom="paragraph">
              <wp:posOffset>180340</wp:posOffset>
            </wp:positionV>
            <wp:extent cx="29057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905760" cy="8255"/>
                    </a:xfrm>
                    <a:prstGeom prst="rect">
                      <a:avLst/>
                    </a:prstGeom>
                    <a:noFill/>
                  </pic:spPr>
                </pic:pic>
              </a:graphicData>
            </a:graphic>
          </wp:anchor>
        </w:drawing>
      </w:r>
    </w:p>
    <w:p>
      <w:pPr>
        <w:spacing w:after="0" w:line="200" w:lineRule="exact"/>
        <w:rPr>
          <w:sz w:val="24"/>
          <w:szCs w:val="24"/>
          <w:color w:val="auto"/>
        </w:rPr>
      </w:pPr>
    </w:p>
    <w:p>
      <w:pPr>
        <w:spacing w:after="0" w:line="261" w:lineRule="exact"/>
        <w:rPr>
          <w:sz w:val="24"/>
          <w:szCs w:val="24"/>
          <w:color w:val="auto"/>
        </w:rPr>
      </w:pPr>
    </w:p>
    <w:p>
      <w:pPr>
        <w:jc w:val="center"/>
        <w:ind w:right="-79"/>
        <w:spacing w:after="0"/>
        <w:rPr>
          <w:sz w:val="20"/>
          <w:szCs w:val="20"/>
          <w:color w:val="auto"/>
        </w:rPr>
      </w:pPr>
      <w:r>
        <w:rPr>
          <w:rFonts w:ascii="Arial" w:cs="Arial" w:eastAsia="Arial" w:hAnsi="Arial"/>
          <w:sz w:val="29"/>
          <w:szCs w:val="29"/>
          <w:b w:val="1"/>
          <w:bCs w:val="1"/>
          <w:color w:val="auto"/>
        </w:rPr>
        <w:t>Liberty Global plc</w:t>
      </w:r>
    </w:p>
    <w:p>
      <w:pPr>
        <w:spacing w:after="0" w:line="40" w:lineRule="exact"/>
        <w:rPr>
          <w:sz w:val="24"/>
          <w:szCs w:val="24"/>
          <w:color w:val="auto"/>
        </w:rPr>
      </w:pPr>
    </w:p>
    <w:p>
      <w:pPr>
        <w:jc w:val="center"/>
        <w:ind w:right="-79"/>
        <w:spacing w:after="0"/>
        <w:rPr>
          <w:sz w:val="20"/>
          <w:szCs w:val="20"/>
          <w:color w:val="auto"/>
        </w:rPr>
      </w:pPr>
      <w:r>
        <w:rPr>
          <w:rFonts w:ascii="Arial" w:cs="Arial" w:eastAsia="Arial" w:hAnsi="Arial"/>
          <w:sz w:val="16"/>
          <w:szCs w:val="16"/>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2122170</wp:posOffset>
            </wp:positionH>
            <wp:positionV relativeFrom="paragraph">
              <wp:posOffset>163195</wp:posOffset>
            </wp:positionV>
            <wp:extent cx="29057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90576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5" w:lineRule="exact"/>
        <w:rPr>
          <w:sz w:val="24"/>
          <w:szCs w:val="24"/>
          <w:color w:val="auto"/>
        </w:rPr>
      </w:pPr>
    </w:p>
    <w:tbl>
      <w:tblPr>
        <w:tblLayout w:type="fixed"/>
        <w:tblInd w:w="840" w:type="dxa"/>
        <w:tblCellMar>
          <w:top w:w="0" w:type="dxa"/>
          <w:left w:w="0" w:type="dxa"/>
          <w:bottom w:w="0" w:type="dxa"/>
          <w:right w:w="0" w:type="dxa"/>
        </w:tblCellMar>
      </w:tblPr>
      <w:tr>
        <w:trPr>
          <w:trHeight w:val="210"/>
        </w:trPr>
        <w:tc>
          <w:tcPr>
            <w:tcW w:w="2760" w:type="dxa"/>
            <w:vAlign w:val="bottom"/>
          </w:tcPr>
          <w:p>
            <w:pPr>
              <w:jc w:val="center"/>
              <w:ind w:right="979"/>
              <w:spacing w:after="0"/>
              <w:rPr>
                <w:sz w:val="20"/>
                <w:szCs w:val="20"/>
                <w:color w:val="auto"/>
              </w:rPr>
            </w:pPr>
            <w:r>
              <w:rPr>
                <w:rFonts w:ascii="Arial" w:cs="Arial" w:eastAsia="Arial" w:hAnsi="Arial"/>
                <w:sz w:val="16"/>
                <w:szCs w:val="16"/>
                <w:b w:val="1"/>
                <w:bCs w:val="1"/>
                <w:color w:val="auto"/>
                <w:w w:val="91"/>
              </w:rPr>
              <w:t>England and Wales</w:t>
            </w:r>
          </w:p>
        </w:tc>
        <w:tc>
          <w:tcPr>
            <w:tcW w:w="4100" w:type="dxa"/>
            <w:vAlign w:val="bottom"/>
          </w:tcPr>
          <w:p>
            <w:pPr>
              <w:jc w:val="right"/>
              <w:ind w:right="1699"/>
              <w:spacing w:after="0"/>
              <w:rPr>
                <w:sz w:val="20"/>
                <w:szCs w:val="20"/>
                <w:color w:val="auto"/>
              </w:rPr>
            </w:pPr>
            <w:r>
              <w:rPr>
                <w:rFonts w:ascii="Arial" w:cs="Arial" w:eastAsia="Arial" w:hAnsi="Arial"/>
                <w:sz w:val="16"/>
                <w:szCs w:val="16"/>
                <w:b w:val="1"/>
                <w:bCs w:val="1"/>
                <w:color w:val="auto"/>
              </w:rPr>
              <w:t>001-35961</w:t>
            </w:r>
          </w:p>
        </w:tc>
        <w:tc>
          <w:tcPr>
            <w:tcW w:w="2300" w:type="dxa"/>
            <w:vAlign w:val="bottom"/>
          </w:tcPr>
          <w:p>
            <w:pPr>
              <w:jc w:val="center"/>
              <w:ind w:left="1179"/>
              <w:spacing w:after="0"/>
              <w:rPr>
                <w:sz w:val="20"/>
                <w:szCs w:val="20"/>
                <w:color w:val="auto"/>
              </w:rPr>
            </w:pPr>
            <w:r>
              <w:rPr>
                <w:rFonts w:ascii="Arial" w:cs="Arial" w:eastAsia="Arial" w:hAnsi="Arial"/>
                <w:sz w:val="16"/>
                <w:szCs w:val="16"/>
                <w:b w:val="1"/>
                <w:bCs w:val="1"/>
                <w:color w:val="auto"/>
                <w:w w:val="88"/>
              </w:rPr>
              <w:t>98-1112770</w:t>
            </w:r>
          </w:p>
        </w:tc>
      </w:tr>
      <w:tr>
        <w:trPr>
          <w:trHeight w:val="253"/>
        </w:trPr>
        <w:tc>
          <w:tcPr>
            <w:tcW w:w="2760" w:type="dxa"/>
            <w:vAlign w:val="bottom"/>
          </w:tcPr>
          <w:p>
            <w:pPr>
              <w:jc w:val="center"/>
              <w:ind w:right="979"/>
              <w:spacing w:after="0"/>
              <w:rPr>
                <w:sz w:val="20"/>
                <w:szCs w:val="20"/>
                <w:color w:val="auto"/>
              </w:rPr>
            </w:pPr>
            <w:r>
              <w:rPr>
                <w:rFonts w:ascii="Arial" w:cs="Arial" w:eastAsia="Arial" w:hAnsi="Arial"/>
                <w:sz w:val="16"/>
                <w:szCs w:val="16"/>
                <w:color w:val="auto"/>
                <w:w w:val="93"/>
              </w:rPr>
              <w:t>(State or other jurisdiction</w:t>
            </w:r>
          </w:p>
        </w:tc>
        <w:tc>
          <w:tcPr>
            <w:tcW w:w="4100" w:type="dxa"/>
            <w:vAlign w:val="bottom"/>
          </w:tcPr>
          <w:p>
            <w:pPr>
              <w:jc w:val="center"/>
              <w:ind w:right="99"/>
              <w:spacing w:after="0"/>
              <w:rPr>
                <w:sz w:val="20"/>
                <w:szCs w:val="20"/>
                <w:color w:val="auto"/>
              </w:rPr>
            </w:pPr>
            <w:r>
              <w:rPr>
                <w:rFonts w:ascii="Arial" w:cs="Arial" w:eastAsia="Arial" w:hAnsi="Arial"/>
                <w:sz w:val="16"/>
                <w:szCs w:val="16"/>
                <w:color w:val="auto"/>
                <w:w w:val="94"/>
              </w:rPr>
              <w:t>(Commission File Number)</w:t>
            </w:r>
          </w:p>
        </w:tc>
        <w:tc>
          <w:tcPr>
            <w:tcW w:w="2300" w:type="dxa"/>
            <w:vAlign w:val="bottom"/>
          </w:tcPr>
          <w:p>
            <w:pPr>
              <w:jc w:val="center"/>
              <w:ind w:left="1179"/>
              <w:spacing w:after="0"/>
              <w:rPr>
                <w:sz w:val="20"/>
                <w:szCs w:val="20"/>
                <w:color w:val="auto"/>
              </w:rPr>
            </w:pPr>
            <w:r>
              <w:rPr>
                <w:rFonts w:ascii="Arial" w:cs="Arial" w:eastAsia="Arial" w:hAnsi="Arial"/>
                <w:sz w:val="16"/>
                <w:szCs w:val="16"/>
                <w:color w:val="auto"/>
                <w:w w:val="96"/>
              </w:rPr>
              <w:t>(IRS Employer</w:t>
            </w:r>
          </w:p>
        </w:tc>
      </w:tr>
      <w:tr>
        <w:trPr>
          <w:trHeight w:val="206"/>
        </w:trPr>
        <w:tc>
          <w:tcPr>
            <w:tcW w:w="2760" w:type="dxa"/>
            <w:vAlign w:val="bottom"/>
          </w:tcPr>
          <w:p>
            <w:pPr>
              <w:jc w:val="center"/>
              <w:ind w:right="979"/>
              <w:spacing w:after="0"/>
              <w:rPr>
                <w:sz w:val="20"/>
                <w:szCs w:val="20"/>
                <w:color w:val="auto"/>
              </w:rPr>
            </w:pPr>
            <w:r>
              <w:rPr>
                <w:rFonts w:ascii="Arial" w:cs="Arial" w:eastAsia="Arial" w:hAnsi="Arial"/>
                <w:sz w:val="16"/>
                <w:szCs w:val="16"/>
                <w:color w:val="auto"/>
                <w:w w:val="95"/>
              </w:rPr>
              <w:t>of incorporation)</w:t>
            </w:r>
          </w:p>
        </w:tc>
        <w:tc>
          <w:tcPr>
            <w:tcW w:w="4100" w:type="dxa"/>
            <w:vAlign w:val="bottom"/>
          </w:tcPr>
          <w:p>
            <w:pPr>
              <w:spacing w:after="0"/>
              <w:rPr>
                <w:sz w:val="17"/>
                <w:szCs w:val="17"/>
                <w:color w:val="auto"/>
              </w:rPr>
            </w:pPr>
          </w:p>
        </w:tc>
        <w:tc>
          <w:tcPr>
            <w:tcW w:w="2300" w:type="dxa"/>
            <w:vAlign w:val="bottom"/>
          </w:tcPr>
          <w:p>
            <w:pPr>
              <w:jc w:val="center"/>
              <w:ind w:left="1179"/>
              <w:spacing w:after="0"/>
              <w:rPr>
                <w:sz w:val="20"/>
                <w:szCs w:val="20"/>
                <w:color w:val="auto"/>
              </w:rPr>
            </w:pPr>
            <w:r>
              <w:rPr>
                <w:rFonts w:ascii="Arial" w:cs="Arial" w:eastAsia="Arial" w:hAnsi="Arial"/>
                <w:sz w:val="16"/>
                <w:szCs w:val="16"/>
                <w:color w:val="auto"/>
                <w:w w:val="95"/>
              </w:rPr>
              <w:t>Identification #)</w:t>
            </w:r>
          </w:p>
        </w:tc>
      </w:tr>
    </w:tbl>
    <w:p>
      <w:pPr>
        <w:spacing w:after="0" w:line="231"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Griffin House, 161 Hammersmith Rd, London, United Kingdom</w:t>
      </w:r>
    </w:p>
    <w:p>
      <w:pPr>
        <w:spacing w:after="0" w:line="27"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W6 8BS</w:t>
      </w:r>
    </w:p>
    <w:p>
      <w:pPr>
        <w:spacing w:after="0" w:line="9" w:lineRule="exact"/>
        <w:rPr>
          <w:sz w:val="24"/>
          <w:szCs w:val="24"/>
          <w:color w:val="auto"/>
        </w:rPr>
      </w:pPr>
    </w:p>
    <w:p>
      <w:pPr>
        <w:jc w:val="center"/>
        <w:ind w:right="-79"/>
        <w:spacing w:after="0"/>
        <w:rPr>
          <w:sz w:val="20"/>
          <w:szCs w:val="20"/>
          <w:color w:val="auto"/>
        </w:rPr>
      </w:pPr>
      <w:r>
        <w:rPr>
          <w:rFonts w:ascii="Arial" w:cs="Arial" w:eastAsia="Arial" w:hAnsi="Arial"/>
          <w:sz w:val="16"/>
          <w:szCs w:val="16"/>
          <w:color w:val="auto"/>
        </w:rPr>
        <w:t>(Address of Principal Executive Office)</w:t>
      </w:r>
    </w:p>
    <w:p>
      <w:pPr>
        <w:spacing w:after="0" w:line="203"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+44.208.483.6449 or 303.220.6600</w:t>
      </w:r>
    </w:p>
    <w:p>
      <w:pPr>
        <w:spacing w:after="0" w:line="27" w:lineRule="exact"/>
        <w:rPr>
          <w:sz w:val="24"/>
          <w:szCs w:val="24"/>
          <w:color w:val="auto"/>
        </w:rPr>
      </w:pPr>
    </w:p>
    <w:p>
      <w:pPr>
        <w:ind w:left="3720"/>
        <w:spacing w:after="0"/>
        <w:rPr>
          <w:sz w:val="20"/>
          <w:szCs w:val="20"/>
          <w:color w:val="auto"/>
        </w:rPr>
      </w:pPr>
      <w:r>
        <w:rPr>
          <w:rFonts w:ascii="Arial" w:cs="Arial" w:eastAsia="Arial" w:hAnsi="Arial"/>
          <w:sz w:val="18"/>
          <w:szCs w:val="18"/>
          <w:color w:val="auto"/>
        </w:rPr>
        <w:t>(Registrant’s telephone number, including area code)</w:t>
      </w:r>
    </w:p>
    <w:p>
      <w:pPr>
        <w:spacing w:after="0" w:line="121" w:lineRule="exact"/>
        <w:rPr>
          <w:sz w:val="24"/>
          <w:szCs w:val="24"/>
          <w:color w:val="auto"/>
        </w:rPr>
      </w:pPr>
    </w:p>
    <w:p>
      <w:pPr>
        <w:ind w:left="3760"/>
        <w:spacing w:after="0"/>
        <w:rPr>
          <w:sz w:val="20"/>
          <w:szCs w:val="20"/>
          <w:color w:val="auto"/>
        </w:rPr>
      </w:pPr>
      <w:r>
        <w:rPr>
          <w:rFonts w:ascii="Arial" w:cs="Arial" w:eastAsia="Arial" w:hAnsi="Arial"/>
          <w:sz w:val="16"/>
          <w:szCs w:val="16"/>
          <w:color w:val="auto"/>
        </w:rPr>
        <w:t>Securities registered pursuant to Section 12(b) of the Act:</w:t>
      </w:r>
    </w:p>
    <w:p>
      <w:pPr>
        <w:spacing w:after="0" w:line="177" w:lineRule="exact"/>
        <w:rPr>
          <w:sz w:val="24"/>
          <w:szCs w:val="24"/>
          <w:color w:val="auto"/>
        </w:rPr>
      </w:pPr>
    </w:p>
    <w:tbl>
      <w:tblPr>
        <w:tblLayout w:type="fixed"/>
        <w:tblInd w:w="1700" w:type="dxa"/>
        <w:tblCellMar>
          <w:top w:w="0" w:type="dxa"/>
          <w:left w:w="0" w:type="dxa"/>
          <w:bottom w:w="0" w:type="dxa"/>
          <w:right w:w="0" w:type="dxa"/>
        </w:tblCellMar>
      </w:tblPr>
      <w:tr>
        <w:trPr>
          <w:trHeight w:val="210"/>
        </w:trPr>
        <w:tc>
          <w:tcPr>
            <w:tcW w:w="2220" w:type="dxa"/>
            <w:vAlign w:val="bottom"/>
          </w:tcPr>
          <w:p>
            <w:pPr>
              <w:jc w:val="center"/>
              <w:ind w:right="599"/>
              <w:spacing w:after="0"/>
              <w:rPr>
                <w:sz w:val="20"/>
                <w:szCs w:val="20"/>
                <w:color w:val="auto"/>
              </w:rPr>
            </w:pPr>
            <w:r>
              <w:rPr>
                <w:rFonts w:ascii="Arial" w:cs="Arial" w:eastAsia="Arial" w:hAnsi="Arial"/>
                <w:sz w:val="16"/>
                <w:szCs w:val="16"/>
                <w:b w:val="1"/>
                <w:bCs w:val="1"/>
                <w:color w:val="auto"/>
                <w:w w:val="88"/>
              </w:rPr>
              <w:t>Title of each class</w:t>
            </w:r>
          </w:p>
        </w:tc>
        <w:tc>
          <w:tcPr>
            <w:tcW w:w="2460" w:type="dxa"/>
            <w:vAlign w:val="bottom"/>
          </w:tcPr>
          <w:p>
            <w:pPr>
              <w:jc w:val="center"/>
              <w:ind w:left="99"/>
              <w:spacing w:after="0"/>
              <w:rPr>
                <w:sz w:val="20"/>
                <w:szCs w:val="20"/>
                <w:color w:val="auto"/>
              </w:rPr>
            </w:pPr>
            <w:r>
              <w:rPr>
                <w:rFonts w:ascii="Arial" w:cs="Arial" w:eastAsia="Arial" w:hAnsi="Arial"/>
                <w:sz w:val="16"/>
                <w:szCs w:val="16"/>
                <w:b w:val="1"/>
                <w:bCs w:val="1"/>
                <w:color w:val="auto"/>
                <w:w w:val="91"/>
              </w:rPr>
              <w:t>Trading Symbol(s)</w:t>
            </w:r>
          </w:p>
        </w:tc>
        <w:tc>
          <w:tcPr>
            <w:tcW w:w="3520" w:type="dxa"/>
            <w:vAlign w:val="bottom"/>
          </w:tcPr>
          <w:p>
            <w:pPr>
              <w:jc w:val="center"/>
              <w:ind w:left="419"/>
              <w:spacing w:after="0"/>
              <w:rPr>
                <w:sz w:val="20"/>
                <w:szCs w:val="20"/>
                <w:color w:val="auto"/>
              </w:rPr>
            </w:pPr>
            <w:r>
              <w:rPr>
                <w:rFonts w:ascii="Arial" w:cs="Arial" w:eastAsia="Arial" w:hAnsi="Arial"/>
                <w:sz w:val="16"/>
                <w:szCs w:val="16"/>
                <w:b w:val="1"/>
                <w:bCs w:val="1"/>
                <w:color w:val="auto"/>
                <w:w w:val="89"/>
              </w:rPr>
              <w:t>Name of each exchange on which registered</w:t>
            </w:r>
          </w:p>
        </w:tc>
      </w:tr>
      <w:tr>
        <w:trPr>
          <w:trHeight w:val="378"/>
        </w:trPr>
        <w:tc>
          <w:tcPr>
            <w:tcW w:w="2220" w:type="dxa"/>
            <w:vAlign w:val="bottom"/>
          </w:tcPr>
          <w:p>
            <w:pPr>
              <w:jc w:val="center"/>
              <w:ind w:right="599"/>
              <w:spacing w:after="0"/>
              <w:rPr>
                <w:sz w:val="20"/>
                <w:szCs w:val="20"/>
                <w:color w:val="auto"/>
              </w:rPr>
            </w:pPr>
            <w:r>
              <w:rPr>
                <w:rFonts w:ascii="Arial" w:cs="Arial" w:eastAsia="Arial" w:hAnsi="Arial"/>
                <w:sz w:val="16"/>
                <w:szCs w:val="16"/>
                <w:color w:val="auto"/>
                <w:w w:val="90"/>
              </w:rPr>
              <w:t>Class A ordinary shares</w:t>
            </w:r>
          </w:p>
        </w:tc>
        <w:tc>
          <w:tcPr>
            <w:tcW w:w="2460" w:type="dxa"/>
            <w:vAlign w:val="bottom"/>
          </w:tcPr>
          <w:p>
            <w:pPr>
              <w:jc w:val="center"/>
              <w:ind w:left="99"/>
              <w:spacing w:after="0"/>
              <w:rPr>
                <w:sz w:val="20"/>
                <w:szCs w:val="20"/>
                <w:color w:val="auto"/>
              </w:rPr>
            </w:pPr>
            <w:r>
              <w:rPr>
                <w:rFonts w:ascii="Arial" w:cs="Arial" w:eastAsia="Arial" w:hAnsi="Arial"/>
                <w:sz w:val="16"/>
                <w:szCs w:val="16"/>
                <w:color w:val="auto"/>
              </w:rPr>
              <w:t>LBTYA</w:t>
            </w:r>
          </w:p>
        </w:tc>
        <w:tc>
          <w:tcPr>
            <w:tcW w:w="3520" w:type="dxa"/>
            <w:vAlign w:val="bottom"/>
          </w:tcPr>
          <w:p>
            <w:pPr>
              <w:jc w:val="center"/>
              <w:ind w:left="419"/>
              <w:spacing w:after="0"/>
              <w:rPr>
                <w:sz w:val="20"/>
                <w:szCs w:val="20"/>
                <w:color w:val="auto"/>
              </w:rPr>
            </w:pPr>
            <w:r>
              <w:rPr>
                <w:rFonts w:ascii="Arial" w:cs="Arial" w:eastAsia="Arial" w:hAnsi="Arial"/>
                <w:sz w:val="16"/>
                <w:szCs w:val="16"/>
                <w:color w:val="auto"/>
                <w:w w:val="91"/>
              </w:rPr>
              <w:t>Nasdaq Global Select Market</w:t>
            </w:r>
          </w:p>
        </w:tc>
      </w:tr>
      <w:tr>
        <w:trPr>
          <w:trHeight w:val="256"/>
        </w:trPr>
        <w:tc>
          <w:tcPr>
            <w:tcW w:w="2220" w:type="dxa"/>
            <w:vAlign w:val="bottom"/>
          </w:tcPr>
          <w:p>
            <w:pPr>
              <w:jc w:val="center"/>
              <w:ind w:right="599"/>
              <w:spacing w:after="0"/>
              <w:rPr>
                <w:sz w:val="20"/>
                <w:szCs w:val="20"/>
                <w:color w:val="auto"/>
              </w:rPr>
            </w:pPr>
            <w:r>
              <w:rPr>
                <w:rFonts w:ascii="Arial" w:cs="Arial" w:eastAsia="Arial" w:hAnsi="Arial"/>
                <w:sz w:val="16"/>
                <w:szCs w:val="16"/>
                <w:color w:val="auto"/>
                <w:w w:val="90"/>
              </w:rPr>
              <w:t>Class B ordinary shares</w:t>
            </w:r>
          </w:p>
        </w:tc>
        <w:tc>
          <w:tcPr>
            <w:tcW w:w="2460" w:type="dxa"/>
            <w:vAlign w:val="bottom"/>
          </w:tcPr>
          <w:p>
            <w:pPr>
              <w:jc w:val="center"/>
              <w:ind w:left="99"/>
              <w:spacing w:after="0"/>
              <w:rPr>
                <w:sz w:val="20"/>
                <w:szCs w:val="20"/>
                <w:color w:val="auto"/>
              </w:rPr>
            </w:pPr>
            <w:r>
              <w:rPr>
                <w:rFonts w:ascii="Arial" w:cs="Arial" w:eastAsia="Arial" w:hAnsi="Arial"/>
                <w:sz w:val="16"/>
                <w:szCs w:val="16"/>
                <w:color w:val="auto"/>
              </w:rPr>
              <w:t>LBTYB</w:t>
            </w:r>
          </w:p>
        </w:tc>
        <w:tc>
          <w:tcPr>
            <w:tcW w:w="3520" w:type="dxa"/>
            <w:vAlign w:val="bottom"/>
          </w:tcPr>
          <w:p>
            <w:pPr>
              <w:jc w:val="center"/>
              <w:ind w:left="419"/>
              <w:spacing w:after="0"/>
              <w:rPr>
                <w:sz w:val="20"/>
                <w:szCs w:val="20"/>
                <w:color w:val="auto"/>
              </w:rPr>
            </w:pPr>
            <w:r>
              <w:rPr>
                <w:rFonts w:ascii="Arial" w:cs="Arial" w:eastAsia="Arial" w:hAnsi="Arial"/>
                <w:sz w:val="16"/>
                <w:szCs w:val="16"/>
                <w:color w:val="auto"/>
                <w:w w:val="91"/>
              </w:rPr>
              <w:t>Nasdaq Global Select Market</w:t>
            </w:r>
          </w:p>
        </w:tc>
      </w:tr>
      <w:tr>
        <w:trPr>
          <w:trHeight w:val="257"/>
        </w:trPr>
        <w:tc>
          <w:tcPr>
            <w:tcW w:w="2220" w:type="dxa"/>
            <w:vAlign w:val="bottom"/>
          </w:tcPr>
          <w:p>
            <w:pPr>
              <w:jc w:val="center"/>
              <w:ind w:right="599"/>
              <w:spacing w:after="0"/>
              <w:rPr>
                <w:sz w:val="20"/>
                <w:szCs w:val="20"/>
                <w:color w:val="auto"/>
              </w:rPr>
            </w:pPr>
            <w:r>
              <w:rPr>
                <w:rFonts w:ascii="Arial" w:cs="Arial" w:eastAsia="Arial" w:hAnsi="Arial"/>
                <w:sz w:val="16"/>
                <w:szCs w:val="16"/>
                <w:color w:val="auto"/>
                <w:w w:val="90"/>
              </w:rPr>
              <w:t>Class C ordinary shares</w:t>
            </w:r>
          </w:p>
        </w:tc>
        <w:tc>
          <w:tcPr>
            <w:tcW w:w="2460" w:type="dxa"/>
            <w:vAlign w:val="bottom"/>
          </w:tcPr>
          <w:p>
            <w:pPr>
              <w:jc w:val="center"/>
              <w:ind w:left="79"/>
              <w:spacing w:after="0"/>
              <w:rPr>
                <w:sz w:val="20"/>
                <w:szCs w:val="20"/>
                <w:color w:val="auto"/>
              </w:rPr>
            </w:pPr>
            <w:r>
              <w:rPr>
                <w:rFonts w:ascii="Arial" w:cs="Arial" w:eastAsia="Arial" w:hAnsi="Arial"/>
                <w:sz w:val="16"/>
                <w:szCs w:val="16"/>
                <w:color w:val="auto"/>
              </w:rPr>
              <w:t>LBTYK</w:t>
            </w:r>
          </w:p>
        </w:tc>
        <w:tc>
          <w:tcPr>
            <w:tcW w:w="3520" w:type="dxa"/>
            <w:vAlign w:val="bottom"/>
          </w:tcPr>
          <w:p>
            <w:pPr>
              <w:jc w:val="center"/>
              <w:ind w:left="419"/>
              <w:spacing w:after="0"/>
              <w:rPr>
                <w:sz w:val="20"/>
                <w:szCs w:val="20"/>
                <w:color w:val="auto"/>
              </w:rPr>
            </w:pPr>
            <w:r>
              <w:rPr>
                <w:rFonts w:ascii="Arial" w:cs="Arial" w:eastAsia="Arial" w:hAnsi="Arial"/>
                <w:sz w:val="16"/>
                <w:szCs w:val="16"/>
                <w:color w:val="auto"/>
                <w:w w:val="91"/>
              </w:rPr>
              <w:t>Nasdaq Global Select Market</w:t>
            </w:r>
          </w:p>
        </w:tc>
      </w:tr>
    </w:tbl>
    <w:p>
      <w:pPr>
        <w:spacing w:after="0" w:line="347" w:lineRule="exact"/>
        <w:rPr>
          <w:sz w:val="24"/>
          <w:szCs w:val="24"/>
          <w:color w:val="auto"/>
        </w:rPr>
      </w:pPr>
    </w:p>
    <w:p>
      <w:pPr>
        <w:spacing w:after="0"/>
        <w:rPr>
          <w:sz w:val="20"/>
          <w:szCs w:val="20"/>
          <w:color w:val="auto"/>
        </w:rPr>
      </w:pPr>
      <w:r>
        <w:rPr>
          <w:rFonts w:ascii="Arial" w:cs="Arial" w:eastAsia="Arial" w:hAnsi="Arial"/>
          <w:sz w:val="15"/>
          <w:szCs w:val="15"/>
          <w:color w:val="auto"/>
        </w:rPr>
        <w:t>Check the appropriate box below if the Form 8-K filing is intended to simultaneously satisfy the filing obligation of the registrant under any of the following provisions:</w:t>
      </w:r>
    </w:p>
    <w:p>
      <w:pPr>
        <w:spacing w:after="0" w:line="206" w:lineRule="exact"/>
        <w:rPr>
          <w:sz w:val="24"/>
          <w:szCs w:val="24"/>
          <w:color w:val="auto"/>
        </w:rPr>
      </w:pPr>
    </w:p>
    <w:p>
      <w:pPr>
        <w:ind w:left="400" w:hanging="392"/>
        <w:spacing w:after="0"/>
        <w:tabs>
          <w:tab w:leader="none" w:pos="40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194" w:lineRule="exact"/>
        <w:rPr>
          <w:rFonts w:ascii="MS PGothic" w:cs="MS PGothic" w:eastAsia="MS PGothic" w:hAnsi="MS PGothic"/>
          <w:sz w:val="16"/>
          <w:szCs w:val="16"/>
          <w:color w:val="auto"/>
        </w:rPr>
      </w:pPr>
    </w:p>
    <w:p>
      <w:pPr>
        <w:ind w:left="400" w:hanging="392"/>
        <w:spacing w:after="0"/>
        <w:tabs>
          <w:tab w:leader="none" w:pos="40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194" w:lineRule="exact"/>
        <w:rPr>
          <w:rFonts w:ascii="MS PGothic" w:cs="MS PGothic" w:eastAsia="MS PGothic" w:hAnsi="MS PGothic"/>
          <w:sz w:val="16"/>
          <w:szCs w:val="16"/>
          <w:color w:val="auto"/>
        </w:rPr>
      </w:pPr>
    </w:p>
    <w:p>
      <w:pPr>
        <w:ind w:left="400" w:hanging="392"/>
        <w:spacing w:after="0"/>
        <w:tabs>
          <w:tab w:leader="none" w:pos="40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194" w:lineRule="exact"/>
        <w:rPr>
          <w:rFonts w:ascii="MS PGothic" w:cs="MS PGothic" w:eastAsia="MS PGothic" w:hAnsi="MS PGothic"/>
          <w:sz w:val="16"/>
          <w:szCs w:val="16"/>
          <w:color w:val="auto"/>
        </w:rPr>
      </w:pPr>
    </w:p>
    <w:p>
      <w:pPr>
        <w:ind w:left="400" w:hanging="392"/>
        <w:spacing w:after="0"/>
        <w:tabs>
          <w:tab w:leader="none" w:pos="40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194" w:lineRule="exact"/>
        <w:rPr>
          <w:sz w:val="24"/>
          <w:szCs w:val="24"/>
          <w:color w:val="auto"/>
        </w:rPr>
      </w:pPr>
    </w:p>
    <w:p>
      <w:pPr>
        <w:spacing w:after="0" w:line="275"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15"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24" w:lineRule="exact"/>
        <w:rPr>
          <w:sz w:val="24"/>
          <w:szCs w:val="24"/>
          <w:color w:val="auto"/>
        </w:rPr>
      </w:pPr>
    </w:p>
    <w:p>
      <w:pPr>
        <w:ind w:right="520"/>
        <w:spacing w:after="0" w:line="20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155575</wp:posOffset>
            </wp:positionV>
            <wp:extent cx="713232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69850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0"/>
          </w:cols>
          <w:pgMar w:left="320" w:top="1174" w:right="39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CONDITION/Item 7.01. REGULATION FD DISCLOSURE</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Virgin Media Inc. and the UPC Holding Group are separate fixed-income borrowing groups of Liberty Global plc (</w:t>
      </w:r>
      <w:r>
        <w:rPr>
          <w:rFonts w:ascii="Arial" w:cs="Arial" w:eastAsia="Arial" w:hAnsi="Arial"/>
          <w:sz w:val="18"/>
          <w:szCs w:val="18"/>
          <w:b w:val="1"/>
          <w:bCs w:val="1"/>
          <w:color w:val="auto"/>
        </w:rPr>
        <w:t>Liberty Global</w:t>
      </w:r>
      <w:r>
        <w:rPr>
          <w:rFonts w:ascii="Arial" w:cs="Arial" w:eastAsia="Arial" w:hAnsi="Arial"/>
          <w:sz w:val="18"/>
          <w:szCs w:val="18"/>
          <w:color w:val="auto"/>
        </w:rPr>
        <w:t>). The UPC Holding Group comprises our operations in Switzerland, Poland and Slovakia. On May 6, 2020, Liberty Global provided selected, preliminary unaudited financial and operating information for these fixed-income borrowing groups for the quarter ended March 31, 2020 by posting a press release to its website. The full text of that release, attached hereto as Exhibit 99.1, is incorporated herein by reference. The press release attached hereto as Exhibit 99.1 is being furnished to the SEC under both Item 2.02 “Results of Operations and Financial Condition” and Item 7.01 “Regulation FD Disclosure” of Form 8-K. The information furnished pursuant to this Form 8-K (including the exhibit hereto) shall not be considered “filed” under the Securities Exchange Act of 1934, as amended, nor shall it be incorporated by reference into any of Liberty Global’s filings under the Securities Act of 1933, as amended, or under the Securities Exchange Act of 1934, as amended, unless Liberty Global expressly states in such filing that such information is to be considered “filed” or incorporated by reference therein.</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(d)</w:t>
        <w:tab/>
        <w:t>Exhibits.</w:t>
      </w:r>
    </w:p>
    <w:p>
      <w:pPr>
        <w:spacing w:after="0" w:line="225"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u w:val="single" w:color="auto"/>
          <w:color w:val="auto"/>
        </w:rPr>
        <w:t>Exhibit No.</w:t>
      </w:r>
      <w:r>
        <w:rPr>
          <w:sz w:val="20"/>
          <w:szCs w:val="20"/>
          <w:color w:val="auto"/>
        </w:rPr>
        <w:tab/>
      </w:r>
      <w:r>
        <w:rPr>
          <w:rFonts w:ascii="Arial" w:cs="Arial" w:eastAsia="Arial" w:hAnsi="Arial"/>
          <w:sz w:val="16"/>
          <w:szCs w:val="16"/>
          <w:u w:val="single" w:color="auto"/>
          <w:color w:val="auto"/>
        </w:rPr>
        <w:t>Exhibit Name</w:t>
      </w:r>
    </w:p>
    <w:p>
      <w:pPr>
        <w:spacing w:after="0" w:line="387" w:lineRule="exact"/>
        <w:rPr>
          <w:sz w:val="20"/>
          <w:szCs w:val="20"/>
          <w:color w:val="auto"/>
        </w:rPr>
      </w:pPr>
    </w:p>
    <w:tbl>
      <w:tblPr>
        <w:tblLayout w:type="fixed"/>
        <w:tblInd w:w="1040" w:type="dxa"/>
        <w:tblCellMar>
          <w:top w:w="0" w:type="dxa"/>
          <w:left w:w="0" w:type="dxa"/>
          <w:bottom w:w="0" w:type="dxa"/>
          <w:right w:w="0" w:type="dxa"/>
        </w:tblCellMar>
      </w:tblPr>
      <w:tr>
        <w:trPr>
          <w:trHeight w:val="230"/>
        </w:trPr>
        <w:tc>
          <w:tcPr>
            <w:tcW w:w="880" w:type="dxa"/>
            <w:vAlign w:val="bottom"/>
          </w:tcPr>
          <w:p>
            <w:pPr>
              <w:spacing w:after="0"/>
              <w:rPr>
                <w:sz w:val="20"/>
                <w:szCs w:val="20"/>
                <w:color w:val="auto"/>
              </w:rPr>
            </w:pPr>
            <w:r>
              <w:rPr>
                <w:rFonts w:ascii="Arial" w:cs="Arial" w:eastAsia="Arial" w:hAnsi="Arial"/>
                <w:sz w:val="18"/>
                <w:szCs w:val="18"/>
                <w:color w:val="auto"/>
              </w:rPr>
              <w:t>99.1</w:t>
            </w:r>
          </w:p>
        </w:tc>
        <w:tc>
          <w:tcPr>
            <w:tcW w:w="6740" w:type="dxa"/>
            <w:vAlign w:val="bottom"/>
          </w:tcPr>
          <w:p>
            <w:pPr>
              <w:ind w:left="200"/>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Press release dated May 6, 2020</w:t>
              </w:r>
            </w:hyperlink>
          </w:p>
        </w:tc>
      </w:tr>
      <w:tr>
        <w:trPr>
          <w:trHeight w:val="270"/>
        </w:trPr>
        <w:tc>
          <w:tcPr>
            <w:tcW w:w="880" w:type="dxa"/>
            <w:vAlign w:val="bottom"/>
          </w:tcPr>
          <w:p>
            <w:pPr>
              <w:spacing w:after="0"/>
              <w:rPr>
                <w:sz w:val="20"/>
                <w:szCs w:val="20"/>
                <w:color w:val="auto"/>
              </w:rPr>
            </w:pPr>
            <w:r>
              <w:rPr>
                <w:rFonts w:ascii="Arial" w:cs="Arial" w:eastAsia="Arial" w:hAnsi="Arial"/>
                <w:sz w:val="18"/>
                <w:szCs w:val="18"/>
                <w:color w:val="auto"/>
              </w:rPr>
              <w:t>101.SCH</w:t>
            </w:r>
          </w:p>
        </w:tc>
        <w:tc>
          <w:tcPr>
            <w:tcW w:w="6740" w:type="dxa"/>
            <w:vAlign w:val="bottom"/>
          </w:tcPr>
          <w:p>
            <w:pPr>
              <w:ind w:left="200"/>
              <w:spacing w:after="0"/>
              <w:rPr>
                <w:sz w:val="20"/>
                <w:szCs w:val="20"/>
                <w:color w:val="auto"/>
              </w:rPr>
            </w:pPr>
            <w:r>
              <w:rPr>
                <w:rFonts w:ascii="Arial" w:cs="Arial" w:eastAsia="Arial" w:hAnsi="Arial"/>
                <w:sz w:val="18"/>
                <w:szCs w:val="18"/>
                <w:color w:val="auto"/>
              </w:rPr>
              <w:t>Inline XBRL Taxonomy Extension Schema Document</w:t>
            </w:r>
          </w:p>
        </w:tc>
      </w:tr>
      <w:tr>
        <w:trPr>
          <w:trHeight w:val="392"/>
        </w:trPr>
        <w:tc>
          <w:tcPr>
            <w:tcW w:w="880" w:type="dxa"/>
            <w:vAlign w:val="bottom"/>
          </w:tcPr>
          <w:p>
            <w:pPr>
              <w:spacing w:after="0"/>
              <w:rPr>
                <w:sz w:val="20"/>
                <w:szCs w:val="20"/>
                <w:color w:val="auto"/>
              </w:rPr>
            </w:pPr>
            <w:r>
              <w:rPr>
                <w:rFonts w:ascii="Arial" w:cs="Arial" w:eastAsia="Arial" w:hAnsi="Arial"/>
                <w:sz w:val="18"/>
                <w:szCs w:val="18"/>
                <w:color w:val="auto"/>
              </w:rPr>
              <w:t>101.CAL</w:t>
            </w:r>
          </w:p>
        </w:tc>
        <w:tc>
          <w:tcPr>
            <w:tcW w:w="6740" w:type="dxa"/>
            <w:vAlign w:val="bottom"/>
          </w:tcPr>
          <w:p>
            <w:pPr>
              <w:ind w:left="200"/>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391"/>
        </w:trPr>
        <w:tc>
          <w:tcPr>
            <w:tcW w:w="880" w:type="dxa"/>
            <w:vAlign w:val="bottom"/>
          </w:tcPr>
          <w:p>
            <w:pPr>
              <w:spacing w:after="0"/>
              <w:rPr>
                <w:sz w:val="20"/>
                <w:szCs w:val="20"/>
                <w:color w:val="auto"/>
              </w:rPr>
            </w:pPr>
            <w:r>
              <w:rPr>
                <w:rFonts w:ascii="Arial" w:cs="Arial" w:eastAsia="Arial" w:hAnsi="Arial"/>
                <w:sz w:val="18"/>
                <w:szCs w:val="18"/>
                <w:color w:val="auto"/>
              </w:rPr>
              <w:t>101.DEF</w:t>
            </w:r>
          </w:p>
        </w:tc>
        <w:tc>
          <w:tcPr>
            <w:tcW w:w="6740" w:type="dxa"/>
            <w:vAlign w:val="bottom"/>
          </w:tcPr>
          <w:p>
            <w:pPr>
              <w:ind w:left="200"/>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392"/>
        </w:trPr>
        <w:tc>
          <w:tcPr>
            <w:tcW w:w="880" w:type="dxa"/>
            <w:vAlign w:val="bottom"/>
          </w:tcPr>
          <w:p>
            <w:pPr>
              <w:spacing w:after="0"/>
              <w:rPr>
                <w:sz w:val="20"/>
                <w:szCs w:val="20"/>
                <w:color w:val="auto"/>
              </w:rPr>
            </w:pPr>
            <w:r>
              <w:rPr>
                <w:rFonts w:ascii="Arial" w:cs="Arial" w:eastAsia="Arial" w:hAnsi="Arial"/>
                <w:sz w:val="18"/>
                <w:szCs w:val="18"/>
                <w:color w:val="auto"/>
              </w:rPr>
              <w:t>101.LAB</w:t>
            </w:r>
          </w:p>
        </w:tc>
        <w:tc>
          <w:tcPr>
            <w:tcW w:w="6740" w:type="dxa"/>
            <w:vAlign w:val="bottom"/>
          </w:tcPr>
          <w:p>
            <w:pPr>
              <w:ind w:left="200"/>
              <w:spacing w:after="0"/>
              <w:rPr>
                <w:sz w:val="20"/>
                <w:szCs w:val="20"/>
                <w:color w:val="auto"/>
              </w:rPr>
            </w:pPr>
            <w:r>
              <w:rPr>
                <w:rFonts w:ascii="Arial" w:cs="Arial" w:eastAsia="Arial" w:hAnsi="Arial"/>
                <w:sz w:val="18"/>
                <w:szCs w:val="18"/>
                <w:color w:val="auto"/>
              </w:rPr>
              <w:t>Inline XBRL Taxonomy Extension Label Linkbase Document</w:t>
            </w:r>
          </w:p>
        </w:tc>
      </w:tr>
      <w:tr>
        <w:trPr>
          <w:trHeight w:val="392"/>
        </w:trPr>
        <w:tc>
          <w:tcPr>
            <w:tcW w:w="880" w:type="dxa"/>
            <w:vAlign w:val="bottom"/>
          </w:tcPr>
          <w:p>
            <w:pPr>
              <w:spacing w:after="0"/>
              <w:rPr>
                <w:sz w:val="20"/>
                <w:szCs w:val="20"/>
                <w:color w:val="auto"/>
              </w:rPr>
            </w:pPr>
            <w:r>
              <w:rPr>
                <w:rFonts w:ascii="Arial" w:cs="Arial" w:eastAsia="Arial" w:hAnsi="Arial"/>
                <w:sz w:val="18"/>
                <w:szCs w:val="18"/>
                <w:color w:val="auto"/>
              </w:rPr>
              <w:t>101.PRE</w:t>
            </w:r>
          </w:p>
        </w:tc>
        <w:tc>
          <w:tcPr>
            <w:tcW w:w="6740" w:type="dxa"/>
            <w:vAlign w:val="bottom"/>
          </w:tcPr>
          <w:p>
            <w:pPr>
              <w:ind w:left="200"/>
              <w:spacing w:after="0"/>
              <w:rPr>
                <w:sz w:val="20"/>
                <w:szCs w:val="20"/>
                <w:color w:val="auto"/>
              </w:rPr>
            </w:pPr>
            <w:r>
              <w:rPr>
                <w:rFonts w:ascii="Arial" w:cs="Arial" w:eastAsia="Arial" w:hAnsi="Arial"/>
                <w:sz w:val="18"/>
                <w:szCs w:val="18"/>
                <w:color w:val="auto"/>
              </w:rPr>
              <w:t>Inline XBRL Taxonomy Extension Presentation Linkbase Document</w:t>
            </w:r>
          </w:p>
        </w:tc>
      </w:tr>
      <w:tr>
        <w:trPr>
          <w:trHeight w:val="391"/>
        </w:trPr>
        <w:tc>
          <w:tcPr>
            <w:tcW w:w="880" w:type="dxa"/>
            <w:vAlign w:val="bottom"/>
          </w:tcPr>
          <w:p>
            <w:pPr>
              <w:spacing w:after="0"/>
              <w:rPr>
                <w:sz w:val="20"/>
                <w:szCs w:val="20"/>
                <w:color w:val="auto"/>
              </w:rPr>
            </w:pPr>
            <w:r>
              <w:rPr>
                <w:rFonts w:ascii="Arial" w:cs="Arial" w:eastAsia="Arial" w:hAnsi="Arial"/>
                <w:sz w:val="18"/>
                <w:szCs w:val="18"/>
                <w:color w:val="auto"/>
              </w:rPr>
              <w:t>104</w:t>
            </w:r>
          </w:p>
        </w:tc>
        <w:tc>
          <w:tcPr>
            <w:tcW w:w="6740" w:type="dxa"/>
            <w:vAlign w:val="bottom"/>
          </w:tcPr>
          <w:p>
            <w:pPr>
              <w:ind w:left="200"/>
              <w:spacing w:after="0"/>
              <w:rPr>
                <w:sz w:val="20"/>
                <w:szCs w:val="20"/>
                <w:color w:val="auto"/>
              </w:rPr>
            </w:pPr>
            <w:r>
              <w:rPr>
                <w:rFonts w:ascii="Arial" w:cs="Arial" w:eastAsia="Arial" w:hAnsi="Arial"/>
                <w:sz w:val="18"/>
                <w:szCs w:val="18"/>
                <w:color w:val="auto"/>
                <w:w w:val="92"/>
              </w:rPr>
              <w:t>Cover Page Interactive Data File (formatted as Inline XBRL and contained in Exhibit 101)</w:t>
            </w:r>
          </w:p>
        </w:tc>
      </w:tr>
    </w:tbl>
    <w:p>
      <w:pPr>
        <w:sectPr>
          <w:pgSz w:w="11900" w:h="16838" w:orient="portrait"/>
          <w:cols w:equalWidth="0" w:num="1">
            <w:col w:w="11240"/>
          </w:cols>
          <w:pgMar w:left="320" w:top="553" w:right="339" w:bottom="1440" w:gutter="0" w:footer="0" w:header="0"/>
        </w:sectPr>
      </w:pPr>
    </w:p>
    <w:bookmarkStart w:id="2" w:name="page3"/>
    <w:bookmarkEnd w:id="2"/>
    <w:p>
      <w:pPr>
        <w:jc w:val="center"/>
        <w:ind w:right="-55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3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LIBERTY GLOBAL PLC</w:t>
      </w:r>
    </w:p>
    <w:p>
      <w:pPr>
        <w:spacing w:after="0" w:line="333" w:lineRule="exact"/>
        <w:rPr>
          <w:sz w:val="20"/>
          <w:szCs w:val="20"/>
          <w:color w:val="auto"/>
        </w:rPr>
      </w:pPr>
    </w:p>
    <w:p>
      <w:pPr>
        <w:ind w:left="4380"/>
        <w:spacing w:after="0"/>
        <w:tabs>
          <w:tab w:leader="none" w:pos="4880" w:val="left"/>
        </w:tabs>
        <w:rPr>
          <w:sz w:val="20"/>
          <w:szCs w:val="20"/>
          <w:color w:val="auto"/>
        </w:rPr>
      </w:pPr>
      <w:r>
        <w:rPr>
          <w:rFonts w:ascii="Arial" w:cs="Arial" w:eastAsia="Arial" w:hAnsi="Arial"/>
          <w:sz w:val="18"/>
          <w:szCs w:val="18"/>
          <w:color w:val="auto"/>
        </w:rPr>
        <w:t>By:</w:t>
        <w:tab/>
        <w:t>/s/ RANDY L. LAZZELL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3091180</wp:posOffset>
            </wp:positionH>
            <wp:positionV relativeFrom="paragraph">
              <wp:posOffset>31750</wp:posOffset>
            </wp:positionV>
            <wp:extent cx="276860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768600" cy="8255"/>
                    </a:xfrm>
                    <a:prstGeom prst="rect">
                      <a:avLst/>
                    </a:prstGeom>
                    <a:noFill/>
                  </pic:spPr>
                </pic:pic>
              </a:graphicData>
            </a:graphic>
          </wp:anchor>
        </w:drawing>
      </w:r>
    </w:p>
    <w:p>
      <w:pPr>
        <w:spacing w:after="0" w:line="57"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Randy L. Lazzell</w:t>
      </w:r>
    </w:p>
    <w:p>
      <w:pPr>
        <w:spacing w:after="0" w:line="63"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Vice President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Date: May 6, 2020</w:t>
      </w:r>
    </w:p>
    <w:p>
      <w:pPr>
        <w:sectPr>
          <w:pgSz w:w="11900" w:h="16838" w:orient="portrait"/>
          <w:cols w:equalWidth="0" w:num="1">
            <w:col w:w="10680"/>
          </w:cols>
          <w:pgMar w:left="320" w:top="553" w:right="899" w:bottom="1440" w:gutter="0" w:footer="0" w:header="0"/>
        </w:sectPr>
      </w:pPr>
    </w:p>
    <w:bookmarkStart w:id="3" w:name="page4"/>
    <w:bookmarkEnd w:id="3"/>
    <w:p>
      <w:pPr>
        <w:spacing w:after="0" w:line="38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6397625</wp:posOffset>
            </wp:positionH>
            <wp:positionV relativeFrom="page">
              <wp:posOffset>88900</wp:posOffset>
            </wp:positionV>
            <wp:extent cx="942975" cy="9429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942975" cy="942975"/>
                    </a:xfrm>
                    <a:prstGeom prst="rect">
                      <a:avLst/>
                    </a:prstGeom>
                    <a:noFill/>
                  </pic:spPr>
                </pic:pic>
              </a:graphicData>
            </a:graphic>
          </wp:anchor>
        </w:drawing>
      </w:r>
    </w:p>
    <w:p>
      <w:pPr>
        <w:jc w:val="right"/>
        <w:spacing w:after="0"/>
        <w:rPr>
          <w:sz w:val="20"/>
          <w:szCs w:val="20"/>
          <w:color w:val="auto"/>
        </w:rPr>
      </w:pPr>
      <w:r>
        <w:rPr>
          <w:rFonts w:ascii="Arial" w:cs="Arial" w:eastAsia="Arial" w:hAnsi="Arial"/>
          <w:sz w:val="18"/>
          <w:szCs w:val="18"/>
          <w:b w:val="1"/>
          <w:bCs w:val="1"/>
          <w:color w:val="auto"/>
        </w:rPr>
        <w:t>Exhibit 99.1</w:t>
      </w:r>
    </w:p>
    <w:p>
      <w:pPr>
        <w:spacing w:after="0" w:line="47" w:lineRule="exact"/>
        <w:rPr>
          <w:sz w:val="20"/>
          <w:szCs w:val="20"/>
          <w:color w:val="auto"/>
        </w:rPr>
      </w:pPr>
    </w:p>
    <w:p>
      <w:pPr>
        <w:ind w:left="4280"/>
        <w:spacing w:after="0"/>
        <w:rPr>
          <w:sz w:val="20"/>
          <w:szCs w:val="20"/>
          <w:color w:val="auto"/>
        </w:rPr>
      </w:pPr>
      <w:r>
        <w:rPr>
          <w:rFonts w:ascii="Arial" w:cs="Arial" w:eastAsia="Arial" w:hAnsi="Arial"/>
          <w:sz w:val="40"/>
          <w:szCs w:val="40"/>
          <w:color w:val="auto"/>
        </w:rPr>
        <w:t>Q1 2020 Fixed Income Release</w:t>
      </w:r>
    </w:p>
    <w:p>
      <w:pPr>
        <w:spacing w:after="0" w:line="289" w:lineRule="exact"/>
        <w:rPr>
          <w:sz w:val="20"/>
          <w:szCs w:val="20"/>
          <w:color w:val="auto"/>
        </w:rPr>
      </w:pPr>
    </w:p>
    <w:p>
      <w:pPr>
        <w:jc w:val="both"/>
        <w:spacing w:after="0" w:line="244" w:lineRule="auto"/>
        <w:rPr>
          <w:sz w:val="20"/>
          <w:szCs w:val="20"/>
          <w:color w:val="auto"/>
        </w:rPr>
      </w:pPr>
      <w:r>
        <w:rPr>
          <w:rFonts w:ascii="Arial" w:cs="Arial" w:eastAsia="Arial" w:hAnsi="Arial"/>
          <w:sz w:val="20"/>
          <w:szCs w:val="20"/>
          <w:b w:val="1"/>
          <w:bCs w:val="1"/>
          <w:color w:val="auto"/>
        </w:rPr>
        <w:t xml:space="preserve">Denver, Colorado </w:t>
      </w:r>
      <w:r>
        <w:rPr>
          <w:rFonts w:ascii="Arial" w:cs="Arial" w:eastAsia="Arial" w:hAnsi="Arial"/>
          <w:sz w:val="20"/>
          <w:szCs w:val="20"/>
          <w:color w:val="auto"/>
        </w:rPr>
        <w:t>May 6, 2020: Liberty Global plc (“Liberty Global”) (NASDAQ: LBTYA, LBTYB, LBTYK) is today providing</w:t>
      </w:r>
      <w:r>
        <w:rPr>
          <w:rFonts w:ascii="Arial" w:cs="Arial" w:eastAsia="Arial" w:hAnsi="Arial"/>
          <w:sz w:val="20"/>
          <w:szCs w:val="20"/>
          <w:b w:val="1"/>
          <w:bCs w:val="1"/>
          <w:color w:val="auto"/>
        </w:rPr>
        <w:t xml:space="preserve"> </w:t>
      </w:r>
      <w:r>
        <w:rPr>
          <w:rFonts w:ascii="Arial" w:cs="Arial" w:eastAsia="Arial" w:hAnsi="Arial"/>
          <w:sz w:val="20"/>
          <w:szCs w:val="20"/>
          <w:color w:val="auto"/>
        </w:rPr>
        <w:t>selected, preliminary unaudited financial* and operating information for its fixed- income borrowing groups for the three months (“Q1”) ended March 31, 2020 as compared to the results for the same period in the prior year (unless otherwise noted). The financial and operating information contained herein is preliminary and subject to change. We expect to issue the March 31, 2020 unaudited condensed consolidated financial statements for each of our fixed-income borrowing groups prior to the end of May 2020, at which time they will be posted to the investor relations section of our website (www.libertyglobal.com) under the “Fixed Income” heading. Convenience translations provided herein are calculated as of March 31, 2020.</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sz w:val="1"/>
          <w:szCs w:val="1"/>
          <w:color w:val="auto"/>
        </w:rPr>
        <w:drawing>
          <wp:inline distT="0" distB="0" distL="0" distR="0">
            <wp:extent cx="591185" cy="37719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91185" cy="377190"/>
                    </a:xfrm>
                    <a:prstGeom prst="rect">
                      <a:avLst/>
                    </a:prstGeom>
                    <a:noFill/>
                    <a:ln>
                      <a:noFill/>
                    </a:ln>
                  </pic:spPr>
                </pic:pic>
              </a:graphicData>
            </a:graphic>
          </wp:inline>
        </w:drawing>
      </w:r>
      <w:r>
        <w:rPr>
          <w:rFonts w:ascii="Arial" w:cs="Arial" w:eastAsia="Arial" w:hAnsi="Arial"/>
          <w:sz w:val="25"/>
          <w:szCs w:val="25"/>
          <w:color w:val="auto"/>
        </w:rPr>
        <w:t>..........................................................................................................Page 2</w:t>
      </w:r>
    </w:p>
    <w:p>
      <w:pPr>
        <w:spacing w:after="0" w:line="200" w:lineRule="exact"/>
        <w:rPr>
          <w:sz w:val="20"/>
          <w:szCs w:val="20"/>
          <w:color w:val="auto"/>
        </w:rPr>
      </w:pPr>
    </w:p>
    <w:p>
      <w:pPr>
        <w:spacing w:after="0" w:line="287" w:lineRule="exact"/>
        <w:rPr>
          <w:sz w:val="20"/>
          <w:szCs w:val="20"/>
          <w:color w:val="auto"/>
        </w:rPr>
      </w:pPr>
    </w:p>
    <w:p>
      <w:pPr>
        <w:ind w:left="160"/>
        <w:spacing w:after="0"/>
        <w:rPr>
          <w:sz w:val="20"/>
          <w:szCs w:val="20"/>
          <w:color w:val="auto"/>
        </w:rPr>
      </w:pPr>
      <w:r>
        <w:rPr>
          <w:sz w:val="1"/>
          <w:szCs w:val="1"/>
          <w:color w:val="auto"/>
        </w:rPr>
        <w:drawing>
          <wp:inline distT="0" distB="0" distL="0" distR="0">
            <wp:extent cx="728345" cy="58293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345" cy="582930"/>
                    </a:xfrm>
                    <a:prstGeom prst="rect">
                      <a:avLst/>
                    </a:prstGeom>
                    <a:noFill/>
                    <a:ln>
                      <a:noFill/>
                    </a:ln>
                  </pic:spPr>
                </pic:pic>
              </a:graphicData>
            </a:graphic>
          </wp:inline>
        </w:drawing>
      </w:r>
      <w:r>
        <w:rPr>
          <w:rFonts w:ascii="Arial" w:cs="Arial" w:eastAsia="Arial" w:hAnsi="Arial"/>
          <w:sz w:val="25"/>
          <w:szCs w:val="25"/>
          <w:color w:val="auto"/>
        </w:rPr>
        <w:t>........................................................................................................Page 11</w:t>
      </w:r>
    </w:p>
    <w:p>
      <w:pPr>
        <w:sectPr>
          <w:pgSz w:w="11900" w:h="16838" w:orient="portrait"/>
          <w:cols w:equalWidth="0" w:num="1">
            <w:col w:w="11240"/>
          </w:cols>
          <w:pgMar w:left="320" w:top="1440" w:right="339" w:bottom="1440" w:gutter="0" w:footer="0" w:header="0"/>
        </w:sectPr>
      </w:pPr>
    </w:p>
    <w:bookmarkStart w:id="4" w:name="page5"/>
    <w:bookmarkEnd w:id="4"/>
    <w:p>
      <w:pPr>
        <w:spacing w:after="0"/>
        <w:rPr>
          <w:sz w:val="20"/>
          <w:szCs w:val="20"/>
          <w:color w:val="auto"/>
        </w:rPr>
      </w:pPr>
      <w:r>
        <w:rPr>
          <w:rFonts w:ascii="Arial" w:cs="Arial" w:eastAsia="Arial" w:hAnsi="Arial"/>
          <w:sz w:val="36"/>
          <w:szCs w:val="36"/>
          <w:color w:val="004F9F"/>
        </w:rPr>
        <w:drawing>
          <wp:anchor simplePos="0" relativeHeight="251657728" behindDoc="1" locked="0" layoutInCell="0" allowOverlap="1">
            <wp:simplePos x="0" y="0"/>
            <wp:positionH relativeFrom="page">
              <wp:posOffset>6500495</wp:posOffset>
            </wp:positionH>
            <wp:positionV relativeFrom="page">
              <wp:posOffset>88900</wp:posOffset>
            </wp:positionV>
            <wp:extent cx="840105" cy="5314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840105" cy="531495"/>
                    </a:xfrm>
                    <a:prstGeom prst="rect">
                      <a:avLst/>
                    </a:prstGeom>
                    <a:noFill/>
                  </pic:spPr>
                </pic:pic>
              </a:graphicData>
            </a:graphic>
          </wp:anchor>
        </w:drawing>
        <w:t>Virgin Me</w:t>
      </w:r>
      <w:r>
        <w:rPr>
          <w:rFonts w:ascii="Arial" w:cs="Arial" w:eastAsia="Arial" w:hAnsi="Arial"/>
          <w:sz w:val="36"/>
          <w:szCs w:val="36"/>
          <w:color w:val="00497F"/>
        </w:rPr>
        <w:t>dia Repo</w:t>
      </w:r>
      <w:r>
        <w:rPr>
          <w:rFonts w:ascii="Arial" w:cs="Arial" w:eastAsia="Arial" w:hAnsi="Arial"/>
          <w:sz w:val="36"/>
          <w:szCs w:val="36"/>
          <w:color w:val="004F9F"/>
        </w:rPr>
        <w:t>rts Preliminary Q1 2020 Results</w:t>
      </w:r>
    </w:p>
    <w:p>
      <w:pPr>
        <w:spacing w:after="0" w:line="178" w:lineRule="exact"/>
        <w:rPr>
          <w:sz w:val="20"/>
          <w:szCs w:val="20"/>
          <w:color w:val="auto"/>
        </w:rPr>
      </w:pPr>
    </w:p>
    <w:p>
      <w:pPr>
        <w:ind w:right="1200"/>
        <w:spacing w:after="0" w:line="252" w:lineRule="auto"/>
        <w:rPr>
          <w:sz w:val="20"/>
          <w:szCs w:val="20"/>
          <w:color w:val="auto"/>
        </w:rPr>
      </w:pPr>
      <w:r>
        <w:rPr>
          <w:rFonts w:ascii="Arial" w:cs="Arial" w:eastAsia="Arial" w:hAnsi="Arial"/>
          <w:sz w:val="29"/>
          <w:szCs w:val="29"/>
          <w:color w:val="00497F"/>
        </w:rPr>
        <w:t>Becoming the National Champion in Fixed-Mobile Connectivity with Record Q1 Postpaid Mobile Additions which Drove FMC to 22%</w:t>
      </w:r>
    </w:p>
    <w:p>
      <w:pPr>
        <w:spacing w:after="0" w:line="150" w:lineRule="exact"/>
        <w:rPr>
          <w:sz w:val="20"/>
          <w:szCs w:val="20"/>
          <w:color w:val="auto"/>
        </w:rPr>
      </w:pPr>
    </w:p>
    <w:p>
      <w:pPr>
        <w:ind w:right="2240"/>
        <w:spacing w:after="0" w:line="382" w:lineRule="auto"/>
        <w:rPr>
          <w:sz w:val="20"/>
          <w:szCs w:val="20"/>
          <w:color w:val="auto"/>
        </w:rPr>
      </w:pPr>
      <w:r>
        <w:rPr>
          <w:rFonts w:ascii="Arial" w:cs="Arial" w:eastAsia="Arial" w:hAnsi="Arial"/>
          <w:sz w:val="28"/>
          <w:szCs w:val="28"/>
          <w:color w:val="00497F"/>
        </w:rPr>
        <w:t>Q1 Growth in Operating Income and Operating Free Cash Flow Business Resilience Keeping Customers Connected During COVID-19</w:t>
      </w:r>
    </w:p>
    <w:p>
      <w:pPr>
        <w:spacing w:after="0" w:line="1" w:lineRule="exact"/>
        <w:rPr>
          <w:sz w:val="20"/>
          <w:szCs w:val="20"/>
          <w:color w:val="auto"/>
        </w:rPr>
      </w:pPr>
    </w:p>
    <w:p>
      <w:pPr>
        <w:spacing w:after="0" w:line="246" w:lineRule="auto"/>
        <w:rPr>
          <w:sz w:val="20"/>
          <w:szCs w:val="20"/>
          <w:color w:val="auto"/>
        </w:rPr>
      </w:pPr>
      <w:r>
        <w:rPr>
          <w:rFonts w:ascii="Arial" w:cs="Arial" w:eastAsia="Arial" w:hAnsi="Arial"/>
          <w:sz w:val="20"/>
          <w:szCs w:val="20"/>
          <w:color w:val="auto"/>
        </w:rPr>
        <w:t>Virgin Media Inc. (“Virgin Media”) is the leading cable operator in the U.K. and Ireland, delivering broadband, video and fixed-line telephony services to 6.0 million cable customers and mobile services to 3.3 million subscribers at March 31, 2020.</w:t>
      </w:r>
    </w:p>
    <w:p>
      <w:pPr>
        <w:spacing w:after="0" w:line="15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Operating highlights:</w:t>
      </w:r>
    </w:p>
    <w:p>
      <w:pPr>
        <w:spacing w:after="0" w:line="132" w:lineRule="exact"/>
        <w:rPr>
          <w:sz w:val="20"/>
          <w:szCs w:val="20"/>
          <w:color w:val="auto"/>
        </w:rPr>
      </w:pPr>
    </w:p>
    <w:p>
      <w:pPr>
        <w:ind w:left="580" w:hanging="491"/>
        <w:spacing w:after="0" w:line="246" w:lineRule="auto"/>
        <w:tabs>
          <w:tab w:leader="none" w:pos="580" w:val="left"/>
        </w:tabs>
        <w:numPr>
          <w:ilvl w:val="0"/>
          <w:numId w:val="2"/>
        </w:numPr>
        <w:rPr>
          <w:rFonts w:ascii="Arial" w:cs="Arial" w:eastAsia="Arial" w:hAnsi="Arial"/>
          <w:sz w:val="20"/>
          <w:szCs w:val="20"/>
          <w:color w:val="auto"/>
        </w:rPr>
      </w:pPr>
      <w:r>
        <w:rPr>
          <w:rFonts w:ascii="Arial" w:cs="Arial" w:eastAsia="Arial" w:hAnsi="Arial"/>
          <w:sz w:val="20"/>
          <w:szCs w:val="20"/>
          <w:color w:val="auto"/>
        </w:rPr>
        <w:t>Virgin Media is aiming to become the national champion for fixed-mobile convergence by winning and retaining customers, growing ARPU via cross-sell and upsell, and extending its network reach and speed leadership position</w:t>
      </w:r>
    </w:p>
    <w:p>
      <w:pPr>
        <w:spacing w:after="0" w:line="95" w:lineRule="exact"/>
        <w:rPr>
          <w:rFonts w:ascii="Arial" w:cs="Arial" w:eastAsia="Arial" w:hAnsi="Arial"/>
          <w:sz w:val="20"/>
          <w:szCs w:val="20"/>
          <w:color w:val="auto"/>
        </w:rPr>
      </w:pPr>
    </w:p>
    <w:p>
      <w:pPr>
        <w:ind w:left="580" w:hanging="491"/>
        <w:spacing w:after="0" w:line="246" w:lineRule="auto"/>
        <w:tabs>
          <w:tab w:leader="none" w:pos="580" w:val="left"/>
        </w:tabs>
        <w:numPr>
          <w:ilvl w:val="0"/>
          <w:numId w:val="2"/>
        </w:numPr>
        <w:rPr>
          <w:rFonts w:ascii="Arial" w:cs="Arial" w:eastAsia="Arial" w:hAnsi="Arial"/>
          <w:sz w:val="20"/>
          <w:szCs w:val="20"/>
          <w:color w:val="auto"/>
        </w:rPr>
      </w:pPr>
      <w:r>
        <w:rPr>
          <w:rFonts w:ascii="Arial" w:cs="Arial" w:eastAsia="Arial" w:hAnsi="Arial"/>
          <w:sz w:val="20"/>
          <w:szCs w:val="20"/>
          <w:color w:val="auto"/>
        </w:rPr>
        <w:t>Execution of this strategy drove growth in subscription revenue, Operating Income and Operating Free Cash Flow (“OFCF”) alongside increased capital efficiency during the quarter</w:t>
      </w:r>
    </w:p>
    <w:p>
      <w:pPr>
        <w:spacing w:after="0" w:line="95" w:lineRule="exact"/>
        <w:rPr>
          <w:rFonts w:ascii="Arial" w:cs="Arial" w:eastAsia="Arial" w:hAnsi="Arial"/>
          <w:sz w:val="20"/>
          <w:szCs w:val="20"/>
          <w:color w:val="auto"/>
        </w:rPr>
      </w:pPr>
    </w:p>
    <w:p>
      <w:pPr>
        <w:ind w:left="580" w:hanging="491"/>
        <w:spacing w:after="0" w:line="246" w:lineRule="auto"/>
        <w:tabs>
          <w:tab w:leader="none" w:pos="580" w:val="left"/>
        </w:tabs>
        <w:numPr>
          <w:ilvl w:val="0"/>
          <w:numId w:val="2"/>
        </w:numPr>
        <w:rPr>
          <w:rFonts w:ascii="Arial" w:cs="Arial" w:eastAsia="Arial" w:hAnsi="Arial"/>
          <w:sz w:val="20"/>
          <w:szCs w:val="20"/>
          <w:color w:val="auto"/>
        </w:rPr>
      </w:pPr>
      <w:r>
        <w:rPr>
          <w:rFonts w:ascii="Arial" w:cs="Arial" w:eastAsia="Arial" w:hAnsi="Arial"/>
          <w:sz w:val="20"/>
          <w:szCs w:val="20"/>
          <w:color w:val="auto"/>
        </w:rPr>
        <w:t>In Fixed-line, our customer base remained stable at 6.0 million during Q1, while ARPU increased 1.2% YoY to £51.97 compared to an ARPU decline in Q1 2019</w:t>
      </w:r>
    </w:p>
    <w:p>
      <w:pPr>
        <w:spacing w:after="0" w:line="95" w:lineRule="exact"/>
        <w:rPr>
          <w:rFonts w:ascii="Arial" w:cs="Arial" w:eastAsia="Arial" w:hAnsi="Arial"/>
          <w:sz w:val="20"/>
          <w:szCs w:val="20"/>
          <w:color w:val="auto"/>
        </w:rPr>
      </w:pPr>
    </w:p>
    <w:p>
      <w:pPr>
        <w:ind w:left="1220" w:hanging="483"/>
        <w:spacing w:after="0"/>
        <w:tabs>
          <w:tab w:leader="none" w:pos="1220" w:val="left"/>
        </w:tabs>
        <w:numPr>
          <w:ilvl w:val="1"/>
          <w:numId w:val="2"/>
        </w:numPr>
        <w:rPr>
          <w:rFonts w:ascii="Arial" w:cs="Arial" w:eastAsia="Arial" w:hAnsi="Arial"/>
          <w:sz w:val="20"/>
          <w:szCs w:val="20"/>
          <w:color w:val="auto"/>
        </w:rPr>
      </w:pPr>
      <w:r>
        <w:rPr>
          <w:rFonts w:ascii="Arial" w:cs="Arial" w:eastAsia="Arial" w:hAnsi="Arial"/>
          <w:sz w:val="20"/>
          <w:szCs w:val="20"/>
          <w:color w:val="auto"/>
        </w:rPr>
        <w:t>ARPU growth was driven by our 2019 UK price rise, product innovation and base management</w:t>
      </w:r>
    </w:p>
    <w:p>
      <w:pPr>
        <w:spacing w:after="0" w:line="107" w:lineRule="exact"/>
        <w:rPr>
          <w:rFonts w:ascii="Arial" w:cs="Arial" w:eastAsia="Arial" w:hAnsi="Arial"/>
          <w:sz w:val="20"/>
          <w:szCs w:val="20"/>
          <w:color w:val="auto"/>
        </w:rPr>
      </w:pPr>
    </w:p>
    <w:p>
      <w:pPr>
        <w:ind w:left="1220" w:hanging="483"/>
        <w:spacing w:after="0" w:line="246" w:lineRule="auto"/>
        <w:tabs>
          <w:tab w:leader="none" w:pos="1220" w:val="left"/>
        </w:tabs>
        <w:numPr>
          <w:ilvl w:val="1"/>
          <w:numId w:val="2"/>
        </w:numPr>
        <w:rPr>
          <w:rFonts w:ascii="Arial" w:cs="Arial" w:eastAsia="Arial" w:hAnsi="Arial"/>
          <w:sz w:val="20"/>
          <w:szCs w:val="20"/>
          <w:color w:val="auto"/>
        </w:rPr>
      </w:pPr>
      <w:r>
        <w:rPr>
          <w:rFonts w:ascii="Arial" w:cs="Arial" w:eastAsia="Arial" w:hAnsi="Arial"/>
          <w:sz w:val="20"/>
          <w:szCs w:val="20"/>
          <w:color w:val="auto"/>
        </w:rPr>
        <w:t>Our fixed-line customer base decreased by 1,000 in the quarter as growth from new build areas was offset by attrition in our non-Lightning footprint</w:t>
      </w:r>
    </w:p>
    <w:p>
      <w:pPr>
        <w:spacing w:after="0" w:line="95" w:lineRule="exact"/>
        <w:rPr>
          <w:rFonts w:ascii="Arial" w:cs="Arial" w:eastAsia="Arial" w:hAnsi="Arial"/>
          <w:sz w:val="20"/>
          <w:szCs w:val="20"/>
          <w:color w:val="auto"/>
        </w:rPr>
      </w:pPr>
    </w:p>
    <w:p>
      <w:pPr>
        <w:ind w:left="1220" w:right="20" w:hanging="483"/>
        <w:spacing w:after="0" w:line="246" w:lineRule="auto"/>
        <w:tabs>
          <w:tab w:leader="none" w:pos="1220" w:val="left"/>
        </w:tabs>
        <w:numPr>
          <w:ilvl w:val="1"/>
          <w:numId w:val="2"/>
        </w:numPr>
        <w:rPr>
          <w:rFonts w:ascii="Arial" w:cs="Arial" w:eastAsia="Arial" w:hAnsi="Arial"/>
          <w:sz w:val="20"/>
          <w:szCs w:val="20"/>
          <w:color w:val="auto"/>
        </w:rPr>
      </w:pPr>
      <w:r>
        <w:rPr>
          <w:rFonts w:ascii="Arial" w:cs="Arial" w:eastAsia="Arial" w:hAnsi="Arial"/>
          <w:sz w:val="20"/>
          <w:szCs w:val="20"/>
          <w:color w:val="auto"/>
        </w:rPr>
        <w:t>The impact on fixed-line ARPU and customer churn due to the regulated introduction of end-of-contract notifications from mid-February has been modest and in-line with our expectations</w:t>
      </w:r>
    </w:p>
    <w:p>
      <w:pPr>
        <w:spacing w:after="0" w:line="95" w:lineRule="exact"/>
        <w:rPr>
          <w:rFonts w:ascii="Arial" w:cs="Arial" w:eastAsia="Arial" w:hAnsi="Arial"/>
          <w:sz w:val="20"/>
          <w:szCs w:val="20"/>
          <w:color w:val="auto"/>
        </w:rPr>
      </w:pPr>
    </w:p>
    <w:p>
      <w:pPr>
        <w:jc w:val="both"/>
        <w:ind w:left="580" w:hanging="491"/>
        <w:spacing w:after="0" w:line="243" w:lineRule="auto"/>
        <w:tabs>
          <w:tab w:leader="none" w:pos="580" w:val="left"/>
        </w:tabs>
        <w:numPr>
          <w:ilvl w:val="0"/>
          <w:numId w:val="2"/>
        </w:numPr>
        <w:rPr>
          <w:rFonts w:ascii="Arial" w:cs="Arial" w:eastAsia="Arial" w:hAnsi="Arial"/>
          <w:sz w:val="20"/>
          <w:szCs w:val="20"/>
          <w:color w:val="auto"/>
        </w:rPr>
      </w:pPr>
      <w:r>
        <w:rPr>
          <w:rFonts w:ascii="Arial" w:cs="Arial" w:eastAsia="Arial" w:hAnsi="Arial"/>
          <w:sz w:val="20"/>
          <w:szCs w:val="20"/>
          <w:color w:val="auto"/>
        </w:rPr>
        <w:t>We extended our speed leadership in Q1 with the rollout of Gigabit broadband speeds to Birmingham and Coventry taking our reach to 13% of our UK footprint; we remain on-track for network-wide coverage by end 2021, delivering 50% of UK Government national ambition four years early</w:t>
      </w:r>
    </w:p>
    <w:p>
      <w:pPr>
        <w:spacing w:after="0" w:line="97" w:lineRule="exact"/>
        <w:rPr>
          <w:rFonts w:ascii="Arial" w:cs="Arial" w:eastAsia="Arial" w:hAnsi="Arial"/>
          <w:sz w:val="20"/>
          <w:szCs w:val="20"/>
          <w:color w:val="auto"/>
        </w:rPr>
      </w:pPr>
    </w:p>
    <w:p>
      <w:pPr>
        <w:ind w:left="1220" w:right="20" w:hanging="483"/>
        <w:spacing w:after="0" w:line="246" w:lineRule="auto"/>
        <w:tabs>
          <w:tab w:leader="none" w:pos="1220" w:val="left"/>
        </w:tabs>
        <w:numPr>
          <w:ilvl w:val="1"/>
          <w:numId w:val="2"/>
        </w:numPr>
        <w:rPr>
          <w:rFonts w:ascii="Arial" w:cs="Arial" w:eastAsia="Arial" w:hAnsi="Arial"/>
          <w:sz w:val="20"/>
          <w:szCs w:val="20"/>
          <w:color w:val="auto"/>
        </w:rPr>
      </w:pPr>
      <w:r>
        <w:rPr>
          <w:rFonts w:ascii="Arial" w:cs="Arial" w:eastAsia="Arial" w:hAnsi="Arial"/>
          <w:sz w:val="20"/>
          <w:szCs w:val="20"/>
          <w:color w:val="auto"/>
        </w:rPr>
        <w:t>More than 95% of our broadband base now takes speeds of 100+ Mbps following a free speed boost for a million customers in the quarter</w:t>
      </w:r>
    </w:p>
    <w:p>
      <w:pPr>
        <w:spacing w:after="0" w:line="95" w:lineRule="exact"/>
        <w:rPr>
          <w:rFonts w:ascii="Arial" w:cs="Arial" w:eastAsia="Arial" w:hAnsi="Arial"/>
          <w:sz w:val="20"/>
          <w:szCs w:val="20"/>
          <w:color w:val="auto"/>
        </w:rPr>
      </w:pPr>
    </w:p>
    <w:p>
      <w:pPr>
        <w:ind w:left="580" w:hanging="491"/>
        <w:spacing w:after="0"/>
        <w:tabs>
          <w:tab w:leader="none" w:pos="580" w:val="left"/>
        </w:tabs>
        <w:numPr>
          <w:ilvl w:val="0"/>
          <w:numId w:val="2"/>
        </w:numPr>
        <w:rPr>
          <w:rFonts w:ascii="Arial" w:cs="Arial" w:eastAsia="Arial" w:hAnsi="Arial"/>
          <w:sz w:val="20"/>
          <w:szCs w:val="20"/>
          <w:color w:val="auto"/>
        </w:rPr>
      </w:pPr>
      <w:r>
        <w:rPr>
          <w:rFonts w:ascii="Arial" w:cs="Arial" w:eastAsia="Arial" w:hAnsi="Arial"/>
          <w:sz w:val="20"/>
          <w:szCs w:val="20"/>
          <w:color w:val="auto"/>
        </w:rPr>
        <w:t>Project Lightning delivered 93,000 premises in Q1 2020 taking our cumulative build to 2.2 million</w:t>
      </w:r>
    </w:p>
    <w:p>
      <w:pPr>
        <w:spacing w:after="0" w:line="107" w:lineRule="exact"/>
        <w:rPr>
          <w:rFonts w:ascii="Arial" w:cs="Arial" w:eastAsia="Arial" w:hAnsi="Arial"/>
          <w:sz w:val="20"/>
          <w:szCs w:val="20"/>
          <w:color w:val="auto"/>
        </w:rPr>
      </w:pPr>
    </w:p>
    <w:p>
      <w:pPr>
        <w:ind w:left="580" w:hanging="491"/>
        <w:spacing w:after="0" w:line="246" w:lineRule="auto"/>
        <w:tabs>
          <w:tab w:leader="none" w:pos="580" w:val="left"/>
        </w:tabs>
        <w:numPr>
          <w:ilvl w:val="0"/>
          <w:numId w:val="2"/>
        </w:numPr>
        <w:rPr>
          <w:rFonts w:ascii="Arial" w:cs="Arial" w:eastAsia="Arial" w:hAnsi="Arial"/>
          <w:sz w:val="20"/>
          <w:szCs w:val="20"/>
          <w:color w:val="auto"/>
        </w:rPr>
      </w:pPr>
      <w:r>
        <w:rPr>
          <w:rFonts w:ascii="Arial" w:cs="Arial" w:eastAsia="Arial" w:hAnsi="Arial"/>
          <w:sz w:val="20"/>
          <w:szCs w:val="20"/>
          <w:color w:val="auto"/>
        </w:rPr>
        <w:t>In Mobile, our converged Oomph bundles have continued to gain traction and helped deliver record Q1 postpaid mobile net adds of 72,000 compared to 26,000 in Q1 2019, driving FMC penetration up 2.5% YoY to 22.0%</w:t>
      </w:r>
    </w:p>
    <w:p>
      <w:pPr>
        <w:spacing w:after="0" w:line="95" w:lineRule="exact"/>
        <w:rPr>
          <w:rFonts w:ascii="Arial" w:cs="Arial" w:eastAsia="Arial" w:hAnsi="Arial"/>
          <w:sz w:val="20"/>
          <w:szCs w:val="20"/>
          <w:color w:val="auto"/>
        </w:rPr>
      </w:pPr>
    </w:p>
    <w:p>
      <w:pPr>
        <w:ind w:left="1220" w:hanging="483"/>
        <w:spacing w:after="0" w:line="246" w:lineRule="auto"/>
        <w:tabs>
          <w:tab w:leader="none" w:pos="1220" w:val="left"/>
        </w:tabs>
        <w:numPr>
          <w:ilvl w:val="1"/>
          <w:numId w:val="2"/>
        </w:numPr>
        <w:rPr>
          <w:rFonts w:ascii="Arial" w:cs="Arial" w:eastAsia="Arial" w:hAnsi="Arial"/>
          <w:sz w:val="20"/>
          <w:szCs w:val="20"/>
          <w:color w:val="auto"/>
        </w:rPr>
      </w:pPr>
      <w:r>
        <w:rPr>
          <w:rFonts w:ascii="Arial" w:cs="Arial" w:eastAsia="Arial" w:hAnsi="Arial"/>
          <w:sz w:val="20"/>
          <w:szCs w:val="20"/>
          <w:color w:val="auto"/>
        </w:rPr>
        <w:t>Q1 mobile net adds were 41,000 compared to a decline of 7,000 in Q1 2019, as postpaid gains accelerated and were partially offset by expected prepaid losses</w:t>
      </w:r>
    </w:p>
    <w:p>
      <w:pPr>
        <w:spacing w:after="0" w:line="95" w:lineRule="exact"/>
        <w:rPr>
          <w:rFonts w:ascii="Arial" w:cs="Arial" w:eastAsia="Arial" w:hAnsi="Arial"/>
          <w:sz w:val="20"/>
          <w:szCs w:val="20"/>
          <w:color w:val="auto"/>
        </w:rPr>
      </w:pPr>
    </w:p>
    <w:p>
      <w:pPr>
        <w:ind w:left="580" w:hanging="491"/>
        <w:spacing w:after="0"/>
        <w:tabs>
          <w:tab w:leader="none" w:pos="580" w:val="left"/>
        </w:tabs>
        <w:numPr>
          <w:ilvl w:val="0"/>
          <w:numId w:val="2"/>
        </w:numPr>
        <w:rPr>
          <w:rFonts w:ascii="Arial" w:cs="Arial" w:eastAsia="Arial" w:hAnsi="Arial"/>
          <w:sz w:val="20"/>
          <w:szCs w:val="20"/>
          <w:color w:val="auto"/>
        </w:rPr>
      </w:pPr>
      <w:r>
        <w:rPr>
          <w:rFonts w:ascii="Arial" w:cs="Arial" w:eastAsia="Arial" w:hAnsi="Arial"/>
          <w:sz w:val="20"/>
          <w:szCs w:val="20"/>
          <w:color w:val="auto"/>
        </w:rPr>
        <w:t>In B2B, our SoHo customer base increased by 7.4% YoY compared to an 18.3% increase in Q1 2019</w:t>
      </w:r>
    </w:p>
    <w:p>
      <w:pPr>
        <w:spacing w:after="0" w:line="107" w:lineRule="exact"/>
        <w:rPr>
          <w:rFonts w:ascii="Arial" w:cs="Arial" w:eastAsia="Arial" w:hAnsi="Arial"/>
          <w:sz w:val="20"/>
          <w:szCs w:val="20"/>
          <w:color w:val="auto"/>
        </w:rPr>
      </w:pPr>
    </w:p>
    <w:p>
      <w:pPr>
        <w:ind w:left="1220" w:hanging="483"/>
        <w:spacing w:after="0" w:line="246" w:lineRule="auto"/>
        <w:tabs>
          <w:tab w:leader="none" w:pos="1220" w:val="left"/>
        </w:tabs>
        <w:numPr>
          <w:ilvl w:val="1"/>
          <w:numId w:val="2"/>
        </w:numPr>
        <w:rPr>
          <w:rFonts w:ascii="Arial" w:cs="Arial" w:eastAsia="Arial" w:hAnsi="Arial"/>
          <w:sz w:val="20"/>
          <w:szCs w:val="20"/>
          <w:color w:val="auto"/>
        </w:rPr>
      </w:pPr>
      <w:r>
        <w:rPr>
          <w:rFonts w:ascii="Arial" w:cs="Arial" w:eastAsia="Arial" w:hAnsi="Arial"/>
          <w:sz w:val="20"/>
          <w:szCs w:val="20"/>
          <w:color w:val="auto"/>
        </w:rPr>
        <w:t>Q1 growth was driven by our strong propositions and improved go-to-market capabilities following the consolidation of the SoHo operations into our consumer division.</w:t>
      </w:r>
    </w:p>
    <w:p>
      <w:pPr>
        <w:spacing w:after="0" w:line="95" w:lineRule="exact"/>
        <w:rPr>
          <w:rFonts w:ascii="Arial" w:cs="Arial" w:eastAsia="Arial" w:hAnsi="Arial"/>
          <w:sz w:val="20"/>
          <w:szCs w:val="20"/>
          <w:color w:val="auto"/>
        </w:rPr>
      </w:pPr>
    </w:p>
    <w:p>
      <w:pPr>
        <w:ind w:left="580" w:hanging="491"/>
        <w:spacing w:after="0" w:line="246" w:lineRule="auto"/>
        <w:tabs>
          <w:tab w:leader="none" w:pos="580" w:val="left"/>
        </w:tabs>
        <w:numPr>
          <w:ilvl w:val="0"/>
          <w:numId w:val="2"/>
        </w:numPr>
        <w:rPr>
          <w:rFonts w:ascii="Arial" w:cs="Arial" w:eastAsia="Arial" w:hAnsi="Arial"/>
          <w:sz w:val="20"/>
          <w:szCs w:val="20"/>
          <w:color w:val="auto"/>
        </w:rPr>
      </w:pPr>
      <w:r>
        <w:rPr>
          <w:rFonts w:ascii="Arial" w:cs="Arial" w:eastAsia="Arial" w:hAnsi="Arial"/>
          <w:sz w:val="20"/>
          <w:szCs w:val="20"/>
          <w:color w:val="auto"/>
        </w:rPr>
        <w:t>Recent wholesale contract wins cement our position as a leading provider of backhaul services to UK mobile operators to support their 5G rollouts</w:t>
      </w:r>
    </w:p>
    <w:p>
      <w:pPr>
        <w:spacing w:after="0" w:line="95" w:lineRule="exact"/>
        <w:rPr>
          <w:rFonts w:ascii="Arial" w:cs="Arial" w:eastAsia="Arial" w:hAnsi="Arial"/>
          <w:sz w:val="20"/>
          <w:szCs w:val="20"/>
          <w:color w:val="auto"/>
        </w:rPr>
      </w:pPr>
    </w:p>
    <w:p>
      <w:pPr>
        <w:ind w:left="1220" w:hanging="483"/>
        <w:spacing w:after="0"/>
        <w:tabs>
          <w:tab w:leader="none" w:pos="1220" w:val="left"/>
        </w:tabs>
        <w:numPr>
          <w:ilvl w:val="1"/>
          <w:numId w:val="2"/>
        </w:numPr>
        <w:rPr>
          <w:rFonts w:ascii="Arial" w:cs="Arial" w:eastAsia="Arial" w:hAnsi="Arial"/>
          <w:sz w:val="20"/>
          <w:szCs w:val="20"/>
          <w:color w:val="auto"/>
        </w:rPr>
      </w:pPr>
      <w:r>
        <w:rPr>
          <w:rFonts w:ascii="Arial" w:cs="Arial" w:eastAsia="Arial" w:hAnsi="Arial"/>
          <w:sz w:val="20"/>
          <w:szCs w:val="20"/>
          <w:color w:val="auto"/>
        </w:rPr>
        <w:t>Signed significant dark fibre contracts with H3G in April and SSE Enterprise Telecoms in March</w:t>
      </w:r>
    </w:p>
    <w:p>
      <w:pPr>
        <w:spacing w:after="0" w:line="221" w:lineRule="exact"/>
        <w:rPr>
          <w:sz w:val="20"/>
          <w:szCs w:val="20"/>
          <w:color w:val="auto"/>
        </w:rPr>
      </w:pPr>
    </w:p>
    <w:p>
      <w:pPr>
        <w:ind w:left="11160"/>
        <w:spacing w:after="0"/>
        <w:rPr>
          <w:sz w:val="20"/>
          <w:szCs w:val="20"/>
          <w:color w:val="auto"/>
        </w:rPr>
      </w:pPr>
      <w:r>
        <w:rPr>
          <w:rFonts w:ascii="Arial" w:cs="Arial" w:eastAsia="Arial" w:hAnsi="Arial"/>
          <w:sz w:val="14"/>
          <w:szCs w:val="14"/>
          <w:color w:val="auto"/>
        </w:rPr>
        <w:t>2</w:t>
      </w:r>
    </w:p>
    <w:p>
      <w:pPr>
        <w:sectPr>
          <w:pgSz w:w="11900" w:h="16838" w:orient="portrait"/>
          <w:cols w:equalWidth="0" w:num="1">
            <w:col w:w="11240"/>
          </w:cols>
          <w:pgMar w:left="320" w:top="1204" w:right="339" w:bottom="1440" w:gutter="0" w:footer="0" w:header="0"/>
        </w:sectPr>
      </w:pPr>
    </w:p>
    <w:bookmarkStart w:id="5" w:name="page6"/>
    <w:bookmarkEnd w:id="5"/>
    <w:p>
      <w:pPr>
        <w:ind w:left="1220" w:hanging="483"/>
        <w:spacing w:after="0" w:line="246" w:lineRule="auto"/>
        <w:tabs>
          <w:tab w:leader="none" w:pos="1220" w:val="left"/>
        </w:tabs>
        <w:numPr>
          <w:ilvl w:val="1"/>
          <w:numId w:val="3"/>
        </w:numPr>
        <w:rPr>
          <w:rFonts w:ascii="Arial" w:cs="Arial" w:eastAsia="Arial" w:hAnsi="Arial"/>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6500495</wp:posOffset>
            </wp:positionH>
            <wp:positionV relativeFrom="page">
              <wp:posOffset>88900</wp:posOffset>
            </wp:positionV>
            <wp:extent cx="840105" cy="5314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840105" cy="531495"/>
                    </a:xfrm>
                    <a:prstGeom prst="rect">
                      <a:avLst/>
                    </a:prstGeom>
                    <a:noFill/>
                  </pic:spPr>
                </pic:pic>
              </a:graphicData>
            </a:graphic>
          </wp:anchor>
        </w:drawing>
        <w:t>We also signed a long term contract with Greater Manchester Combined Authorities to deliver a Local Full Fibre Network to connect 1,700 public sites and 45% of premises in the region</w:t>
      </w:r>
    </w:p>
    <w:p>
      <w:pPr>
        <w:spacing w:after="0" w:line="95" w:lineRule="exact"/>
        <w:rPr>
          <w:rFonts w:ascii="Arial" w:cs="Arial" w:eastAsia="Arial" w:hAnsi="Arial"/>
          <w:sz w:val="20"/>
          <w:szCs w:val="20"/>
          <w:color w:val="auto"/>
        </w:rPr>
      </w:pPr>
    </w:p>
    <w:p>
      <w:pPr>
        <w:ind w:left="580" w:hanging="491"/>
        <w:spacing w:after="0" w:line="246" w:lineRule="auto"/>
        <w:tabs>
          <w:tab w:leader="none" w:pos="580" w:val="left"/>
        </w:tabs>
        <w:numPr>
          <w:ilvl w:val="0"/>
          <w:numId w:val="3"/>
        </w:numPr>
        <w:rPr>
          <w:rFonts w:ascii="Arial" w:cs="Arial" w:eastAsia="Arial" w:hAnsi="Arial"/>
          <w:sz w:val="20"/>
          <w:szCs w:val="20"/>
          <w:color w:val="auto"/>
        </w:rPr>
      </w:pPr>
      <w:r>
        <w:rPr>
          <w:rFonts w:ascii="Arial" w:cs="Arial" w:eastAsia="Arial" w:hAnsi="Arial"/>
          <w:sz w:val="20"/>
          <w:szCs w:val="20"/>
          <w:color w:val="auto"/>
        </w:rPr>
        <w:t>During the quarter we adapted our business operations quickly in response to the COVID-19 pandemic to keep our customers connected and ensure the safety of our employees</w:t>
      </w:r>
    </w:p>
    <w:p>
      <w:pPr>
        <w:spacing w:after="0" w:line="95" w:lineRule="exact"/>
        <w:rPr>
          <w:rFonts w:ascii="Arial" w:cs="Arial" w:eastAsia="Arial" w:hAnsi="Arial"/>
          <w:sz w:val="20"/>
          <w:szCs w:val="20"/>
          <w:color w:val="auto"/>
        </w:rPr>
      </w:pPr>
    </w:p>
    <w:p>
      <w:pPr>
        <w:ind w:left="1220" w:hanging="483"/>
        <w:spacing w:after="0" w:line="246" w:lineRule="auto"/>
        <w:tabs>
          <w:tab w:leader="none" w:pos="1220" w:val="left"/>
        </w:tabs>
        <w:numPr>
          <w:ilvl w:val="1"/>
          <w:numId w:val="3"/>
        </w:numPr>
        <w:rPr>
          <w:rFonts w:ascii="Arial" w:cs="Arial" w:eastAsia="Arial" w:hAnsi="Arial"/>
          <w:sz w:val="20"/>
          <w:szCs w:val="20"/>
          <w:color w:val="auto"/>
        </w:rPr>
      </w:pPr>
      <w:r>
        <w:rPr>
          <w:rFonts w:ascii="Arial" w:cs="Arial" w:eastAsia="Arial" w:hAnsi="Arial"/>
          <w:sz w:val="20"/>
          <w:szCs w:val="20"/>
          <w:color w:val="auto"/>
        </w:rPr>
        <w:t>Our robust network is successfully handling the increased demand from customers working from home during the pandemic</w:t>
      </w:r>
    </w:p>
    <w:p>
      <w:pPr>
        <w:spacing w:after="0" w:line="95" w:lineRule="exact"/>
        <w:rPr>
          <w:rFonts w:ascii="Arial" w:cs="Arial" w:eastAsia="Arial" w:hAnsi="Arial"/>
          <w:sz w:val="20"/>
          <w:szCs w:val="20"/>
          <w:color w:val="auto"/>
        </w:rPr>
      </w:pPr>
    </w:p>
    <w:p>
      <w:pPr>
        <w:jc w:val="both"/>
        <w:ind w:left="1220" w:hanging="483"/>
        <w:spacing w:after="0" w:line="241" w:lineRule="auto"/>
        <w:tabs>
          <w:tab w:leader="none" w:pos="1220" w:val="left"/>
        </w:tabs>
        <w:numPr>
          <w:ilvl w:val="1"/>
          <w:numId w:val="3"/>
        </w:numPr>
        <w:rPr>
          <w:rFonts w:ascii="Arial" w:cs="Arial" w:eastAsia="Arial" w:hAnsi="Arial"/>
          <w:sz w:val="20"/>
          <w:szCs w:val="20"/>
          <w:color w:val="auto"/>
        </w:rPr>
      </w:pPr>
      <w:r>
        <w:rPr>
          <w:rFonts w:ascii="Arial" w:cs="Arial" w:eastAsia="Arial" w:hAnsi="Arial"/>
          <w:sz w:val="20"/>
          <w:szCs w:val="20"/>
          <w:color w:val="auto"/>
        </w:rPr>
        <w:t>We are proactively helping our residential customers stay connected and entertained during this period. We offered unlimited Virgin Mobile calls to UK landline numbers, a 10GB data boost for postpaid mobile customers, removed usage caps on legacy broadband products and provided additional TV programming such as kids and documentary channels</w:t>
      </w:r>
    </w:p>
    <w:p>
      <w:pPr>
        <w:spacing w:after="0" w:line="102" w:lineRule="exact"/>
        <w:rPr>
          <w:rFonts w:ascii="Arial" w:cs="Arial" w:eastAsia="Arial" w:hAnsi="Arial"/>
          <w:sz w:val="20"/>
          <w:szCs w:val="20"/>
          <w:color w:val="auto"/>
        </w:rPr>
      </w:pPr>
    </w:p>
    <w:p>
      <w:pPr>
        <w:jc w:val="both"/>
        <w:ind w:left="1220" w:hanging="483"/>
        <w:spacing w:after="0" w:line="243" w:lineRule="auto"/>
        <w:tabs>
          <w:tab w:leader="none" w:pos="1220" w:val="left"/>
        </w:tabs>
        <w:numPr>
          <w:ilvl w:val="1"/>
          <w:numId w:val="3"/>
        </w:numPr>
        <w:rPr>
          <w:rFonts w:ascii="Arial" w:cs="Arial" w:eastAsia="Arial" w:hAnsi="Arial"/>
          <w:sz w:val="20"/>
          <w:szCs w:val="20"/>
          <w:color w:val="auto"/>
        </w:rPr>
      </w:pPr>
      <w:r>
        <w:rPr>
          <w:rFonts w:ascii="Arial" w:cs="Arial" w:eastAsia="Arial" w:hAnsi="Arial"/>
          <w:sz w:val="20"/>
          <w:szCs w:val="20"/>
          <w:color w:val="auto"/>
        </w:rPr>
        <w:t>To provide continued service to our customers during the pandemic, we are recruiting more than 500 new customer care jobs in the UK. We also recently completed the planned in-sourcing of 700 field-engineers enabling us to better manage the in-home service our customers receive</w:t>
      </w:r>
    </w:p>
    <w:p>
      <w:pPr>
        <w:spacing w:after="0" w:line="97" w:lineRule="exact"/>
        <w:rPr>
          <w:rFonts w:ascii="Arial" w:cs="Arial" w:eastAsia="Arial" w:hAnsi="Arial"/>
          <w:sz w:val="20"/>
          <w:szCs w:val="20"/>
          <w:color w:val="auto"/>
        </w:rPr>
      </w:pPr>
    </w:p>
    <w:p>
      <w:pPr>
        <w:ind w:left="1220" w:right="20" w:hanging="483"/>
        <w:spacing w:after="0" w:line="246" w:lineRule="auto"/>
        <w:tabs>
          <w:tab w:leader="none" w:pos="1220" w:val="left"/>
        </w:tabs>
        <w:numPr>
          <w:ilvl w:val="1"/>
          <w:numId w:val="3"/>
        </w:numPr>
        <w:rPr>
          <w:rFonts w:ascii="Arial" w:cs="Arial" w:eastAsia="Arial" w:hAnsi="Arial"/>
          <w:sz w:val="20"/>
          <w:szCs w:val="20"/>
          <w:color w:val="auto"/>
        </w:rPr>
      </w:pPr>
      <w:r>
        <w:rPr>
          <w:rFonts w:ascii="Arial" w:cs="Arial" w:eastAsia="Arial" w:hAnsi="Arial"/>
          <w:sz w:val="20"/>
          <w:szCs w:val="20"/>
          <w:color w:val="auto"/>
        </w:rPr>
        <w:t>In B2B, we have increased capacity and enabled remote working for many public sector and commercial businesses to maintain connectivity during this difficult time</w:t>
      </w:r>
    </w:p>
    <w:p>
      <w:pPr>
        <w:spacing w:after="0" w:line="19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Financial highlights:</w:t>
      </w:r>
    </w:p>
    <w:p>
      <w:pPr>
        <w:spacing w:after="0" w:line="129" w:lineRule="exact"/>
        <w:rPr>
          <w:sz w:val="20"/>
          <w:szCs w:val="20"/>
          <w:color w:val="auto"/>
        </w:rPr>
      </w:pPr>
    </w:p>
    <w:p>
      <w:pPr>
        <w:ind w:left="580" w:right="20" w:hanging="491"/>
        <w:spacing w:after="0" w:line="217" w:lineRule="auto"/>
        <w:tabs>
          <w:tab w:leader="none" w:pos="580" w:val="left"/>
        </w:tabs>
        <w:numPr>
          <w:ilvl w:val="0"/>
          <w:numId w:val="4"/>
        </w:numPr>
        <w:rPr>
          <w:rFonts w:ascii="Arial" w:cs="Arial" w:eastAsia="Arial" w:hAnsi="Arial"/>
          <w:sz w:val="20"/>
          <w:szCs w:val="20"/>
          <w:color w:val="auto"/>
        </w:rPr>
      </w:pPr>
      <w:r>
        <w:rPr>
          <w:rFonts w:ascii="Arial" w:cs="Arial" w:eastAsia="Arial" w:hAnsi="Arial"/>
          <w:sz w:val="20"/>
          <w:szCs w:val="20"/>
          <w:color w:val="auto"/>
        </w:rPr>
        <w:t>Revenue of £1,266.3 million in Q1 declined 0.7% on a reported basis and 0.6% on a rebased</w:t>
      </w:r>
      <w:r>
        <w:rPr>
          <w:rFonts w:ascii="Arial" w:cs="Arial" w:eastAsia="Arial" w:hAnsi="Arial"/>
          <w:sz w:val="25"/>
          <w:szCs w:val="25"/>
          <w:color w:val="auto"/>
          <w:vertAlign w:val="superscript"/>
        </w:rPr>
        <w:t>1</w:t>
      </w:r>
      <w:r>
        <w:rPr>
          <w:rFonts w:ascii="Arial" w:cs="Arial" w:eastAsia="Arial" w:hAnsi="Arial"/>
          <w:sz w:val="20"/>
          <w:szCs w:val="20"/>
          <w:color w:val="auto"/>
        </w:rPr>
        <w:t xml:space="preserve"> basis, with increases in subscription revenue across our business offset by declines in mobile and B2B non-subscription revenues</w:t>
      </w:r>
    </w:p>
    <w:p>
      <w:pPr>
        <w:spacing w:after="0" w:line="101" w:lineRule="exact"/>
        <w:rPr>
          <w:rFonts w:ascii="Arial" w:cs="Arial" w:eastAsia="Arial" w:hAnsi="Arial"/>
          <w:sz w:val="20"/>
          <w:szCs w:val="20"/>
          <w:color w:val="auto"/>
        </w:rPr>
      </w:pPr>
    </w:p>
    <w:p>
      <w:pPr>
        <w:ind w:left="580" w:hanging="491"/>
        <w:spacing w:after="0" w:line="246" w:lineRule="auto"/>
        <w:tabs>
          <w:tab w:leader="none" w:pos="580" w:val="left"/>
        </w:tabs>
        <w:numPr>
          <w:ilvl w:val="0"/>
          <w:numId w:val="4"/>
        </w:numPr>
        <w:rPr>
          <w:rFonts w:ascii="Arial" w:cs="Arial" w:eastAsia="Arial" w:hAnsi="Arial"/>
          <w:sz w:val="20"/>
          <w:szCs w:val="20"/>
          <w:color w:val="auto"/>
        </w:rPr>
      </w:pPr>
      <w:r>
        <w:rPr>
          <w:rFonts w:ascii="Arial" w:cs="Arial" w:eastAsia="Arial" w:hAnsi="Arial"/>
          <w:sz w:val="20"/>
          <w:szCs w:val="20"/>
          <w:color w:val="auto"/>
        </w:rPr>
        <w:t>Reported and rebased cable subscription revenue increased 0.8% YoY in Q1. The main drivers of this performance was YoY growth in cable ARPU partially offset by a decline in fixed-line customers</w:t>
      </w:r>
    </w:p>
    <w:p>
      <w:pPr>
        <w:spacing w:after="0" w:line="95" w:lineRule="exact"/>
        <w:rPr>
          <w:rFonts w:ascii="Arial" w:cs="Arial" w:eastAsia="Arial" w:hAnsi="Arial"/>
          <w:sz w:val="20"/>
          <w:szCs w:val="20"/>
          <w:color w:val="auto"/>
        </w:rPr>
      </w:pPr>
    </w:p>
    <w:p>
      <w:pPr>
        <w:ind w:left="1220" w:hanging="483"/>
        <w:spacing w:after="0"/>
        <w:tabs>
          <w:tab w:leader="none" w:pos="1220" w:val="left"/>
        </w:tabs>
        <w:numPr>
          <w:ilvl w:val="1"/>
          <w:numId w:val="4"/>
        </w:numPr>
        <w:rPr>
          <w:rFonts w:ascii="Arial" w:cs="Arial" w:eastAsia="Arial" w:hAnsi="Arial"/>
          <w:sz w:val="20"/>
          <w:szCs w:val="20"/>
          <w:color w:val="auto"/>
        </w:rPr>
      </w:pPr>
      <w:r>
        <w:rPr>
          <w:rFonts w:ascii="Arial" w:cs="Arial" w:eastAsia="Arial" w:hAnsi="Arial"/>
          <w:sz w:val="20"/>
          <w:szCs w:val="20"/>
          <w:color w:val="auto"/>
        </w:rPr>
        <w:t>Residential cable revenue increased 0.8% on a reported basis and 0.9% YoY on a rebased basis in Q1</w:t>
      </w:r>
    </w:p>
    <w:p>
      <w:pPr>
        <w:spacing w:after="0" w:line="107" w:lineRule="exact"/>
        <w:rPr>
          <w:rFonts w:ascii="Arial" w:cs="Arial" w:eastAsia="Arial" w:hAnsi="Arial"/>
          <w:sz w:val="20"/>
          <w:szCs w:val="20"/>
          <w:color w:val="auto"/>
        </w:rPr>
      </w:pPr>
    </w:p>
    <w:p>
      <w:pPr>
        <w:ind w:left="580" w:hanging="491"/>
        <w:spacing w:after="0" w:line="246" w:lineRule="auto"/>
        <w:tabs>
          <w:tab w:leader="none" w:pos="580" w:val="left"/>
        </w:tabs>
        <w:numPr>
          <w:ilvl w:val="0"/>
          <w:numId w:val="4"/>
        </w:numPr>
        <w:rPr>
          <w:rFonts w:ascii="Arial" w:cs="Arial" w:eastAsia="Arial" w:hAnsi="Arial"/>
          <w:sz w:val="20"/>
          <w:szCs w:val="20"/>
          <w:color w:val="auto"/>
        </w:rPr>
      </w:pPr>
      <w:r>
        <w:rPr>
          <w:rFonts w:ascii="Arial" w:cs="Arial" w:eastAsia="Arial" w:hAnsi="Arial"/>
          <w:sz w:val="20"/>
          <w:szCs w:val="20"/>
          <w:color w:val="auto"/>
        </w:rPr>
        <w:t>Mobile subscription revenue increased 2.7% on a reported basis and 2.8% on a rebased basis YoY in Q1, driven by the take-up of higher value postpaid data bundles</w:t>
      </w:r>
    </w:p>
    <w:p>
      <w:pPr>
        <w:spacing w:after="0" w:line="95" w:lineRule="exact"/>
        <w:rPr>
          <w:rFonts w:ascii="Arial" w:cs="Arial" w:eastAsia="Arial" w:hAnsi="Arial"/>
          <w:sz w:val="20"/>
          <w:szCs w:val="20"/>
          <w:color w:val="auto"/>
        </w:rPr>
      </w:pPr>
    </w:p>
    <w:p>
      <w:pPr>
        <w:ind w:left="1220" w:hanging="483"/>
        <w:spacing w:after="0" w:line="246" w:lineRule="auto"/>
        <w:tabs>
          <w:tab w:leader="none" w:pos="1220" w:val="left"/>
        </w:tabs>
        <w:numPr>
          <w:ilvl w:val="1"/>
          <w:numId w:val="4"/>
        </w:numPr>
        <w:rPr>
          <w:rFonts w:ascii="Arial" w:cs="Arial" w:eastAsia="Arial" w:hAnsi="Arial"/>
          <w:sz w:val="20"/>
          <w:szCs w:val="20"/>
          <w:color w:val="auto"/>
        </w:rPr>
      </w:pPr>
      <w:r>
        <w:rPr>
          <w:rFonts w:ascii="Arial" w:cs="Arial" w:eastAsia="Arial" w:hAnsi="Arial"/>
          <w:sz w:val="20"/>
          <w:szCs w:val="20"/>
          <w:color w:val="auto"/>
        </w:rPr>
        <w:t>Reported and rebased Q1 residential mobile revenue decreased 5.0% YoY as a reduction in mobile handset sales more than offset the increase in subscription revenue</w:t>
      </w:r>
    </w:p>
    <w:p>
      <w:pPr>
        <w:spacing w:after="0" w:line="95" w:lineRule="exact"/>
        <w:rPr>
          <w:rFonts w:ascii="Arial" w:cs="Arial" w:eastAsia="Arial" w:hAnsi="Arial"/>
          <w:sz w:val="20"/>
          <w:szCs w:val="20"/>
          <w:color w:val="auto"/>
        </w:rPr>
      </w:pPr>
    </w:p>
    <w:p>
      <w:pPr>
        <w:ind w:left="580" w:hanging="491"/>
        <w:spacing w:after="0" w:line="246" w:lineRule="auto"/>
        <w:tabs>
          <w:tab w:leader="none" w:pos="580" w:val="left"/>
        </w:tabs>
        <w:numPr>
          <w:ilvl w:val="0"/>
          <w:numId w:val="4"/>
        </w:numPr>
        <w:rPr>
          <w:rFonts w:ascii="Arial" w:cs="Arial" w:eastAsia="Arial" w:hAnsi="Arial"/>
          <w:sz w:val="20"/>
          <w:szCs w:val="20"/>
          <w:color w:val="auto"/>
        </w:rPr>
      </w:pPr>
      <w:r>
        <w:rPr>
          <w:rFonts w:ascii="Arial" w:cs="Arial" w:eastAsia="Arial" w:hAnsi="Arial"/>
          <w:sz w:val="20"/>
          <w:szCs w:val="20"/>
          <w:color w:val="auto"/>
        </w:rPr>
        <w:t>Reported and rebased B2B revenue declined 4.3% in Q1 as a reduction in non-subscription revenue offset the growth in subscription revenue</w:t>
      </w:r>
    </w:p>
    <w:p>
      <w:pPr>
        <w:spacing w:after="0" w:line="95" w:lineRule="exact"/>
        <w:rPr>
          <w:rFonts w:ascii="Arial" w:cs="Arial" w:eastAsia="Arial" w:hAnsi="Arial"/>
          <w:sz w:val="20"/>
          <w:szCs w:val="20"/>
          <w:color w:val="auto"/>
        </w:rPr>
      </w:pPr>
    </w:p>
    <w:p>
      <w:pPr>
        <w:ind w:left="1220" w:hanging="483"/>
        <w:spacing w:after="0" w:line="246" w:lineRule="auto"/>
        <w:tabs>
          <w:tab w:leader="none" w:pos="1220" w:val="left"/>
        </w:tabs>
        <w:numPr>
          <w:ilvl w:val="1"/>
          <w:numId w:val="4"/>
        </w:numPr>
        <w:rPr>
          <w:rFonts w:ascii="Arial" w:cs="Arial" w:eastAsia="Arial" w:hAnsi="Arial"/>
          <w:sz w:val="20"/>
          <w:szCs w:val="20"/>
          <w:color w:val="auto"/>
        </w:rPr>
      </w:pPr>
      <w:r>
        <w:rPr>
          <w:rFonts w:ascii="Arial" w:cs="Arial" w:eastAsia="Arial" w:hAnsi="Arial"/>
          <w:sz w:val="20"/>
          <w:szCs w:val="20"/>
          <w:color w:val="auto"/>
        </w:rPr>
        <w:t>B2B subscription revenue increased 11.6% on a reported basis and 11.4% on a rebased basis in Q1 due to continued growth in SoHo customers</w:t>
      </w:r>
    </w:p>
    <w:p>
      <w:pPr>
        <w:spacing w:after="0" w:line="95" w:lineRule="exact"/>
        <w:rPr>
          <w:rFonts w:ascii="Arial" w:cs="Arial" w:eastAsia="Arial" w:hAnsi="Arial"/>
          <w:sz w:val="20"/>
          <w:szCs w:val="20"/>
          <w:color w:val="auto"/>
        </w:rPr>
      </w:pPr>
    </w:p>
    <w:p>
      <w:pPr>
        <w:jc w:val="both"/>
        <w:ind w:left="1220" w:hanging="483"/>
        <w:spacing w:after="0" w:line="243" w:lineRule="auto"/>
        <w:tabs>
          <w:tab w:leader="none" w:pos="1220" w:val="left"/>
        </w:tabs>
        <w:numPr>
          <w:ilvl w:val="1"/>
          <w:numId w:val="4"/>
        </w:numPr>
        <w:rPr>
          <w:rFonts w:ascii="Arial" w:cs="Arial" w:eastAsia="Arial" w:hAnsi="Arial"/>
          <w:sz w:val="20"/>
          <w:szCs w:val="20"/>
          <w:color w:val="auto"/>
        </w:rPr>
      </w:pPr>
      <w:r>
        <w:rPr>
          <w:rFonts w:ascii="Arial" w:cs="Arial" w:eastAsia="Arial" w:hAnsi="Arial"/>
          <w:sz w:val="20"/>
          <w:szCs w:val="20"/>
          <w:color w:val="auto"/>
        </w:rPr>
        <w:t>The decline in B2B non-subscription revenue reflects the net effect of (i) a reduction in lower margin revenue related to business network services, (ii) an increase in wholesale revenue and (iii) lower revenue from data services</w:t>
      </w:r>
    </w:p>
    <w:p>
      <w:pPr>
        <w:spacing w:after="0" w:line="97" w:lineRule="exact"/>
        <w:rPr>
          <w:rFonts w:ascii="Arial" w:cs="Arial" w:eastAsia="Arial" w:hAnsi="Arial"/>
          <w:sz w:val="20"/>
          <w:szCs w:val="20"/>
          <w:color w:val="auto"/>
        </w:rPr>
      </w:pPr>
    </w:p>
    <w:p>
      <w:pPr>
        <w:jc w:val="both"/>
        <w:ind w:left="580" w:hanging="491"/>
        <w:spacing w:after="0" w:line="227" w:lineRule="auto"/>
        <w:tabs>
          <w:tab w:leader="none" w:pos="580" w:val="left"/>
        </w:tabs>
        <w:numPr>
          <w:ilvl w:val="0"/>
          <w:numId w:val="4"/>
        </w:numPr>
        <w:rPr>
          <w:rFonts w:ascii="Arial" w:cs="Arial" w:eastAsia="Arial" w:hAnsi="Arial"/>
          <w:sz w:val="20"/>
          <w:szCs w:val="20"/>
          <w:color w:val="auto"/>
        </w:rPr>
      </w:pPr>
      <w:r>
        <w:rPr>
          <w:rFonts w:ascii="Arial" w:cs="Arial" w:eastAsia="Arial" w:hAnsi="Arial"/>
          <w:sz w:val="20"/>
          <w:szCs w:val="20"/>
          <w:color w:val="auto"/>
        </w:rPr>
        <w:t>Operating income of £84.8 million in Q1 increased from £3.0 million in Q1 2019 due to the net effect of (i) a reduction in Segment OCF</w:t>
      </w:r>
      <w:r>
        <w:rPr>
          <w:rFonts w:ascii="Arial" w:cs="Arial" w:eastAsia="Arial" w:hAnsi="Arial"/>
          <w:sz w:val="25"/>
          <w:szCs w:val="25"/>
          <w:color w:val="auto"/>
          <w:vertAlign w:val="superscript"/>
        </w:rPr>
        <w:t>2</w:t>
      </w:r>
      <w:r>
        <w:rPr>
          <w:rFonts w:ascii="Arial" w:cs="Arial" w:eastAsia="Arial" w:hAnsi="Arial"/>
          <w:sz w:val="20"/>
          <w:szCs w:val="20"/>
          <w:color w:val="auto"/>
        </w:rPr>
        <w:t>, as described below, (ii) lower share-based compensation expense, (iii) increased related-party fees and allocations, net, (iv) lower depreciation and amortisation and (v) lower impairment, restructuring and other operating items, net</w:t>
      </w:r>
    </w:p>
    <w:p>
      <w:pPr>
        <w:spacing w:after="0" w:line="101" w:lineRule="exact"/>
        <w:rPr>
          <w:rFonts w:ascii="Arial" w:cs="Arial" w:eastAsia="Arial" w:hAnsi="Arial"/>
          <w:sz w:val="20"/>
          <w:szCs w:val="20"/>
          <w:color w:val="auto"/>
        </w:rPr>
      </w:pPr>
    </w:p>
    <w:p>
      <w:pPr>
        <w:jc w:val="both"/>
        <w:ind w:left="580" w:hanging="491"/>
        <w:spacing w:after="0" w:line="243" w:lineRule="auto"/>
        <w:tabs>
          <w:tab w:leader="none" w:pos="580" w:val="left"/>
        </w:tabs>
        <w:numPr>
          <w:ilvl w:val="0"/>
          <w:numId w:val="4"/>
        </w:numPr>
        <w:rPr>
          <w:rFonts w:ascii="Arial" w:cs="Arial" w:eastAsia="Arial" w:hAnsi="Arial"/>
          <w:sz w:val="20"/>
          <w:szCs w:val="20"/>
          <w:color w:val="auto"/>
        </w:rPr>
      </w:pPr>
      <w:r>
        <w:rPr>
          <w:rFonts w:ascii="Arial" w:cs="Arial" w:eastAsia="Arial" w:hAnsi="Arial"/>
          <w:sz w:val="20"/>
          <w:szCs w:val="20"/>
          <w:color w:val="auto"/>
        </w:rPr>
        <w:t>Segment OCF of £512.3 million in Q1 declined 3.6% on a reported basis and 3.5% on a rebased basis. The decline reflects the aforementioned revenue performance and an increase in costs due to (i) a £7.7 million net increase in network taxes and (ii) higher mobile data and programming costs</w:t>
      </w:r>
    </w:p>
    <w:p>
      <w:pPr>
        <w:spacing w:after="0" w:line="211" w:lineRule="exact"/>
        <w:rPr>
          <w:sz w:val="20"/>
          <w:szCs w:val="20"/>
          <w:color w:val="auto"/>
        </w:rPr>
      </w:pPr>
    </w:p>
    <w:p>
      <w:pPr>
        <w:jc w:val="right"/>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1240"/>
          </w:cols>
          <w:pgMar w:left="320" w:top="1297" w:right="339" w:bottom="1440" w:gutter="0" w:footer="0" w:header="0"/>
        </w:sectPr>
      </w:pPr>
    </w:p>
    <w:bookmarkStart w:id="6" w:name="page7"/>
    <w:bookmarkEnd w:id="6"/>
    <w:p>
      <w:pPr>
        <w:ind w:left="500" w:right="20" w:hanging="491"/>
        <w:spacing w:after="0" w:line="246" w:lineRule="auto"/>
        <w:tabs>
          <w:tab w:leader="none" w:pos="500" w:val="left"/>
        </w:tabs>
        <w:numPr>
          <w:ilvl w:val="0"/>
          <w:numId w:val="5"/>
        </w:numPr>
        <w:rPr>
          <w:rFonts w:ascii="Arial" w:cs="Arial" w:eastAsia="Arial" w:hAnsi="Arial"/>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6500495</wp:posOffset>
            </wp:positionH>
            <wp:positionV relativeFrom="page">
              <wp:posOffset>88900</wp:posOffset>
            </wp:positionV>
            <wp:extent cx="840105" cy="5314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840105" cy="531495"/>
                    </a:xfrm>
                    <a:prstGeom prst="rect">
                      <a:avLst/>
                    </a:prstGeom>
                    <a:noFill/>
                  </pic:spPr>
                </pic:pic>
              </a:graphicData>
            </a:graphic>
          </wp:anchor>
        </w:drawing>
        <w:t>Property and equipment (“P&amp;E”) additions decreased by 10.6% YoY to £271.1 million in Q1 from £303.4 million in Q1 2019 primarily due to lower spend on customer premise equipment</w:t>
      </w:r>
    </w:p>
    <w:p>
      <w:pPr>
        <w:spacing w:after="0" w:line="95" w:lineRule="exact"/>
        <w:rPr>
          <w:rFonts w:ascii="Arial" w:cs="Arial" w:eastAsia="Arial" w:hAnsi="Arial"/>
          <w:sz w:val="20"/>
          <w:szCs w:val="20"/>
          <w:color w:val="auto"/>
        </w:rPr>
      </w:pPr>
    </w:p>
    <w:p>
      <w:pPr>
        <w:ind w:left="500" w:right="20" w:hanging="491"/>
        <w:spacing w:after="0" w:line="246" w:lineRule="auto"/>
        <w:tabs>
          <w:tab w:leader="none" w:pos="500" w:val="left"/>
        </w:tabs>
        <w:numPr>
          <w:ilvl w:val="0"/>
          <w:numId w:val="5"/>
        </w:numPr>
        <w:rPr>
          <w:rFonts w:ascii="Arial" w:cs="Arial" w:eastAsia="Arial" w:hAnsi="Arial"/>
          <w:sz w:val="20"/>
          <w:szCs w:val="20"/>
          <w:color w:val="auto"/>
        </w:rPr>
      </w:pPr>
      <w:r>
        <w:rPr>
          <w:rFonts w:ascii="Arial" w:cs="Arial" w:eastAsia="Arial" w:hAnsi="Arial"/>
          <w:sz w:val="20"/>
          <w:szCs w:val="20"/>
          <w:color w:val="auto"/>
        </w:rPr>
        <w:t>OFCF of £241.2 million in Q1 increased 5.7% on a reported basis and 5.8% on a rebased basis up from £228.1 million in Q1 2019, driven by a continued reduction in capital intensity to 21.4%, compared to 23.8% in Q1 last year</w:t>
      </w:r>
    </w:p>
    <w:p>
      <w:pPr>
        <w:spacing w:after="0" w:line="95" w:lineRule="exact"/>
        <w:rPr>
          <w:rFonts w:ascii="Arial" w:cs="Arial" w:eastAsia="Arial" w:hAnsi="Arial"/>
          <w:sz w:val="20"/>
          <w:szCs w:val="20"/>
          <w:color w:val="auto"/>
        </w:rPr>
      </w:pPr>
    </w:p>
    <w:p>
      <w:pPr>
        <w:ind w:left="500" w:hanging="491"/>
        <w:spacing w:after="0" w:line="246" w:lineRule="auto"/>
        <w:tabs>
          <w:tab w:leader="none" w:pos="500" w:val="left"/>
        </w:tabs>
        <w:numPr>
          <w:ilvl w:val="0"/>
          <w:numId w:val="5"/>
        </w:numPr>
        <w:rPr>
          <w:rFonts w:ascii="Arial" w:cs="Arial" w:eastAsia="Arial" w:hAnsi="Arial"/>
          <w:sz w:val="20"/>
          <w:szCs w:val="20"/>
          <w:color w:val="auto"/>
        </w:rPr>
      </w:pPr>
      <w:r>
        <w:rPr>
          <w:rFonts w:ascii="Arial" w:cs="Arial" w:eastAsia="Arial" w:hAnsi="Arial"/>
          <w:sz w:val="20"/>
          <w:szCs w:val="20"/>
          <w:color w:val="auto"/>
        </w:rPr>
        <w:t>At March 31, 2020, our fully-swapped third-party debt borrowing cost was 4.7% and the average tenor of our third-party debt (excluding vendor financing) was 7.3 years</w:t>
      </w:r>
    </w:p>
    <w:p>
      <w:pPr>
        <w:spacing w:after="0" w:line="95" w:lineRule="exact"/>
        <w:rPr>
          <w:rFonts w:ascii="Arial" w:cs="Arial" w:eastAsia="Arial" w:hAnsi="Arial"/>
          <w:sz w:val="20"/>
          <w:szCs w:val="20"/>
          <w:color w:val="auto"/>
        </w:rPr>
      </w:pPr>
    </w:p>
    <w:p>
      <w:pPr>
        <w:jc w:val="both"/>
        <w:ind w:left="500" w:hanging="491"/>
        <w:spacing w:after="0" w:line="243" w:lineRule="auto"/>
        <w:tabs>
          <w:tab w:leader="none" w:pos="500" w:val="left"/>
        </w:tabs>
        <w:numPr>
          <w:ilvl w:val="0"/>
          <w:numId w:val="5"/>
        </w:numPr>
        <w:rPr>
          <w:rFonts w:ascii="Arial" w:cs="Arial" w:eastAsia="Arial" w:hAnsi="Arial"/>
          <w:sz w:val="20"/>
          <w:szCs w:val="20"/>
          <w:color w:val="auto"/>
        </w:rPr>
      </w:pPr>
      <w:r>
        <w:rPr>
          <w:rFonts w:ascii="Arial" w:cs="Arial" w:eastAsia="Arial" w:hAnsi="Arial"/>
          <w:sz w:val="20"/>
          <w:szCs w:val="20"/>
          <w:color w:val="auto"/>
        </w:rPr>
        <w:t>At March 31, 2020, and subject to the completion of our corresponding compliance reporting requirements, the ratios of Net Senior Secured and Total Net Debt to Annualised EBITDA (last two quarters annualised) were 3.85x and 4.41x, respectively, each as calculated in accordance with our most restrictive covenants</w:t>
      </w:r>
    </w:p>
    <w:p>
      <w:pPr>
        <w:spacing w:after="0" w:line="97" w:lineRule="exact"/>
        <w:rPr>
          <w:rFonts w:ascii="Arial" w:cs="Arial" w:eastAsia="Arial" w:hAnsi="Arial"/>
          <w:sz w:val="20"/>
          <w:szCs w:val="20"/>
          <w:color w:val="auto"/>
        </w:rPr>
      </w:pPr>
    </w:p>
    <w:p>
      <w:pPr>
        <w:jc w:val="both"/>
        <w:ind w:left="1140" w:hanging="483"/>
        <w:spacing w:after="0" w:line="243" w:lineRule="auto"/>
        <w:tabs>
          <w:tab w:leader="none" w:pos="1140" w:val="left"/>
        </w:tabs>
        <w:numPr>
          <w:ilvl w:val="1"/>
          <w:numId w:val="5"/>
        </w:numPr>
        <w:rPr>
          <w:rFonts w:ascii="Arial" w:cs="Arial" w:eastAsia="Arial" w:hAnsi="Arial"/>
          <w:sz w:val="20"/>
          <w:szCs w:val="20"/>
          <w:color w:val="auto"/>
        </w:rPr>
      </w:pPr>
      <w:r>
        <w:rPr>
          <w:rFonts w:ascii="Arial" w:cs="Arial" w:eastAsia="Arial" w:hAnsi="Arial"/>
          <w:sz w:val="20"/>
          <w:szCs w:val="20"/>
          <w:color w:val="auto"/>
        </w:rPr>
        <w:t>Vendor financing obligations are not included in the calculation of our leverage covenants. If we were to include these obligations in our leverage ratio calculation, the ratio of Total Net Debt to Annualised EBITDA would have been 5.20x at March 31, 2020</w:t>
      </w:r>
    </w:p>
    <w:p>
      <w:pPr>
        <w:spacing w:after="0" w:line="97" w:lineRule="exact"/>
        <w:rPr>
          <w:rFonts w:ascii="Arial" w:cs="Arial" w:eastAsia="Arial" w:hAnsi="Arial"/>
          <w:sz w:val="20"/>
          <w:szCs w:val="20"/>
          <w:color w:val="auto"/>
        </w:rPr>
      </w:pPr>
    </w:p>
    <w:p>
      <w:pPr>
        <w:jc w:val="both"/>
        <w:ind w:left="500" w:hanging="491"/>
        <w:spacing w:after="0" w:line="241" w:lineRule="auto"/>
        <w:tabs>
          <w:tab w:leader="none" w:pos="500" w:val="left"/>
        </w:tabs>
        <w:numPr>
          <w:ilvl w:val="0"/>
          <w:numId w:val="5"/>
        </w:numPr>
        <w:rPr>
          <w:rFonts w:ascii="Arial" w:cs="Arial" w:eastAsia="Arial" w:hAnsi="Arial"/>
          <w:sz w:val="20"/>
          <w:szCs w:val="20"/>
          <w:color w:val="auto"/>
        </w:rPr>
      </w:pPr>
      <w:r>
        <w:rPr>
          <w:rFonts w:ascii="Arial" w:cs="Arial" w:eastAsia="Arial" w:hAnsi="Arial"/>
          <w:sz w:val="20"/>
          <w:szCs w:val="20"/>
          <w:color w:val="auto"/>
        </w:rPr>
        <w:t>At March 31, 2020, we had maximum undrawn commitments of £1.0 billion equivalent. When our compliance reporting requirements have been completed and assuming no change from March 31, 2020 borrowing levels, we anticipate the borrowing capacity will be limited to £761.7 million equivalent, based on the maximum we can incur and upstream which is subject to a 4x net senior test</w:t>
      </w:r>
    </w:p>
    <w:p>
      <w:pPr>
        <w:spacing w:after="0" w:line="200" w:lineRule="exact"/>
        <w:rPr>
          <w:sz w:val="20"/>
          <w:szCs w:val="20"/>
          <w:color w:val="auto"/>
        </w:rPr>
      </w:pPr>
    </w:p>
    <w:p>
      <w:pPr>
        <w:spacing w:after="0" w:line="353" w:lineRule="exact"/>
        <w:rPr>
          <w:sz w:val="20"/>
          <w:szCs w:val="20"/>
          <w:color w:val="auto"/>
        </w:rPr>
      </w:pPr>
    </w:p>
    <w:p>
      <w:pPr>
        <w:jc w:val="right"/>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1160"/>
          </w:cols>
          <w:pgMar w:left="400" w:top="1297" w:right="339" w:bottom="1440" w:gutter="0" w:footer="0" w:header="0"/>
        </w:sectPr>
      </w:pPr>
    </w:p>
    <w:bookmarkStart w:id="7" w:name="page8"/>
    <w:bookmarkEnd w:id="7"/>
    <w:p>
      <w:pPr>
        <w:spacing w:after="0"/>
        <w:rPr>
          <w:sz w:val="20"/>
          <w:szCs w:val="20"/>
          <w:color w:val="auto"/>
        </w:rPr>
      </w:pPr>
      <w:r>
        <w:rPr>
          <w:rFonts w:ascii="Arial" w:cs="Arial" w:eastAsia="Arial" w:hAnsi="Arial"/>
          <w:sz w:val="25"/>
          <w:szCs w:val="25"/>
          <w:color w:val="004F9F"/>
        </w:rPr>
        <w:drawing>
          <wp:anchor simplePos="0" relativeHeight="251657728" behindDoc="1" locked="0" layoutInCell="0" allowOverlap="1">
            <wp:simplePos x="0" y="0"/>
            <wp:positionH relativeFrom="page">
              <wp:posOffset>6500495</wp:posOffset>
            </wp:positionH>
            <wp:positionV relativeFrom="page">
              <wp:posOffset>88900</wp:posOffset>
            </wp:positionV>
            <wp:extent cx="840105" cy="5314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840105" cy="531495"/>
                    </a:xfrm>
                    <a:prstGeom prst="rect">
                      <a:avLst/>
                    </a:prstGeom>
                    <a:noFill/>
                  </pic:spPr>
                </pic:pic>
              </a:graphicData>
            </a:graphic>
          </wp:anchor>
        </w:drawing>
        <w:t>Operating Statistics Summary</w:t>
      </w:r>
    </w:p>
    <w:p>
      <w:pPr>
        <w:spacing w:after="0" w:line="152" w:lineRule="exact"/>
        <w:rPr>
          <w:sz w:val="20"/>
          <w:szCs w:val="20"/>
          <w:color w:val="auto"/>
        </w:rPr>
      </w:pPr>
    </w:p>
    <w:p>
      <w:pPr>
        <w:jc w:val="center"/>
        <w:ind w:left="7800"/>
        <w:spacing w:after="0"/>
        <w:rPr>
          <w:sz w:val="20"/>
          <w:szCs w:val="20"/>
          <w:color w:val="auto"/>
        </w:rPr>
      </w:pPr>
      <w:r>
        <w:rPr>
          <w:rFonts w:ascii="Arial" w:cs="Arial" w:eastAsia="Arial" w:hAnsi="Arial"/>
          <w:sz w:val="16"/>
          <w:szCs w:val="16"/>
          <w:b w:val="1"/>
          <w:bCs w:val="1"/>
          <w:color w:val="auto"/>
        </w:rPr>
        <w:t>As of and for the</w:t>
      </w:r>
    </w:p>
    <w:p>
      <w:pPr>
        <w:spacing w:after="0" w:line="25" w:lineRule="exact"/>
        <w:rPr>
          <w:sz w:val="20"/>
          <w:szCs w:val="20"/>
          <w:color w:val="auto"/>
        </w:rPr>
      </w:pPr>
    </w:p>
    <w:p>
      <w:pPr>
        <w:jc w:val="center"/>
        <w:ind w:left="7800"/>
        <w:spacing w:after="0"/>
        <w:rPr>
          <w:sz w:val="20"/>
          <w:szCs w:val="20"/>
          <w:color w:val="auto"/>
        </w:rPr>
      </w:pPr>
      <w:r>
        <w:rPr>
          <w:rFonts w:ascii="Arial" w:cs="Arial" w:eastAsia="Arial" w:hAnsi="Arial"/>
          <w:sz w:val="16"/>
          <w:szCs w:val="16"/>
          <w:b w:val="1"/>
          <w:bCs w:val="1"/>
          <w:color w:val="auto"/>
        </w:rPr>
        <w:t>three months ended</w:t>
      </w:r>
    </w:p>
    <w:p>
      <w:pPr>
        <w:spacing w:after="0" w:line="39" w:lineRule="exact"/>
        <w:rPr>
          <w:sz w:val="20"/>
          <w:szCs w:val="20"/>
          <w:color w:val="auto"/>
        </w:rPr>
      </w:pPr>
    </w:p>
    <w:p>
      <w:pPr>
        <w:ind w:left="9160"/>
        <w:spacing w:after="0"/>
        <w:rPr>
          <w:sz w:val="20"/>
          <w:szCs w:val="20"/>
          <w:color w:val="auto"/>
        </w:rPr>
      </w:pPr>
      <w:r>
        <w:rPr>
          <w:rFonts w:ascii="Arial" w:cs="Arial" w:eastAsia="Arial" w:hAnsi="Arial"/>
          <w:sz w:val="16"/>
          <w:szCs w:val="16"/>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4951095</wp:posOffset>
            </wp:positionH>
            <wp:positionV relativeFrom="paragraph">
              <wp:posOffset>48895</wp:posOffset>
            </wp:positionV>
            <wp:extent cx="217741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177415" cy="8255"/>
                    </a:xfrm>
                    <a:prstGeom prst="rect">
                      <a:avLst/>
                    </a:prstGeom>
                    <a:noFill/>
                  </pic:spPr>
                </pic:pic>
              </a:graphicData>
            </a:graphic>
          </wp:anchor>
        </w:drawing>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474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71"/>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51"/>
              <w:spacing w:after="0"/>
              <w:rPr>
                <w:sz w:val="20"/>
                <w:szCs w:val="20"/>
                <w:color w:val="auto"/>
              </w:rPr>
            </w:pPr>
            <w:r>
              <w:rPr>
                <w:rFonts w:ascii="Arial" w:cs="Arial" w:eastAsia="Arial" w:hAnsi="Arial"/>
                <w:sz w:val="16"/>
                <w:szCs w:val="16"/>
                <w:b w:val="1"/>
                <w:bCs w:val="1"/>
                <w:color w:val="auto"/>
              </w:rPr>
              <w:t>2019</w:t>
            </w:r>
          </w:p>
        </w:tc>
        <w:tc>
          <w:tcPr>
            <w:tcW w:w="20" w:type="dxa"/>
            <w:vAlign w:val="bottom"/>
          </w:tcPr>
          <w:p>
            <w:pPr>
              <w:spacing w:after="0"/>
              <w:rPr>
                <w:sz w:val="19"/>
                <w:szCs w:val="19"/>
                <w:color w:val="auto"/>
              </w:rPr>
            </w:pPr>
          </w:p>
        </w:tc>
      </w:tr>
      <w:tr>
        <w:trPr>
          <w:trHeight w:val="216"/>
        </w:trPr>
        <w:tc>
          <w:tcPr>
            <w:tcW w:w="40" w:type="dxa"/>
            <w:vAlign w:val="bottom"/>
          </w:tcPr>
          <w:p>
            <w:pPr>
              <w:spacing w:after="0"/>
              <w:rPr>
                <w:sz w:val="18"/>
                <w:szCs w:val="18"/>
                <w:color w:val="auto"/>
              </w:rPr>
            </w:pPr>
          </w:p>
        </w:tc>
        <w:tc>
          <w:tcPr>
            <w:tcW w:w="7760" w:type="dxa"/>
            <w:vAlign w:val="bottom"/>
            <w:gridSpan w:val="4"/>
          </w:tcPr>
          <w:p>
            <w:pPr>
              <w:spacing w:after="0"/>
              <w:rPr>
                <w:sz w:val="20"/>
                <w:szCs w:val="20"/>
                <w:color w:val="auto"/>
              </w:rPr>
            </w:pPr>
            <w:r>
              <w:rPr>
                <w:rFonts w:ascii="Arial" w:cs="Arial" w:eastAsia="Arial" w:hAnsi="Arial"/>
                <w:sz w:val="18"/>
                <w:szCs w:val="18"/>
                <w:b w:val="1"/>
                <w:bCs w:val="1"/>
                <w:color w:val="auto"/>
              </w:rPr>
              <w:t>Footprint</w:t>
            </w:r>
          </w:p>
        </w:tc>
        <w:tc>
          <w:tcPr>
            <w:tcW w:w="3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34"/>
        </w:trPr>
        <w:tc>
          <w:tcPr>
            <w:tcW w:w="40" w:type="dxa"/>
            <w:vAlign w:val="bottom"/>
          </w:tcPr>
          <w:p>
            <w:pPr>
              <w:spacing w:after="0"/>
              <w:rPr>
                <w:sz w:val="2"/>
                <w:szCs w:val="2"/>
                <w:color w:val="auto"/>
              </w:rPr>
            </w:pPr>
          </w:p>
        </w:tc>
        <w:tc>
          <w:tcPr>
            <w:tcW w:w="780" w:type="dxa"/>
            <w:vAlign w:val="bottom"/>
            <w:tcBorders>
              <w:top w:val="single" w:sz="8" w:color="auto"/>
            </w:tcBorders>
          </w:tcPr>
          <w:p>
            <w:pPr>
              <w:spacing w:after="0"/>
              <w:rPr>
                <w:sz w:val="2"/>
                <w:szCs w:val="2"/>
                <w:color w:val="auto"/>
              </w:rPr>
            </w:pPr>
          </w:p>
        </w:tc>
        <w:tc>
          <w:tcPr>
            <w:tcW w:w="8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70"/>
        </w:trPr>
        <w:tc>
          <w:tcPr>
            <w:tcW w:w="40" w:type="dxa"/>
            <w:vAlign w:val="bottom"/>
            <w:shd w:val="clear" w:color="auto" w:fill="CCEEFF"/>
          </w:tcPr>
          <w:p>
            <w:pPr>
              <w:spacing w:after="0"/>
              <w:rPr>
                <w:sz w:val="23"/>
                <w:szCs w:val="23"/>
                <w:color w:val="auto"/>
              </w:rPr>
            </w:pPr>
          </w:p>
        </w:tc>
        <w:tc>
          <w:tcPr>
            <w:tcW w:w="77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Homes Passed</w:t>
            </w:r>
          </w:p>
        </w:tc>
        <w:tc>
          <w:tcPr>
            <w:tcW w:w="34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15,920,100</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15,440,500</w:t>
            </w:r>
          </w:p>
        </w:tc>
        <w:tc>
          <w:tcPr>
            <w:tcW w:w="20" w:type="dxa"/>
            <w:vAlign w:val="bottom"/>
          </w:tcPr>
          <w:p>
            <w:pPr>
              <w:spacing w:after="0"/>
              <w:rPr>
                <w:sz w:val="23"/>
                <w:szCs w:val="23"/>
                <w:color w:val="auto"/>
              </w:rPr>
            </w:pPr>
          </w:p>
        </w:tc>
      </w:tr>
      <w:tr>
        <w:trPr>
          <w:trHeight w:val="176"/>
        </w:trPr>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47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020" w:type="dxa"/>
            <w:vAlign w:val="bottom"/>
            <w:tcBorders>
              <w:bottom w:val="single" w:sz="8" w:color="auto"/>
            </w:tcBorders>
            <w:gridSpan w:val="3"/>
            <w:shd w:val="clear" w:color="auto" w:fill="CCEEFF"/>
          </w:tcPr>
          <w:p>
            <w:pPr>
              <w:spacing w:after="0"/>
              <w:rPr>
                <w:sz w:val="20"/>
                <w:szCs w:val="20"/>
                <w:color w:val="auto"/>
              </w:rPr>
            </w:pPr>
            <w:r>
              <w:rPr>
                <w:rFonts w:ascii="Arial" w:cs="Arial" w:eastAsia="Arial" w:hAnsi="Arial"/>
                <w:sz w:val="18"/>
                <w:szCs w:val="18"/>
                <w:b w:val="1"/>
                <w:bCs w:val="1"/>
                <w:color w:val="auto"/>
                <w:w w:val="99"/>
              </w:rPr>
              <w:t>Fixed-Line Customer Relationships</w:t>
            </w:r>
          </w:p>
        </w:tc>
        <w:tc>
          <w:tcPr>
            <w:tcW w:w="47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r>
      <w:tr>
        <w:trPr>
          <w:trHeight w:val="263"/>
        </w:trPr>
        <w:tc>
          <w:tcPr>
            <w:tcW w:w="40" w:type="dxa"/>
            <w:vAlign w:val="bottom"/>
          </w:tcPr>
          <w:p>
            <w:pPr>
              <w:spacing w:after="0"/>
              <w:rPr>
                <w:sz w:val="22"/>
                <w:szCs w:val="22"/>
                <w:color w:val="auto"/>
              </w:rPr>
            </w:pPr>
          </w:p>
        </w:tc>
        <w:tc>
          <w:tcPr>
            <w:tcW w:w="7760" w:type="dxa"/>
            <w:vAlign w:val="bottom"/>
            <w:gridSpan w:val="4"/>
          </w:tcPr>
          <w:p>
            <w:pPr>
              <w:spacing w:after="0"/>
              <w:rPr>
                <w:sz w:val="20"/>
                <w:szCs w:val="20"/>
                <w:color w:val="auto"/>
              </w:rPr>
            </w:pPr>
            <w:r>
              <w:rPr>
                <w:rFonts w:ascii="Arial" w:cs="Arial" w:eastAsia="Arial" w:hAnsi="Arial"/>
                <w:sz w:val="18"/>
                <w:szCs w:val="18"/>
                <w:color w:val="auto"/>
              </w:rPr>
              <w:t>Fixed-Line Customer Relationships</w:t>
            </w:r>
          </w:p>
        </w:tc>
        <w:tc>
          <w:tcPr>
            <w:tcW w:w="340" w:type="dxa"/>
            <w:vAlign w:val="bottom"/>
          </w:tcPr>
          <w:p>
            <w:pPr>
              <w:spacing w:after="0"/>
              <w:rPr>
                <w:sz w:val="22"/>
                <w:szCs w:val="22"/>
                <w:color w:val="auto"/>
              </w:rPr>
            </w:pPr>
          </w:p>
        </w:tc>
        <w:tc>
          <w:tcPr>
            <w:tcW w:w="1320" w:type="dxa"/>
            <w:vAlign w:val="bottom"/>
          </w:tcPr>
          <w:p>
            <w:pPr>
              <w:jc w:val="right"/>
              <w:ind w:right="111"/>
              <w:spacing w:after="0"/>
              <w:rPr>
                <w:sz w:val="20"/>
                <w:szCs w:val="20"/>
                <w:color w:val="auto"/>
              </w:rPr>
            </w:pPr>
            <w:r>
              <w:rPr>
                <w:rFonts w:ascii="Arial" w:cs="Arial" w:eastAsia="Arial" w:hAnsi="Arial"/>
                <w:sz w:val="18"/>
                <w:szCs w:val="18"/>
                <w:color w:val="auto"/>
              </w:rPr>
              <w:t>5,952,400</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300" w:type="dxa"/>
            <w:vAlign w:val="bottom"/>
          </w:tcPr>
          <w:p>
            <w:pPr>
              <w:jc w:val="right"/>
              <w:ind w:right="91"/>
              <w:spacing w:after="0"/>
              <w:rPr>
                <w:sz w:val="20"/>
                <w:szCs w:val="20"/>
                <w:color w:val="auto"/>
              </w:rPr>
            </w:pPr>
            <w:r>
              <w:rPr>
                <w:rFonts w:ascii="Arial" w:cs="Arial" w:eastAsia="Arial" w:hAnsi="Arial"/>
                <w:sz w:val="18"/>
                <w:szCs w:val="18"/>
                <w:color w:val="auto"/>
              </w:rPr>
              <w:t>5,971,900</w:t>
            </w:r>
          </w:p>
        </w:tc>
        <w:tc>
          <w:tcPr>
            <w:tcW w:w="20" w:type="dxa"/>
            <w:vAlign w:val="bottom"/>
          </w:tcPr>
          <w:p>
            <w:pPr>
              <w:spacing w:after="0"/>
              <w:rPr>
                <w:sz w:val="22"/>
                <w:szCs w:val="22"/>
                <w:color w:val="auto"/>
              </w:rPr>
            </w:pPr>
          </w:p>
        </w:tc>
      </w:tr>
      <w:tr>
        <w:trPr>
          <w:trHeight w:val="277"/>
        </w:trPr>
        <w:tc>
          <w:tcPr>
            <w:tcW w:w="40" w:type="dxa"/>
            <w:vAlign w:val="bottom"/>
            <w:shd w:val="clear" w:color="auto" w:fill="CCEEFF"/>
          </w:tcPr>
          <w:p>
            <w:pPr>
              <w:spacing w:after="0"/>
              <w:rPr>
                <w:sz w:val="24"/>
                <w:szCs w:val="24"/>
                <w:color w:val="auto"/>
              </w:rPr>
            </w:pPr>
          </w:p>
        </w:tc>
        <w:tc>
          <w:tcPr>
            <w:tcW w:w="77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Q1 Organic</w:t>
            </w:r>
            <w:r>
              <w:rPr>
                <w:rFonts w:ascii="Arial" w:cs="Arial" w:eastAsia="Arial" w:hAnsi="Arial"/>
                <w:sz w:val="21"/>
                <w:szCs w:val="21"/>
                <w:color w:val="auto"/>
                <w:vertAlign w:val="superscript"/>
              </w:rPr>
              <w:t>3</w:t>
            </w:r>
            <w:r>
              <w:rPr>
                <w:rFonts w:ascii="Arial" w:cs="Arial" w:eastAsia="Arial" w:hAnsi="Arial"/>
                <w:sz w:val="18"/>
                <w:szCs w:val="18"/>
                <w:color w:val="auto"/>
              </w:rPr>
              <w:t xml:space="preserve"> Fixed-Line Customer Relationship net additions (losses)</w:t>
            </w:r>
          </w:p>
        </w:tc>
        <w:tc>
          <w:tcPr>
            <w:tcW w:w="34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(1,100)</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25,500</w:t>
            </w:r>
          </w:p>
        </w:tc>
        <w:tc>
          <w:tcPr>
            <w:tcW w:w="20" w:type="dxa"/>
            <w:vAlign w:val="bottom"/>
          </w:tcPr>
          <w:p>
            <w:pPr>
              <w:spacing w:after="0"/>
              <w:rPr>
                <w:sz w:val="24"/>
                <w:szCs w:val="24"/>
                <w:color w:val="auto"/>
              </w:rPr>
            </w:pPr>
          </w:p>
        </w:tc>
      </w:tr>
      <w:tr>
        <w:trPr>
          <w:trHeight w:val="175"/>
        </w:trPr>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47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70"/>
        </w:trPr>
        <w:tc>
          <w:tcPr>
            <w:tcW w:w="40" w:type="dxa"/>
            <w:vAlign w:val="bottom"/>
            <w:shd w:val="clear" w:color="auto" w:fill="CCEEFF"/>
          </w:tcPr>
          <w:p>
            <w:pPr>
              <w:spacing w:after="0"/>
              <w:rPr>
                <w:sz w:val="23"/>
                <w:szCs w:val="23"/>
                <w:color w:val="auto"/>
              </w:rPr>
            </w:pPr>
          </w:p>
        </w:tc>
        <w:tc>
          <w:tcPr>
            <w:tcW w:w="77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Q1 Monthly ARPU per Fixed-Line Customer Relationship</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51.97</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51.36</w:t>
            </w:r>
          </w:p>
        </w:tc>
        <w:tc>
          <w:tcPr>
            <w:tcW w:w="20" w:type="dxa"/>
            <w:vAlign w:val="bottom"/>
          </w:tcPr>
          <w:p>
            <w:pPr>
              <w:spacing w:after="0"/>
              <w:rPr>
                <w:sz w:val="23"/>
                <w:szCs w:val="23"/>
                <w:color w:val="auto"/>
              </w:rPr>
            </w:pPr>
          </w:p>
        </w:tc>
      </w:tr>
      <w:tr>
        <w:trPr>
          <w:trHeight w:val="176"/>
        </w:trPr>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47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50"/>
        </w:trPr>
        <w:tc>
          <w:tcPr>
            <w:tcW w:w="40" w:type="dxa"/>
            <w:vAlign w:val="bottom"/>
            <w:shd w:val="clear" w:color="auto" w:fill="CCEEFF"/>
          </w:tcPr>
          <w:p>
            <w:pPr>
              <w:spacing w:after="0"/>
              <w:rPr>
                <w:sz w:val="21"/>
                <w:szCs w:val="21"/>
                <w:color w:val="auto"/>
              </w:rPr>
            </w:pPr>
          </w:p>
        </w:tc>
        <w:tc>
          <w:tcPr>
            <w:tcW w:w="776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Customer Bundling</w:t>
            </w:r>
          </w:p>
        </w:tc>
        <w:tc>
          <w:tcPr>
            <w:tcW w:w="34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20" w:type="dxa"/>
            <w:vAlign w:val="bottom"/>
          </w:tcPr>
          <w:p>
            <w:pPr>
              <w:spacing w:after="0"/>
              <w:rPr>
                <w:sz w:val="21"/>
                <w:szCs w:val="21"/>
                <w:color w:val="auto"/>
              </w:rPr>
            </w:pPr>
          </w:p>
        </w:tc>
      </w:tr>
      <w:tr>
        <w:trPr>
          <w:trHeight w:val="175"/>
        </w:trPr>
        <w:tc>
          <w:tcPr>
            <w:tcW w:w="40" w:type="dxa"/>
            <w:vAlign w:val="bottom"/>
            <w:tcBorders>
              <w:top w:val="single" w:sz="8" w:color="CCEEFF"/>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1360" w:type="dxa"/>
            <w:vAlign w:val="bottom"/>
            <w:tcBorders>
              <w:top w:val="single" w:sz="8" w:color="CCEEFF"/>
            </w:tcBorders>
          </w:tcPr>
          <w:p>
            <w:pPr>
              <w:spacing w:after="0"/>
              <w:rPr>
                <w:sz w:val="15"/>
                <w:szCs w:val="15"/>
                <w:color w:val="auto"/>
              </w:rPr>
            </w:pPr>
          </w:p>
        </w:tc>
        <w:tc>
          <w:tcPr>
            <w:tcW w:w="4740" w:type="dxa"/>
            <w:vAlign w:val="bottom"/>
            <w:tcBorders>
              <w:top w:val="single" w:sz="8" w:color="CCEEFF"/>
            </w:tcBorders>
          </w:tcPr>
          <w:p>
            <w:pPr>
              <w:spacing w:after="0"/>
              <w:rPr>
                <w:sz w:val="15"/>
                <w:szCs w:val="15"/>
                <w:color w:val="auto"/>
              </w:rPr>
            </w:pPr>
          </w:p>
        </w:tc>
        <w:tc>
          <w:tcPr>
            <w:tcW w:w="340" w:type="dxa"/>
            <w:vAlign w:val="bottom"/>
            <w:tcBorders>
              <w:top w:val="single" w:sz="8" w:color="CCEEFF"/>
            </w:tcBorders>
          </w:tcPr>
          <w:p>
            <w:pPr>
              <w:spacing w:after="0"/>
              <w:rPr>
                <w:sz w:val="15"/>
                <w:szCs w:val="15"/>
                <w:color w:val="auto"/>
              </w:rPr>
            </w:pPr>
          </w:p>
        </w:tc>
        <w:tc>
          <w:tcPr>
            <w:tcW w:w="132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360" w:type="dxa"/>
            <w:vAlign w:val="bottom"/>
            <w:tcBorders>
              <w:top w:val="single" w:sz="8" w:color="CCEEFF"/>
            </w:tcBorders>
          </w:tcPr>
          <w:p>
            <w:pPr>
              <w:spacing w:after="0"/>
              <w:rPr>
                <w:sz w:val="15"/>
                <w:szCs w:val="15"/>
                <w:color w:val="auto"/>
              </w:rPr>
            </w:pPr>
          </w:p>
        </w:tc>
        <w:tc>
          <w:tcPr>
            <w:tcW w:w="1300" w:type="dxa"/>
            <w:vAlign w:val="bottom"/>
            <w:tcBorders>
              <w:top w:val="single" w:sz="8" w:color="CCEEFF"/>
            </w:tcBorders>
          </w:tcPr>
          <w:p>
            <w:pPr>
              <w:spacing w:after="0"/>
              <w:rPr>
                <w:sz w:val="15"/>
                <w:szCs w:val="15"/>
                <w:color w:val="auto"/>
              </w:rPr>
            </w:pPr>
          </w:p>
        </w:tc>
        <w:tc>
          <w:tcPr>
            <w:tcW w:w="20" w:type="dxa"/>
            <w:vAlign w:val="bottom"/>
          </w:tcPr>
          <w:p>
            <w:pPr>
              <w:spacing w:after="0"/>
              <w:rPr>
                <w:sz w:val="15"/>
                <w:szCs w:val="15"/>
                <w:color w:val="auto"/>
              </w:rPr>
            </w:pPr>
          </w:p>
        </w:tc>
      </w:tr>
      <w:tr>
        <w:trPr>
          <w:trHeight w:val="270"/>
        </w:trPr>
        <w:tc>
          <w:tcPr>
            <w:tcW w:w="40" w:type="dxa"/>
            <w:vAlign w:val="bottom"/>
            <w:shd w:val="clear" w:color="auto" w:fill="CCEEFF"/>
          </w:tcPr>
          <w:p>
            <w:pPr>
              <w:spacing w:after="0"/>
              <w:rPr>
                <w:sz w:val="23"/>
                <w:szCs w:val="23"/>
                <w:color w:val="auto"/>
              </w:rPr>
            </w:pPr>
          </w:p>
        </w:tc>
        <w:tc>
          <w:tcPr>
            <w:tcW w:w="77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Fixed-mobile Convergence</w:t>
            </w:r>
          </w:p>
        </w:tc>
        <w:tc>
          <w:tcPr>
            <w:tcW w:w="340" w:type="dxa"/>
            <w:vAlign w:val="bottom"/>
            <w:shd w:val="clear" w:color="auto" w:fill="CCEEFF"/>
          </w:tcPr>
          <w:p>
            <w:pPr>
              <w:spacing w:after="0"/>
              <w:rPr>
                <w:sz w:val="23"/>
                <w:szCs w:val="23"/>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20" w:type="dxa"/>
            <w:vAlign w:val="bottom"/>
          </w:tcPr>
          <w:p>
            <w:pPr>
              <w:spacing w:after="0"/>
              <w:rPr>
                <w:sz w:val="23"/>
                <w:szCs w:val="23"/>
                <w:color w:val="auto"/>
              </w:rPr>
            </w:pPr>
          </w:p>
        </w:tc>
      </w:tr>
      <w:tr>
        <w:trPr>
          <w:trHeight w:val="176"/>
        </w:trPr>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47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70"/>
        </w:trPr>
        <w:tc>
          <w:tcPr>
            <w:tcW w:w="40" w:type="dxa"/>
            <w:vAlign w:val="bottom"/>
            <w:shd w:val="clear" w:color="auto" w:fill="CCEEFF"/>
          </w:tcPr>
          <w:p>
            <w:pPr>
              <w:spacing w:after="0"/>
              <w:rPr>
                <w:sz w:val="23"/>
                <w:szCs w:val="23"/>
                <w:color w:val="auto"/>
              </w:rPr>
            </w:pPr>
          </w:p>
        </w:tc>
        <w:tc>
          <w:tcPr>
            <w:tcW w:w="77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Single-Play</w:t>
            </w:r>
          </w:p>
        </w:tc>
        <w:tc>
          <w:tcPr>
            <w:tcW w:w="340" w:type="dxa"/>
            <w:vAlign w:val="bottom"/>
            <w:shd w:val="clear" w:color="auto" w:fill="CCEEFF"/>
          </w:tcPr>
          <w:p>
            <w:pPr>
              <w:spacing w:after="0"/>
              <w:rPr>
                <w:sz w:val="23"/>
                <w:szCs w:val="23"/>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20" w:type="dxa"/>
            <w:vAlign w:val="bottom"/>
          </w:tcPr>
          <w:p>
            <w:pPr>
              <w:spacing w:after="0"/>
              <w:rPr>
                <w:sz w:val="23"/>
                <w:szCs w:val="23"/>
                <w:color w:val="auto"/>
              </w:rPr>
            </w:pPr>
          </w:p>
        </w:tc>
      </w:tr>
      <w:tr>
        <w:trPr>
          <w:trHeight w:val="263"/>
        </w:trPr>
        <w:tc>
          <w:tcPr>
            <w:tcW w:w="40" w:type="dxa"/>
            <w:vAlign w:val="bottom"/>
          </w:tcPr>
          <w:p>
            <w:pPr>
              <w:spacing w:after="0"/>
              <w:rPr>
                <w:sz w:val="22"/>
                <w:szCs w:val="22"/>
                <w:color w:val="auto"/>
              </w:rPr>
            </w:pPr>
          </w:p>
        </w:tc>
        <w:tc>
          <w:tcPr>
            <w:tcW w:w="7760" w:type="dxa"/>
            <w:vAlign w:val="bottom"/>
            <w:gridSpan w:val="4"/>
          </w:tcPr>
          <w:p>
            <w:pPr>
              <w:spacing w:after="0"/>
              <w:rPr>
                <w:sz w:val="20"/>
                <w:szCs w:val="20"/>
                <w:color w:val="auto"/>
              </w:rPr>
            </w:pPr>
            <w:r>
              <w:rPr>
                <w:rFonts w:ascii="Arial" w:cs="Arial" w:eastAsia="Arial" w:hAnsi="Arial"/>
                <w:sz w:val="18"/>
                <w:szCs w:val="18"/>
                <w:color w:val="auto"/>
              </w:rPr>
              <w:t>Double-Play</w:t>
            </w:r>
          </w:p>
        </w:tc>
        <w:tc>
          <w:tcPr>
            <w:tcW w:w="34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23.4%</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21.4%</w:t>
            </w:r>
          </w:p>
        </w:tc>
        <w:tc>
          <w:tcPr>
            <w:tcW w:w="20" w:type="dxa"/>
            <w:vAlign w:val="bottom"/>
          </w:tcPr>
          <w:p>
            <w:pPr>
              <w:spacing w:after="0"/>
              <w:rPr>
                <w:sz w:val="22"/>
                <w:szCs w:val="22"/>
                <w:color w:val="auto"/>
              </w:rPr>
            </w:pPr>
          </w:p>
        </w:tc>
      </w:tr>
      <w:tr>
        <w:trPr>
          <w:trHeight w:val="277"/>
        </w:trPr>
        <w:tc>
          <w:tcPr>
            <w:tcW w:w="40" w:type="dxa"/>
            <w:vAlign w:val="bottom"/>
            <w:shd w:val="clear" w:color="auto" w:fill="CCEEFF"/>
          </w:tcPr>
          <w:p>
            <w:pPr>
              <w:spacing w:after="0"/>
              <w:rPr>
                <w:sz w:val="24"/>
                <w:szCs w:val="24"/>
                <w:color w:val="auto"/>
              </w:rPr>
            </w:pPr>
          </w:p>
        </w:tc>
        <w:tc>
          <w:tcPr>
            <w:tcW w:w="77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Triple-Play</w:t>
            </w:r>
          </w:p>
        </w:tc>
        <w:tc>
          <w:tcPr>
            <w:tcW w:w="340" w:type="dxa"/>
            <w:vAlign w:val="bottom"/>
            <w:shd w:val="clear" w:color="auto" w:fill="CCEEFF"/>
          </w:tcPr>
          <w:p>
            <w:pPr>
              <w:spacing w:after="0"/>
              <w:rPr>
                <w:sz w:val="24"/>
                <w:szCs w:val="2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59.9%</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62.6%</w:t>
            </w:r>
          </w:p>
        </w:tc>
        <w:tc>
          <w:tcPr>
            <w:tcW w:w="20" w:type="dxa"/>
            <w:vAlign w:val="bottom"/>
          </w:tcPr>
          <w:p>
            <w:pPr>
              <w:spacing w:after="0"/>
              <w:rPr>
                <w:sz w:val="24"/>
                <w:szCs w:val="24"/>
                <w:color w:val="auto"/>
              </w:rPr>
            </w:pPr>
          </w:p>
        </w:tc>
      </w:tr>
      <w:tr>
        <w:trPr>
          <w:trHeight w:val="175"/>
        </w:trPr>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47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b w:val="1"/>
                <w:bCs w:val="1"/>
                <w:color w:val="auto"/>
                <w:w w:val="98"/>
              </w:rPr>
              <w:t>Mobile Subscribers</w:t>
            </w:r>
          </w:p>
        </w:tc>
        <w:tc>
          <w:tcPr>
            <w:tcW w:w="6100" w:type="dxa"/>
            <w:vAlign w:val="bottom"/>
            <w:tcBorders>
              <w:bottom w:val="single" w:sz="8" w:color="CCEEFF"/>
            </w:tcBorders>
            <w:gridSpan w:val="2"/>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r>
      <w:tr>
        <w:trPr>
          <w:trHeight w:val="263"/>
        </w:trPr>
        <w:tc>
          <w:tcPr>
            <w:tcW w:w="40" w:type="dxa"/>
            <w:vAlign w:val="bottom"/>
          </w:tcPr>
          <w:p>
            <w:pPr>
              <w:spacing w:after="0"/>
              <w:rPr>
                <w:sz w:val="22"/>
                <w:szCs w:val="22"/>
                <w:color w:val="auto"/>
              </w:rPr>
            </w:pPr>
          </w:p>
        </w:tc>
        <w:tc>
          <w:tcPr>
            <w:tcW w:w="7760" w:type="dxa"/>
            <w:vAlign w:val="bottom"/>
            <w:gridSpan w:val="4"/>
          </w:tcPr>
          <w:p>
            <w:pPr>
              <w:spacing w:after="0"/>
              <w:rPr>
                <w:sz w:val="20"/>
                <w:szCs w:val="20"/>
                <w:color w:val="auto"/>
              </w:rPr>
            </w:pPr>
            <w:r>
              <w:rPr>
                <w:rFonts w:ascii="Arial" w:cs="Arial" w:eastAsia="Arial" w:hAnsi="Arial"/>
                <w:sz w:val="18"/>
                <w:szCs w:val="18"/>
                <w:color w:val="auto"/>
              </w:rPr>
              <w:t>Postpaid</w:t>
            </w:r>
          </w:p>
        </w:tc>
        <w:tc>
          <w:tcPr>
            <w:tcW w:w="340" w:type="dxa"/>
            <w:vAlign w:val="bottom"/>
          </w:tcPr>
          <w:p>
            <w:pPr>
              <w:spacing w:after="0"/>
              <w:rPr>
                <w:sz w:val="22"/>
                <w:szCs w:val="22"/>
                <w:color w:val="auto"/>
              </w:rPr>
            </w:pPr>
          </w:p>
        </w:tc>
        <w:tc>
          <w:tcPr>
            <w:tcW w:w="1320" w:type="dxa"/>
            <w:vAlign w:val="bottom"/>
          </w:tcPr>
          <w:p>
            <w:pPr>
              <w:jc w:val="right"/>
              <w:ind w:right="111"/>
              <w:spacing w:after="0"/>
              <w:rPr>
                <w:sz w:val="20"/>
                <w:szCs w:val="20"/>
                <w:color w:val="auto"/>
              </w:rPr>
            </w:pPr>
            <w:r>
              <w:rPr>
                <w:rFonts w:ascii="Arial" w:cs="Arial" w:eastAsia="Arial" w:hAnsi="Arial"/>
                <w:sz w:val="18"/>
                <w:szCs w:val="18"/>
                <w:color w:val="auto"/>
              </w:rPr>
              <w:t>3,085,000</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300" w:type="dxa"/>
            <w:vAlign w:val="bottom"/>
          </w:tcPr>
          <w:p>
            <w:pPr>
              <w:jc w:val="right"/>
              <w:ind w:right="91"/>
              <w:spacing w:after="0"/>
              <w:rPr>
                <w:sz w:val="20"/>
                <w:szCs w:val="20"/>
                <w:color w:val="auto"/>
              </w:rPr>
            </w:pPr>
            <w:r>
              <w:rPr>
                <w:rFonts w:ascii="Arial" w:cs="Arial" w:eastAsia="Arial" w:hAnsi="Arial"/>
                <w:sz w:val="18"/>
                <w:szCs w:val="18"/>
                <w:color w:val="auto"/>
              </w:rPr>
              <w:t>2,772,900</w:t>
            </w:r>
          </w:p>
        </w:tc>
        <w:tc>
          <w:tcPr>
            <w:tcW w:w="20" w:type="dxa"/>
            <w:vAlign w:val="bottom"/>
          </w:tcPr>
          <w:p>
            <w:pPr>
              <w:spacing w:after="0"/>
              <w:rPr>
                <w:sz w:val="22"/>
                <w:szCs w:val="22"/>
                <w:color w:val="auto"/>
              </w:rPr>
            </w:pPr>
          </w:p>
        </w:tc>
      </w:tr>
      <w:tr>
        <w:trPr>
          <w:trHeight w:val="270"/>
        </w:trPr>
        <w:tc>
          <w:tcPr>
            <w:tcW w:w="40" w:type="dxa"/>
            <w:vAlign w:val="bottom"/>
            <w:shd w:val="clear" w:color="auto" w:fill="CCEEFF"/>
          </w:tcPr>
          <w:p>
            <w:pPr>
              <w:spacing w:after="0"/>
              <w:rPr>
                <w:sz w:val="23"/>
                <w:szCs w:val="23"/>
                <w:color w:val="auto"/>
              </w:rPr>
            </w:pPr>
          </w:p>
        </w:tc>
        <w:tc>
          <w:tcPr>
            <w:tcW w:w="77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Prepaid</w:t>
            </w:r>
          </w:p>
        </w:tc>
        <w:tc>
          <w:tcPr>
            <w:tcW w:w="34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rPr>
              <w:t>233,400</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343,800</w:t>
            </w:r>
          </w:p>
        </w:tc>
        <w:tc>
          <w:tcPr>
            <w:tcW w:w="20" w:type="dxa"/>
            <w:vAlign w:val="bottom"/>
          </w:tcPr>
          <w:p>
            <w:pPr>
              <w:spacing w:after="0"/>
              <w:rPr>
                <w:sz w:val="23"/>
                <w:szCs w:val="23"/>
                <w:color w:val="auto"/>
              </w:rPr>
            </w:pPr>
          </w:p>
        </w:tc>
      </w:tr>
      <w:tr>
        <w:trPr>
          <w:trHeight w:val="296"/>
        </w:trPr>
        <w:tc>
          <w:tcPr>
            <w:tcW w:w="40" w:type="dxa"/>
            <w:vAlign w:val="bottom"/>
            <w:tcBorders>
              <w:bottom w:val="single" w:sz="8" w:color="CCEEFF"/>
            </w:tcBorders>
          </w:tcPr>
          <w:p>
            <w:pPr>
              <w:spacing w:after="0"/>
              <w:rPr>
                <w:sz w:val="24"/>
                <w:szCs w:val="24"/>
                <w:color w:val="auto"/>
              </w:rPr>
            </w:pPr>
          </w:p>
        </w:tc>
        <w:tc>
          <w:tcPr>
            <w:tcW w:w="7760" w:type="dxa"/>
            <w:vAlign w:val="bottom"/>
            <w:tcBorders>
              <w:bottom w:val="single" w:sz="8" w:color="CCEEFF"/>
            </w:tcBorders>
            <w:gridSpan w:val="4"/>
          </w:tcPr>
          <w:p>
            <w:pPr>
              <w:ind w:left="160"/>
              <w:spacing w:after="0"/>
              <w:rPr>
                <w:sz w:val="20"/>
                <w:szCs w:val="20"/>
                <w:color w:val="auto"/>
              </w:rPr>
            </w:pPr>
            <w:r>
              <w:rPr>
                <w:rFonts w:ascii="Arial" w:cs="Arial" w:eastAsia="Arial" w:hAnsi="Arial"/>
                <w:sz w:val="18"/>
                <w:szCs w:val="18"/>
                <w:color w:val="auto"/>
              </w:rPr>
              <w:t>Total Mobile subscribers</w:t>
            </w:r>
          </w:p>
        </w:tc>
        <w:tc>
          <w:tcPr>
            <w:tcW w:w="3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color w:val="auto"/>
              </w:rPr>
              <w:t>3,318,400</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3,116,700</w:t>
            </w:r>
          </w:p>
        </w:tc>
        <w:tc>
          <w:tcPr>
            <w:tcW w:w="20" w:type="dxa"/>
            <w:vAlign w:val="bottom"/>
          </w:tcPr>
          <w:p>
            <w:pPr>
              <w:spacing w:after="0"/>
              <w:rPr>
                <w:sz w:val="24"/>
                <w:szCs w:val="24"/>
                <w:color w:val="auto"/>
              </w:rPr>
            </w:pPr>
          </w:p>
        </w:tc>
      </w:tr>
      <w:tr>
        <w:trPr>
          <w:trHeight w:val="156"/>
        </w:trPr>
        <w:tc>
          <w:tcPr>
            <w:tcW w:w="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360" w:type="dxa"/>
            <w:vAlign w:val="bottom"/>
            <w:shd w:val="clear" w:color="auto" w:fill="CCEEFF"/>
          </w:tcPr>
          <w:p>
            <w:pPr>
              <w:spacing w:after="0"/>
              <w:rPr>
                <w:sz w:val="13"/>
                <w:szCs w:val="13"/>
                <w:color w:val="auto"/>
              </w:rPr>
            </w:pPr>
          </w:p>
        </w:tc>
        <w:tc>
          <w:tcPr>
            <w:tcW w:w="47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r>
      <w:tr>
        <w:trPr>
          <w:trHeight w:val="263"/>
        </w:trPr>
        <w:tc>
          <w:tcPr>
            <w:tcW w:w="40" w:type="dxa"/>
            <w:vAlign w:val="bottom"/>
          </w:tcPr>
          <w:p>
            <w:pPr>
              <w:spacing w:after="0"/>
              <w:rPr>
                <w:sz w:val="22"/>
                <w:szCs w:val="22"/>
                <w:color w:val="auto"/>
              </w:rPr>
            </w:pPr>
          </w:p>
        </w:tc>
        <w:tc>
          <w:tcPr>
            <w:tcW w:w="7760" w:type="dxa"/>
            <w:vAlign w:val="bottom"/>
            <w:gridSpan w:val="4"/>
          </w:tcPr>
          <w:p>
            <w:pPr>
              <w:spacing w:after="0"/>
              <w:rPr>
                <w:sz w:val="20"/>
                <w:szCs w:val="20"/>
                <w:color w:val="auto"/>
              </w:rPr>
            </w:pPr>
            <w:r>
              <w:rPr>
                <w:rFonts w:ascii="Arial" w:cs="Arial" w:eastAsia="Arial" w:hAnsi="Arial"/>
                <w:sz w:val="18"/>
                <w:szCs w:val="18"/>
                <w:color w:val="auto"/>
              </w:rPr>
              <w:t>Q1 organic Postpaid net additions</w:t>
            </w:r>
          </w:p>
        </w:tc>
        <w:tc>
          <w:tcPr>
            <w:tcW w:w="340" w:type="dxa"/>
            <w:vAlign w:val="bottom"/>
          </w:tcPr>
          <w:p>
            <w:pPr>
              <w:spacing w:after="0"/>
              <w:rPr>
                <w:sz w:val="22"/>
                <w:szCs w:val="22"/>
                <w:color w:val="auto"/>
              </w:rPr>
            </w:pPr>
          </w:p>
        </w:tc>
        <w:tc>
          <w:tcPr>
            <w:tcW w:w="1320" w:type="dxa"/>
            <w:vAlign w:val="bottom"/>
          </w:tcPr>
          <w:p>
            <w:pPr>
              <w:jc w:val="right"/>
              <w:ind w:right="111"/>
              <w:spacing w:after="0"/>
              <w:rPr>
                <w:sz w:val="20"/>
                <w:szCs w:val="20"/>
                <w:color w:val="auto"/>
              </w:rPr>
            </w:pPr>
            <w:r>
              <w:rPr>
                <w:rFonts w:ascii="Arial" w:cs="Arial" w:eastAsia="Arial" w:hAnsi="Arial"/>
                <w:sz w:val="18"/>
                <w:szCs w:val="18"/>
                <w:color w:val="auto"/>
              </w:rPr>
              <w:t>71,800</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300" w:type="dxa"/>
            <w:vAlign w:val="bottom"/>
          </w:tcPr>
          <w:p>
            <w:pPr>
              <w:jc w:val="right"/>
              <w:ind w:right="91"/>
              <w:spacing w:after="0"/>
              <w:rPr>
                <w:sz w:val="20"/>
                <w:szCs w:val="20"/>
                <w:color w:val="auto"/>
              </w:rPr>
            </w:pPr>
            <w:r>
              <w:rPr>
                <w:rFonts w:ascii="Arial" w:cs="Arial" w:eastAsia="Arial" w:hAnsi="Arial"/>
                <w:sz w:val="18"/>
                <w:szCs w:val="18"/>
                <w:color w:val="auto"/>
              </w:rPr>
              <w:t>26,100</w:t>
            </w:r>
          </w:p>
        </w:tc>
        <w:tc>
          <w:tcPr>
            <w:tcW w:w="20" w:type="dxa"/>
            <w:vAlign w:val="bottom"/>
          </w:tcPr>
          <w:p>
            <w:pPr>
              <w:spacing w:after="0"/>
              <w:rPr>
                <w:sz w:val="22"/>
                <w:szCs w:val="22"/>
                <w:color w:val="auto"/>
              </w:rPr>
            </w:pPr>
          </w:p>
        </w:tc>
      </w:tr>
      <w:tr>
        <w:trPr>
          <w:trHeight w:val="270"/>
        </w:trPr>
        <w:tc>
          <w:tcPr>
            <w:tcW w:w="40" w:type="dxa"/>
            <w:vAlign w:val="bottom"/>
            <w:shd w:val="clear" w:color="auto" w:fill="CCEEFF"/>
          </w:tcPr>
          <w:p>
            <w:pPr>
              <w:spacing w:after="0"/>
              <w:rPr>
                <w:sz w:val="23"/>
                <w:szCs w:val="23"/>
                <w:color w:val="auto"/>
              </w:rPr>
            </w:pPr>
          </w:p>
        </w:tc>
        <w:tc>
          <w:tcPr>
            <w:tcW w:w="77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Q1 organic Prepaid net losses</w:t>
            </w:r>
          </w:p>
        </w:tc>
        <w:tc>
          <w:tcPr>
            <w:tcW w:w="34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(30,500)</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(32,800)</w:t>
            </w:r>
          </w:p>
        </w:tc>
        <w:tc>
          <w:tcPr>
            <w:tcW w:w="20" w:type="dxa"/>
            <w:vAlign w:val="bottom"/>
          </w:tcPr>
          <w:p>
            <w:pPr>
              <w:spacing w:after="0"/>
              <w:rPr>
                <w:sz w:val="23"/>
                <w:szCs w:val="23"/>
                <w:color w:val="auto"/>
              </w:rPr>
            </w:pPr>
          </w:p>
        </w:tc>
      </w:tr>
      <w:tr>
        <w:trPr>
          <w:trHeight w:val="297"/>
        </w:trPr>
        <w:tc>
          <w:tcPr>
            <w:tcW w:w="40" w:type="dxa"/>
            <w:vAlign w:val="bottom"/>
            <w:tcBorders>
              <w:bottom w:val="single" w:sz="8" w:color="CCEEFF"/>
            </w:tcBorders>
          </w:tcPr>
          <w:p>
            <w:pPr>
              <w:spacing w:after="0"/>
              <w:rPr>
                <w:sz w:val="24"/>
                <w:szCs w:val="24"/>
                <w:color w:val="auto"/>
              </w:rPr>
            </w:pPr>
          </w:p>
        </w:tc>
        <w:tc>
          <w:tcPr>
            <w:tcW w:w="7760" w:type="dxa"/>
            <w:vAlign w:val="bottom"/>
            <w:tcBorders>
              <w:bottom w:val="single" w:sz="8" w:color="CCEEFF"/>
            </w:tcBorders>
            <w:gridSpan w:val="4"/>
          </w:tcPr>
          <w:p>
            <w:pPr>
              <w:ind w:left="160"/>
              <w:spacing w:after="0"/>
              <w:rPr>
                <w:sz w:val="20"/>
                <w:szCs w:val="20"/>
                <w:color w:val="auto"/>
              </w:rPr>
            </w:pPr>
            <w:r>
              <w:rPr>
                <w:rFonts w:ascii="Arial" w:cs="Arial" w:eastAsia="Arial" w:hAnsi="Arial"/>
                <w:sz w:val="18"/>
                <w:szCs w:val="18"/>
                <w:color w:val="auto"/>
              </w:rPr>
              <w:t>Total organic</w:t>
            </w:r>
            <w:r>
              <w:rPr>
                <w:rFonts w:ascii="Arial" w:cs="Arial" w:eastAsia="Arial" w:hAnsi="Arial"/>
                <w:sz w:val="21"/>
                <w:szCs w:val="21"/>
                <w:color w:val="auto"/>
                <w:vertAlign w:val="superscript"/>
              </w:rPr>
              <w:t>3</w:t>
            </w:r>
            <w:r>
              <w:rPr>
                <w:rFonts w:ascii="Arial" w:cs="Arial" w:eastAsia="Arial" w:hAnsi="Arial"/>
                <w:sz w:val="18"/>
                <w:szCs w:val="18"/>
                <w:color w:val="auto"/>
              </w:rPr>
              <w:t xml:space="preserve"> Mobile net additions</w:t>
            </w:r>
          </w:p>
        </w:tc>
        <w:tc>
          <w:tcPr>
            <w:tcW w:w="3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color w:val="auto"/>
              </w:rPr>
              <w:t>41,300</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(6,700)</w:t>
            </w:r>
          </w:p>
        </w:tc>
        <w:tc>
          <w:tcPr>
            <w:tcW w:w="20" w:type="dxa"/>
            <w:vAlign w:val="bottom"/>
          </w:tcPr>
          <w:p>
            <w:pPr>
              <w:spacing w:after="0"/>
              <w:rPr>
                <w:sz w:val="24"/>
                <w:szCs w:val="24"/>
                <w:color w:val="auto"/>
              </w:rPr>
            </w:pPr>
          </w:p>
        </w:tc>
      </w:tr>
      <w:tr>
        <w:trPr>
          <w:trHeight w:val="156"/>
        </w:trPr>
        <w:tc>
          <w:tcPr>
            <w:tcW w:w="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360" w:type="dxa"/>
            <w:vAlign w:val="bottom"/>
            <w:shd w:val="clear" w:color="auto" w:fill="CCEEFF"/>
          </w:tcPr>
          <w:p>
            <w:pPr>
              <w:spacing w:after="0"/>
              <w:rPr>
                <w:sz w:val="13"/>
                <w:szCs w:val="13"/>
                <w:color w:val="auto"/>
              </w:rPr>
            </w:pPr>
          </w:p>
        </w:tc>
        <w:tc>
          <w:tcPr>
            <w:tcW w:w="47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r>
      <w:tr>
        <w:trPr>
          <w:trHeight w:val="263"/>
        </w:trPr>
        <w:tc>
          <w:tcPr>
            <w:tcW w:w="40" w:type="dxa"/>
            <w:vAlign w:val="bottom"/>
          </w:tcPr>
          <w:p>
            <w:pPr>
              <w:spacing w:after="0"/>
              <w:rPr>
                <w:sz w:val="22"/>
                <w:szCs w:val="22"/>
                <w:color w:val="auto"/>
              </w:rPr>
            </w:pPr>
          </w:p>
        </w:tc>
        <w:tc>
          <w:tcPr>
            <w:tcW w:w="7760" w:type="dxa"/>
            <w:vAlign w:val="bottom"/>
            <w:gridSpan w:val="4"/>
          </w:tcPr>
          <w:p>
            <w:pPr>
              <w:spacing w:after="0"/>
              <w:rPr>
                <w:sz w:val="20"/>
                <w:szCs w:val="20"/>
                <w:color w:val="auto"/>
              </w:rPr>
            </w:pPr>
            <w:r>
              <w:rPr>
                <w:rFonts w:ascii="Arial" w:cs="Arial" w:eastAsia="Arial" w:hAnsi="Arial"/>
                <w:sz w:val="18"/>
                <w:szCs w:val="18"/>
                <w:color w:val="auto"/>
              </w:rPr>
              <w:t>Q1 Monthly ARPU per Mobile Subscriber:</w:t>
            </w:r>
          </w:p>
        </w:tc>
        <w:tc>
          <w:tcPr>
            <w:tcW w:w="34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77"/>
        </w:trPr>
        <w:tc>
          <w:tcPr>
            <w:tcW w:w="40" w:type="dxa"/>
            <w:vAlign w:val="bottom"/>
            <w:shd w:val="clear" w:color="auto" w:fill="CCEEFF"/>
          </w:tcPr>
          <w:p>
            <w:pPr>
              <w:spacing w:after="0"/>
              <w:rPr>
                <w:sz w:val="24"/>
                <w:szCs w:val="24"/>
                <w:color w:val="auto"/>
              </w:rPr>
            </w:pPr>
          </w:p>
        </w:tc>
        <w:tc>
          <w:tcPr>
            <w:tcW w:w="7760" w:type="dxa"/>
            <w:vAlign w:val="bottom"/>
            <w:gridSpan w:val="4"/>
            <w:shd w:val="clear" w:color="auto" w:fill="CCEEFF"/>
          </w:tcPr>
          <w:p>
            <w:pPr>
              <w:ind w:left="160"/>
              <w:spacing w:after="0"/>
              <w:rPr>
                <w:sz w:val="20"/>
                <w:szCs w:val="20"/>
                <w:color w:val="auto"/>
              </w:rPr>
            </w:pPr>
            <w:r>
              <w:rPr>
                <w:rFonts w:ascii="Arial" w:cs="Arial" w:eastAsia="Arial" w:hAnsi="Arial"/>
                <w:sz w:val="18"/>
                <w:szCs w:val="18"/>
                <w:color w:val="auto"/>
              </w:rPr>
              <w:t>Including interconnect revenue</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10.69</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11.08</w:t>
            </w:r>
          </w:p>
        </w:tc>
        <w:tc>
          <w:tcPr>
            <w:tcW w:w="20" w:type="dxa"/>
            <w:vAlign w:val="bottom"/>
          </w:tcPr>
          <w:p>
            <w:pPr>
              <w:spacing w:after="0"/>
              <w:rPr>
                <w:sz w:val="24"/>
                <w:szCs w:val="24"/>
                <w:color w:val="auto"/>
              </w:rPr>
            </w:pPr>
          </w:p>
        </w:tc>
      </w:tr>
      <w:tr>
        <w:trPr>
          <w:trHeight w:val="257"/>
        </w:trPr>
        <w:tc>
          <w:tcPr>
            <w:tcW w:w="40" w:type="dxa"/>
            <w:vAlign w:val="bottom"/>
          </w:tcPr>
          <w:p>
            <w:pPr>
              <w:spacing w:after="0"/>
              <w:rPr>
                <w:sz w:val="22"/>
                <w:szCs w:val="22"/>
                <w:color w:val="auto"/>
              </w:rPr>
            </w:pPr>
          </w:p>
        </w:tc>
        <w:tc>
          <w:tcPr>
            <w:tcW w:w="7760" w:type="dxa"/>
            <w:vAlign w:val="bottom"/>
            <w:gridSpan w:val="4"/>
          </w:tcPr>
          <w:p>
            <w:pPr>
              <w:ind w:left="160"/>
              <w:spacing w:after="0"/>
              <w:rPr>
                <w:sz w:val="20"/>
                <w:szCs w:val="20"/>
                <w:color w:val="auto"/>
              </w:rPr>
            </w:pPr>
            <w:r>
              <w:rPr>
                <w:rFonts w:ascii="Arial" w:cs="Arial" w:eastAsia="Arial" w:hAnsi="Arial"/>
                <w:sz w:val="18"/>
                <w:szCs w:val="18"/>
                <w:color w:val="auto"/>
              </w:rPr>
              <w:t>Excluding interconnect revenue</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11"/>
              <w:spacing w:after="0"/>
              <w:rPr>
                <w:sz w:val="20"/>
                <w:szCs w:val="20"/>
                <w:color w:val="auto"/>
              </w:rPr>
            </w:pPr>
            <w:r>
              <w:rPr>
                <w:rFonts w:ascii="Arial" w:cs="Arial" w:eastAsia="Arial" w:hAnsi="Arial"/>
                <w:sz w:val="18"/>
                <w:szCs w:val="18"/>
                <w:color w:val="auto"/>
              </w:rPr>
              <w:t>9.12</w:t>
            </w:r>
          </w:p>
        </w:tc>
        <w:tc>
          <w:tcPr>
            <w:tcW w:w="100" w:type="dxa"/>
            <w:vAlign w:val="bottom"/>
          </w:tcPr>
          <w:p>
            <w:pPr>
              <w:spacing w:after="0"/>
              <w:rPr>
                <w:sz w:val="22"/>
                <w:szCs w:val="22"/>
                <w:color w:val="auto"/>
              </w:rPr>
            </w:pPr>
          </w:p>
        </w:tc>
        <w:tc>
          <w:tcPr>
            <w:tcW w:w="3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91"/>
              <w:spacing w:after="0"/>
              <w:rPr>
                <w:sz w:val="20"/>
                <w:szCs w:val="20"/>
                <w:color w:val="auto"/>
              </w:rPr>
            </w:pPr>
            <w:r>
              <w:rPr>
                <w:rFonts w:ascii="Arial" w:cs="Arial" w:eastAsia="Arial" w:hAnsi="Arial"/>
                <w:sz w:val="18"/>
                <w:szCs w:val="18"/>
                <w:color w:val="auto"/>
              </w:rPr>
              <w:t>9.38</w:t>
            </w:r>
          </w:p>
        </w:tc>
        <w:tc>
          <w:tcPr>
            <w:tcW w:w="20" w:type="dxa"/>
            <w:vAlign w:val="bottom"/>
          </w:tcPr>
          <w:p>
            <w:pPr>
              <w:spacing w:after="0"/>
              <w:rPr>
                <w:sz w:val="22"/>
                <w:szCs w:val="22"/>
                <w:color w:val="auto"/>
              </w:rPr>
            </w:pPr>
          </w:p>
        </w:tc>
      </w:tr>
      <w:tr>
        <w:trPr>
          <w:trHeight w:val="615"/>
        </w:trPr>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20" w:type="dxa"/>
            <w:vAlign w:val="bottom"/>
            <w:gridSpan w:val="2"/>
          </w:tcPr>
          <w:p>
            <w:pPr>
              <w:jc w:val="right"/>
              <w:spacing w:after="0"/>
              <w:rPr>
                <w:sz w:val="20"/>
                <w:szCs w:val="20"/>
                <w:color w:val="auto"/>
              </w:rPr>
            </w:pPr>
            <w:r>
              <w:rPr>
                <w:rFonts w:ascii="Arial" w:cs="Arial" w:eastAsia="Arial" w:hAnsi="Arial"/>
                <w:sz w:val="16"/>
                <w:szCs w:val="16"/>
                <w:color w:val="auto"/>
              </w:rPr>
              <w:t>5</w:t>
            </w:r>
          </w:p>
        </w:tc>
      </w:tr>
    </w:tbl>
    <w:p>
      <w:pPr>
        <w:sectPr>
          <w:pgSz w:w="11900" w:h="16838" w:orient="portrait"/>
          <w:cols w:equalWidth="0" w:num="1">
            <w:col w:w="11240"/>
          </w:cols>
          <w:pgMar w:left="320" w:top="1194" w:right="339" w:bottom="1440" w:gutter="0" w:footer="0" w:header="0"/>
        </w:sectPr>
      </w:pPr>
    </w:p>
    <w:bookmarkStart w:id="8" w:name="page9"/>
    <w:bookmarkEnd w:id="8"/>
    <w:p>
      <w:pPr>
        <w:spacing w:after="0"/>
        <w:rPr>
          <w:sz w:val="20"/>
          <w:szCs w:val="20"/>
          <w:color w:val="auto"/>
        </w:rPr>
      </w:pPr>
      <w:r>
        <w:rPr>
          <w:rFonts w:ascii="Arial" w:cs="Arial" w:eastAsia="Arial" w:hAnsi="Arial"/>
          <w:sz w:val="25"/>
          <w:szCs w:val="25"/>
          <w:color w:val="004F9F"/>
        </w:rPr>
        <w:drawing>
          <wp:anchor simplePos="0" relativeHeight="251657728" behindDoc="1" locked="0" layoutInCell="0" allowOverlap="1">
            <wp:simplePos x="0" y="0"/>
            <wp:positionH relativeFrom="page">
              <wp:posOffset>6500495</wp:posOffset>
            </wp:positionH>
            <wp:positionV relativeFrom="page">
              <wp:posOffset>88900</wp:posOffset>
            </wp:positionV>
            <wp:extent cx="840105" cy="5314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840105" cy="531495"/>
                    </a:xfrm>
                    <a:prstGeom prst="rect">
                      <a:avLst/>
                    </a:prstGeom>
                    <a:noFill/>
                  </pic:spPr>
                </pic:pic>
              </a:graphicData>
            </a:graphic>
          </wp:anchor>
        </w:drawing>
        <w:t>Financial Results, Segment OCF Reconciliation, Property and Equipment Additions</w:t>
      </w:r>
    </w:p>
    <w:p>
      <w:pPr>
        <w:spacing w:after="0" w:line="58" w:lineRule="exact"/>
        <w:rPr>
          <w:sz w:val="20"/>
          <w:szCs w:val="20"/>
          <w:color w:val="auto"/>
        </w:rPr>
      </w:pPr>
    </w:p>
    <w:p>
      <w:pPr>
        <w:spacing w:after="0" w:line="246" w:lineRule="auto"/>
        <w:rPr>
          <w:sz w:val="20"/>
          <w:szCs w:val="20"/>
          <w:color w:val="auto"/>
        </w:rPr>
      </w:pPr>
      <w:r>
        <w:rPr>
          <w:rFonts w:ascii="Arial" w:cs="Arial" w:eastAsia="Arial" w:hAnsi="Arial"/>
          <w:sz w:val="20"/>
          <w:szCs w:val="20"/>
          <w:color w:val="auto"/>
        </w:rPr>
        <w:t>The following table reflects preliminary unaudited selected financial results for the three months ended March 31, 2020 and 2019:</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20" w:type="dxa"/>
            <w:vAlign w:val="bottom"/>
            <w:gridSpan w:val="4"/>
          </w:tcPr>
          <w:p>
            <w:pPr>
              <w:jc w:val="right"/>
              <w:ind w:right="450"/>
              <w:spacing w:after="0"/>
              <w:rPr>
                <w:sz w:val="20"/>
                <w:szCs w:val="20"/>
                <w:color w:val="auto"/>
              </w:rPr>
            </w:pPr>
            <w:r>
              <w:rPr>
                <w:rFonts w:ascii="Arial" w:cs="Arial" w:eastAsia="Arial" w:hAnsi="Arial"/>
                <w:sz w:val="16"/>
                <w:szCs w:val="16"/>
                <w:b w:val="1"/>
                <w:bCs w:val="1"/>
                <w:color w:val="auto"/>
              </w:rPr>
              <w:t>Three months ended</w:t>
            </w: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March 31,</w:t>
            </w: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780" w:type="dxa"/>
            <w:vAlign w:val="bottom"/>
            <w:tcBorders>
              <w:bottom w:val="single" w:sz="8" w:color="auto"/>
            </w:tcBorders>
            <w:gridSpan w:val="3"/>
          </w:tcPr>
          <w:p>
            <w:pPr>
              <w:jc w:val="right"/>
              <w:ind w:right="531"/>
              <w:spacing w:after="0"/>
              <w:rPr>
                <w:sz w:val="20"/>
                <w:szCs w:val="20"/>
                <w:color w:val="auto"/>
              </w:rPr>
            </w:pPr>
            <w:r>
              <w:rPr>
                <w:rFonts w:ascii="Arial" w:cs="Arial" w:eastAsia="Arial" w:hAnsi="Arial"/>
                <w:sz w:val="16"/>
                <w:szCs w:val="16"/>
                <w:b w:val="1"/>
                <w:bCs w:val="1"/>
                <w:color w:val="auto"/>
              </w:rPr>
              <w:t>Increase/(decrease)</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4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0" w:type="dxa"/>
            <w:vAlign w:val="bottom"/>
          </w:tcPr>
          <w:p>
            <w:pPr>
              <w:jc w:val="right"/>
              <w:ind w:right="371"/>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00" w:type="dxa"/>
            <w:vAlign w:val="bottom"/>
          </w:tcPr>
          <w:p>
            <w:pPr>
              <w:jc w:val="right"/>
              <w:ind w:right="390"/>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2"/>
                <w:szCs w:val="22"/>
                <w:color w:val="auto"/>
              </w:rPr>
            </w:pPr>
          </w:p>
        </w:tc>
        <w:tc>
          <w:tcPr>
            <w:tcW w:w="1440" w:type="dxa"/>
            <w:vAlign w:val="bottom"/>
            <w:gridSpan w:val="2"/>
          </w:tcPr>
          <w:p>
            <w:pPr>
              <w:ind w:left="220"/>
              <w:spacing w:after="0"/>
              <w:rPr>
                <w:sz w:val="20"/>
                <w:szCs w:val="20"/>
                <w:color w:val="auto"/>
              </w:rPr>
            </w:pPr>
            <w:r>
              <w:rPr>
                <w:rFonts w:ascii="Arial" w:cs="Arial" w:eastAsia="Arial" w:hAnsi="Arial"/>
                <w:sz w:val="16"/>
                <w:szCs w:val="16"/>
                <w:b w:val="1"/>
                <w:bCs w:val="1"/>
                <w:color w:val="auto"/>
              </w:rPr>
              <w:t>Reported %</w:t>
            </w:r>
          </w:p>
        </w:tc>
        <w:tc>
          <w:tcPr>
            <w:tcW w:w="1380" w:type="dxa"/>
            <w:vAlign w:val="bottom"/>
            <w:gridSpan w:val="2"/>
          </w:tcPr>
          <w:p>
            <w:pPr>
              <w:jc w:val="right"/>
              <w:ind w:right="280"/>
              <w:spacing w:after="0"/>
              <w:rPr>
                <w:sz w:val="20"/>
                <w:szCs w:val="20"/>
                <w:color w:val="auto"/>
              </w:rPr>
            </w:pPr>
            <w:r>
              <w:rPr>
                <w:rFonts w:ascii="Arial" w:cs="Arial" w:eastAsia="Arial" w:hAnsi="Arial"/>
                <w:sz w:val="16"/>
                <w:szCs w:val="16"/>
                <w:b w:val="1"/>
                <w:bCs w:val="1"/>
                <w:color w:val="auto"/>
              </w:rPr>
              <w:t>Rebased %</w:t>
            </w:r>
          </w:p>
        </w:tc>
        <w:tc>
          <w:tcPr>
            <w:tcW w:w="0" w:type="dxa"/>
            <w:vAlign w:val="bottom"/>
          </w:tcPr>
          <w:p>
            <w:pPr>
              <w:spacing w:after="0"/>
              <w:rPr>
                <w:sz w:val="1"/>
                <w:szCs w:val="1"/>
                <w:color w:val="auto"/>
              </w:rPr>
            </w:pPr>
          </w:p>
        </w:tc>
      </w:tr>
      <w:tr>
        <w:trPr>
          <w:trHeight w:val="247"/>
        </w:trPr>
        <w:tc>
          <w:tcPr>
            <w:tcW w:w="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40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2840" w:type="dxa"/>
            <w:vAlign w:val="bottom"/>
            <w:tcBorders>
              <w:top w:val="single" w:sz="8" w:color="auto"/>
            </w:tcBorders>
            <w:gridSpan w:val="5"/>
          </w:tcPr>
          <w:p>
            <w:pPr>
              <w:ind w:left="240"/>
              <w:spacing w:after="0"/>
              <w:rPr>
                <w:sz w:val="20"/>
                <w:szCs w:val="20"/>
                <w:color w:val="auto"/>
              </w:rPr>
            </w:pPr>
            <w:r>
              <w:rPr>
                <w:rFonts w:ascii="Arial" w:cs="Arial" w:eastAsia="Arial" w:hAnsi="Arial"/>
                <w:sz w:val="16"/>
                <w:szCs w:val="16"/>
                <w:b w:val="1"/>
                <w:bCs w:val="1"/>
                <w:color w:val="auto"/>
              </w:rPr>
              <w:t>in millions, except % amounts</w:t>
            </w:r>
          </w:p>
        </w:tc>
        <w:tc>
          <w:tcPr>
            <w:tcW w:w="1340" w:type="dxa"/>
            <w:vAlign w:val="bottom"/>
            <w:tcBorders>
              <w:top w:val="single" w:sz="8" w:color="auto"/>
            </w:tcBorders>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6"/>
        </w:trPr>
        <w:tc>
          <w:tcPr>
            <w:tcW w:w="40" w:type="dxa"/>
            <w:vAlign w:val="bottom"/>
            <w:shd w:val="clear" w:color="auto" w:fill="CCEEFF"/>
          </w:tcPr>
          <w:p>
            <w:pPr>
              <w:spacing w:after="0"/>
              <w:rPr>
                <w:sz w:val="19"/>
                <w:szCs w:val="19"/>
                <w:color w:val="auto"/>
              </w:rPr>
            </w:pPr>
          </w:p>
        </w:tc>
        <w:tc>
          <w:tcPr>
            <w:tcW w:w="558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Revenue</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40" w:type="dxa"/>
            <w:vAlign w:val="bottom"/>
            <w:tcBorders>
              <w:top w:val="single" w:sz="8" w:color="CCEEFF"/>
            </w:tcBorders>
            <w:shd w:val="clear" w:color="auto" w:fill="CCEEFF"/>
          </w:tcPr>
          <w:p>
            <w:pPr>
              <w:spacing w:after="0"/>
              <w:rPr>
                <w:sz w:val="2"/>
                <w:szCs w:val="2"/>
                <w:color w:val="auto"/>
              </w:rPr>
            </w:pPr>
          </w:p>
        </w:tc>
        <w:tc>
          <w:tcPr>
            <w:tcW w:w="740" w:type="dxa"/>
            <w:vAlign w:val="bottom"/>
            <w:tcBorders>
              <w:top w:val="single" w:sz="8" w:color="auto"/>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440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10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9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3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340" w:type="dxa"/>
            <w:vAlign w:val="bottom"/>
            <w:tcBorders>
              <w:top w:val="single" w:sz="8" w:color="CCEEFF"/>
            </w:tcBorders>
            <w:shd w:val="clear" w:color="auto" w:fill="CCEEFF"/>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40" w:type="dxa"/>
            <w:vAlign w:val="bottom"/>
          </w:tcPr>
          <w:p>
            <w:pPr>
              <w:spacing w:after="0"/>
              <w:rPr>
                <w:sz w:val="22"/>
                <w:szCs w:val="22"/>
                <w:color w:val="auto"/>
              </w:rPr>
            </w:pPr>
          </w:p>
        </w:tc>
        <w:tc>
          <w:tcPr>
            <w:tcW w:w="5580" w:type="dxa"/>
            <w:vAlign w:val="bottom"/>
            <w:gridSpan w:val="3"/>
          </w:tcPr>
          <w:p>
            <w:pPr>
              <w:spacing w:after="0"/>
              <w:rPr>
                <w:sz w:val="20"/>
                <w:szCs w:val="20"/>
                <w:color w:val="auto"/>
              </w:rPr>
            </w:pPr>
            <w:r>
              <w:rPr>
                <w:rFonts w:ascii="Arial" w:cs="Arial" w:eastAsia="Arial" w:hAnsi="Arial"/>
                <w:sz w:val="18"/>
                <w:szCs w:val="18"/>
                <w:color w:val="auto"/>
              </w:rPr>
              <w:t>Residential cable revenue:</w:t>
            </w:r>
          </w:p>
        </w:tc>
        <w:tc>
          <w:tcPr>
            <w:tcW w:w="2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40" w:type="dxa"/>
            <w:vAlign w:val="bottom"/>
            <w:shd w:val="clear" w:color="auto" w:fill="CCEEFF"/>
          </w:tcPr>
          <w:p>
            <w:pPr>
              <w:spacing w:after="0"/>
              <w:rPr>
                <w:sz w:val="24"/>
                <w:szCs w:val="24"/>
                <w:color w:val="auto"/>
              </w:rPr>
            </w:pPr>
          </w:p>
        </w:tc>
        <w:tc>
          <w:tcPr>
            <w:tcW w:w="558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Subscription</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904.1</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897.2</w:t>
            </w:r>
          </w:p>
        </w:tc>
        <w:tc>
          <w:tcPr>
            <w:tcW w:w="1440" w:type="dxa"/>
            <w:vAlign w:val="bottom"/>
            <w:gridSpan w:val="2"/>
            <w:shd w:val="clear" w:color="auto" w:fill="CCEEFF"/>
          </w:tcPr>
          <w:p>
            <w:pPr>
              <w:jc w:val="right"/>
              <w:ind w:right="13"/>
              <w:spacing w:after="0"/>
              <w:rPr>
                <w:sz w:val="20"/>
                <w:szCs w:val="20"/>
                <w:color w:val="auto"/>
              </w:rPr>
            </w:pPr>
            <w:r>
              <w:rPr>
                <w:rFonts w:ascii="Arial" w:cs="Arial" w:eastAsia="Arial" w:hAnsi="Arial"/>
                <w:sz w:val="18"/>
                <w:szCs w:val="18"/>
                <w:color w:val="auto"/>
              </w:rPr>
              <w:t>0.8%</w:t>
            </w:r>
          </w:p>
        </w:tc>
        <w:tc>
          <w:tcPr>
            <w:tcW w:w="10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0.8%</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40" w:type="dxa"/>
            <w:vAlign w:val="bottom"/>
            <w:tcBorders>
              <w:bottom w:val="single" w:sz="8" w:color="CCEEFF"/>
            </w:tcBorders>
          </w:tcPr>
          <w:p>
            <w:pPr>
              <w:spacing w:after="0"/>
              <w:rPr>
                <w:sz w:val="22"/>
                <w:szCs w:val="22"/>
                <w:color w:val="auto"/>
              </w:rPr>
            </w:pPr>
          </w:p>
        </w:tc>
        <w:tc>
          <w:tcPr>
            <w:tcW w:w="5580" w:type="dxa"/>
            <w:vAlign w:val="bottom"/>
            <w:tcBorders>
              <w:bottom w:val="single" w:sz="8" w:color="CCEEFF"/>
            </w:tcBorders>
            <w:gridSpan w:val="3"/>
          </w:tcPr>
          <w:p>
            <w:pPr>
              <w:ind w:left="240"/>
              <w:spacing w:after="0"/>
              <w:rPr>
                <w:sz w:val="20"/>
                <w:szCs w:val="20"/>
                <w:color w:val="auto"/>
              </w:rPr>
            </w:pPr>
            <w:r>
              <w:rPr>
                <w:rFonts w:ascii="Arial" w:cs="Arial" w:eastAsia="Arial" w:hAnsi="Arial"/>
                <w:sz w:val="18"/>
                <w:szCs w:val="18"/>
                <w:color w:val="auto"/>
              </w:rPr>
              <w:t>Non-subscription</w:t>
            </w:r>
          </w:p>
        </w:tc>
        <w:tc>
          <w:tcPr>
            <w:tcW w:w="2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14.9</w:t>
            </w: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14.6</w:t>
            </w:r>
          </w:p>
        </w:tc>
        <w:tc>
          <w:tcPr>
            <w:tcW w:w="100" w:type="dxa"/>
            <w:vAlign w:val="bottom"/>
            <w:tcBorders>
              <w:bottom w:val="single" w:sz="8" w:color="CCEEFF"/>
            </w:tcBorders>
          </w:tcPr>
          <w:p>
            <w:pPr>
              <w:spacing w:after="0"/>
              <w:rPr>
                <w:sz w:val="22"/>
                <w:szCs w:val="22"/>
                <w:color w:val="auto"/>
              </w:rPr>
            </w:pPr>
          </w:p>
        </w:tc>
        <w:tc>
          <w:tcPr>
            <w:tcW w:w="13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tcPr>
          <w:p>
            <w:pPr>
              <w:spacing w:after="0"/>
              <w:rPr>
                <w:sz w:val="22"/>
                <w:szCs w:val="22"/>
                <w:color w:val="auto"/>
              </w:rPr>
            </w:pPr>
          </w:p>
        </w:tc>
        <w:tc>
          <w:tcPr>
            <w:tcW w:w="13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1.7%</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0" w:type="dxa"/>
            <w:vAlign w:val="bottom"/>
            <w:shd w:val="clear" w:color="auto" w:fill="CCEEFF"/>
          </w:tcPr>
          <w:p>
            <w:pPr>
              <w:spacing w:after="0"/>
              <w:rPr>
                <w:sz w:val="22"/>
                <w:szCs w:val="22"/>
                <w:color w:val="auto"/>
              </w:rPr>
            </w:pPr>
          </w:p>
        </w:tc>
        <w:tc>
          <w:tcPr>
            <w:tcW w:w="558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Total residential cable revenue</w:t>
            </w:r>
          </w:p>
        </w:tc>
        <w:tc>
          <w:tcPr>
            <w:tcW w:w="28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919.0</w:t>
            </w:r>
          </w:p>
        </w:tc>
        <w:tc>
          <w:tcPr>
            <w:tcW w:w="12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911.8</w:t>
            </w:r>
          </w:p>
        </w:tc>
        <w:tc>
          <w:tcPr>
            <w:tcW w:w="1440" w:type="dxa"/>
            <w:vAlign w:val="bottom"/>
            <w:gridSpan w:val="2"/>
            <w:shd w:val="clear" w:color="auto" w:fill="CCEEFF"/>
          </w:tcPr>
          <w:p>
            <w:pPr>
              <w:jc w:val="right"/>
              <w:ind w:right="13"/>
              <w:spacing w:after="0"/>
              <w:rPr>
                <w:sz w:val="20"/>
                <w:szCs w:val="20"/>
                <w:color w:val="auto"/>
              </w:rPr>
            </w:pPr>
            <w:r>
              <w:rPr>
                <w:rFonts w:ascii="Arial" w:cs="Arial" w:eastAsia="Arial" w:hAnsi="Arial"/>
                <w:sz w:val="18"/>
                <w:szCs w:val="18"/>
                <w:color w:val="auto"/>
              </w:rPr>
              <w:t>0.8%</w:t>
            </w:r>
          </w:p>
        </w:tc>
        <w:tc>
          <w:tcPr>
            <w:tcW w:w="100" w:type="dxa"/>
            <w:vAlign w:val="bottom"/>
            <w:shd w:val="clear" w:color="auto" w:fill="CCEEFF"/>
          </w:tcPr>
          <w:p>
            <w:pPr>
              <w:spacing w:after="0"/>
              <w:rPr>
                <w:sz w:val="22"/>
                <w:szCs w:val="22"/>
                <w:color w:val="auto"/>
              </w:rPr>
            </w:pPr>
          </w:p>
        </w:tc>
        <w:tc>
          <w:tcPr>
            <w:tcW w:w="13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0.9%</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40" w:type="dxa"/>
            <w:vAlign w:val="bottom"/>
          </w:tcPr>
          <w:p>
            <w:pPr>
              <w:spacing w:after="0"/>
              <w:rPr>
                <w:sz w:val="22"/>
                <w:szCs w:val="22"/>
                <w:color w:val="auto"/>
              </w:rPr>
            </w:pPr>
          </w:p>
        </w:tc>
        <w:tc>
          <w:tcPr>
            <w:tcW w:w="5580" w:type="dxa"/>
            <w:vAlign w:val="bottom"/>
            <w:gridSpan w:val="3"/>
          </w:tcPr>
          <w:p>
            <w:pPr>
              <w:spacing w:after="0"/>
              <w:rPr>
                <w:sz w:val="20"/>
                <w:szCs w:val="20"/>
                <w:color w:val="auto"/>
              </w:rPr>
            </w:pPr>
            <w:r>
              <w:rPr>
                <w:rFonts w:ascii="Arial" w:cs="Arial" w:eastAsia="Arial" w:hAnsi="Arial"/>
                <w:sz w:val="18"/>
                <w:szCs w:val="18"/>
                <w:color w:val="auto"/>
              </w:rPr>
              <w:t>Residential mobile revenue:</w:t>
            </w:r>
          </w:p>
        </w:tc>
        <w:tc>
          <w:tcPr>
            <w:tcW w:w="2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40" w:type="dxa"/>
            <w:vAlign w:val="bottom"/>
            <w:shd w:val="clear" w:color="auto" w:fill="CCEEFF"/>
          </w:tcPr>
          <w:p>
            <w:pPr>
              <w:spacing w:after="0"/>
              <w:rPr>
                <w:sz w:val="24"/>
                <w:szCs w:val="24"/>
                <w:color w:val="auto"/>
              </w:rPr>
            </w:pPr>
          </w:p>
        </w:tc>
        <w:tc>
          <w:tcPr>
            <w:tcW w:w="558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Subscription</w:t>
            </w:r>
          </w:p>
        </w:tc>
        <w:tc>
          <w:tcPr>
            <w:tcW w:w="28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89.9</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87.5</w:t>
            </w:r>
          </w:p>
        </w:tc>
        <w:tc>
          <w:tcPr>
            <w:tcW w:w="1440" w:type="dxa"/>
            <w:vAlign w:val="bottom"/>
            <w:gridSpan w:val="2"/>
            <w:shd w:val="clear" w:color="auto" w:fill="CCEEFF"/>
          </w:tcPr>
          <w:p>
            <w:pPr>
              <w:jc w:val="right"/>
              <w:ind w:right="13"/>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2.8%</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40" w:type="dxa"/>
            <w:vAlign w:val="bottom"/>
            <w:tcBorders>
              <w:bottom w:val="single" w:sz="8" w:color="CCEEFF"/>
            </w:tcBorders>
          </w:tcPr>
          <w:p>
            <w:pPr>
              <w:spacing w:after="0"/>
              <w:rPr>
                <w:sz w:val="22"/>
                <w:szCs w:val="22"/>
                <w:color w:val="auto"/>
              </w:rPr>
            </w:pPr>
          </w:p>
        </w:tc>
        <w:tc>
          <w:tcPr>
            <w:tcW w:w="5580" w:type="dxa"/>
            <w:vAlign w:val="bottom"/>
            <w:tcBorders>
              <w:bottom w:val="single" w:sz="8" w:color="CCEEFF"/>
            </w:tcBorders>
            <w:gridSpan w:val="3"/>
          </w:tcPr>
          <w:p>
            <w:pPr>
              <w:ind w:left="240"/>
              <w:spacing w:after="0"/>
              <w:rPr>
                <w:sz w:val="20"/>
                <w:szCs w:val="20"/>
                <w:color w:val="auto"/>
              </w:rPr>
            </w:pPr>
            <w:r>
              <w:rPr>
                <w:rFonts w:ascii="Arial" w:cs="Arial" w:eastAsia="Arial" w:hAnsi="Arial"/>
                <w:sz w:val="18"/>
                <w:szCs w:val="18"/>
                <w:color w:val="auto"/>
              </w:rPr>
              <w:t>Non-subscription</w:t>
            </w:r>
          </w:p>
        </w:tc>
        <w:tc>
          <w:tcPr>
            <w:tcW w:w="2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56.4</w:t>
            </w: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66.5</w:t>
            </w:r>
          </w:p>
        </w:tc>
        <w:tc>
          <w:tcPr>
            <w:tcW w:w="100" w:type="dxa"/>
            <w:vAlign w:val="bottom"/>
            <w:tcBorders>
              <w:bottom w:val="single" w:sz="8" w:color="CCEEFF"/>
            </w:tcBorders>
          </w:tcPr>
          <w:p>
            <w:pPr>
              <w:spacing w:after="0"/>
              <w:rPr>
                <w:sz w:val="22"/>
                <w:szCs w:val="22"/>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w:t>
            </w:r>
          </w:p>
        </w:tc>
        <w:tc>
          <w:tcPr>
            <w:tcW w:w="100" w:type="dxa"/>
            <w:vAlign w:val="bottom"/>
            <w:tcBorders>
              <w:bottom w:val="single" w:sz="8" w:color="CCEEFF"/>
            </w:tcBorders>
          </w:tcPr>
          <w:p>
            <w:pPr>
              <w:spacing w:after="0"/>
              <w:rPr>
                <w:sz w:val="22"/>
                <w:szCs w:val="22"/>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0" w:type="dxa"/>
            <w:vAlign w:val="bottom"/>
            <w:shd w:val="clear" w:color="auto" w:fill="CCEEFF"/>
          </w:tcPr>
          <w:p>
            <w:pPr>
              <w:spacing w:after="0"/>
              <w:rPr>
                <w:sz w:val="22"/>
                <w:szCs w:val="22"/>
                <w:color w:val="auto"/>
              </w:rPr>
            </w:pPr>
          </w:p>
        </w:tc>
        <w:tc>
          <w:tcPr>
            <w:tcW w:w="558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Total residential mobile revenue</w:t>
            </w:r>
          </w:p>
        </w:tc>
        <w:tc>
          <w:tcPr>
            <w:tcW w:w="28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146.3</w:t>
            </w:r>
          </w:p>
        </w:tc>
        <w:tc>
          <w:tcPr>
            <w:tcW w:w="12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154.0</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40" w:type="dxa"/>
            <w:vAlign w:val="bottom"/>
          </w:tcPr>
          <w:p>
            <w:pPr>
              <w:spacing w:after="0"/>
              <w:rPr>
                <w:sz w:val="22"/>
                <w:szCs w:val="22"/>
                <w:color w:val="auto"/>
              </w:rPr>
            </w:pPr>
          </w:p>
        </w:tc>
        <w:tc>
          <w:tcPr>
            <w:tcW w:w="5580" w:type="dxa"/>
            <w:vAlign w:val="bottom"/>
            <w:gridSpan w:val="3"/>
          </w:tcPr>
          <w:p>
            <w:pPr>
              <w:spacing w:after="0"/>
              <w:rPr>
                <w:sz w:val="20"/>
                <w:szCs w:val="20"/>
                <w:color w:val="auto"/>
              </w:rPr>
            </w:pPr>
            <w:r>
              <w:rPr>
                <w:rFonts w:ascii="Arial" w:cs="Arial" w:eastAsia="Arial" w:hAnsi="Arial"/>
                <w:sz w:val="18"/>
                <w:szCs w:val="18"/>
                <w:color w:val="auto"/>
              </w:rPr>
              <w:t>Business revenue:</w:t>
            </w:r>
          </w:p>
        </w:tc>
        <w:tc>
          <w:tcPr>
            <w:tcW w:w="2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40" w:type="dxa"/>
            <w:vAlign w:val="bottom"/>
            <w:shd w:val="clear" w:color="auto" w:fill="CCEEFF"/>
          </w:tcPr>
          <w:p>
            <w:pPr>
              <w:spacing w:after="0"/>
              <w:rPr>
                <w:sz w:val="24"/>
                <w:szCs w:val="24"/>
                <w:color w:val="auto"/>
              </w:rPr>
            </w:pPr>
          </w:p>
        </w:tc>
        <w:tc>
          <w:tcPr>
            <w:tcW w:w="558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Subscription</w:t>
            </w:r>
          </w:p>
        </w:tc>
        <w:tc>
          <w:tcPr>
            <w:tcW w:w="28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24.0</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21.5</w:t>
            </w:r>
          </w:p>
        </w:tc>
        <w:tc>
          <w:tcPr>
            <w:tcW w:w="1440" w:type="dxa"/>
            <w:vAlign w:val="bottom"/>
            <w:gridSpan w:val="2"/>
            <w:shd w:val="clear" w:color="auto" w:fill="CCEEFF"/>
          </w:tcPr>
          <w:p>
            <w:pPr>
              <w:jc w:val="right"/>
              <w:ind w:right="13"/>
              <w:spacing w:after="0"/>
              <w:rPr>
                <w:sz w:val="20"/>
                <w:szCs w:val="20"/>
                <w:color w:val="auto"/>
              </w:rPr>
            </w:pPr>
            <w:r>
              <w:rPr>
                <w:rFonts w:ascii="Arial" w:cs="Arial" w:eastAsia="Arial" w:hAnsi="Arial"/>
                <w:sz w:val="18"/>
                <w:szCs w:val="18"/>
                <w:color w:val="auto"/>
              </w:rPr>
              <w:t>11.6%</w:t>
            </w:r>
          </w:p>
        </w:tc>
        <w:tc>
          <w:tcPr>
            <w:tcW w:w="10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11.4%</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40" w:type="dxa"/>
            <w:vAlign w:val="bottom"/>
            <w:tcBorders>
              <w:bottom w:val="single" w:sz="8" w:color="CCEEFF"/>
            </w:tcBorders>
          </w:tcPr>
          <w:p>
            <w:pPr>
              <w:spacing w:after="0"/>
              <w:rPr>
                <w:sz w:val="22"/>
                <w:szCs w:val="22"/>
                <w:color w:val="auto"/>
              </w:rPr>
            </w:pPr>
          </w:p>
        </w:tc>
        <w:tc>
          <w:tcPr>
            <w:tcW w:w="5580" w:type="dxa"/>
            <w:vAlign w:val="bottom"/>
            <w:tcBorders>
              <w:bottom w:val="single" w:sz="8" w:color="CCEEFF"/>
            </w:tcBorders>
            <w:gridSpan w:val="3"/>
          </w:tcPr>
          <w:p>
            <w:pPr>
              <w:ind w:left="240"/>
              <w:spacing w:after="0"/>
              <w:rPr>
                <w:sz w:val="20"/>
                <w:szCs w:val="20"/>
                <w:color w:val="auto"/>
              </w:rPr>
            </w:pPr>
            <w:r>
              <w:rPr>
                <w:rFonts w:ascii="Arial" w:cs="Arial" w:eastAsia="Arial" w:hAnsi="Arial"/>
                <w:sz w:val="18"/>
                <w:szCs w:val="18"/>
                <w:color w:val="auto"/>
              </w:rPr>
              <w:t>Non-subscription</w:t>
            </w:r>
          </w:p>
        </w:tc>
        <w:tc>
          <w:tcPr>
            <w:tcW w:w="2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160.9</w:t>
            </w: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171.8</w:t>
            </w:r>
          </w:p>
        </w:tc>
        <w:tc>
          <w:tcPr>
            <w:tcW w:w="100" w:type="dxa"/>
            <w:vAlign w:val="bottom"/>
            <w:tcBorders>
              <w:bottom w:val="single" w:sz="8" w:color="CCEEFF"/>
            </w:tcBorders>
          </w:tcPr>
          <w:p>
            <w:pPr>
              <w:spacing w:after="0"/>
              <w:rPr>
                <w:sz w:val="22"/>
                <w:szCs w:val="22"/>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w:t>
            </w:r>
          </w:p>
        </w:tc>
        <w:tc>
          <w:tcPr>
            <w:tcW w:w="100" w:type="dxa"/>
            <w:vAlign w:val="bottom"/>
            <w:tcBorders>
              <w:bottom w:val="single" w:sz="8" w:color="CCEEFF"/>
            </w:tcBorders>
          </w:tcPr>
          <w:p>
            <w:pPr>
              <w:spacing w:after="0"/>
              <w:rPr>
                <w:sz w:val="22"/>
                <w:szCs w:val="22"/>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40" w:type="dxa"/>
            <w:vAlign w:val="bottom"/>
            <w:shd w:val="clear" w:color="auto" w:fill="CCEEFF"/>
          </w:tcPr>
          <w:p>
            <w:pPr>
              <w:spacing w:after="0"/>
              <w:rPr>
                <w:sz w:val="22"/>
                <w:szCs w:val="22"/>
                <w:color w:val="auto"/>
              </w:rPr>
            </w:pPr>
          </w:p>
        </w:tc>
        <w:tc>
          <w:tcPr>
            <w:tcW w:w="558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Total business revenue</w:t>
            </w:r>
          </w:p>
        </w:tc>
        <w:tc>
          <w:tcPr>
            <w:tcW w:w="28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184.9</w:t>
            </w:r>
          </w:p>
        </w:tc>
        <w:tc>
          <w:tcPr>
            <w:tcW w:w="12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193.3</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40" w:type="dxa"/>
            <w:vAlign w:val="bottom"/>
            <w:tcBorders>
              <w:bottom w:val="single" w:sz="8" w:color="CCEEFF"/>
            </w:tcBorders>
          </w:tcPr>
          <w:p>
            <w:pPr>
              <w:spacing w:after="0"/>
              <w:rPr>
                <w:sz w:val="22"/>
                <w:szCs w:val="22"/>
                <w:color w:val="auto"/>
              </w:rPr>
            </w:pPr>
          </w:p>
        </w:tc>
        <w:tc>
          <w:tcPr>
            <w:tcW w:w="558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color w:val="auto"/>
              </w:rPr>
              <w:t>Other revenue</w:t>
            </w:r>
          </w:p>
        </w:tc>
        <w:tc>
          <w:tcPr>
            <w:tcW w:w="2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16.1</w:t>
            </w: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16.4</w:t>
            </w:r>
          </w:p>
        </w:tc>
        <w:tc>
          <w:tcPr>
            <w:tcW w:w="100" w:type="dxa"/>
            <w:vAlign w:val="bottom"/>
            <w:tcBorders>
              <w:bottom w:val="single" w:sz="8" w:color="CCEEFF"/>
            </w:tcBorders>
          </w:tcPr>
          <w:p>
            <w:pPr>
              <w:spacing w:after="0"/>
              <w:rPr>
                <w:sz w:val="22"/>
                <w:szCs w:val="22"/>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tcPr>
          <w:p>
            <w:pPr>
              <w:spacing w:after="0"/>
              <w:rPr>
                <w:sz w:val="22"/>
                <w:szCs w:val="22"/>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0" w:type="dxa"/>
            <w:vAlign w:val="bottom"/>
            <w:shd w:val="clear" w:color="auto" w:fill="CCEEFF"/>
          </w:tcPr>
          <w:p>
            <w:pPr>
              <w:spacing w:after="0"/>
              <w:rPr>
                <w:sz w:val="22"/>
                <w:szCs w:val="22"/>
                <w:color w:val="auto"/>
              </w:rPr>
            </w:pPr>
          </w:p>
        </w:tc>
        <w:tc>
          <w:tcPr>
            <w:tcW w:w="558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Total revenue</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1,266.3</w:t>
            </w:r>
          </w:p>
        </w:tc>
        <w:tc>
          <w:tcPr>
            <w:tcW w:w="120" w:type="dxa"/>
            <w:vAlign w:val="bottom"/>
            <w:shd w:val="clear" w:color="auto" w:fill="CCEEFF"/>
          </w:tcPr>
          <w:p>
            <w:pPr>
              <w:spacing w:after="0"/>
              <w:rPr>
                <w:sz w:val="22"/>
                <w:szCs w:val="22"/>
                <w:color w:val="auto"/>
              </w:rPr>
            </w:pPr>
          </w:p>
        </w:tc>
        <w:tc>
          <w:tcPr>
            <w:tcW w:w="40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1,275.5</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0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44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4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40" w:type="dxa"/>
            <w:vAlign w:val="bottom"/>
            <w:shd w:val="clear" w:color="auto" w:fill="CCEEFF"/>
          </w:tcPr>
          <w:p>
            <w:pPr>
              <w:spacing w:after="0"/>
              <w:rPr>
                <w:sz w:val="18"/>
                <w:szCs w:val="18"/>
                <w:color w:val="auto"/>
              </w:rPr>
            </w:pPr>
          </w:p>
        </w:tc>
        <w:tc>
          <w:tcPr>
            <w:tcW w:w="5580" w:type="dxa"/>
            <w:vAlign w:val="bottom"/>
            <w:gridSpan w:val="3"/>
            <w:shd w:val="clear" w:color="auto" w:fill="CCEEFF"/>
          </w:tcPr>
          <w:p>
            <w:pPr>
              <w:spacing w:after="0" w:line="216" w:lineRule="exact"/>
              <w:rPr>
                <w:sz w:val="20"/>
                <w:szCs w:val="20"/>
                <w:color w:val="auto"/>
              </w:rPr>
            </w:pPr>
            <w:r>
              <w:rPr>
                <w:rFonts w:ascii="Arial" w:cs="Arial" w:eastAsia="Arial" w:hAnsi="Arial"/>
                <w:sz w:val="18"/>
                <w:szCs w:val="18"/>
                <w:b w:val="1"/>
                <w:bCs w:val="1"/>
                <w:color w:val="auto"/>
              </w:rPr>
              <w:t>Segment OCF</w:t>
            </w:r>
            <w:r>
              <w:rPr>
                <w:rFonts w:ascii="Arial" w:cs="Arial" w:eastAsia="Arial" w:hAnsi="Arial"/>
                <w:sz w:val="21"/>
                <w:szCs w:val="21"/>
                <w:b w:val="1"/>
                <w:bCs w:val="1"/>
                <w:color w:val="auto"/>
                <w:vertAlign w:val="superscript"/>
              </w:rPr>
              <w:t>2</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
        </w:trPr>
        <w:tc>
          <w:tcPr>
            <w:tcW w:w="40" w:type="dxa"/>
            <w:vAlign w:val="bottom"/>
            <w:tcBorders>
              <w:top w:val="single" w:sz="8" w:color="CCEEFF"/>
            </w:tcBorders>
            <w:shd w:val="clear" w:color="auto" w:fill="CCEEFF"/>
          </w:tcPr>
          <w:p>
            <w:pPr>
              <w:spacing w:after="0"/>
              <w:rPr>
                <w:sz w:val="2"/>
                <w:szCs w:val="2"/>
                <w:color w:val="auto"/>
              </w:rPr>
            </w:pPr>
          </w:p>
        </w:tc>
        <w:tc>
          <w:tcPr>
            <w:tcW w:w="740" w:type="dxa"/>
            <w:vAlign w:val="bottom"/>
            <w:tcBorders>
              <w:top w:val="single" w:sz="8" w:color="auto"/>
            </w:tcBorders>
            <w:shd w:val="clear" w:color="auto" w:fill="CCEEFF"/>
          </w:tcPr>
          <w:p>
            <w:pPr>
              <w:spacing w:after="0"/>
              <w:rPr>
                <w:sz w:val="2"/>
                <w:szCs w:val="2"/>
                <w:color w:val="auto"/>
              </w:rPr>
            </w:pPr>
          </w:p>
        </w:tc>
        <w:tc>
          <w:tcPr>
            <w:tcW w:w="440" w:type="dxa"/>
            <w:vAlign w:val="bottom"/>
            <w:tcBorders>
              <w:top w:val="single" w:sz="8" w:color="auto"/>
            </w:tcBorders>
            <w:shd w:val="clear" w:color="auto" w:fill="CCEEFF"/>
          </w:tcPr>
          <w:p>
            <w:pPr>
              <w:spacing w:after="0"/>
              <w:rPr>
                <w:sz w:val="2"/>
                <w:szCs w:val="2"/>
                <w:color w:val="auto"/>
              </w:rPr>
            </w:pPr>
          </w:p>
        </w:tc>
        <w:tc>
          <w:tcPr>
            <w:tcW w:w="440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10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9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3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340" w:type="dxa"/>
            <w:vAlign w:val="bottom"/>
            <w:tcBorders>
              <w:top w:val="single" w:sz="8" w:color="CCEEFF"/>
            </w:tcBorders>
            <w:shd w:val="clear" w:color="auto" w:fill="CCEEFF"/>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40" w:type="dxa"/>
            <w:vAlign w:val="bottom"/>
          </w:tcPr>
          <w:p>
            <w:pPr>
              <w:spacing w:after="0"/>
              <w:rPr>
                <w:sz w:val="24"/>
                <w:szCs w:val="24"/>
                <w:color w:val="auto"/>
              </w:rPr>
            </w:pPr>
          </w:p>
        </w:tc>
        <w:tc>
          <w:tcPr>
            <w:tcW w:w="5580" w:type="dxa"/>
            <w:vAlign w:val="bottom"/>
            <w:gridSpan w:val="3"/>
          </w:tcPr>
          <w:p>
            <w:pPr>
              <w:ind w:left="240"/>
              <w:spacing w:after="0"/>
              <w:rPr>
                <w:sz w:val="20"/>
                <w:szCs w:val="20"/>
                <w:color w:val="auto"/>
              </w:rPr>
            </w:pPr>
            <w:r>
              <w:rPr>
                <w:rFonts w:ascii="Arial" w:cs="Arial" w:eastAsia="Arial" w:hAnsi="Arial"/>
                <w:sz w:val="18"/>
                <w:szCs w:val="18"/>
                <w:color w:val="auto"/>
              </w:rPr>
              <w:t>Segment OCF</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91"/>
              <w:spacing w:after="0"/>
              <w:rPr>
                <w:sz w:val="20"/>
                <w:szCs w:val="20"/>
                <w:color w:val="auto"/>
              </w:rPr>
            </w:pPr>
            <w:r>
              <w:rPr>
                <w:rFonts w:ascii="Arial" w:cs="Arial" w:eastAsia="Arial" w:hAnsi="Arial"/>
                <w:sz w:val="18"/>
                <w:szCs w:val="18"/>
                <w:color w:val="auto"/>
              </w:rPr>
              <w:t>512.3</w:t>
            </w:r>
          </w:p>
        </w:tc>
        <w:tc>
          <w:tcPr>
            <w:tcW w:w="120" w:type="dxa"/>
            <w:vAlign w:val="bottom"/>
          </w:tcPr>
          <w:p>
            <w:pPr>
              <w:spacing w:after="0"/>
              <w:rPr>
                <w:sz w:val="24"/>
                <w:szCs w:val="24"/>
                <w:color w:val="auto"/>
              </w:rPr>
            </w:pPr>
          </w:p>
        </w:tc>
        <w:tc>
          <w:tcPr>
            <w:tcW w:w="400" w:type="dxa"/>
            <w:vAlign w:val="bottom"/>
          </w:tcPr>
          <w:p>
            <w:pPr>
              <w:jc w:val="right"/>
              <w:ind w:right="192"/>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10"/>
              <w:spacing w:after="0"/>
              <w:rPr>
                <w:sz w:val="20"/>
                <w:szCs w:val="20"/>
                <w:color w:val="auto"/>
              </w:rPr>
            </w:pPr>
            <w:r>
              <w:rPr>
                <w:rFonts w:ascii="Arial" w:cs="Arial" w:eastAsia="Arial" w:hAnsi="Arial"/>
                <w:sz w:val="18"/>
                <w:szCs w:val="18"/>
                <w:color w:val="auto"/>
              </w:rPr>
              <w:t>531.5</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(3.5%)</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40" w:type="dxa"/>
            <w:vAlign w:val="bottom"/>
            <w:tcBorders>
              <w:top w:val="single" w:sz="8" w:color="CCEEFF"/>
            </w:tcBorders>
            <w:shd w:val="clear" w:color="auto" w:fill="CCEEFF"/>
          </w:tcPr>
          <w:p>
            <w:pPr>
              <w:spacing w:after="0"/>
              <w:rPr>
                <w:sz w:val="8"/>
                <w:szCs w:val="8"/>
                <w:color w:val="auto"/>
              </w:rPr>
            </w:pPr>
          </w:p>
        </w:tc>
        <w:tc>
          <w:tcPr>
            <w:tcW w:w="740" w:type="dxa"/>
            <w:vAlign w:val="bottom"/>
            <w:tcBorders>
              <w:top w:val="single" w:sz="8" w:color="CCEEFF"/>
            </w:tcBorders>
            <w:shd w:val="clear" w:color="auto" w:fill="CCEEFF"/>
          </w:tcPr>
          <w:p>
            <w:pPr>
              <w:spacing w:after="0"/>
              <w:rPr>
                <w:sz w:val="8"/>
                <w:szCs w:val="8"/>
                <w:color w:val="auto"/>
              </w:rPr>
            </w:pPr>
          </w:p>
        </w:tc>
        <w:tc>
          <w:tcPr>
            <w:tcW w:w="440" w:type="dxa"/>
            <w:vAlign w:val="bottom"/>
            <w:tcBorders>
              <w:top w:val="single" w:sz="8" w:color="CCEEFF"/>
            </w:tcBorders>
            <w:shd w:val="clear" w:color="auto" w:fill="CCEEFF"/>
          </w:tcPr>
          <w:p>
            <w:pPr>
              <w:spacing w:after="0"/>
              <w:rPr>
                <w:sz w:val="8"/>
                <w:szCs w:val="8"/>
                <w:color w:val="auto"/>
              </w:rPr>
            </w:pPr>
          </w:p>
        </w:tc>
        <w:tc>
          <w:tcPr>
            <w:tcW w:w="4400" w:type="dxa"/>
            <w:vAlign w:val="bottom"/>
            <w:tcBorders>
              <w:top w:val="single" w:sz="8" w:color="CCEEFF"/>
            </w:tcBorders>
            <w:shd w:val="clear" w:color="auto" w:fill="CCEEFF"/>
          </w:tcPr>
          <w:p>
            <w:pPr>
              <w:spacing w:after="0"/>
              <w:rPr>
                <w:sz w:val="8"/>
                <w:szCs w:val="8"/>
                <w:color w:val="auto"/>
              </w:rPr>
            </w:pPr>
          </w:p>
        </w:tc>
        <w:tc>
          <w:tcPr>
            <w:tcW w:w="280" w:type="dxa"/>
            <w:vAlign w:val="bottom"/>
            <w:tcBorders>
              <w:top w:val="single" w:sz="8" w:color="auto"/>
            </w:tcBorders>
            <w:shd w:val="clear" w:color="auto" w:fill="CCEEFF"/>
          </w:tcPr>
          <w:p>
            <w:pPr>
              <w:spacing w:after="0"/>
              <w:rPr>
                <w:sz w:val="8"/>
                <w:szCs w:val="8"/>
                <w:color w:val="auto"/>
              </w:rPr>
            </w:pPr>
          </w:p>
        </w:tc>
        <w:tc>
          <w:tcPr>
            <w:tcW w:w="1000" w:type="dxa"/>
            <w:vAlign w:val="bottom"/>
            <w:tcBorders>
              <w:top w:val="single" w:sz="8" w:color="auto"/>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400" w:type="dxa"/>
            <w:vAlign w:val="bottom"/>
            <w:tcBorders>
              <w:top w:val="single" w:sz="8" w:color="auto"/>
            </w:tcBorders>
            <w:shd w:val="clear" w:color="auto" w:fill="CCEEFF"/>
          </w:tcPr>
          <w:p>
            <w:pPr>
              <w:spacing w:after="0"/>
              <w:rPr>
                <w:sz w:val="8"/>
                <w:szCs w:val="8"/>
                <w:color w:val="auto"/>
              </w:rPr>
            </w:pPr>
          </w:p>
        </w:tc>
        <w:tc>
          <w:tcPr>
            <w:tcW w:w="90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134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1340" w:type="dxa"/>
            <w:vAlign w:val="bottom"/>
            <w:tcBorders>
              <w:top w:val="single" w:sz="8" w:color="auto"/>
            </w:tcBorders>
            <w:shd w:val="clear" w:color="auto" w:fill="CCEEFF"/>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40" w:type="dxa"/>
            <w:vAlign w:val="bottom"/>
          </w:tcPr>
          <w:p>
            <w:pPr>
              <w:spacing w:after="0"/>
              <w:rPr>
                <w:sz w:val="22"/>
                <w:szCs w:val="22"/>
                <w:color w:val="auto"/>
              </w:rPr>
            </w:pPr>
          </w:p>
        </w:tc>
        <w:tc>
          <w:tcPr>
            <w:tcW w:w="5580" w:type="dxa"/>
            <w:vAlign w:val="bottom"/>
            <w:gridSpan w:val="3"/>
          </w:tcPr>
          <w:p>
            <w:pPr>
              <w:spacing w:after="0"/>
              <w:rPr>
                <w:sz w:val="20"/>
                <w:szCs w:val="20"/>
                <w:color w:val="auto"/>
              </w:rPr>
            </w:pPr>
            <w:r>
              <w:rPr>
                <w:rFonts w:ascii="Arial" w:cs="Arial" w:eastAsia="Arial" w:hAnsi="Arial"/>
                <w:sz w:val="18"/>
                <w:szCs w:val="18"/>
                <w:color w:val="auto"/>
              </w:rPr>
              <w:t>Operating income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91"/>
              <w:spacing w:after="0"/>
              <w:rPr>
                <w:sz w:val="20"/>
                <w:szCs w:val="20"/>
                <w:color w:val="auto"/>
              </w:rPr>
            </w:pPr>
            <w:r>
              <w:rPr>
                <w:rFonts w:ascii="Arial" w:cs="Arial" w:eastAsia="Arial" w:hAnsi="Arial"/>
                <w:sz w:val="18"/>
                <w:szCs w:val="18"/>
                <w:color w:val="auto"/>
              </w:rPr>
              <w:t>84.8</w:t>
            </w:r>
          </w:p>
        </w:tc>
        <w:tc>
          <w:tcPr>
            <w:tcW w:w="120" w:type="dxa"/>
            <w:vAlign w:val="bottom"/>
          </w:tcPr>
          <w:p>
            <w:pPr>
              <w:spacing w:after="0"/>
              <w:rPr>
                <w:sz w:val="22"/>
                <w:szCs w:val="22"/>
                <w:color w:val="auto"/>
              </w:rPr>
            </w:pPr>
          </w:p>
        </w:tc>
        <w:tc>
          <w:tcPr>
            <w:tcW w:w="400" w:type="dxa"/>
            <w:vAlign w:val="bottom"/>
          </w:tcPr>
          <w:p>
            <w:pPr>
              <w:jc w:val="right"/>
              <w:ind w:right="192"/>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10"/>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40" w:type="dxa"/>
            <w:vAlign w:val="bottom"/>
            <w:shd w:val="clear" w:color="auto" w:fill="CCEEFF"/>
          </w:tcPr>
          <w:p>
            <w:pPr>
              <w:spacing w:after="0"/>
              <w:rPr>
                <w:sz w:val="24"/>
                <w:szCs w:val="24"/>
                <w:color w:val="auto"/>
              </w:rPr>
            </w:pPr>
          </w:p>
        </w:tc>
        <w:tc>
          <w:tcPr>
            <w:tcW w:w="55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Share-based compensation expense</w:t>
            </w:r>
          </w:p>
        </w:tc>
        <w:tc>
          <w:tcPr>
            <w:tcW w:w="28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9.2</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11.7</w:t>
            </w:r>
          </w:p>
        </w:tc>
        <w:tc>
          <w:tcPr>
            <w:tcW w:w="10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40" w:type="dxa"/>
            <w:vAlign w:val="bottom"/>
          </w:tcPr>
          <w:p>
            <w:pPr>
              <w:spacing w:after="0"/>
              <w:rPr>
                <w:sz w:val="22"/>
                <w:szCs w:val="22"/>
                <w:color w:val="auto"/>
              </w:rPr>
            </w:pPr>
          </w:p>
        </w:tc>
        <w:tc>
          <w:tcPr>
            <w:tcW w:w="5580" w:type="dxa"/>
            <w:vAlign w:val="bottom"/>
            <w:gridSpan w:val="3"/>
          </w:tcPr>
          <w:p>
            <w:pPr>
              <w:spacing w:after="0"/>
              <w:rPr>
                <w:sz w:val="20"/>
                <w:szCs w:val="20"/>
                <w:color w:val="auto"/>
              </w:rPr>
            </w:pPr>
            <w:r>
              <w:rPr>
                <w:rFonts w:ascii="Arial" w:cs="Arial" w:eastAsia="Arial" w:hAnsi="Arial"/>
                <w:sz w:val="18"/>
                <w:szCs w:val="18"/>
                <w:color w:val="auto"/>
              </w:rPr>
              <w:t>Related-party fees and allocations, net</w:t>
            </w:r>
          </w:p>
        </w:tc>
        <w:tc>
          <w:tcPr>
            <w:tcW w:w="280" w:type="dxa"/>
            <w:vAlign w:val="bottom"/>
          </w:tcPr>
          <w:p>
            <w:pPr>
              <w:spacing w:after="0"/>
              <w:rPr>
                <w:sz w:val="22"/>
                <w:szCs w:val="22"/>
                <w:color w:val="auto"/>
              </w:rPr>
            </w:pPr>
          </w:p>
        </w:tc>
        <w:tc>
          <w:tcPr>
            <w:tcW w:w="1000" w:type="dxa"/>
            <w:vAlign w:val="bottom"/>
          </w:tcPr>
          <w:p>
            <w:pPr>
              <w:jc w:val="right"/>
              <w:ind w:right="91"/>
              <w:spacing w:after="0"/>
              <w:rPr>
                <w:sz w:val="20"/>
                <w:szCs w:val="20"/>
                <w:color w:val="auto"/>
              </w:rPr>
            </w:pPr>
            <w:r>
              <w:rPr>
                <w:rFonts w:ascii="Arial" w:cs="Arial" w:eastAsia="Arial" w:hAnsi="Arial"/>
                <w:sz w:val="18"/>
                <w:szCs w:val="18"/>
                <w:color w:val="auto"/>
              </w:rPr>
              <w:t>74.2</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00" w:type="dxa"/>
            <w:vAlign w:val="bottom"/>
          </w:tcPr>
          <w:p>
            <w:pPr>
              <w:jc w:val="right"/>
              <w:ind w:right="110"/>
              <w:spacing w:after="0"/>
              <w:rPr>
                <w:sz w:val="20"/>
                <w:szCs w:val="20"/>
                <w:color w:val="auto"/>
              </w:rPr>
            </w:pPr>
            <w:r>
              <w:rPr>
                <w:rFonts w:ascii="Arial" w:cs="Arial" w:eastAsia="Arial" w:hAnsi="Arial"/>
                <w:sz w:val="18"/>
                <w:szCs w:val="18"/>
                <w:color w:val="auto"/>
              </w:rPr>
              <w:t>35.3</w:t>
            </w:r>
          </w:p>
        </w:tc>
        <w:tc>
          <w:tcPr>
            <w:tcW w:w="10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40" w:type="dxa"/>
            <w:vAlign w:val="bottom"/>
            <w:shd w:val="clear" w:color="auto" w:fill="CCEEFF"/>
          </w:tcPr>
          <w:p>
            <w:pPr>
              <w:spacing w:after="0"/>
              <w:rPr>
                <w:sz w:val="24"/>
                <w:szCs w:val="24"/>
                <w:color w:val="auto"/>
              </w:rPr>
            </w:pPr>
          </w:p>
        </w:tc>
        <w:tc>
          <w:tcPr>
            <w:tcW w:w="55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Depreciation and amortisation</w:t>
            </w:r>
          </w:p>
        </w:tc>
        <w:tc>
          <w:tcPr>
            <w:tcW w:w="28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339.3</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448.1</w:t>
            </w:r>
          </w:p>
        </w:tc>
        <w:tc>
          <w:tcPr>
            <w:tcW w:w="10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40" w:type="dxa"/>
            <w:vAlign w:val="bottom"/>
            <w:tcBorders>
              <w:bottom w:val="single" w:sz="8" w:color="CCEEFF"/>
            </w:tcBorders>
          </w:tcPr>
          <w:p>
            <w:pPr>
              <w:spacing w:after="0"/>
              <w:rPr>
                <w:sz w:val="22"/>
                <w:szCs w:val="22"/>
                <w:color w:val="auto"/>
              </w:rPr>
            </w:pPr>
          </w:p>
        </w:tc>
        <w:tc>
          <w:tcPr>
            <w:tcW w:w="558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color w:val="auto"/>
              </w:rPr>
              <w:t>Impairment, restructuring and other operating items, net</w:t>
            </w:r>
          </w:p>
        </w:tc>
        <w:tc>
          <w:tcPr>
            <w:tcW w:w="2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4.8</w:t>
            </w: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33.4</w:t>
            </w:r>
          </w:p>
        </w:tc>
        <w:tc>
          <w:tcPr>
            <w:tcW w:w="100" w:type="dxa"/>
            <w:vAlign w:val="bottom"/>
            <w:tcBorders>
              <w:bottom w:val="single" w:sz="8" w:color="CCEEFF"/>
            </w:tcBorders>
          </w:tcPr>
          <w:p>
            <w:pPr>
              <w:spacing w:after="0"/>
              <w:rPr>
                <w:sz w:val="22"/>
                <w:szCs w:val="22"/>
                <w:color w:val="auto"/>
              </w:rPr>
            </w:pPr>
          </w:p>
        </w:tc>
        <w:tc>
          <w:tcPr>
            <w:tcW w:w="134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340" w:type="dxa"/>
            <w:vAlign w:val="bottom"/>
            <w:tcBorders>
              <w:bottom w:val="single" w:sz="8" w:color="CCEEFF"/>
            </w:tcBorders>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5580" w:type="dxa"/>
            <w:vAlign w:val="bottom"/>
            <w:tcBorders>
              <w:bottom w:val="single" w:sz="8" w:color="CCEEFF"/>
            </w:tcBorders>
            <w:gridSpan w:val="3"/>
            <w:shd w:val="clear" w:color="auto" w:fill="CCEEFF"/>
          </w:tcPr>
          <w:p>
            <w:pPr>
              <w:ind w:left="300"/>
              <w:spacing w:after="0"/>
              <w:rPr>
                <w:sz w:val="20"/>
                <w:szCs w:val="20"/>
                <w:color w:val="auto"/>
              </w:rPr>
            </w:pPr>
            <w:r>
              <w:rPr>
                <w:rFonts w:ascii="Arial" w:cs="Arial" w:eastAsia="Arial" w:hAnsi="Arial"/>
                <w:sz w:val="18"/>
                <w:szCs w:val="18"/>
                <w:color w:val="auto"/>
              </w:rPr>
              <w:t>Segment OCF</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512.3</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531.5</w:t>
            </w:r>
          </w:p>
        </w:tc>
        <w:tc>
          <w:tcPr>
            <w:tcW w:w="10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40" w:type="dxa"/>
            <w:vAlign w:val="bottom"/>
          </w:tcPr>
          <w:p>
            <w:pPr>
              <w:spacing w:after="0"/>
              <w:rPr>
                <w:sz w:val="24"/>
                <w:szCs w:val="24"/>
                <w:color w:val="auto"/>
              </w:rPr>
            </w:pPr>
          </w:p>
        </w:tc>
        <w:tc>
          <w:tcPr>
            <w:tcW w:w="5580" w:type="dxa"/>
            <w:vAlign w:val="bottom"/>
            <w:gridSpan w:val="3"/>
          </w:tcPr>
          <w:p>
            <w:pPr>
              <w:spacing w:after="0"/>
              <w:rPr>
                <w:sz w:val="20"/>
                <w:szCs w:val="20"/>
                <w:color w:val="auto"/>
              </w:rPr>
            </w:pPr>
            <w:r>
              <w:rPr>
                <w:rFonts w:ascii="Arial" w:cs="Arial" w:eastAsia="Arial" w:hAnsi="Arial"/>
                <w:sz w:val="18"/>
                <w:szCs w:val="18"/>
                <w:color w:val="auto"/>
              </w:rPr>
              <w:t>Segment OCF as a percentage of revenue</w:t>
            </w:r>
          </w:p>
        </w:tc>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40.5%</w:t>
            </w:r>
          </w:p>
        </w:tc>
        <w:tc>
          <w:tcPr>
            <w:tcW w:w="12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41.7%</w:t>
            </w: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40" w:type="dxa"/>
            <w:vAlign w:val="bottom"/>
          </w:tcPr>
          <w:p>
            <w:pPr>
              <w:spacing w:after="0"/>
              <w:rPr>
                <w:sz w:val="8"/>
                <w:szCs w:val="8"/>
                <w:color w:val="auto"/>
              </w:rPr>
            </w:pPr>
          </w:p>
        </w:tc>
        <w:tc>
          <w:tcPr>
            <w:tcW w:w="7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34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6"/>
        </w:trPr>
        <w:tc>
          <w:tcPr>
            <w:tcW w:w="40" w:type="dxa"/>
            <w:vAlign w:val="bottom"/>
            <w:tcBorders>
              <w:bottom w:val="single" w:sz="8" w:color="CCEEFF"/>
            </w:tcBorders>
            <w:shd w:val="clear" w:color="auto" w:fill="CCEEFF"/>
          </w:tcPr>
          <w:p>
            <w:pPr>
              <w:spacing w:after="0"/>
              <w:rPr>
                <w:sz w:val="22"/>
                <w:szCs w:val="22"/>
                <w:color w:val="auto"/>
              </w:rPr>
            </w:pPr>
          </w:p>
        </w:tc>
        <w:tc>
          <w:tcPr>
            <w:tcW w:w="55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Operating income as a percentage of revenue</w:t>
            </w:r>
          </w:p>
        </w:tc>
        <w:tc>
          <w:tcPr>
            <w:tcW w:w="28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gridSpan w:val="2"/>
            <w:vMerge w:val="restart"/>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line="20" w:lineRule="exact"/>
              <w:rPr>
                <w:sz w:val="1"/>
                <w:szCs w:val="1"/>
                <w:color w:val="auto"/>
              </w:rPr>
            </w:pPr>
          </w:p>
        </w:tc>
      </w:tr>
      <w:tr>
        <w:trPr>
          <w:trHeight w:val="528"/>
        </w:trPr>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94" w:right="339" w:bottom="1440" w:gutter="0" w:footer="0" w:header="0"/>
        </w:sectPr>
      </w:pPr>
    </w:p>
    <w:bookmarkStart w:id="9" w:name="page10"/>
    <w:bookmarkEnd w:id="9"/>
    <w:p>
      <w:pPr>
        <w:ind w:right="60"/>
        <w:spacing w:after="0" w:line="246" w:lineRule="auto"/>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6500495</wp:posOffset>
            </wp:positionH>
            <wp:positionV relativeFrom="page">
              <wp:posOffset>88900</wp:posOffset>
            </wp:positionV>
            <wp:extent cx="840105" cy="5314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840105" cy="531495"/>
                    </a:xfrm>
                    <a:prstGeom prst="rect">
                      <a:avLst/>
                    </a:prstGeom>
                    <a:noFill/>
                  </pic:spPr>
                </pic:pic>
              </a:graphicData>
            </a:graphic>
          </wp:anchor>
        </w:drawing>
        <w:t>The table below highlights the categories of our property and equipment additions for the indicated periods and reconciles those additions to the capital expenditures that we present in our condensed consolidated statements of cash flows:</w:t>
      </w:r>
    </w:p>
    <w:p>
      <w:pPr>
        <w:spacing w:after="0" w:line="162" w:lineRule="exact"/>
        <w:rPr>
          <w:sz w:val="20"/>
          <w:szCs w:val="20"/>
          <w:color w:val="auto"/>
        </w:rPr>
      </w:pPr>
    </w:p>
    <w:p>
      <w:pPr>
        <w:jc w:val="center"/>
        <w:ind w:left="8240"/>
        <w:spacing w:after="0"/>
        <w:rPr>
          <w:sz w:val="20"/>
          <w:szCs w:val="20"/>
          <w:color w:val="auto"/>
        </w:rPr>
      </w:pPr>
      <w:r>
        <w:rPr>
          <w:rFonts w:ascii="Arial" w:cs="Arial" w:eastAsia="Arial" w:hAnsi="Arial"/>
          <w:sz w:val="16"/>
          <w:szCs w:val="16"/>
          <w:b w:val="1"/>
          <w:bCs w:val="1"/>
          <w:color w:val="auto"/>
        </w:rPr>
        <w:t>Three months ended</w:t>
      </w:r>
    </w:p>
    <w:p>
      <w:pPr>
        <w:spacing w:after="0" w:line="59" w:lineRule="exact"/>
        <w:rPr>
          <w:sz w:val="20"/>
          <w:szCs w:val="20"/>
          <w:color w:val="auto"/>
        </w:rPr>
      </w:pPr>
    </w:p>
    <w:p>
      <w:pPr>
        <w:jc w:val="center"/>
        <w:ind w:left="8240"/>
        <w:spacing w:after="0"/>
        <w:rPr>
          <w:sz w:val="20"/>
          <w:szCs w:val="20"/>
          <w:color w:val="auto"/>
        </w:rPr>
      </w:pPr>
      <w:r>
        <w:rPr>
          <w:rFonts w:ascii="Arial" w:cs="Arial" w:eastAsia="Arial" w:hAnsi="Arial"/>
          <w:sz w:val="16"/>
          <w:szCs w:val="16"/>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5242560</wp:posOffset>
            </wp:positionH>
            <wp:positionV relativeFrom="paragraph">
              <wp:posOffset>48895</wp:posOffset>
            </wp:positionV>
            <wp:extent cx="188595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885950" cy="8890"/>
                    </a:xfrm>
                    <a:prstGeom prst="rect">
                      <a:avLst/>
                    </a:prstGeom>
                    <a:noFill/>
                  </pic:spPr>
                </pic:pic>
              </a:graphicData>
            </a:graphic>
          </wp:anchor>
        </w:drawing>
      </w:r>
    </w:p>
    <w:p>
      <w:pPr>
        <w:spacing w:after="0" w:line="107" w:lineRule="exact"/>
        <w:rPr>
          <w:sz w:val="20"/>
          <w:szCs w:val="20"/>
          <w:color w:val="auto"/>
        </w:rPr>
      </w:pPr>
    </w:p>
    <w:p>
      <w:pPr>
        <w:ind w:left="8800"/>
        <w:spacing w:after="0"/>
        <w:tabs>
          <w:tab w:leader="none" w:pos="10320" w:val="left"/>
        </w:tabs>
        <w:rPr>
          <w:sz w:val="20"/>
          <w:szCs w:val="20"/>
          <w:color w:val="auto"/>
        </w:rPr>
      </w:pPr>
      <w:r>
        <w:rPr>
          <w:rFonts w:ascii="Arial" w:cs="Arial" w:eastAsia="Arial" w:hAnsi="Arial"/>
          <w:sz w:val="16"/>
          <w:szCs w:val="16"/>
          <w:b w:val="1"/>
          <w:bCs w:val="1"/>
          <w:color w:val="auto"/>
        </w:rPr>
        <w:t>2020</w:t>
      </w:r>
      <w:r>
        <w:rPr>
          <w:sz w:val="20"/>
          <w:szCs w:val="20"/>
          <w:color w:val="auto"/>
        </w:rPr>
        <w:tab/>
      </w:r>
      <w:r>
        <w:rPr>
          <w:rFonts w:ascii="Arial" w:cs="Arial" w:eastAsia="Arial" w:hAnsi="Arial"/>
          <w:sz w:val="16"/>
          <w:szCs w:val="16"/>
          <w:b w:val="1"/>
          <w:bCs w:val="1"/>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5242560</wp:posOffset>
            </wp:positionH>
            <wp:positionV relativeFrom="paragraph">
              <wp:posOffset>31750</wp:posOffset>
            </wp:positionV>
            <wp:extent cx="188595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885950" cy="8255"/>
                    </a:xfrm>
                    <a:prstGeom prst="rect">
                      <a:avLst/>
                    </a:prstGeom>
                    <a:noFill/>
                  </pic:spPr>
                </pic:pic>
              </a:graphicData>
            </a:graphic>
          </wp:anchor>
        </w:drawing>
      </w:r>
    </w:p>
    <w:p>
      <w:pPr>
        <w:spacing w:after="0" w:line="71" w:lineRule="exact"/>
        <w:rPr>
          <w:sz w:val="20"/>
          <w:szCs w:val="20"/>
          <w:color w:val="auto"/>
        </w:rPr>
      </w:pPr>
    </w:p>
    <w:p>
      <w:pPr>
        <w:ind w:left="8720"/>
        <w:spacing w:after="0"/>
        <w:rPr>
          <w:sz w:val="20"/>
          <w:szCs w:val="20"/>
          <w:color w:val="auto"/>
        </w:rPr>
      </w:pPr>
      <w:r>
        <w:rPr>
          <w:rFonts w:ascii="Arial" w:cs="Arial" w:eastAsia="Arial" w:hAnsi="Arial"/>
          <w:sz w:val="14"/>
          <w:szCs w:val="14"/>
          <w:b w:val="1"/>
          <w:bCs w:val="1"/>
          <w:color w:val="auto"/>
        </w:rPr>
        <w:t>in millions, except %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12343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23430" cy="171450"/>
                    </a:xfrm>
                    <a:prstGeom prst="rect">
                      <a:avLst/>
                    </a:prstGeom>
                    <a:noFill/>
                  </pic:spPr>
                </pic:pic>
              </a:graphicData>
            </a:graphic>
          </wp:anchor>
        </w:drawing>
      </w:r>
    </w:p>
    <w:p>
      <w:pPr>
        <w:sectPr>
          <w:pgSz w:w="11900" w:h="16838" w:orient="portrait"/>
          <w:cols w:equalWidth="0" w:num="1">
            <w:col w:w="11240"/>
          </w:cols>
          <w:pgMar w:left="320" w:top="1297" w:right="339" w:bottom="1440" w:gutter="0" w:footer="0" w:header="0"/>
        </w:sectPr>
      </w:pPr>
    </w:p>
    <w:p>
      <w:pPr>
        <w:spacing w:after="0" w:line="108" w:lineRule="exact"/>
        <w:rPr>
          <w:sz w:val="20"/>
          <w:szCs w:val="20"/>
          <w:color w:val="auto"/>
        </w:rPr>
      </w:pPr>
    </w:p>
    <w:p>
      <w:pPr>
        <w:ind w:left="40"/>
        <w:spacing w:after="0"/>
        <w:rPr>
          <w:sz w:val="20"/>
          <w:szCs w:val="20"/>
          <w:color w:val="auto"/>
        </w:rPr>
      </w:pPr>
      <w:r>
        <w:rPr>
          <w:rFonts w:ascii="Arial" w:cs="Arial" w:eastAsia="Arial" w:hAnsi="Arial"/>
          <w:sz w:val="18"/>
          <w:szCs w:val="18"/>
          <w:color w:val="auto"/>
        </w:rPr>
        <w:t>Customer premises equipment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New build and upgrade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2343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23430"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Capacity</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Product and enablers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2343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23430"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Baseline</w:t>
      </w:r>
    </w:p>
    <w:p>
      <w:pPr>
        <w:spacing w:after="0" w:line="77" w:lineRule="exact"/>
        <w:rPr>
          <w:sz w:val="20"/>
          <w:szCs w:val="20"/>
          <w:color w:val="auto"/>
        </w:rPr>
      </w:pPr>
    </w:p>
    <w:p>
      <w:pPr>
        <w:ind w:left="280"/>
        <w:spacing w:after="0"/>
        <w:rPr>
          <w:sz w:val="20"/>
          <w:szCs w:val="20"/>
          <w:color w:val="auto"/>
        </w:rPr>
      </w:pPr>
      <w:r>
        <w:rPr>
          <w:rFonts w:ascii="Arial" w:cs="Arial" w:eastAsia="Arial" w:hAnsi="Arial"/>
          <w:sz w:val="18"/>
          <w:szCs w:val="18"/>
          <w:color w:val="auto"/>
        </w:rPr>
        <w:t>Property and equipment additions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23430" cy="1797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23430" cy="179705"/>
                    </a:xfrm>
                    <a:prstGeom prst="rect">
                      <a:avLst/>
                    </a:prstGeom>
                    <a:noFill/>
                  </pic:spPr>
                </pic:pic>
              </a:graphicData>
            </a:graphic>
          </wp:anchor>
        </w:drawing>
      </w:r>
    </w:p>
    <w:p>
      <w:pPr>
        <w:spacing w:after="0" w:line="57" w:lineRule="exact"/>
        <w:rPr>
          <w:sz w:val="20"/>
          <w:szCs w:val="20"/>
          <w:color w:val="auto"/>
        </w:rPr>
      </w:pPr>
    </w:p>
    <w:p>
      <w:pPr>
        <w:ind w:left="40" w:right="2023"/>
        <w:spacing w:after="0" w:line="313" w:lineRule="auto"/>
        <w:rPr>
          <w:sz w:val="20"/>
          <w:szCs w:val="20"/>
          <w:color w:val="auto"/>
        </w:rPr>
      </w:pPr>
      <w:r>
        <w:rPr>
          <w:rFonts w:ascii="Arial" w:cs="Arial" w:eastAsia="Arial" w:hAnsi="Arial"/>
          <w:sz w:val="18"/>
          <w:szCs w:val="18"/>
          <w:color w:val="auto"/>
        </w:rPr>
        <w:t>Assets acquired under capital-related vendor financing arrangements Assets acquired under finance leases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123430"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23430" cy="171450"/>
                    </a:xfrm>
                    <a:prstGeom prst="rect">
                      <a:avLst/>
                    </a:prstGeom>
                    <a:noFill/>
                  </pic:spPr>
                </pic:pic>
              </a:graphicData>
            </a:graphic>
          </wp:anchor>
        </w:drawing>
      </w:r>
    </w:p>
    <w:p>
      <w:pPr>
        <w:ind w:left="40"/>
        <w:spacing w:after="0"/>
        <w:rPr>
          <w:sz w:val="20"/>
          <w:szCs w:val="20"/>
          <w:color w:val="auto"/>
        </w:rPr>
      </w:pPr>
      <w:r>
        <w:rPr>
          <w:rFonts w:ascii="Arial" w:cs="Arial" w:eastAsia="Arial" w:hAnsi="Arial"/>
          <w:sz w:val="17"/>
          <w:szCs w:val="17"/>
          <w:color w:val="auto"/>
        </w:rPr>
        <w:t>Changes in liabilities related to capital expenditures (including related-party amounts)</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Total capital expenditures</w:t>
      </w:r>
      <w:r>
        <w:rPr>
          <w:rFonts w:ascii="Arial" w:cs="Arial" w:eastAsia="Arial" w:hAnsi="Arial"/>
          <w:sz w:val="21"/>
          <w:szCs w:val="21"/>
          <w:color w:val="auto"/>
          <w:vertAlign w:val="superscript"/>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7123430" cy="1631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23430" cy="1631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88" w:lineRule="exact"/>
        <w:rPr>
          <w:sz w:val="20"/>
          <w:szCs w:val="20"/>
          <w:color w:val="auto"/>
        </w:rPr>
      </w:pPr>
    </w:p>
    <w:p>
      <w:pPr>
        <w:ind w:left="857" w:hanging="857"/>
        <w:spacing w:after="0"/>
        <w:tabs>
          <w:tab w:leader="none" w:pos="857" w:val="left"/>
        </w:tabs>
        <w:numPr>
          <w:ilvl w:val="0"/>
          <w:numId w:val="6"/>
        </w:numPr>
        <w:rPr>
          <w:rFonts w:ascii="Arial" w:cs="Arial" w:eastAsia="Arial" w:hAnsi="Arial"/>
          <w:sz w:val="18"/>
          <w:szCs w:val="18"/>
          <w:color w:val="auto"/>
        </w:rPr>
      </w:pPr>
      <w:r>
        <w:rPr>
          <w:rFonts w:ascii="Arial" w:cs="Arial" w:eastAsia="Arial" w:hAnsi="Arial"/>
          <w:sz w:val="18"/>
          <w:szCs w:val="18"/>
          <w:color w:val="auto"/>
        </w:rPr>
        <w:t>65.1</w:t>
      </w:r>
    </w:p>
    <w:p>
      <w:pPr>
        <w:spacing w:after="0" w:line="63" w:lineRule="exact"/>
        <w:rPr>
          <w:rFonts w:ascii="Arial" w:cs="Arial" w:eastAsia="Arial" w:hAnsi="Arial"/>
          <w:sz w:val="18"/>
          <w:szCs w:val="18"/>
          <w:color w:val="auto"/>
        </w:rPr>
      </w:pPr>
    </w:p>
    <w:p>
      <w:pPr>
        <w:ind w:left="757"/>
        <w:spacing w:after="0"/>
        <w:rPr>
          <w:rFonts w:ascii="Arial" w:cs="Arial" w:eastAsia="Arial" w:hAnsi="Arial"/>
          <w:sz w:val="18"/>
          <w:szCs w:val="18"/>
          <w:color w:val="auto"/>
        </w:rPr>
      </w:pPr>
      <w:r>
        <w:rPr>
          <w:rFonts w:ascii="Arial" w:cs="Arial" w:eastAsia="Arial" w:hAnsi="Arial"/>
          <w:sz w:val="18"/>
          <w:szCs w:val="18"/>
          <w:color w:val="auto"/>
        </w:rPr>
        <w:t>100.7</w:t>
      </w:r>
    </w:p>
    <w:p>
      <w:pPr>
        <w:spacing w:after="0" w:line="63" w:lineRule="exact"/>
        <w:rPr>
          <w:rFonts w:ascii="Arial" w:cs="Arial" w:eastAsia="Arial" w:hAnsi="Arial"/>
          <w:sz w:val="18"/>
          <w:szCs w:val="18"/>
          <w:color w:val="auto"/>
        </w:rPr>
      </w:pPr>
    </w:p>
    <w:p>
      <w:pPr>
        <w:ind w:left="857"/>
        <w:spacing w:after="0"/>
        <w:rPr>
          <w:rFonts w:ascii="Arial" w:cs="Arial" w:eastAsia="Arial" w:hAnsi="Arial"/>
          <w:sz w:val="18"/>
          <w:szCs w:val="18"/>
          <w:color w:val="auto"/>
        </w:rPr>
      </w:pPr>
      <w:r>
        <w:rPr>
          <w:rFonts w:ascii="Arial" w:cs="Arial" w:eastAsia="Arial" w:hAnsi="Arial"/>
          <w:sz w:val="18"/>
          <w:szCs w:val="18"/>
          <w:color w:val="auto"/>
        </w:rPr>
        <w:t>34.5</w:t>
      </w:r>
    </w:p>
    <w:p>
      <w:pPr>
        <w:spacing w:after="0" w:line="63" w:lineRule="exact"/>
        <w:rPr>
          <w:rFonts w:ascii="Arial" w:cs="Arial" w:eastAsia="Arial" w:hAnsi="Arial"/>
          <w:sz w:val="18"/>
          <w:szCs w:val="18"/>
          <w:color w:val="auto"/>
        </w:rPr>
      </w:pPr>
    </w:p>
    <w:p>
      <w:pPr>
        <w:ind w:left="857"/>
        <w:spacing w:after="0"/>
        <w:rPr>
          <w:rFonts w:ascii="Arial" w:cs="Arial" w:eastAsia="Arial" w:hAnsi="Arial"/>
          <w:sz w:val="18"/>
          <w:szCs w:val="18"/>
          <w:color w:val="auto"/>
        </w:rPr>
      </w:pPr>
      <w:r>
        <w:rPr>
          <w:rFonts w:ascii="Arial" w:cs="Arial" w:eastAsia="Arial" w:hAnsi="Arial"/>
          <w:sz w:val="18"/>
          <w:szCs w:val="18"/>
          <w:color w:val="auto"/>
        </w:rPr>
        <w:t>34.6</w:t>
      </w:r>
    </w:p>
    <w:p>
      <w:pPr>
        <w:spacing w:after="0" w:line="63" w:lineRule="exact"/>
        <w:rPr>
          <w:rFonts w:ascii="Arial" w:cs="Arial" w:eastAsia="Arial" w:hAnsi="Arial"/>
          <w:sz w:val="18"/>
          <w:szCs w:val="18"/>
          <w:color w:val="auto"/>
        </w:rPr>
      </w:pPr>
    </w:p>
    <w:p>
      <w:pPr>
        <w:ind w:left="857"/>
        <w:spacing w:after="0"/>
        <w:rPr>
          <w:rFonts w:ascii="Arial" w:cs="Arial" w:eastAsia="Arial" w:hAnsi="Arial"/>
          <w:sz w:val="18"/>
          <w:szCs w:val="18"/>
          <w:color w:val="auto"/>
        </w:rPr>
      </w:pPr>
      <w:r>
        <w:rPr>
          <w:rFonts w:ascii="Arial" w:cs="Arial" w:eastAsia="Arial" w:hAnsi="Arial"/>
          <w:sz w:val="18"/>
          <w:szCs w:val="18"/>
          <w:color w:val="auto"/>
        </w:rPr>
        <w:t>36.2</w:t>
      </w:r>
    </w:p>
    <w:p>
      <w:pPr>
        <w:spacing w:after="0" w:line="63" w:lineRule="exact"/>
        <w:rPr>
          <w:rFonts w:ascii="Arial" w:cs="Arial" w:eastAsia="Arial" w:hAnsi="Arial"/>
          <w:sz w:val="18"/>
          <w:szCs w:val="18"/>
          <w:color w:val="auto"/>
        </w:rPr>
      </w:pPr>
    </w:p>
    <w:p>
      <w:pPr>
        <w:ind w:left="757" w:hanging="757"/>
        <w:spacing w:after="0"/>
        <w:tabs>
          <w:tab w:leader="none" w:pos="757" w:val="left"/>
        </w:tabs>
        <w:numPr>
          <w:ilvl w:val="0"/>
          <w:numId w:val="6"/>
        </w:numPr>
        <w:rPr>
          <w:rFonts w:ascii="Arial" w:cs="Arial" w:eastAsia="Arial" w:hAnsi="Arial"/>
          <w:sz w:val="18"/>
          <w:szCs w:val="18"/>
          <w:color w:val="auto"/>
        </w:rPr>
      </w:pPr>
      <w:r>
        <w:rPr>
          <w:rFonts w:ascii="Arial" w:cs="Arial" w:eastAsia="Arial" w:hAnsi="Arial"/>
          <w:sz w:val="18"/>
          <w:szCs w:val="18"/>
          <w:color w:val="auto"/>
        </w:rPr>
        <w:t>271.1</w:t>
      </w:r>
    </w:p>
    <w:p>
      <w:pPr>
        <w:spacing w:after="0" w:line="90" w:lineRule="exact"/>
        <w:rPr>
          <w:rFonts w:ascii="Arial" w:cs="Arial" w:eastAsia="Arial" w:hAnsi="Arial"/>
          <w:sz w:val="18"/>
          <w:szCs w:val="18"/>
          <w:color w:val="auto"/>
        </w:rPr>
      </w:pPr>
    </w:p>
    <w:p>
      <w:pPr>
        <w:ind w:left="697"/>
        <w:spacing w:after="0"/>
        <w:rPr>
          <w:rFonts w:ascii="Arial" w:cs="Arial" w:eastAsia="Arial" w:hAnsi="Arial"/>
          <w:sz w:val="18"/>
          <w:szCs w:val="18"/>
          <w:color w:val="auto"/>
        </w:rPr>
      </w:pPr>
      <w:r>
        <w:rPr>
          <w:rFonts w:ascii="Arial" w:cs="Arial" w:eastAsia="Arial" w:hAnsi="Arial"/>
          <w:sz w:val="18"/>
          <w:szCs w:val="18"/>
          <w:color w:val="auto"/>
        </w:rPr>
        <w:t>(193.8)</w:t>
      </w:r>
    </w:p>
    <w:p>
      <w:pPr>
        <w:spacing w:after="0" w:line="63" w:lineRule="exact"/>
        <w:rPr>
          <w:rFonts w:ascii="Arial" w:cs="Arial" w:eastAsia="Arial" w:hAnsi="Arial"/>
          <w:sz w:val="18"/>
          <w:szCs w:val="18"/>
          <w:color w:val="auto"/>
        </w:rPr>
      </w:pPr>
    </w:p>
    <w:p>
      <w:pPr>
        <w:ind w:left="1037"/>
        <w:spacing w:after="0"/>
        <w:rPr>
          <w:rFonts w:ascii="Arial" w:cs="Arial" w:eastAsia="Arial" w:hAnsi="Arial"/>
          <w:sz w:val="18"/>
          <w:szCs w:val="18"/>
          <w:color w:val="auto"/>
        </w:rPr>
      </w:pPr>
      <w:r>
        <w:rPr>
          <w:rFonts w:ascii="Arial" w:cs="Arial" w:eastAsia="Arial" w:hAnsi="Arial"/>
          <w:sz w:val="18"/>
          <w:szCs w:val="18"/>
          <w:color w:val="auto"/>
        </w:rPr>
        <w:t>—</w:t>
      </w:r>
    </w:p>
    <w:p>
      <w:pPr>
        <w:spacing w:after="0" w:line="63" w:lineRule="exact"/>
        <w:rPr>
          <w:rFonts w:ascii="Arial" w:cs="Arial" w:eastAsia="Arial" w:hAnsi="Arial"/>
          <w:sz w:val="18"/>
          <w:szCs w:val="18"/>
          <w:color w:val="auto"/>
        </w:rPr>
      </w:pPr>
    </w:p>
    <w:p>
      <w:pPr>
        <w:ind w:left="857"/>
        <w:spacing w:after="0"/>
        <w:rPr>
          <w:rFonts w:ascii="Arial" w:cs="Arial" w:eastAsia="Arial" w:hAnsi="Arial"/>
          <w:sz w:val="18"/>
          <w:szCs w:val="18"/>
          <w:color w:val="auto"/>
        </w:rPr>
      </w:pPr>
      <w:r>
        <w:rPr>
          <w:rFonts w:ascii="Arial" w:cs="Arial" w:eastAsia="Arial" w:hAnsi="Arial"/>
          <w:sz w:val="18"/>
          <w:szCs w:val="18"/>
          <w:color w:val="auto"/>
        </w:rPr>
        <w:t>38.4</w:t>
      </w:r>
    </w:p>
    <w:p>
      <w:pPr>
        <w:spacing w:after="0" w:line="63" w:lineRule="exact"/>
        <w:rPr>
          <w:rFonts w:ascii="Arial" w:cs="Arial" w:eastAsia="Arial" w:hAnsi="Arial"/>
          <w:sz w:val="18"/>
          <w:szCs w:val="18"/>
          <w:color w:val="auto"/>
        </w:rPr>
      </w:pPr>
    </w:p>
    <w:p>
      <w:pPr>
        <w:ind w:left="757" w:hanging="757"/>
        <w:spacing w:after="0"/>
        <w:tabs>
          <w:tab w:leader="none" w:pos="757" w:val="left"/>
        </w:tabs>
        <w:numPr>
          <w:ilvl w:val="0"/>
          <w:numId w:val="6"/>
        </w:numPr>
        <w:rPr>
          <w:rFonts w:ascii="Arial" w:cs="Arial" w:eastAsia="Arial" w:hAnsi="Arial"/>
          <w:sz w:val="18"/>
          <w:szCs w:val="18"/>
          <w:color w:val="auto"/>
        </w:rPr>
      </w:pPr>
      <w:r>
        <w:rPr>
          <w:rFonts w:ascii="Arial" w:cs="Arial" w:eastAsia="Arial" w:hAnsi="Arial"/>
          <w:sz w:val="18"/>
          <w:szCs w:val="18"/>
          <w:color w:val="auto"/>
        </w:rPr>
        <w:t>115.7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14605</wp:posOffset>
            </wp:positionV>
            <wp:extent cx="90868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908685" cy="8255"/>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-156210</wp:posOffset>
            </wp:positionV>
            <wp:extent cx="90868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908685" cy="8255"/>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-687705</wp:posOffset>
            </wp:positionV>
            <wp:extent cx="90868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908685" cy="8890"/>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-859155</wp:posOffset>
            </wp:positionV>
            <wp:extent cx="90868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90868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88" w:lineRule="exact"/>
        <w:rPr>
          <w:sz w:val="20"/>
          <w:szCs w:val="20"/>
          <w:color w:val="auto"/>
        </w:rPr>
      </w:pPr>
    </w:p>
    <w:p>
      <w:pPr>
        <w:ind w:left="758" w:hanging="758"/>
        <w:spacing w:after="0"/>
        <w:tabs>
          <w:tab w:leader="none" w:pos="758" w:val="left"/>
        </w:tabs>
        <w:numPr>
          <w:ilvl w:val="0"/>
          <w:numId w:val="7"/>
        </w:numPr>
        <w:rPr>
          <w:rFonts w:ascii="Arial" w:cs="Arial" w:eastAsia="Arial" w:hAnsi="Arial"/>
          <w:sz w:val="18"/>
          <w:szCs w:val="18"/>
          <w:color w:val="auto"/>
        </w:rPr>
      </w:pPr>
      <w:r>
        <w:rPr>
          <w:rFonts w:ascii="Arial" w:cs="Arial" w:eastAsia="Arial" w:hAnsi="Arial"/>
          <w:sz w:val="18"/>
          <w:szCs w:val="18"/>
          <w:color w:val="auto"/>
        </w:rPr>
        <w:t>120.2</w:t>
      </w:r>
    </w:p>
    <w:p>
      <w:pPr>
        <w:spacing w:after="0" w:line="63" w:lineRule="exact"/>
        <w:rPr>
          <w:rFonts w:ascii="Arial" w:cs="Arial" w:eastAsia="Arial" w:hAnsi="Arial"/>
          <w:sz w:val="18"/>
          <w:szCs w:val="18"/>
          <w:color w:val="auto"/>
        </w:rPr>
      </w:pPr>
    </w:p>
    <w:p>
      <w:pPr>
        <w:ind w:left="858"/>
        <w:spacing w:after="0"/>
        <w:rPr>
          <w:rFonts w:ascii="Arial" w:cs="Arial" w:eastAsia="Arial" w:hAnsi="Arial"/>
          <w:sz w:val="18"/>
          <w:szCs w:val="18"/>
          <w:color w:val="auto"/>
        </w:rPr>
      </w:pPr>
      <w:r>
        <w:rPr>
          <w:rFonts w:ascii="Arial" w:cs="Arial" w:eastAsia="Arial" w:hAnsi="Arial"/>
          <w:sz w:val="18"/>
          <w:szCs w:val="18"/>
          <w:color w:val="auto"/>
        </w:rPr>
        <w:t>88.3</w:t>
      </w:r>
    </w:p>
    <w:p>
      <w:pPr>
        <w:spacing w:after="0" w:line="63" w:lineRule="exact"/>
        <w:rPr>
          <w:rFonts w:ascii="Arial" w:cs="Arial" w:eastAsia="Arial" w:hAnsi="Arial"/>
          <w:sz w:val="18"/>
          <w:szCs w:val="18"/>
          <w:color w:val="auto"/>
        </w:rPr>
      </w:pPr>
    </w:p>
    <w:p>
      <w:pPr>
        <w:ind w:left="858"/>
        <w:spacing w:after="0"/>
        <w:rPr>
          <w:rFonts w:ascii="Arial" w:cs="Arial" w:eastAsia="Arial" w:hAnsi="Arial"/>
          <w:sz w:val="18"/>
          <w:szCs w:val="18"/>
          <w:color w:val="auto"/>
        </w:rPr>
      </w:pPr>
      <w:r>
        <w:rPr>
          <w:rFonts w:ascii="Arial" w:cs="Arial" w:eastAsia="Arial" w:hAnsi="Arial"/>
          <w:sz w:val="18"/>
          <w:szCs w:val="18"/>
          <w:color w:val="auto"/>
        </w:rPr>
        <w:t>28.4</w:t>
      </w:r>
    </w:p>
    <w:p>
      <w:pPr>
        <w:spacing w:after="0" w:line="63" w:lineRule="exact"/>
        <w:rPr>
          <w:rFonts w:ascii="Arial" w:cs="Arial" w:eastAsia="Arial" w:hAnsi="Arial"/>
          <w:sz w:val="18"/>
          <w:szCs w:val="18"/>
          <w:color w:val="auto"/>
        </w:rPr>
      </w:pPr>
    </w:p>
    <w:p>
      <w:pPr>
        <w:ind w:left="858"/>
        <w:spacing w:after="0"/>
        <w:rPr>
          <w:rFonts w:ascii="Arial" w:cs="Arial" w:eastAsia="Arial" w:hAnsi="Arial"/>
          <w:sz w:val="18"/>
          <w:szCs w:val="18"/>
          <w:color w:val="auto"/>
        </w:rPr>
      </w:pPr>
      <w:r>
        <w:rPr>
          <w:rFonts w:ascii="Arial" w:cs="Arial" w:eastAsia="Arial" w:hAnsi="Arial"/>
          <w:sz w:val="18"/>
          <w:szCs w:val="18"/>
          <w:color w:val="auto"/>
        </w:rPr>
        <w:t>30.4</w:t>
      </w:r>
    </w:p>
    <w:p>
      <w:pPr>
        <w:spacing w:after="0" w:line="63" w:lineRule="exact"/>
        <w:rPr>
          <w:rFonts w:ascii="Arial" w:cs="Arial" w:eastAsia="Arial" w:hAnsi="Arial"/>
          <w:sz w:val="18"/>
          <w:szCs w:val="18"/>
          <w:color w:val="auto"/>
        </w:rPr>
      </w:pPr>
    </w:p>
    <w:p>
      <w:pPr>
        <w:ind w:left="858"/>
        <w:spacing w:after="0"/>
        <w:rPr>
          <w:rFonts w:ascii="Arial" w:cs="Arial" w:eastAsia="Arial" w:hAnsi="Arial"/>
          <w:sz w:val="18"/>
          <w:szCs w:val="18"/>
          <w:color w:val="auto"/>
        </w:rPr>
      </w:pPr>
      <w:r>
        <w:rPr>
          <w:rFonts w:ascii="Arial" w:cs="Arial" w:eastAsia="Arial" w:hAnsi="Arial"/>
          <w:sz w:val="18"/>
          <w:szCs w:val="18"/>
          <w:color w:val="auto"/>
        </w:rPr>
        <w:t>36.1</w:t>
      </w:r>
    </w:p>
    <w:p>
      <w:pPr>
        <w:spacing w:after="0" w:line="63" w:lineRule="exact"/>
        <w:rPr>
          <w:rFonts w:ascii="Arial" w:cs="Arial" w:eastAsia="Arial" w:hAnsi="Arial"/>
          <w:sz w:val="18"/>
          <w:szCs w:val="18"/>
          <w:color w:val="auto"/>
        </w:rPr>
      </w:pPr>
    </w:p>
    <w:p>
      <w:pPr>
        <w:ind w:left="758" w:hanging="758"/>
        <w:spacing w:after="0"/>
        <w:tabs>
          <w:tab w:leader="none" w:pos="758" w:val="left"/>
        </w:tabs>
        <w:numPr>
          <w:ilvl w:val="0"/>
          <w:numId w:val="7"/>
        </w:numPr>
        <w:rPr>
          <w:rFonts w:ascii="Arial" w:cs="Arial" w:eastAsia="Arial" w:hAnsi="Arial"/>
          <w:sz w:val="18"/>
          <w:szCs w:val="18"/>
          <w:color w:val="auto"/>
        </w:rPr>
      </w:pPr>
      <w:r>
        <w:rPr>
          <w:rFonts w:ascii="Arial" w:cs="Arial" w:eastAsia="Arial" w:hAnsi="Arial"/>
          <w:sz w:val="18"/>
          <w:szCs w:val="18"/>
          <w:color w:val="auto"/>
        </w:rPr>
        <w:t>303.4</w:t>
      </w:r>
    </w:p>
    <w:p>
      <w:pPr>
        <w:spacing w:after="0" w:line="90" w:lineRule="exact"/>
        <w:rPr>
          <w:rFonts w:ascii="Arial" w:cs="Arial" w:eastAsia="Arial" w:hAnsi="Arial"/>
          <w:sz w:val="18"/>
          <w:szCs w:val="18"/>
          <w:color w:val="auto"/>
        </w:rPr>
      </w:pPr>
    </w:p>
    <w:p>
      <w:pPr>
        <w:ind w:left="698"/>
        <w:spacing w:after="0"/>
        <w:rPr>
          <w:rFonts w:ascii="Arial" w:cs="Arial" w:eastAsia="Arial" w:hAnsi="Arial"/>
          <w:sz w:val="18"/>
          <w:szCs w:val="18"/>
          <w:color w:val="auto"/>
        </w:rPr>
      </w:pPr>
      <w:r>
        <w:rPr>
          <w:rFonts w:ascii="Arial" w:cs="Arial" w:eastAsia="Arial" w:hAnsi="Arial"/>
          <w:sz w:val="18"/>
          <w:szCs w:val="18"/>
          <w:color w:val="auto"/>
        </w:rPr>
        <w:t>(247.0)</w:t>
      </w:r>
    </w:p>
    <w:p>
      <w:pPr>
        <w:spacing w:after="0" w:line="63" w:lineRule="exact"/>
        <w:rPr>
          <w:rFonts w:ascii="Arial" w:cs="Arial" w:eastAsia="Arial" w:hAnsi="Arial"/>
          <w:sz w:val="18"/>
          <w:szCs w:val="18"/>
          <w:color w:val="auto"/>
        </w:rPr>
      </w:pPr>
    </w:p>
    <w:p>
      <w:pPr>
        <w:ind w:left="898"/>
        <w:spacing w:after="0"/>
        <w:rPr>
          <w:rFonts w:ascii="Arial" w:cs="Arial" w:eastAsia="Arial" w:hAnsi="Arial"/>
          <w:sz w:val="18"/>
          <w:szCs w:val="18"/>
          <w:color w:val="auto"/>
        </w:rPr>
      </w:pPr>
      <w:r>
        <w:rPr>
          <w:rFonts w:ascii="Arial" w:cs="Arial" w:eastAsia="Arial" w:hAnsi="Arial"/>
          <w:sz w:val="18"/>
          <w:szCs w:val="18"/>
          <w:color w:val="auto"/>
        </w:rPr>
        <w:t>(0.5)</w:t>
      </w:r>
    </w:p>
    <w:p>
      <w:pPr>
        <w:spacing w:after="0" w:line="63" w:lineRule="exact"/>
        <w:rPr>
          <w:rFonts w:ascii="Arial" w:cs="Arial" w:eastAsia="Arial" w:hAnsi="Arial"/>
          <w:sz w:val="18"/>
          <w:szCs w:val="18"/>
          <w:color w:val="auto"/>
        </w:rPr>
      </w:pPr>
    </w:p>
    <w:p>
      <w:pPr>
        <w:ind w:left="858"/>
        <w:spacing w:after="0"/>
        <w:rPr>
          <w:rFonts w:ascii="Arial" w:cs="Arial" w:eastAsia="Arial" w:hAnsi="Arial"/>
          <w:sz w:val="18"/>
          <w:szCs w:val="18"/>
          <w:color w:val="auto"/>
        </w:rPr>
      </w:pPr>
      <w:r>
        <w:rPr>
          <w:rFonts w:ascii="Arial" w:cs="Arial" w:eastAsia="Arial" w:hAnsi="Arial"/>
          <w:sz w:val="18"/>
          <w:szCs w:val="18"/>
          <w:color w:val="auto"/>
        </w:rPr>
        <w:t>76.9</w:t>
      </w:r>
    </w:p>
    <w:p>
      <w:pPr>
        <w:spacing w:after="0" w:line="63" w:lineRule="exact"/>
        <w:rPr>
          <w:rFonts w:ascii="Arial" w:cs="Arial" w:eastAsia="Arial" w:hAnsi="Arial"/>
          <w:sz w:val="18"/>
          <w:szCs w:val="18"/>
          <w:color w:val="auto"/>
        </w:rPr>
      </w:pPr>
    </w:p>
    <w:p>
      <w:pPr>
        <w:ind w:left="758" w:hanging="758"/>
        <w:spacing w:after="0"/>
        <w:tabs>
          <w:tab w:leader="none" w:pos="758" w:val="left"/>
        </w:tabs>
        <w:numPr>
          <w:ilvl w:val="0"/>
          <w:numId w:val="7"/>
        </w:numPr>
        <w:rPr>
          <w:rFonts w:ascii="Arial" w:cs="Arial" w:eastAsia="Arial" w:hAnsi="Arial"/>
          <w:sz w:val="18"/>
          <w:szCs w:val="18"/>
          <w:color w:val="auto"/>
        </w:rPr>
      </w:pPr>
      <w:r>
        <w:rPr>
          <w:rFonts w:ascii="Arial" w:cs="Arial" w:eastAsia="Arial" w:hAnsi="Arial"/>
          <w:sz w:val="18"/>
          <w:szCs w:val="18"/>
          <w:color w:val="auto"/>
        </w:rPr>
        <w:t>132.8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14605</wp:posOffset>
            </wp:positionV>
            <wp:extent cx="90868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908685" cy="8255"/>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-156210</wp:posOffset>
            </wp:positionV>
            <wp:extent cx="90868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908685" cy="8255"/>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-687705</wp:posOffset>
            </wp:positionV>
            <wp:extent cx="90868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908685" cy="8890"/>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-859155</wp:posOffset>
            </wp:positionV>
            <wp:extent cx="90868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908685" cy="8890"/>
                    </a:xfrm>
                    <a:prstGeom prst="rect">
                      <a:avLst/>
                    </a:prstGeom>
                    <a:noFill/>
                  </pic:spPr>
                </pic:pic>
              </a:graphicData>
            </a:graphic>
          </wp:anchor>
        </w:drawing>
      </w:r>
    </w:p>
    <w:p>
      <w:pPr>
        <w:spacing w:after="0" w:line="245" w:lineRule="exact"/>
        <w:rPr>
          <w:sz w:val="20"/>
          <w:szCs w:val="20"/>
          <w:color w:val="auto"/>
        </w:rPr>
      </w:pPr>
    </w:p>
    <w:p>
      <w:pPr>
        <w:sectPr>
          <w:pgSz w:w="11900" w:h="16838" w:orient="portrait"/>
          <w:cols w:equalWidth="0" w:num="3">
            <w:col w:w="7563" w:space="720"/>
            <w:col w:w="1277" w:space="262"/>
            <w:col w:w="1418"/>
          </w:cols>
          <w:pgMar w:left="320" w:top="1297" w:right="339" w:bottom="1440" w:gutter="0" w:footer="0" w:header="0"/>
          <w:type w:val="continuous"/>
        </w:sectPr>
      </w:pPr>
    </w:p>
    <w:p>
      <w:pPr>
        <w:spacing w:after="0" w:line="87" w:lineRule="exact"/>
        <w:rPr>
          <w:sz w:val="20"/>
          <w:szCs w:val="20"/>
          <w:color w:val="auto"/>
        </w:rPr>
      </w:pPr>
    </w:p>
    <w:p>
      <w:pPr>
        <w:ind w:left="40"/>
        <w:spacing w:after="0"/>
        <w:rPr>
          <w:sz w:val="20"/>
          <w:szCs w:val="20"/>
          <w:color w:val="auto"/>
        </w:rPr>
      </w:pPr>
      <w:r>
        <w:rPr>
          <w:rFonts w:ascii="Arial" w:cs="Arial" w:eastAsia="Arial" w:hAnsi="Arial"/>
          <w:sz w:val="17"/>
          <w:szCs w:val="17"/>
          <w:color w:val="auto"/>
        </w:rPr>
        <w:t>Property and equipment additions as a percentage of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123430" cy="22288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23430" cy="2228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54" w:lineRule="exact"/>
        <w:rPr>
          <w:sz w:val="20"/>
          <w:szCs w:val="20"/>
          <w:color w:val="auto"/>
        </w:rPr>
      </w:pPr>
    </w:p>
    <w:p>
      <w:pPr>
        <w:spacing w:after="0"/>
        <w:tabs>
          <w:tab w:leader="none" w:pos="1520" w:val="left"/>
        </w:tabs>
        <w:rPr>
          <w:sz w:val="20"/>
          <w:szCs w:val="20"/>
          <w:color w:val="auto"/>
        </w:rPr>
      </w:pPr>
      <w:r>
        <w:rPr>
          <w:rFonts w:ascii="Arial" w:cs="Arial" w:eastAsia="Arial" w:hAnsi="Arial"/>
          <w:sz w:val="18"/>
          <w:szCs w:val="18"/>
          <w:color w:val="auto"/>
        </w:rPr>
        <w:t>21.4%</w:t>
      </w:r>
      <w:r>
        <w:rPr>
          <w:sz w:val="20"/>
          <w:szCs w:val="20"/>
          <w:color w:val="auto"/>
        </w:rPr>
        <w:tab/>
      </w:r>
      <w:r>
        <w:rPr>
          <w:rFonts w:ascii="Arial" w:cs="Arial" w:eastAsia="Arial" w:hAnsi="Arial"/>
          <w:sz w:val="18"/>
          <w:szCs w:val="18"/>
          <w:color w:val="auto"/>
        </w:rPr>
        <w:t>23.8%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-560705</wp:posOffset>
            </wp:positionH>
            <wp:positionV relativeFrom="paragraph">
              <wp:posOffset>14605</wp:posOffset>
            </wp:positionV>
            <wp:extent cx="188595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885950" cy="8890"/>
                    </a:xfrm>
                    <a:prstGeom prst="rect">
                      <a:avLst/>
                    </a:prstGeom>
                    <a:noFill/>
                  </pic:spPr>
                </pic:pic>
              </a:graphicData>
            </a:graphic>
          </wp:anchor>
        </w:drawing>
      </w:r>
    </w:p>
    <w:p>
      <w:pPr>
        <w:spacing w:after="0" w:line="201" w:lineRule="exact"/>
        <w:rPr>
          <w:sz w:val="20"/>
          <w:szCs w:val="20"/>
          <w:color w:val="auto"/>
        </w:rPr>
      </w:pPr>
    </w:p>
    <w:p>
      <w:pPr>
        <w:sectPr>
          <w:pgSz w:w="11900" w:h="16838" w:orient="portrait"/>
          <w:cols w:equalWidth="0" w:num="2">
            <w:col w:w="8420" w:space="720"/>
            <w:col w:w="2100"/>
          </w:cols>
          <w:pgMar w:left="320" w:top="1297" w:right="339" w:bottom="1440" w:gutter="0" w:footer="0" w:header="0"/>
          <w:type w:val="continuous"/>
        </w:sectPr>
      </w:pP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 w:type="dxa"/>
            <w:vAlign w:val="bottom"/>
          </w:tcPr>
          <w:p>
            <w:pPr>
              <w:spacing w:after="0"/>
              <w:rPr>
                <w:sz w:val="18"/>
                <w:szCs w:val="18"/>
                <w:color w:val="auto"/>
              </w:rPr>
            </w:pPr>
          </w:p>
        </w:tc>
        <w:tc>
          <w:tcPr>
            <w:tcW w:w="8220" w:type="dxa"/>
            <w:vAlign w:val="bottom"/>
            <w:gridSpan w:val="2"/>
          </w:tcPr>
          <w:p>
            <w:pPr>
              <w:spacing w:after="0"/>
              <w:rPr>
                <w:sz w:val="20"/>
                <w:szCs w:val="20"/>
                <w:color w:val="auto"/>
              </w:rPr>
            </w:pPr>
            <w:r>
              <w:rPr>
                <w:rFonts w:ascii="Arial" w:cs="Arial" w:eastAsia="Arial" w:hAnsi="Arial"/>
                <w:sz w:val="18"/>
                <w:szCs w:val="18"/>
                <w:b w:val="1"/>
                <w:bCs w:val="1"/>
                <w:color w:val="auto"/>
              </w:rPr>
              <w:t>Operating Free Cash Flow</w:t>
            </w:r>
          </w:p>
        </w:tc>
        <w:tc>
          <w:tcPr>
            <w:tcW w:w="4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34"/>
        </w:trPr>
        <w:tc>
          <w:tcPr>
            <w:tcW w:w="40" w:type="dxa"/>
            <w:vAlign w:val="bottom"/>
          </w:tcPr>
          <w:p>
            <w:pPr>
              <w:spacing w:after="0"/>
              <w:rPr>
                <w:sz w:val="2"/>
                <w:szCs w:val="2"/>
                <w:color w:val="auto"/>
              </w:rPr>
            </w:pPr>
          </w:p>
        </w:tc>
        <w:tc>
          <w:tcPr>
            <w:tcW w:w="2220" w:type="dxa"/>
            <w:vAlign w:val="bottom"/>
            <w:tcBorders>
              <w:top w:val="single" w:sz="8" w:color="auto"/>
            </w:tcBorders>
          </w:tcPr>
          <w:p>
            <w:pPr>
              <w:spacing w:after="0"/>
              <w:rPr>
                <w:sz w:val="2"/>
                <w:szCs w:val="2"/>
                <w:color w:val="auto"/>
              </w:rPr>
            </w:pPr>
          </w:p>
        </w:tc>
        <w:tc>
          <w:tcPr>
            <w:tcW w:w="60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40" w:type="dxa"/>
            <w:vAlign w:val="bottom"/>
            <w:shd w:val="clear" w:color="auto" w:fill="CCEEFF"/>
          </w:tcPr>
          <w:p>
            <w:pPr>
              <w:spacing w:after="0"/>
              <w:rPr>
                <w:sz w:val="23"/>
                <w:szCs w:val="23"/>
                <w:color w:val="auto"/>
              </w:rPr>
            </w:pPr>
          </w:p>
        </w:tc>
        <w:tc>
          <w:tcPr>
            <w:tcW w:w="8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Segment OCF</w:t>
            </w: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512.3</w:t>
            </w:r>
          </w:p>
        </w:tc>
        <w:tc>
          <w:tcPr>
            <w:tcW w:w="120" w:type="dxa"/>
            <w:vAlign w:val="bottom"/>
            <w:shd w:val="clear" w:color="auto" w:fill="CCEEFF"/>
          </w:tcPr>
          <w:p>
            <w:pPr>
              <w:spacing w:after="0"/>
              <w:rPr>
                <w:sz w:val="23"/>
                <w:szCs w:val="23"/>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531.5</w:t>
            </w:r>
          </w:p>
        </w:tc>
      </w:tr>
      <w:tr>
        <w:trPr>
          <w:trHeight w:val="264"/>
        </w:trPr>
        <w:tc>
          <w:tcPr>
            <w:tcW w:w="40" w:type="dxa"/>
            <w:vAlign w:val="bottom"/>
            <w:tcBorders>
              <w:bottom w:val="single" w:sz="8" w:color="CCEEFF"/>
            </w:tcBorders>
          </w:tcPr>
          <w:p>
            <w:pPr>
              <w:spacing w:after="0"/>
              <w:rPr>
                <w:sz w:val="22"/>
                <w:szCs w:val="22"/>
                <w:color w:val="auto"/>
              </w:rPr>
            </w:pPr>
          </w:p>
        </w:tc>
        <w:tc>
          <w:tcPr>
            <w:tcW w:w="82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Property and equipment additions</w:t>
            </w:r>
          </w:p>
        </w:tc>
        <w:tc>
          <w:tcPr>
            <w:tcW w:w="4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(271.1)</w:t>
            </w:r>
          </w:p>
        </w:tc>
        <w:tc>
          <w:tcPr>
            <w:tcW w:w="12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(303.4)</w:t>
            </w:r>
          </w:p>
        </w:tc>
      </w:tr>
      <w:tr>
        <w:trPr>
          <w:trHeight w:val="256"/>
        </w:trPr>
        <w:tc>
          <w:tcPr>
            <w:tcW w:w="40" w:type="dxa"/>
            <w:vAlign w:val="bottom"/>
            <w:tcBorders>
              <w:bottom w:val="single" w:sz="8" w:color="CCEEFF"/>
            </w:tcBorders>
            <w:shd w:val="clear" w:color="auto" w:fill="CCEEFF"/>
          </w:tcPr>
          <w:p>
            <w:pPr>
              <w:spacing w:after="0"/>
              <w:rPr>
                <w:sz w:val="22"/>
                <w:szCs w:val="22"/>
                <w:color w:val="auto"/>
              </w:rPr>
            </w:pPr>
          </w:p>
        </w:tc>
        <w:tc>
          <w:tcPr>
            <w:tcW w:w="822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Operating free cash flow</w:t>
            </w: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241.2</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228.1</w:t>
            </w:r>
          </w:p>
        </w:tc>
      </w:tr>
      <w:tr>
        <w:trPr>
          <w:trHeight w:val="20"/>
        </w:trPr>
        <w:tc>
          <w:tcPr>
            <w:tcW w:w="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4" w:lineRule="exact"/>
        <w:rPr>
          <w:sz w:val="20"/>
          <w:szCs w:val="20"/>
          <w:color w:val="auto"/>
        </w:rPr>
      </w:pPr>
    </w:p>
    <w:p>
      <w:pPr>
        <w:jc w:val="right"/>
        <w:spacing w:after="0"/>
        <w:rPr>
          <w:sz w:val="20"/>
          <w:szCs w:val="20"/>
          <w:color w:val="auto"/>
        </w:rPr>
      </w:pPr>
      <w:r>
        <w:rPr>
          <w:rFonts w:ascii="Arial" w:cs="Arial" w:eastAsia="Arial" w:hAnsi="Arial"/>
          <w:sz w:val="16"/>
          <w:szCs w:val="16"/>
          <w:color w:val="auto"/>
        </w:rPr>
        <w:t>7</w:t>
      </w:r>
    </w:p>
    <w:p>
      <w:pPr>
        <w:sectPr>
          <w:pgSz w:w="11900" w:h="16838" w:orient="portrait"/>
          <w:cols w:equalWidth="0" w:num="1">
            <w:col w:w="11240"/>
          </w:cols>
          <w:pgMar w:left="320" w:top="1297" w:right="339" w:bottom="1440" w:gutter="0" w:footer="0" w:header="0"/>
          <w:type w:val="continuous"/>
        </w:sectPr>
      </w:pPr>
    </w:p>
    <w:bookmarkStart w:id="10" w:name="page11"/>
    <w:bookmarkEnd w:id="10"/>
    <w:p>
      <w:pPr>
        <w:spacing w:after="0"/>
        <w:rPr>
          <w:sz w:val="20"/>
          <w:szCs w:val="20"/>
          <w:color w:val="auto"/>
        </w:rPr>
      </w:pPr>
      <w:r>
        <w:rPr>
          <w:rFonts w:ascii="Arial" w:cs="Arial" w:eastAsia="Arial" w:hAnsi="Arial"/>
          <w:sz w:val="25"/>
          <w:szCs w:val="25"/>
          <w:color w:val="004F9F"/>
        </w:rPr>
        <w:drawing>
          <wp:anchor simplePos="0" relativeHeight="251657728" behindDoc="1" locked="0" layoutInCell="0" allowOverlap="1">
            <wp:simplePos x="0" y="0"/>
            <wp:positionH relativeFrom="page">
              <wp:posOffset>6500495</wp:posOffset>
            </wp:positionH>
            <wp:positionV relativeFrom="page">
              <wp:posOffset>88900</wp:posOffset>
            </wp:positionV>
            <wp:extent cx="840105" cy="53149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clrChange>
                        <a:clrFrom>
                          <a:srgbClr val="FFFFFF"/>
                        </a:clrFrom>
                        <a:clrTo>
                          <a:srgbClr val="FFFFFF">
                            <a:alpha val="0"/>
                          </a:srgbClr>
                        </a:clrTo>
                      </a:clrChange>
                      <a:extLst>
                        <a:ext uri="{28A0092B-C50C-407E-A947-70E740481C1C}"/>
                      </a:extLst>
                    </a:blip>
                    <a:srcRect/>
                    <a:stretch>
                      <a:fillRect/>
                    </a:stretch>
                  </pic:blipFill>
                  <pic:spPr bwMode="auto">
                    <a:xfrm>
                      <a:off x="0" y="0"/>
                      <a:ext cx="840105" cy="531495"/>
                    </a:xfrm>
                    <a:prstGeom prst="rect">
                      <a:avLst/>
                    </a:prstGeom>
                    <a:noFill/>
                  </pic:spPr>
                </pic:pic>
              </a:graphicData>
            </a:graphic>
          </wp:anchor>
        </w:drawing>
        <w:t>Third-Party Debt, Finance Lease Obligations and Cash and Cash Equivalents</w:t>
      </w:r>
    </w:p>
    <w:p>
      <w:pPr>
        <w:spacing w:after="0" w:line="120" w:lineRule="exact"/>
        <w:rPr>
          <w:sz w:val="20"/>
          <w:szCs w:val="20"/>
          <w:color w:val="auto"/>
        </w:rPr>
      </w:pPr>
    </w:p>
    <w:p>
      <w:pPr>
        <w:spacing w:after="0" w:line="246" w:lineRule="auto"/>
        <w:rPr>
          <w:sz w:val="20"/>
          <w:szCs w:val="20"/>
          <w:color w:val="auto"/>
        </w:rPr>
      </w:pPr>
      <w:r>
        <w:rPr>
          <w:rFonts w:ascii="Arial" w:cs="Arial" w:eastAsia="Arial" w:hAnsi="Arial"/>
          <w:sz w:val="19"/>
          <w:szCs w:val="19"/>
          <w:color w:val="auto"/>
        </w:rPr>
        <w:t>The following table details the borrowing currency and pound sterling equivalent of the nominal amount outstanding of Virgin Media’s consolidated third-party debt, finance lease obligations and cash and cash equivalents: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680" w:type="dxa"/>
            <w:vAlign w:val="bottom"/>
          </w:tcPr>
          <w:p>
            <w:pPr>
              <w:spacing w:after="0"/>
              <w:rPr>
                <w:sz w:val="17"/>
                <w:szCs w:val="17"/>
                <w:color w:val="auto"/>
              </w:rPr>
            </w:pPr>
          </w:p>
        </w:tc>
        <w:tc>
          <w:tcPr>
            <w:tcW w:w="6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20" w:type="dxa"/>
            <w:vAlign w:val="bottom"/>
            <w:gridSpan w:val="2"/>
          </w:tcPr>
          <w:p>
            <w:pPr>
              <w:jc w:val="right"/>
              <w:ind w:right="20"/>
              <w:spacing w:after="0"/>
              <w:rPr>
                <w:sz w:val="20"/>
                <w:szCs w:val="20"/>
                <w:color w:val="auto"/>
              </w:rPr>
            </w:pPr>
            <w:r>
              <w:rPr>
                <w:rFonts w:ascii="Arial" w:cs="Arial" w:eastAsia="Arial" w:hAnsi="Arial"/>
                <w:sz w:val="15"/>
                <w:szCs w:val="15"/>
                <w:b w:val="1"/>
                <w:bCs w:val="1"/>
                <w:color w:val="auto"/>
              </w:rPr>
              <w:t>March 31,</w:t>
            </w: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jc w:val="right"/>
              <w:ind w:right="155"/>
              <w:spacing w:after="0"/>
              <w:rPr>
                <w:sz w:val="20"/>
                <w:szCs w:val="20"/>
                <w:color w:val="auto"/>
              </w:rPr>
            </w:pPr>
            <w:r>
              <w:rPr>
                <w:rFonts w:ascii="Arial" w:cs="Arial" w:eastAsia="Arial" w:hAnsi="Arial"/>
                <w:sz w:val="15"/>
                <w:szCs w:val="15"/>
                <w:b w:val="1"/>
                <w:bCs w:val="1"/>
                <w:color w:val="auto"/>
              </w:rPr>
              <w:t>December 31,</w:t>
            </w:r>
          </w:p>
        </w:tc>
      </w:tr>
      <w:tr>
        <w:trPr>
          <w:trHeight w:val="274"/>
        </w:trPr>
        <w:tc>
          <w:tcPr>
            <w:tcW w:w="680" w:type="dxa"/>
            <w:vAlign w:val="bottom"/>
          </w:tcPr>
          <w:p>
            <w:pPr>
              <w:spacing w:after="0"/>
              <w:rPr>
                <w:sz w:val="23"/>
                <w:szCs w:val="23"/>
                <w:color w:val="auto"/>
              </w:rPr>
            </w:pPr>
          </w:p>
        </w:tc>
        <w:tc>
          <w:tcPr>
            <w:tcW w:w="614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62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5"/>
                <w:szCs w:val="15"/>
                <w:b w:val="1"/>
                <w:bCs w:val="1"/>
                <w:color w:val="auto"/>
              </w:rPr>
              <w:t>2020</w:t>
            </w:r>
          </w:p>
        </w:tc>
        <w:tc>
          <w:tcPr>
            <w:tcW w:w="102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ind w:right="475"/>
              <w:spacing w:after="0"/>
              <w:rPr>
                <w:sz w:val="20"/>
                <w:szCs w:val="20"/>
                <w:color w:val="auto"/>
              </w:rPr>
            </w:pPr>
            <w:r>
              <w:rPr>
                <w:rFonts w:ascii="Arial" w:cs="Arial" w:eastAsia="Arial" w:hAnsi="Arial"/>
                <w:sz w:val="15"/>
                <w:szCs w:val="15"/>
                <w:b w:val="1"/>
                <w:bCs w:val="1"/>
                <w:color w:val="auto"/>
              </w:rPr>
              <w:t>2019</w:t>
            </w:r>
          </w:p>
        </w:tc>
      </w:tr>
      <w:tr>
        <w:trPr>
          <w:trHeight w:val="165"/>
        </w:trPr>
        <w:tc>
          <w:tcPr>
            <w:tcW w:w="680" w:type="dxa"/>
            <w:vAlign w:val="bottom"/>
          </w:tcPr>
          <w:p>
            <w:pPr>
              <w:spacing w:after="0"/>
              <w:rPr>
                <w:sz w:val="14"/>
                <w:szCs w:val="14"/>
                <w:color w:val="auto"/>
              </w:rPr>
            </w:pPr>
          </w:p>
        </w:tc>
        <w:tc>
          <w:tcPr>
            <w:tcW w:w="6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20" w:type="dxa"/>
            <w:vAlign w:val="bottom"/>
            <w:gridSpan w:val="2"/>
          </w:tcPr>
          <w:p>
            <w:pPr>
              <w:jc w:val="right"/>
              <w:ind w:right="780"/>
              <w:spacing w:after="0" w:line="165" w:lineRule="exact"/>
              <w:rPr>
                <w:sz w:val="20"/>
                <w:szCs w:val="20"/>
                <w:color w:val="auto"/>
              </w:rPr>
            </w:pPr>
            <w:r>
              <w:rPr>
                <w:rFonts w:ascii="Arial" w:cs="Arial" w:eastAsia="Arial" w:hAnsi="Arial"/>
                <w:sz w:val="15"/>
                <w:szCs w:val="15"/>
                <w:b w:val="1"/>
                <w:bCs w:val="1"/>
                <w:color w:val="auto"/>
              </w:rPr>
              <w:t>Borrowing</w:t>
            </w: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206"/>
        </w:trPr>
        <w:tc>
          <w:tcPr>
            <w:tcW w:w="680" w:type="dxa"/>
            <w:vAlign w:val="bottom"/>
          </w:tcPr>
          <w:p>
            <w:pPr>
              <w:spacing w:after="0"/>
              <w:rPr>
                <w:sz w:val="17"/>
                <w:szCs w:val="17"/>
                <w:color w:val="auto"/>
              </w:rPr>
            </w:pPr>
          </w:p>
        </w:tc>
        <w:tc>
          <w:tcPr>
            <w:tcW w:w="61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gridSpan w:val="2"/>
          </w:tcPr>
          <w:p>
            <w:pPr>
              <w:jc w:val="right"/>
              <w:ind w:right="840"/>
              <w:spacing w:after="0"/>
              <w:rPr>
                <w:sz w:val="20"/>
                <w:szCs w:val="20"/>
                <w:color w:val="auto"/>
              </w:rPr>
            </w:pPr>
            <w:r>
              <w:rPr>
                <w:rFonts w:ascii="Arial" w:cs="Arial" w:eastAsia="Arial" w:hAnsi="Arial"/>
                <w:sz w:val="15"/>
                <w:szCs w:val="15"/>
                <w:b w:val="1"/>
                <w:bCs w:val="1"/>
                <w:color w:val="auto"/>
              </w:rPr>
              <w:t>currency</w:t>
            </w:r>
          </w:p>
        </w:tc>
        <w:tc>
          <w:tcPr>
            <w:tcW w:w="2600" w:type="dxa"/>
            <w:vAlign w:val="bottom"/>
            <w:tcBorders>
              <w:bottom w:val="single" w:sz="8" w:color="auto"/>
            </w:tcBorders>
            <w:gridSpan w:val="4"/>
          </w:tcPr>
          <w:p>
            <w:pPr>
              <w:jc w:val="right"/>
              <w:ind w:right="935"/>
              <w:spacing w:after="0"/>
              <w:rPr>
                <w:sz w:val="20"/>
                <w:szCs w:val="20"/>
                <w:color w:val="auto"/>
              </w:rPr>
            </w:pPr>
            <w:r>
              <w:rPr>
                <w:rFonts w:ascii="Arial" w:cs="Arial" w:eastAsia="Arial" w:hAnsi="Arial"/>
                <w:sz w:val="15"/>
                <w:szCs w:val="15"/>
                <w:b w:val="1"/>
                <w:bCs w:val="1"/>
                <w:color w:val="auto"/>
              </w:rPr>
              <w:t>£ equivalent</w:t>
            </w:r>
          </w:p>
        </w:tc>
      </w:tr>
      <w:tr>
        <w:trPr>
          <w:trHeight w:val="250"/>
        </w:trPr>
        <w:tc>
          <w:tcPr>
            <w:tcW w:w="680" w:type="dxa"/>
            <w:vAlign w:val="bottom"/>
          </w:tcPr>
          <w:p>
            <w:pPr>
              <w:spacing w:after="0"/>
              <w:rPr>
                <w:sz w:val="21"/>
                <w:szCs w:val="21"/>
                <w:color w:val="auto"/>
              </w:rPr>
            </w:pPr>
          </w:p>
        </w:tc>
        <w:tc>
          <w:tcPr>
            <w:tcW w:w="6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gridSpan w:val="2"/>
          </w:tcPr>
          <w:p>
            <w:pPr>
              <w:ind w:left="20"/>
              <w:spacing w:after="0"/>
              <w:rPr>
                <w:sz w:val="20"/>
                <w:szCs w:val="20"/>
                <w:color w:val="auto"/>
              </w:rPr>
            </w:pPr>
            <w:r>
              <w:rPr>
                <w:rFonts w:ascii="Arial" w:cs="Arial" w:eastAsia="Arial" w:hAnsi="Arial"/>
                <w:sz w:val="15"/>
                <w:szCs w:val="15"/>
                <w:b w:val="1"/>
                <w:bCs w:val="1"/>
                <w:color w:val="auto"/>
              </w:rPr>
              <w:t>in millions</w:t>
            </w: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4"/>
        </w:trPr>
        <w:tc>
          <w:tcPr>
            <w:tcW w:w="6820" w:type="dxa"/>
            <w:vAlign w:val="bottom"/>
            <w:gridSpan w:val="2"/>
            <w:shd w:val="clear" w:color="auto" w:fill="CCEEFF"/>
          </w:tcPr>
          <w:p>
            <w:pPr>
              <w:ind w:left="40"/>
              <w:spacing w:after="0"/>
              <w:rPr>
                <w:sz w:val="20"/>
                <w:szCs w:val="20"/>
                <w:color w:val="auto"/>
              </w:rPr>
            </w:pPr>
            <w:r>
              <w:rPr>
                <w:rFonts w:ascii="Arial" w:cs="Arial" w:eastAsia="Arial" w:hAnsi="Arial"/>
                <w:sz w:val="17"/>
                <w:szCs w:val="17"/>
                <w:b w:val="1"/>
                <w:bCs w:val="1"/>
                <w:color w:val="auto"/>
              </w:rPr>
              <w:t>Senior and Senior Secured Credit Facilities:</w:t>
            </w:r>
          </w:p>
        </w:tc>
        <w:tc>
          <w:tcPr>
            <w:tcW w:w="20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r>
      <w:tr>
        <w:trPr>
          <w:trHeight w:val="261"/>
        </w:trPr>
        <w:tc>
          <w:tcPr>
            <w:tcW w:w="6820" w:type="dxa"/>
            <w:vAlign w:val="bottom"/>
            <w:gridSpan w:val="2"/>
          </w:tcPr>
          <w:p>
            <w:pPr>
              <w:ind w:left="180"/>
              <w:spacing w:after="0"/>
              <w:rPr>
                <w:sz w:val="20"/>
                <w:szCs w:val="20"/>
                <w:color w:val="auto"/>
              </w:rPr>
            </w:pPr>
            <w:r>
              <w:rPr>
                <w:rFonts w:ascii="Arial" w:cs="Arial" w:eastAsia="Arial" w:hAnsi="Arial"/>
                <w:sz w:val="17"/>
                <w:szCs w:val="17"/>
                <w:color w:val="auto"/>
              </w:rPr>
              <w:t>Term Loan L (LIBOR + 3.25%) due 2027</w:t>
            </w: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1280" w:type="dxa"/>
            <w:vAlign w:val="bottom"/>
          </w:tcPr>
          <w:p>
            <w:pPr>
              <w:jc w:val="right"/>
              <w:ind w:right="136"/>
              <w:spacing w:after="0"/>
              <w:rPr>
                <w:sz w:val="20"/>
                <w:szCs w:val="20"/>
                <w:color w:val="auto"/>
              </w:rPr>
            </w:pPr>
            <w:r>
              <w:rPr>
                <w:rFonts w:ascii="Arial" w:cs="Arial" w:eastAsia="Arial" w:hAnsi="Arial"/>
                <w:sz w:val="17"/>
                <w:szCs w:val="17"/>
                <w:color w:val="auto"/>
              </w:rPr>
              <w:t>400.0</w:t>
            </w:r>
          </w:p>
        </w:tc>
        <w:tc>
          <w:tcPr>
            <w:tcW w:w="340" w:type="dxa"/>
            <w:vAlign w:val="bottom"/>
          </w:tcPr>
          <w:p>
            <w:pPr>
              <w:spacing w:after="0"/>
              <w:rPr>
                <w:sz w:val="22"/>
                <w:szCs w:val="22"/>
                <w:color w:val="auto"/>
              </w:rPr>
            </w:pPr>
          </w:p>
        </w:tc>
        <w:tc>
          <w:tcPr>
            <w:tcW w:w="1020" w:type="dxa"/>
            <w:vAlign w:val="bottom"/>
          </w:tcPr>
          <w:p>
            <w:pPr>
              <w:jc w:val="right"/>
              <w:ind w:right="15"/>
              <w:spacing w:after="0"/>
              <w:rPr>
                <w:sz w:val="20"/>
                <w:szCs w:val="20"/>
                <w:color w:val="auto"/>
              </w:rPr>
            </w:pPr>
            <w:r>
              <w:rPr>
                <w:rFonts w:ascii="Arial" w:cs="Arial" w:eastAsia="Arial" w:hAnsi="Arial"/>
                <w:sz w:val="17"/>
                <w:szCs w:val="17"/>
                <w:color w:val="auto"/>
              </w:rPr>
              <w:t>400.0</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ind w:right="15"/>
              <w:spacing w:after="0"/>
              <w:rPr>
                <w:sz w:val="20"/>
                <w:szCs w:val="20"/>
                <w:color w:val="auto"/>
              </w:rPr>
            </w:pPr>
            <w:r>
              <w:rPr>
                <w:rFonts w:ascii="Arial" w:cs="Arial" w:eastAsia="Arial" w:hAnsi="Arial"/>
                <w:sz w:val="17"/>
                <w:szCs w:val="17"/>
                <w:color w:val="auto"/>
              </w:rPr>
              <w:t>400.0</w:t>
            </w:r>
          </w:p>
        </w:tc>
      </w:tr>
      <w:tr>
        <w:trPr>
          <w:trHeight w:val="279"/>
        </w:trPr>
        <w:tc>
          <w:tcPr>
            <w:tcW w:w="682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Term Loan M (LIBOR + 3.25%) due 2027</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80" w:type="dxa"/>
            <w:vAlign w:val="bottom"/>
            <w:shd w:val="clear" w:color="auto" w:fill="CCEEFF"/>
          </w:tcPr>
          <w:p>
            <w:pPr>
              <w:jc w:val="right"/>
              <w:ind w:right="136"/>
              <w:spacing w:after="0"/>
              <w:rPr>
                <w:sz w:val="20"/>
                <w:szCs w:val="20"/>
                <w:color w:val="auto"/>
              </w:rPr>
            </w:pPr>
            <w:r>
              <w:rPr>
                <w:rFonts w:ascii="Arial" w:cs="Arial" w:eastAsia="Arial" w:hAnsi="Arial"/>
                <w:sz w:val="17"/>
                <w:szCs w:val="17"/>
                <w:color w:val="auto"/>
              </w:rPr>
              <w:t>500.0</w:t>
            </w:r>
          </w:p>
        </w:tc>
        <w:tc>
          <w:tcPr>
            <w:tcW w:w="3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500.0</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500.0</w:t>
            </w:r>
          </w:p>
        </w:tc>
      </w:tr>
      <w:tr>
        <w:trPr>
          <w:trHeight w:val="261"/>
        </w:trPr>
        <w:tc>
          <w:tcPr>
            <w:tcW w:w="6820" w:type="dxa"/>
            <w:vAlign w:val="bottom"/>
            <w:gridSpan w:val="2"/>
          </w:tcPr>
          <w:p>
            <w:pPr>
              <w:ind w:left="180"/>
              <w:spacing w:after="0"/>
              <w:rPr>
                <w:sz w:val="20"/>
                <w:szCs w:val="20"/>
                <w:color w:val="auto"/>
              </w:rPr>
            </w:pPr>
            <w:r>
              <w:rPr>
                <w:rFonts w:ascii="Arial" w:cs="Arial" w:eastAsia="Arial" w:hAnsi="Arial"/>
                <w:sz w:val="17"/>
                <w:szCs w:val="17"/>
                <w:color w:val="auto"/>
              </w:rPr>
              <w:t>Term Loan N (LIBOR + 2.50%) due 2028</w:t>
            </w: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1280" w:type="dxa"/>
            <w:vAlign w:val="bottom"/>
          </w:tcPr>
          <w:p>
            <w:pPr>
              <w:jc w:val="right"/>
              <w:ind w:right="136"/>
              <w:spacing w:after="0"/>
              <w:rPr>
                <w:sz w:val="20"/>
                <w:szCs w:val="20"/>
                <w:color w:val="auto"/>
              </w:rPr>
            </w:pPr>
            <w:r>
              <w:rPr>
                <w:rFonts w:ascii="Arial" w:cs="Arial" w:eastAsia="Arial" w:hAnsi="Arial"/>
                <w:sz w:val="17"/>
                <w:szCs w:val="17"/>
                <w:color w:val="auto"/>
              </w:rPr>
              <w:t>3,300.0</w:t>
            </w:r>
          </w:p>
        </w:tc>
        <w:tc>
          <w:tcPr>
            <w:tcW w:w="340" w:type="dxa"/>
            <w:vAlign w:val="bottom"/>
          </w:tcPr>
          <w:p>
            <w:pPr>
              <w:spacing w:after="0"/>
              <w:rPr>
                <w:sz w:val="22"/>
                <w:szCs w:val="22"/>
                <w:color w:val="auto"/>
              </w:rPr>
            </w:pPr>
          </w:p>
        </w:tc>
        <w:tc>
          <w:tcPr>
            <w:tcW w:w="1020" w:type="dxa"/>
            <w:vAlign w:val="bottom"/>
          </w:tcPr>
          <w:p>
            <w:pPr>
              <w:jc w:val="right"/>
              <w:ind w:right="15"/>
              <w:spacing w:after="0"/>
              <w:rPr>
                <w:sz w:val="20"/>
                <w:szCs w:val="20"/>
                <w:color w:val="auto"/>
              </w:rPr>
            </w:pPr>
            <w:r>
              <w:rPr>
                <w:rFonts w:ascii="Arial" w:cs="Arial" w:eastAsia="Arial" w:hAnsi="Arial"/>
                <w:sz w:val="17"/>
                <w:szCs w:val="17"/>
                <w:color w:val="auto"/>
              </w:rPr>
              <w:t>2,661.8</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ind w:right="15"/>
              <w:spacing w:after="0"/>
              <w:rPr>
                <w:sz w:val="20"/>
                <w:szCs w:val="20"/>
                <w:color w:val="auto"/>
              </w:rPr>
            </w:pPr>
            <w:r>
              <w:rPr>
                <w:rFonts w:ascii="Arial" w:cs="Arial" w:eastAsia="Arial" w:hAnsi="Arial"/>
                <w:sz w:val="17"/>
                <w:szCs w:val="17"/>
                <w:color w:val="auto"/>
              </w:rPr>
              <w:t>2,488.1</w:t>
            </w:r>
          </w:p>
        </w:tc>
      </w:tr>
      <w:tr>
        <w:trPr>
          <w:trHeight w:val="279"/>
        </w:trPr>
        <w:tc>
          <w:tcPr>
            <w:tcW w:w="682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Term Loan O (EURIBOR + 2.50%) due 2029</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80" w:type="dxa"/>
            <w:vAlign w:val="bottom"/>
            <w:shd w:val="clear" w:color="auto" w:fill="CCEEFF"/>
          </w:tcPr>
          <w:p>
            <w:pPr>
              <w:jc w:val="right"/>
              <w:ind w:right="136"/>
              <w:spacing w:after="0"/>
              <w:rPr>
                <w:sz w:val="20"/>
                <w:szCs w:val="20"/>
                <w:color w:val="auto"/>
              </w:rPr>
            </w:pPr>
            <w:r>
              <w:rPr>
                <w:rFonts w:ascii="Arial" w:cs="Arial" w:eastAsia="Arial" w:hAnsi="Arial"/>
                <w:sz w:val="17"/>
                <w:szCs w:val="17"/>
                <w:color w:val="auto"/>
              </w:rPr>
              <w:t>750.0</w:t>
            </w:r>
          </w:p>
        </w:tc>
        <w:tc>
          <w:tcPr>
            <w:tcW w:w="3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663.7</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635.0</w:t>
            </w:r>
          </w:p>
        </w:tc>
      </w:tr>
      <w:tr>
        <w:trPr>
          <w:trHeight w:val="261"/>
        </w:trPr>
        <w:tc>
          <w:tcPr>
            <w:tcW w:w="6820" w:type="dxa"/>
            <w:vAlign w:val="bottom"/>
            <w:gridSpan w:val="2"/>
          </w:tcPr>
          <w:p>
            <w:pPr>
              <w:ind w:left="180"/>
              <w:spacing w:after="0"/>
              <w:rPr>
                <w:sz w:val="20"/>
                <w:szCs w:val="20"/>
                <w:color w:val="auto"/>
              </w:rPr>
            </w:pPr>
            <w:r>
              <w:rPr>
                <w:rFonts w:ascii="Arial" w:cs="Arial" w:eastAsia="Arial" w:hAnsi="Arial"/>
                <w:sz w:val="17"/>
                <w:szCs w:val="17"/>
                <w:color w:val="auto"/>
              </w:rPr>
              <w:t>£1,000 million (equivalent) RCF (LIBOR + 2.75%) due 2026</w:t>
            </w: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1620" w:type="dxa"/>
            <w:vAlign w:val="bottom"/>
            <w:gridSpan w:val="2"/>
          </w:tcPr>
          <w:p>
            <w:pPr>
              <w:jc w:val="right"/>
              <w:ind w:right="560"/>
              <w:spacing w:after="0"/>
              <w:rPr>
                <w:sz w:val="20"/>
                <w:szCs w:val="20"/>
                <w:color w:val="auto"/>
              </w:rPr>
            </w:pPr>
            <w:r>
              <w:rPr>
                <w:rFonts w:ascii="Arial" w:cs="Arial" w:eastAsia="Arial" w:hAnsi="Arial"/>
                <w:sz w:val="17"/>
                <w:szCs w:val="17"/>
                <w:color w:val="auto"/>
              </w:rPr>
              <w:t>—</w:t>
            </w:r>
          </w:p>
        </w:tc>
        <w:tc>
          <w:tcPr>
            <w:tcW w:w="11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22"/>
                <w:szCs w:val="22"/>
                <w:color w:val="auto"/>
              </w:rPr>
            </w:pPr>
          </w:p>
        </w:tc>
        <w:tc>
          <w:tcPr>
            <w:tcW w:w="1300" w:type="dxa"/>
            <w:vAlign w:val="bottom"/>
          </w:tcPr>
          <w:p>
            <w:pPr>
              <w:jc w:val="right"/>
              <w:ind w:right="15"/>
              <w:spacing w:after="0"/>
              <w:rPr>
                <w:sz w:val="20"/>
                <w:szCs w:val="20"/>
                <w:color w:val="auto"/>
              </w:rPr>
            </w:pPr>
            <w:r>
              <w:rPr>
                <w:rFonts w:ascii="Arial" w:cs="Arial" w:eastAsia="Arial" w:hAnsi="Arial"/>
                <w:sz w:val="17"/>
                <w:szCs w:val="17"/>
                <w:color w:val="auto"/>
              </w:rPr>
              <w:t>—</w:t>
            </w:r>
          </w:p>
        </w:tc>
      </w:tr>
      <w:tr>
        <w:trPr>
          <w:trHeight w:val="279"/>
        </w:trPr>
        <w:tc>
          <w:tcPr>
            <w:tcW w:w="682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VM Financing Facility</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80" w:type="dxa"/>
            <w:vAlign w:val="bottom"/>
            <w:shd w:val="clear" w:color="auto" w:fill="CCEEFF"/>
          </w:tcPr>
          <w:p>
            <w:pPr>
              <w:jc w:val="right"/>
              <w:ind w:right="136"/>
              <w:spacing w:after="0"/>
              <w:rPr>
                <w:sz w:val="20"/>
                <w:szCs w:val="20"/>
                <w:color w:val="auto"/>
              </w:rPr>
            </w:pPr>
            <w:r>
              <w:rPr>
                <w:rFonts w:ascii="Arial" w:cs="Arial" w:eastAsia="Arial" w:hAnsi="Arial"/>
                <w:sz w:val="17"/>
                <w:szCs w:val="17"/>
                <w:color w:val="auto"/>
              </w:rPr>
              <w:t>65.8</w:t>
            </w:r>
          </w:p>
        </w:tc>
        <w:tc>
          <w:tcPr>
            <w:tcW w:w="3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65.8</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91.4</w:t>
            </w:r>
          </w:p>
        </w:tc>
      </w:tr>
      <w:tr>
        <w:trPr>
          <w:trHeight w:val="263"/>
        </w:trPr>
        <w:tc>
          <w:tcPr>
            <w:tcW w:w="6820" w:type="dxa"/>
            <w:vAlign w:val="bottom"/>
            <w:tcBorders>
              <w:bottom w:val="single" w:sz="8" w:color="CCEEFF"/>
            </w:tcBorders>
            <w:gridSpan w:val="2"/>
          </w:tcPr>
          <w:p>
            <w:pPr>
              <w:ind w:left="180"/>
              <w:spacing w:after="0"/>
              <w:rPr>
                <w:sz w:val="20"/>
                <w:szCs w:val="20"/>
                <w:color w:val="auto"/>
              </w:rPr>
            </w:pPr>
            <w:r>
              <w:rPr>
                <w:rFonts w:ascii="Arial" w:cs="Arial" w:eastAsia="Arial" w:hAnsi="Arial"/>
                <w:sz w:val="17"/>
                <w:szCs w:val="17"/>
                <w:color w:val="auto"/>
              </w:rPr>
              <w:t>VM Financing Facility II</w:t>
            </w:r>
          </w:p>
        </w:tc>
        <w:tc>
          <w:tcPr>
            <w:tcW w:w="200" w:type="dxa"/>
            <w:vAlign w:val="bottom"/>
            <w:tcBorders>
              <w:bottom w:val="single" w:sz="8" w:color="CCEEFF"/>
            </w:tcBorders>
          </w:tcPr>
          <w:p>
            <w:pPr>
              <w:jc w:val="right"/>
              <w:spacing w:after="0"/>
              <w:rPr>
                <w:sz w:val="20"/>
                <w:szCs w:val="20"/>
                <w:color w:val="auto"/>
              </w:rPr>
            </w:pPr>
            <w:r>
              <w:rPr>
                <w:rFonts w:ascii="Arial" w:cs="Arial" w:eastAsia="Arial" w:hAnsi="Arial"/>
                <w:sz w:val="17"/>
                <w:szCs w:val="17"/>
                <w:color w:val="auto"/>
              </w:rPr>
              <w:t>£</w:t>
            </w:r>
          </w:p>
        </w:tc>
        <w:tc>
          <w:tcPr>
            <w:tcW w:w="1280" w:type="dxa"/>
            <w:vAlign w:val="bottom"/>
            <w:tcBorders>
              <w:bottom w:val="single" w:sz="8" w:color="CCEEFF"/>
            </w:tcBorders>
          </w:tcPr>
          <w:p>
            <w:pPr>
              <w:jc w:val="right"/>
              <w:ind w:right="136"/>
              <w:spacing w:after="0"/>
              <w:rPr>
                <w:sz w:val="20"/>
                <w:szCs w:val="20"/>
                <w:color w:val="auto"/>
              </w:rPr>
            </w:pPr>
            <w:r>
              <w:rPr>
                <w:rFonts w:ascii="Arial" w:cs="Arial" w:eastAsia="Arial" w:hAnsi="Arial"/>
                <w:sz w:val="17"/>
                <w:szCs w:val="17"/>
                <w:color w:val="auto"/>
              </w:rPr>
              <w:t>2.1</w:t>
            </w: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2.1</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12.2</w:t>
            </w:r>
          </w:p>
        </w:tc>
      </w:tr>
      <w:tr>
        <w:trPr>
          <w:trHeight w:val="250"/>
        </w:trPr>
        <w:tc>
          <w:tcPr>
            <w:tcW w:w="6820" w:type="dxa"/>
            <w:vAlign w:val="bottom"/>
            <w:gridSpan w:val="2"/>
            <w:shd w:val="clear" w:color="auto" w:fill="CCEEFF"/>
          </w:tcPr>
          <w:p>
            <w:pPr>
              <w:ind w:left="280"/>
              <w:spacing w:after="0"/>
              <w:rPr>
                <w:sz w:val="20"/>
                <w:szCs w:val="20"/>
                <w:color w:val="auto"/>
              </w:rPr>
            </w:pPr>
            <w:r>
              <w:rPr>
                <w:rFonts w:ascii="Arial" w:cs="Arial" w:eastAsia="Arial" w:hAnsi="Arial"/>
                <w:sz w:val="17"/>
                <w:szCs w:val="17"/>
                <w:color w:val="auto"/>
              </w:rPr>
              <w:t>Total Senior and Senior Secured Credit Facilities</w:t>
            </w:r>
          </w:p>
        </w:tc>
        <w:tc>
          <w:tcPr>
            <w:tcW w:w="20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4,293.4</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4,126.7</w:t>
            </w:r>
          </w:p>
        </w:tc>
      </w:tr>
      <w:tr>
        <w:trPr>
          <w:trHeight w:val="189"/>
        </w:trPr>
        <w:tc>
          <w:tcPr>
            <w:tcW w:w="680" w:type="dxa"/>
            <w:vAlign w:val="bottom"/>
          </w:tcPr>
          <w:p>
            <w:pPr>
              <w:spacing w:after="0"/>
              <w:rPr>
                <w:sz w:val="16"/>
                <w:szCs w:val="16"/>
                <w:color w:val="auto"/>
              </w:rPr>
            </w:pPr>
          </w:p>
        </w:tc>
        <w:tc>
          <w:tcPr>
            <w:tcW w:w="6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270"/>
        </w:trPr>
        <w:tc>
          <w:tcPr>
            <w:tcW w:w="6820" w:type="dxa"/>
            <w:vAlign w:val="bottom"/>
            <w:gridSpan w:val="2"/>
            <w:shd w:val="clear" w:color="auto" w:fill="CCEEFF"/>
          </w:tcPr>
          <w:p>
            <w:pPr>
              <w:ind w:left="40"/>
              <w:spacing w:after="0"/>
              <w:rPr>
                <w:sz w:val="20"/>
                <w:szCs w:val="20"/>
                <w:color w:val="auto"/>
              </w:rPr>
            </w:pPr>
            <w:r>
              <w:rPr>
                <w:rFonts w:ascii="Arial" w:cs="Arial" w:eastAsia="Arial" w:hAnsi="Arial"/>
                <w:sz w:val="17"/>
                <w:szCs w:val="17"/>
                <w:b w:val="1"/>
                <w:bCs w:val="1"/>
                <w:color w:val="auto"/>
              </w:rPr>
              <w:t>Senior Secured Notes:</w:t>
            </w:r>
          </w:p>
        </w:tc>
        <w:tc>
          <w:tcPr>
            <w:tcW w:w="20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r>
      <w:tr>
        <w:trPr>
          <w:trHeight w:val="261"/>
        </w:trPr>
        <w:tc>
          <w:tcPr>
            <w:tcW w:w="680" w:type="dxa"/>
            <w:vAlign w:val="bottom"/>
          </w:tcPr>
          <w:p>
            <w:pPr>
              <w:ind w:left="180"/>
              <w:spacing w:after="0"/>
              <w:rPr>
                <w:sz w:val="20"/>
                <w:szCs w:val="20"/>
                <w:color w:val="auto"/>
              </w:rPr>
            </w:pPr>
            <w:r>
              <w:rPr>
                <w:rFonts w:ascii="Arial" w:cs="Arial" w:eastAsia="Arial" w:hAnsi="Arial"/>
                <w:sz w:val="17"/>
                <w:szCs w:val="17"/>
                <w:color w:val="auto"/>
                <w:w w:val="99"/>
              </w:rPr>
              <w:t>6.00%</w:t>
            </w:r>
          </w:p>
        </w:tc>
        <w:tc>
          <w:tcPr>
            <w:tcW w:w="6140" w:type="dxa"/>
            <w:vAlign w:val="bottom"/>
          </w:tcPr>
          <w:p>
            <w:pPr>
              <w:ind w:left="20"/>
              <w:spacing w:after="0"/>
              <w:rPr>
                <w:sz w:val="20"/>
                <w:szCs w:val="20"/>
                <w:color w:val="auto"/>
              </w:rPr>
            </w:pPr>
            <w:r>
              <w:rPr>
                <w:rFonts w:ascii="Arial" w:cs="Arial" w:eastAsia="Arial" w:hAnsi="Arial"/>
                <w:sz w:val="17"/>
                <w:szCs w:val="17"/>
                <w:color w:val="auto"/>
              </w:rPr>
              <w:t>GBP Senior Secured Notes due 2025</w:t>
            </w:r>
            <w:r>
              <w:rPr>
                <w:rFonts w:ascii="Arial" w:cs="Arial" w:eastAsia="Arial" w:hAnsi="Arial"/>
                <w:sz w:val="14"/>
                <w:szCs w:val="14"/>
                <w:color w:val="auto"/>
              </w:rPr>
              <w:t>5</w:t>
            </w: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1280" w:type="dxa"/>
            <w:vAlign w:val="bottom"/>
          </w:tcPr>
          <w:p>
            <w:pPr>
              <w:jc w:val="right"/>
              <w:ind w:right="136"/>
              <w:spacing w:after="0"/>
              <w:rPr>
                <w:sz w:val="20"/>
                <w:szCs w:val="20"/>
                <w:color w:val="auto"/>
              </w:rPr>
            </w:pPr>
            <w:r>
              <w:rPr>
                <w:rFonts w:ascii="Arial" w:cs="Arial" w:eastAsia="Arial" w:hAnsi="Arial"/>
                <w:sz w:val="17"/>
                <w:szCs w:val="17"/>
                <w:color w:val="auto"/>
              </w:rPr>
              <w:t>521.3</w:t>
            </w:r>
          </w:p>
        </w:tc>
        <w:tc>
          <w:tcPr>
            <w:tcW w:w="340" w:type="dxa"/>
            <w:vAlign w:val="bottom"/>
          </w:tcPr>
          <w:p>
            <w:pPr>
              <w:spacing w:after="0"/>
              <w:rPr>
                <w:sz w:val="22"/>
                <w:szCs w:val="22"/>
                <w:color w:val="auto"/>
              </w:rPr>
            </w:pPr>
          </w:p>
        </w:tc>
        <w:tc>
          <w:tcPr>
            <w:tcW w:w="1020" w:type="dxa"/>
            <w:vAlign w:val="bottom"/>
          </w:tcPr>
          <w:p>
            <w:pPr>
              <w:jc w:val="right"/>
              <w:ind w:right="15"/>
              <w:spacing w:after="0"/>
              <w:rPr>
                <w:sz w:val="20"/>
                <w:szCs w:val="20"/>
                <w:color w:val="auto"/>
              </w:rPr>
            </w:pPr>
            <w:r>
              <w:rPr>
                <w:rFonts w:ascii="Arial" w:cs="Arial" w:eastAsia="Arial" w:hAnsi="Arial"/>
                <w:sz w:val="17"/>
                <w:szCs w:val="17"/>
                <w:color w:val="auto"/>
              </w:rPr>
              <w:t>521.3</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ind w:right="15"/>
              <w:spacing w:after="0"/>
              <w:rPr>
                <w:sz w:val="20"/>
                <w:szCs w:val="20"/>
                <w:color w:val="auto"/>
              </w:rPr>
            </w:pPr>
            <w:r>
              <w:rPr>
                <w:rFonts w:ascii="Arial" w:cs="Arial" w:eastAsia="Arial" w:hAnsi="Arial"/>
                <w:sz w:val="17"/>
                <w:szCs w:val="17"/>
                <w:color w:val="auto"/>
              </w:rPr>
              <w:t>521.3</w:t>
            </w:r>
          </w:p>
        </w:tc>
      </w:tr>
      <w:tr>
        <w:trPr>
          <w:trHeight w:val="279"/>
        </w:trPr>
        <w:tc>
          <w:tcPr>
            <w:tcW w:w="680" w:type="dxa"/>
            <w:vAlign w:val="bottom"/>
            <w:shd w:val="clear" w:color="auto" w:fill="CCEEFF"/>
          </w:tcPr>
          <w:p>
            <w:pPr>
              <w:ind w:left="180"/>
              <w:spacing w:after="0"/>
              <w:rPr>
                <w:sz w:val="20"/>
                <w:szCs w:val="20"/>
                <w:color w:val="auto"/>
              </w:rPr>
            </w:pPr>
            <w:r>
              <w:rPr>
                <w:rFonts w:ascii="Arial" w:cs="Arial" w:eastAsia="Arial" w:hAnsi="Arial"/>
                <w:sz w:val="17"/>
                <w:szCs w:val="17"/>
                <w:color w:val="auto"/>
                <w:w w:val="99"/>
              </w:rPr>
              <w:t>5.50%</w:t>
            </w:r>
          </w:p>
        </w:tc>
        <w:tc>
          <w:tcPr>
            <w:tcW w:w="6140" w:type="dxa"/>
            <w:vAlign w:val="bottom"/>
            <w:shd w:val="clear" w:color="auto" w:fill="CCEEFF"/>
          </w:tcPr>
          <w:p>
            <w:pPr>
              <w:ind w:left="20"/>
              <w:spacing w:after="0"/>
              <w:rPr>
                <w:sz w:val="20"/>
                <w:szCs w:val="20"/>
                <w:color w:val="auto"/>
              </w:rPr>
            </w:pPr>
            <w:r>
              <w:rPr>
                <w:rFonts w:ascii="Arial" w:cs="Arial" w:eastAsia="Arial" w:hAnsi="Arial"/>
                <w:sz w:val="17"/>
                <w:szCs w:val="17"/>
                <w:color w:val="auto"/>
              </w:rPr>
              <w:t>USD Senior Secured Notes due 2026</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80" w:type="dxa"/>
            <w:vAlign w:val="bottom"/>
            <w:shd w:val="clear" w:color="auto" w:fill="CCEEFF"/>
          </w:tcPr>
          <w:p>
            <w:pPr>
              <w:jc w:val="right"/>
              <w:ind w:right="136"/>
              <w:spacing w:after="0"/>
              <w:rPr>
                <w:sz w:val="20"/>
                <w:szCs w:val="20"/>
                <w:color w:val="auto"/>
              </w:rPr>
            </w:pPr>
            <w:r>
              <w:rPr>
                <w:rFonts w:ascii="Arial" w:cs="Arial" w:eastAsia="Arial" w:hAnsi="Arial"/>
                <w:sz w:val="17"/>
                <w:szCs w:val="17"/>
                <w:color w:val="auto"/>
              </w:rPr>
              <w:t>750.0</w:t>
            </w:r>
          </w:p>
        </w:tc>
        <w:tc>
          <w:tcPr>
            <w:tcW w:w="3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605.0</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565.5</w:t>
            </w:r>
          </w:p>
        </w:tc>
      </w:tr>
      <w:tr>
        <w:trPr>
          <w:trHeight w:val="261"/>
        </w:trPr>
        <w:tc>
          <w:tcPr>
            <w:tcW w:w="6820" w:type="dxa"/>
            <w:vAlign w:val="bottom"/>
            <w:gridSpan w:val="2"/>
          </w:tcPr>
          <w:p>
            <w:pPr>
              <w:ind w:left="180"/>
              <w:spacing w:after="0"/>
              <w:rPr>
                <w:sz w:val="20"/>
                <w:szCs w:val="20"/>
                <w:color w:val="auto"/>
              </w:rPr>
            </w:pPr>
            <w:r>
              <w:rPr>
                <w:rFonts w:ascii="Arial" w:cs="Arial" w:eastAsia="Arial" w:hAnsi="Arial"/>
                <w:sz w:val="17"/>
                <w:szCs w:val="17"/>
                <w:color w:val="auto"/>
              </w:rPr>
              <w:t>4.875% GBP Senior Secured Notes due 2027</w:t>
            </w: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1280" w:type="dxa"/>
            <w:vAlign w:val="bottom"/>
          </w:tcPr>
          <w:p>
            <w:pPr>
              <w:jc w:val="right"/>
              <w:ind w:right="136"/>
              <w:spacing w:after="0"/>
              <w:rPr>
                <w:sz w:val="20"/>
                <w:szCs w:val="20"/>
                <w:color w:val="auto"/>
              </w:rPr>
            </w:pPr>
            <w:r>
              <w:rPr>
                <w:rFonts w:ascii="Arial" w:cs="Arial" w:eastAsia="Arial" w:hAnsi="Arial"/>
                <w:sz w:val="17"/>
                <w:szCs w:val="17"/>
                <w:color w:val="auto"/>
              </w:rPr>
              <w:t>525.0</w:t>
            </w:r>
          </w:p>
        </w:tc>
        <w:tc>
          <w:tcPr>
            <w:tcW w:w="340" w:type="dxa"/>
            <w:vAlign w:val="bottom"/>
          </w:tcPr>
          <w:p>
            <w:pPr>
              <w:spacing w:after="0"/>
              <w:rPr>
                <w:sz w:val="22"/>
                <w:szCs w:val="22"/>
                <w:color w:val="auto"/>
              </w:rPr>
            </w:pPr>
          </w:p>
        </w:tc>
        <w:tc>
          <w:tcPr>
            <w:tcW w:w="1020" w:type="dxa"/>
            <w:vAlign w:val="bottom"/>
          </w:tcPr>
          <w:p>
            <w:pPr>
              <w:jc w:val="right"/>
              <w:ind w:right="15"/>
              <w:spacing w:after="0"/>
              <w:rPr>
                <w:sz w:val="20"/>
                <w:szCs w:val="20"/>
                <w:color w:val="auto"/>
              </w:rPr>
            </w:pPr>
            <w:r>
              <w:rPr>
                <w:rFonts w:ascii="Arial" w:cs="Arial" w:eastAsia="Arial" w:hAnsi="Arial"/>
                <w:sz w:val="17"/>
                <w:szCs w:val="17"/>
                <w:color w:val="auto"/>
              </w:rPr>
              <w:t>525.0</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ind w:right="15"/>
              <w:spacing w:after="0"/>
              <w:rPr>
                <w:sz w:val="20"/>
                <w:szCs w:val="20"/>
                <w:color w:val="auto"/>
              </w:rPr>
            </w:pPr>
            <w:r>
              <w:rPr>
                <w:rFonts w:ascii="Arial" w:cs="Arial" w:eastAsia="Arial" w:hAnsi="Arial"/>
                <w:sz w:val="17"/>
                <w:szCs w:val="17"/>
                <w:color w:val="auto"/>
              </w:rPr>
              <w:t>525.0</w:t>
            </w:r>
          </w:p>
        </w:tc>
      </w:tr>
      <w:tr>
        <w:trPr>
          <w:trHeight w:val="279"/>
        </w:trPr>
        <w:tc>
          <w:tcPr>
            <w:tcW w:w="680" w:type="dxa"/>
            <w:vAlign w:val="bottom"/>
            <w:shd w:val="clear" w:color="auto" w:fill="CCEEFF"/>
          </w:tcPr>
          <w:p>
            <w:pPr>
              <w:ind w:left="180"/>
              <w:spacing w:after="0"/>
              <w:rPr>
                <w:sz w:val="20"/>
                <w:szCs w:val="20"/>
                <w:color w:val="auto"/>
              </w:rPr>
            </w:pPr>
            <w:r>
              <w:rPr>
                <w:rFonts w:ascii="Arial" w:cs="Arial" w:eastAsia="Arial" w:hAnsi="Arial"/>
                <w:sz w:val="17"/>
                <w:szCs w:val="17"/>
                <w:color w:val="auto"/>
                <w:w w:val="99"/>
              </w:rPr>
              <w:t>5.00%</w:t>
            </w:r>
          </w:p>
        </w:tc>
        <w:tc>
          <w:tcPr>
            <w:tcW w:w="6140" w:type="dxa"/>
            <w:vAlign w:val="bottom"/>
            <w:shd w:val="clear" w:color="auto" w:fill="CCEEFF"/>
          </w:tcPr>
          <w:p>
            <w:pPr>
              <w:ind w:left="20"/>
              <w:spacing w:after="0"/>
              <w:rPr>
                <w:sz w:val="20"/>
                <w:szCs w:val="20"/>
                <w:color w:val="auto"/>
              </w:rPr>
            </w:pPr>
            <w:r>
              <w:rPr>
                <w:rFonts w:ascii="Arial" w:cs="Arial" w:eastAsia="Arial" w:hAnsi="Arial"/>
                <w:sz w:val="17"/>
                <w:szCs w:val="17"/>
                <w:color w:val="auto"/>
              </w:rPr>
              <w:t>GBP Senior Secured Notes due 2027</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80" w:type="dxa"/>
            <w:vAlign w:val="bottom"/>
            <w:shd w:val="clear" w:color="auto" w:fill="CCEEFF"/>
          </w:tcPr>
          <w:p>
            <w:pPr>
              <w:jc w:val="right"/>
              <w:ind w:right="136"/>
              <w:spacing w:after="0"/>
              <w:rPr>
                <w:sz w:val="20"/>
                <w:szCs w:val="20"/>
                <w:color w:val="auto"/>
              </w:rPr>
            </w:pPr>
            <w:r>
              <w:rPr>
                <w:rFonts w:ascii="Arial" w:cs="Arial" w:eastAsia="Arial" w:hAnsi="Arial"/>
                <w:sz w:val="17"/>
                <w:szCs w:val="17"/>
                <w:color w:val="auto"/>
              </w:rPr>
              <w:t>675.0</w:t>
            </w:r>
          </w:p>
        </w:tc>
        <w:tc>
          <w:tcPr>
            <w:tcW w:w="3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675.0</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675.0</w:t>
            </w:r>
          </w:p>
        </w:tc>
      </w:tr>
      <w:tr>
        <w:trPr>
          <w:trHeight w:val="261"/>
        </w:trPr>
        <w:tc>
          <w:tcPr>
            <w:tcW w:w="680" w:type="dxa"/>
            <w:vAlign w:val="bottom"/>
          </w:tcPr>
          <w:p>
            <w:pPr>
              <w:ind w:left="180"/>
              <w:spacing w:after="0"/>
              <w:rPr>
                <w:sz w:val="20"/>
                <w:szCs w:val="20"/>
                <w:color w:val="auto"/>
              </w:rPr>
            </w:pPr>
            <w:r>
              <w:rPr>
                <w:rFonts w:ascii="Arial" w:cs="Arial" w:eastAsia="Arial" w:hAnsi="Arial"/>
                <w:sz w:val="17"/>
                <w:szCs w:val="17"/>
                <w:color w:val="auto"/>
                <w:w w:val="99"/>
              </w:rPr>
              <w:t>6.25%</w:t>
            </w:r>
          </w:p>
        </w:tc>
        <w:tc>
          <w:tcPr>
            <w:tcW w:w="6140" w:type="dxa"/>
            <w:vAlign w:val="bottom"/>
          </w:tcPr>
          <w:p>
            <w:pPr>
              <w:ind w:left="20"/>
              <w:spacing w:after="0"/>
              <w:rPr>
                <w:sz w:val="20"/>
                <w:szCs w:val="20"/>
                <w:color w:val="auto"/>
              </w:rPr>
            </w:pPr>
            <w:r>
              <w:rPr>
                <w:rFonts w:ascii="Arial" w:cs="Arial" w:eastAsia="Arial" w:hAnsi="Arial"/>
                <w:sz w:val="17"/>
                <w:szCs w:val="17"/>
                <w:color w:val="auto"/>
              </w:rPr>
              <w:t>GBP Senior Secured Notes due 2029</w:t>
            </w: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1280" w:type="dxa"/>
            <w:vAlign w:val="bottom"/>
          </w:tcPr>
          <w:p>
            <w:pPr>
              <w:jc w:val="right"/>
              <w:ind w:right="136"/>
              <w:spacing w:after="0"/>
              <w:rPr>
                <w:sz w:val="20"/>
                <w:szCs w:val="20"/>
                <w:color w:val="auto"/>
              </w:rPr>
            </w:pPr>
            <w:r>
              <w:rPr>
                <w:rFonts w:ascii="Arial" w:cs="Arial" w:eastAsia="Arial" w:hAnsi="Arial"/>
                <w:sz w:val="17"/>
                <w:szCs w:val="17"/>
                <w:color w:val="auto"/>
              </w:rPr>
              <w:t>360.0</w:t>
            </w:r>
          </w:p>
        </w:tc>
        <w:tc>
          <w:tcPr>
            <w:tcW w:w="340" w:type="dxa"/>
            <w:vAlign w:val="bottom"/>
          </w:tcPr>
          <w:p>
            <w:pPr>
              <w:spacing w:after="0"/>
              <w:rPr>
                <w:sz w:val="22"/>
                <w:szCs w:val="22"/>
                <w:color w:val="auto"/>
              </w:rPr>
            </w:pPr>
          </w:p>
        </w:tc>
        <w:tc>
          <w:tcPr>
            <w:tcW w:w="1020" w:type="dxa"/>
            <w:vAlign w:val="bottom"/>
          </w:tcPr>
          <w:p>
            <w:pPr>
              <w:jc w:val="right"/>
              <w:ind w:right="15"/>
              <w:spacing w:after="0"/>
              <w:rPr>
                <w:sz w:val="20"/>
                <w:szCs w:val="20"/>
                <w:color w:val="auto"/>
              </w:rPr>
            </w:pPr>
            <w:r>
              <w:rPr>
                <w:rFonts w:ascii="Arial" w:cs="Arial" w:eastAsia="Arial" w:hAnsi="Arial"/>
                <w:sz w:val="17"/>
                <w:szCs w:val="17"/>
                <w:color w:val="auto"/>
              </w:rPr>
              <w:t>360.0</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ind w:right="15"/>
              <w:spacing w:after="0"/>
              <w:rPr>
                <w:sz w:val="20"/>
                <w:szCs w:val="20"/>
                <w:color w:val="auto"/>
              </w:rPr>
            </w:pPr>
            <w:r>
              <w:rPr>
                <w:rFonts w:ascii="Arial" w:cs="Arial" w:eastAsia="Arial" w:hAnsi="Arial"/>
                <w:sz w:val="17"/>
                <w:szCs w:val="17"/>
                <w:color w:val="auto"/>
              </w:rPr>
              <w:t>360.0</w:t>
            </w:r>
          </w:p>
        </w:tc>
      </w:tr>
      <w:tr>
        <w:trPr>
          <w:trHeight w:val="279"/>
        </w:trPr>
        <w:tc>
          <w:tcPr>
            <w:tcW w:w="680" w:type="dxa"/>
            <w:vAlign w:val="bottom"/>
            <w:shd w:val="clear" w:color="auto" w:fill="CCEEFF"/>
          </w:tcPr>
          <w:p>
            <w:pPr>
              <w:ind w:left="180"/>
              <w:spacing w:after="0"/>
              <w:rPr>
                <w:sz w:val="20"/>
                <w:szCs w:val="20"/>
                <w:color w:val="auto"/>
              </w:rPr>
            </w:pPr>
            <w:r>
              <w:rPr>
                <w:rFonts w:ascii="Arial" w:cs="Arial" w:eastAsia="Arial" w:hAnsi="Arial"/>
                <w:sz w:val="17"/>
                <w:szCs w:val="17"/>
                <w:color w:val="auto"/>
                <w:w w:val="99"/>
              </w:rPr>
              <w:t>5.50%</w:t>
            </w:r>
          </w:p>
        </w:tc>
        <w:tc>
          <w:tcPr>
            <w:tcW w:w="6140" w:type="dxa"/>
            <w:vAlign w:val="bottom"/>
            <w:shd w:val="clear" w:color="auto" w:fill="CCEEFF"/>
          </w:tcPr>
          <w:p>
            <w:pPr>
              <w:ind w:left="20"/>
              <w:spacing w:after="0"/>
              <w:rPr>
                <w:sz w:val="20"/>
                <w:szCs w:val="20"/>
                <w:color w:val="auto"/>
              </w:rPr>
            </w:pPr>
            <w:r>
              <w:rPr>
                <w:rFonts w:ascii="Arial" w:cs="Arial" w:eastAsia="Arial" w:hAnsi="Arial"/>
                <w:sz w:val="17"/>
                <w:szCs w:val="17"/>
                <w:color w:val="auto"/>
              </w:rPr>
              <w:t>USD Senior Secured Notes due 2029</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80" w:type="dxa"/>
            <w:vAlign w:val="bottom"/>
            <w:shd w:val="clear" w:color="auto" w:fill="CCEEFF"/>
          </w:tcPr>
          <w:p>
            <w:pPr>
              <w:jc w:val="right"/>
              <w:ind w:right="136"/>
              <w:spacing w:after="0"/>
              <w:rPr>
                <w:sz w:val="20"/>
                <w:szCs w:val="20"/>
                <w:color w:val="auto"/>
              </w:rPr>
            </w:pPr>
            <w:r>
              <w:rPr>
                <w:rFonts w:ascii="Arial" w:cs="Arial" w:eastAsia="Arial" w:hAnsi="Arial"/>
                <w:sz w:val="17"/>
                <w:szCs w:val="17"/>
                <w:color w:val="auto"/>
              </w:rPr>
              <w:t>1,425.0</w:t>
            </w:r>
          </w:p>
        </w:tc>
        <w:tc>
          <w:tcPr>
            <w:tcW w:w="3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1,149.4</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1,074.4</w:t>
            </w:r>
          </w:p>
        </w:tc>
      </w:tr>
      <w:tr>
        <w:trPr>
          <w:trHeight w:val="261"/>
        </w:trPr>
        <w:tc>
          <w:tcPr>
            <w:tcW w:w="680" w:type="dxa"/>
            <w:vAlign w:val="bottom"/>
          </w:tcPr>
          <w:p>
            <w:pPr>
              <w:ind w:left="180"/>
              <w:spacing w:after="0"/>
              <w:rPr>
                <w:sz w:val="20"/>
                <w:szCs w:val="20"/>
                <w:color w:val="auto"/>
              </w:rPr>
            </w:pPr>
            <w:r>
              <w:rPr>
                <w:rFonts w:ascii="Arial" w:cs="Arial" w:eastAsia="Arial" w:hAnsi="Arial"/>
                <w:sz w:val="17"/>
                <w:szCs w:val="17"/>
                <w:color w:val="auto"/>
                <w:w w:val="99"/>
              </w:rPr>
              <w:t>5.25%</w:t>
            </w:r>
          </w:p>
        </w:tc>
        <w:tc>
          <w:tcPr>
            <w:tcW w:w="6140" w:type="dxa"/>
            <w:vAlign w:val="bottom"/>
          </w:tcPr>
          <w:p>
            <w:pPr>
              <w:ind w:left="20"/>
              <w:spacing w:after="0"/>
              <w:rPr>
                <w:sz w:val="20"/>
                <w:szCs w:val="20"/>
                <w:color w:val="auto"/>
              </w:rPr>
            </w:pPr>
            <w:r>
              <w:rPr>
                <w:rFonts w:ascii="Arial" w:cs="Arial" w:eastAsia="Arial" w:hAnsi="Arial"/>
                <w:sz w:val="17"/>
                <w:szCs w:val="17"/>
                <w:color w:val="auto"/>
              </w:rPr>
              <w:t>GBP Senior Secured Notes due 2029</w:t>
            </w: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1280" w:type="dxa"/>
            <w:vAlign w:val="bottom"/>
          </w:tcPr>
          <w:p>
            <w:pPr>
              <w:jc w:val="right"/>
              <w:ind w:right="136"/>
              <w:spacing w:after="0"/>
              <w:rPr>
                <w:sz w:val="20"/>
                <w:szCs w:val="20"/>
                <w:color w:val="auto"/>
              </w:rPr>
            </w:pPr>
            <w:r>
              <w:rPr>
                <w:rFonts w:ascii="Arial" w:cs="Arial" w:eastAsia="Arial" w:hAnsi="Arial"/>
                <w:sz w:val="17"/>
                <w:szCs w:val="17"/>
                <w:color w:val="auto"/>
              </w:rPr>
              <w:t>340.0</w:t>
            </w:r>
          </w:p>
        </w:tc>
        <w:tc>
          <w:tcPr>
            <w:tcW w:w="340" w:type="dxa"/>
            <w:vAlign w:val="bottom"/>
          </w:tcPr>
          <w:p>
            <w:pPr>
              <w:spacing w:after="0"/>
              <w:rPr>
                <w:sz w:val="22"/>
                <w:szCs w:val="22"/>
                <w:color w:val="auto"/>
              </w:rPr>
            </w:pPr>
          </w:p>
        </w:tc>
        <w:tc>
          <w:tcPr>
            <w:tcW w:w="1020" w:type="dxa"/>
            <w:vAlign w:val="bottom"/>
          </w:tcPr>
          <w:p>
            <w:pPr>
              <w:jc w:val="right"/>
              <w:ind w:right="15"/>
              <w:spacing w:after="0"/>
              <w:rPr>
                <w:sz w:val="20"/>
                <w:szCs w:val="20"/>
                <w:color w:val="auto"/>
              </w:rPr>
            </w:pPr>
            <w:r>
              <w:rPr>
                <w:rFonts w:ascii="Arial" w:cs="Arial" w:eastAsia="Arial" w:hAnsi="Arial"/>
                <w:sz w:val="17"/>
                <w:szCs w:val="17"/>
                <w:color w:val="auto"/>
              </w:rPr>
              <w:t>340.0</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ind w:right="15"/>
              <w:spacing w:after="0"/>
              <w:rPr>
                <w:sz w:val="20"/>
                <w:szCs w:val="20"/>
                <w:color w:val="auto"/>
              </w:rPr>
            </w:pPr>
            <w:r>
              <w:rPr>
                <w:rFonts w:ascii="Arial" w:cs="Arial" w:eastAsia="Arial" w:hAnsi="Arial"/>
                <w:sz w:val="17"/>
                <w:szCs w:val="17"/>
                <w:color w:val="auto"/>
              </w:rPr>
              <w:t>340.0</w:t>
            </w:r>
          </w:p>
        </w:tc>
      </w:tr>
      <w:tr>
        <w:trPr>
          <w:trHeight w:val="272"/>
        </w:trPr>
        <w:tc>
          <w:tcPr>
            <w:tcW w:w="680" w:type="dxa"/>
            <w:vAlign w:val="bottom"/>
            <w:shd w:val="clear" w:color="auto" w:fill="CCEEFF"/>
          </w:tcPr>
          <w:p>
            <w:pPr>
              <w:ind w:left="180"/>
              <w:spacing w:after="0"/>
              <w:rPr>
                <w:sz w:val="20"/>
                <w:szCs w:val="20"/>
                <w:color w:val="auto"/>
              </w:rPr>
            </w:pPr>
            <w:r>
              <w:rPr>
                <w:rFonts w:ascii="Arial" w:cs="Arial" w:eastAsia="Arial" w:hAnsi="Arial"/>
                <w:sz w:val="17"/>
                <w:szCs w:val="17"/>
                <w:color w:val="auto"/>
                <w:w w:val="99"/>
              </w:rPr>
              <w:t>4.25%</w:t>
            </w:r>
          </w:p>
        </w:tc>
        <w:tc>
          <w:tcPr>
            <w:tcW w:w="6140" w:type="dxa"/>
            <w:vAlign w:val="bottom"/>
            <w:shd w:val="clear" w:color="auto" w:fill="CCEEFF"/>
          </w:tcPr>
          <w:p>
            <w:pPr>
              <w:ind w:left="20"/>
              <w:spacing w:after="0"/>
              <w:rPr>
                <w:sz w:val="20"/>
                <w:szCs w:val="20"/>
                <w:color w:val="auto"/>
              </w:rPr>
            </w:pPr>
            <w:r>
              <w:rPr>
                <w:rFonts w:ascii="Arial" w:cs="Arial" w:eastAsia="Arial" w:hAnsi="Arial"/>
                <w:sz w:val="17"/>
                <w:szCs w:val="17"/>
                <w:color w:val="auto"/>
              </w:rPr>
              <w:t>GBP Senior Secured Notes due 2030</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80" w:type="dxa"/>
            <w:vAlign w:val="bottom"/>
            <w:shd w:val="clear" w:color="auto" w:fill="CCEEFF"/>
          </w:tcPr>
          <w:p>
            <w:pPr>
              <w:jc w:val="right"/>
              <w:ind w:right="136"/>
              <w:spacing w:after="0"/>
              <w:rPr>
                <w:sz w:val="20"/>
                <w:szCs w:val="20"/>
                <w:color w:val="auto"/>
              </w:rPr>
            </w:pPr>
            <w:r>
              <w:rPr>
                <w:rFonts w:ascii="Arial" w:cs="Arial" w:eastAsia="Arial" w:hAnsi="Arial"/>
                <w:sz w:val="17"/>
                <w:szCs w:val="17"/>
                <w:color w:val="auto"/>
              </w:rPr>
              <w:t>400.0</w:t>
            </w:r>
          </w:p>
        </w:tc>
        <w:tc>
          <w:tcPr>
            <w:tcW w:w="3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400.0</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400.0</w:t>
            </w:r>
          </w:p>
        </w:tc>
      </w:tr>
      <w:tr>
        <w:trPr>
          <w:trHeight w:val="250"/>
        </w:trPr>
        <w:tc>
          <w:tcPr>
            <w:tcW w:w="6820" w:type="dxa"/>
            <w:vAlign w:val="bottom"/>
            <w:tcBorders>
              <w:bottom w:val="single" w:sz="8" w:color="CCEEFF"/>
            </w:tcBorders>
            <w:gridSpan w:val="2"/>
          </w:tcPr>
          <w:p>
            <w:pPr>
              <w:ind w:left="280"/>
              <w:spacing w:after="0"/>
              <w:rPr>
                <w:sz w:val="20"/>
                <w:szCs w:val="20"/>
                <w:color w:val="auto"/>
              </w:rPr>
            </w:pPr>
            <w:r>
              <w:rPr>
                <w:rFonts w:ascii="Arial" w:cs="Arial" w:eastAsia="Arial" w:hAnsi="Arial"/>
                <w:sz w:val="17"/>
                <w:szCs w:val="17"/>
                <w:color w:val="auto"/>
              </w:rPr>
              <w:t>Total Senior Secured Notes</w:t>
            </w:r>
          </w:p>
        </w:tc>
        <w:tc>
          <w:tcPr>
            <w:tcW w:w="200" w:type="dxa"/>
            <w:vAlign w:val="bottom"/>
            <w:tcBorders>
              <w:bottom w:val="single" w:sz="8" w:color="CCEEFF"/>
            </w:tcBorders>
          </w:tcPr>
          <w:p>
            <w:pPr>
              <w:spacing w:after="0"/>
              <w:rPr>
                <w:sz w:val="21"/>
                <w:szCs w:val="21"/>
                <w:color w:val="auto"/>
              </w:rPr>
            </w:pPr>
          </w:p>
        </w:tc>
        <w:tc>
          <w:tcPr>
            <w:tcW w:w="128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4,575.7</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4,461.2</w:t>
            </w:r>
          </w:p>
        </w:tc>
      </w:tr>
      <w:tr>
        <w:trPr>
          <w:trHeight w:val="189"/>
        </w:trPr>
        <w:tc>
          <w:tcPr>
            <w:tcW w:w="680" w:type="dxa"/>
            <w:vAlign w:val="bottom"/>
            <w:shd w:val="clear" w:color="auto" w:fill="CCEEFF"/>
          </w:tcPr>
          <w:p>
            <w:pPr>
              <w:spacing w:after="0"/>
              <w:rPr>
                <w:sz w:val="16"/>
                <w:szCs w:val="16"/>
                <w:color w:val="auto"/>
              </w:rPr>
            </w:pPr>
          </w:p>
        </w:tc>
        <w:tc>
          <w:tcPr>
            <w:tcW w:w="6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r>
      <w:tr>
        <w:trPr>
          <w:trHeight w:val="261"/>
        </w:trPr>
        <w:tc>
          <w:tcPr>
            <w:tcW w:w="6820" w:type="dxa"/>
            <w:vAlign w:val="bottom"/>
            <w:gridSpan w:val="2"/>
          </w:tcPr>
          <w:p>
            <w:pPr>
              <w:ind w:left="40"/>
              <w:spacing w:after="0"/>
              <w:rPr>
                <w:sz w:val="20"/>
                <w:szCs w:val="20"/>
                <w:color w:val="auto"/>
              </w:rPr>
            </w:pPr>
            <w:r>
              <w:rPr>
                <w:rFonts w:ascii="Arial" w:cs="Arial" w:eastAsia="Arial" w:hAnsi="Arial"/>
                <w:sz w:val="17"/>
                <w:szCs w:val="17"/>
                <w:b w:val="1"/>
                <w:bCs w:val="1"/>
                <w:color w:val="auto"/>
              </w:rPr>
              <w:t>Senior Notes:</w:t>
            </w:r>
          </w:p>
        </w:tc>
        <w:tc>
          <w:tcPr>
            <w:tcW w:w="2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spacing w:after="0"/>
              <w:rPr>
                <w:sz w:val="22"/>
                <w:szCs w:val="22"/>
                <w:color w:val="auto"/>
              </w:rPr>
            </w:pPr>
          </w:p>
        </w:tc>
      </w:tr>
      <w:tr>
        <w:trPr>
          <w:trHeight w:val="279"/>
        </w:trPr>
        <w:tc>
          <w:tcPr>
            <w:tcW w:w="682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4.875% USD Senior Notes due 2022</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80" w:type="dxa"/>
            <w:vAlign w:val="bottom"/>
            <w:shd w:val="clear" w:color="auto" w:fill="CCEEFF"/>
          </w:tcPr>
          <w:p>
            <w:pPr>
              <w:jc w:val="right"/>
              <w:ind w:right="136"/>
              <w:spacing w:after="0"/>
              <w:rPr>
                <w:sz w:val="20"/>
                <w:szCs w:val="20"/>
                <w:color w:val="auto"/>
              </w:rPr>
            </w:pPr>
            <w:r>
              <w:rPr>
                <w:rFonts w:ascii="Arial" w:cs="Arial" w:eastAsia="Arial" w:hAnsi="Arial"/>
                <w:sz w:val="17"/>
                <w:szCs w:val="17"/>
                <w:color w:val="auto"/>
              </w:rPr>
              <w:t>71.6</w:t>
            </w:r>
          </w:p>
        </w:tc>
        <w:tc>
          <w:tcPr>
            <w:tcW w:w="3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57.8</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54.0</w:t>
            </w:r>
          </w:p>
        </w:tc>
      </w:tr>
      <w:tr>
        <w:trPr>
          <w:trHeight w:val="261"/>
        </w:trPr>
        <w:tc>
          <w:tcPr>
            <w:tcW w:w="680" w:type="dxa"/>
            <w:vAlign w:val="bottom"/>
          </w:tcPr>
          <w:p>
            <w:pPr>
              <w:ind w:left="180"/>
              <w:spacing w:after="0"/>
              <w:rPr>
                <w:sz w:val="20"/>
                <w:szCs w:val="20"/>
                <w:color w:val="auto"/>
              </w:rPr>
            </w:pPr>
            <w:r>
              <w:rPr>
                <w:rFonts w:ascii="Arial" w:cs="Arial" w:eastAsia="Arial" w:hAnsi="Arial"/>
                <w:sz w:val="17"/>
                <w:szCs w:val="17"/>
                <w:color w:val="auto"/>
                <w:w w:val="99"/>
              </w:rPr>
              <w:t>5.25%</w:t>
            </w:r>
          </w:p>
        </w:tc>
        <w:tc>
          <w:tcPr>
            <w:tcW w:w="6140" w:type="dxa"/>
            <w:vAlign w:val="bottom"/>
          </w:tcPr>
          <w:p>
            <w:pPr>
              <w:ind w:left="20"/>
              <w:spacing w:after="0"/>
              <w:rPr>
                <w:sz w:val="20"/>
                <w:szCs w:val="20"/>
                <w:color w:val="auto"/>
              </w:rPr>
            </w:pPr>
            <w:r>
              <w:rPr>
                <w:rFonts w:ascii="Arial" w:cs="Arial" w:eastAsia="Arial" w:hAnsi="Arial"/>
                <w:sz w:val="17"/>
                <w:szCs w:val="17"/>
                <w:color w:val="auto"/>
              </w:rPr>
              <w:t>USD Senior Notes due 2022</w:t>
            </w: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1280" w:type="dxa"/>
            <w:vAlign w:val="bottom"/>
          </w:tcPr>
          <w:p>
            <w:pPr>
              <w:jc w:val="right"/>
              <w:ind w:right="136"/>
              <w:spacing w:after="0"/>
              <w:rPr>
                <w:sz w:val="20"/>
                <w:szCs w:val="20"/>
                <w:color w:val="auto"/>
              </w:rPr>
            </w:pPr>
            <w:r>
              <w:rPr>
                <w:rFonts w:ascii="Arial" w:cs="Arial" w:eastAsia="Arial" w:hAnsi="Arial"/>
                <w:sz w:val="17"/>
                <w:szCs w:val="17"/>
                <w:color w:val="auto"/>
              </w:rPr>
              <w:t>51.5</w:t>
            </w:r>
          </w:p>
        </w:tc>
        <w:tc>
          <w:tcPr>
            <w:tcW w:w="340" w:type="dxa"/>
            <w:vAlign w:val="bottom"/>
          </w:tcPr>
          <w:p>
            <w:pPr>
              <w:spacing w:after="0"/>
              <w:rPr>
                <w:sz w:val="22"/>
                <w:szCs w:val="22"/>
                <w:color w:val="auto"/>
              </w:rPr>
            </w:pPr>
          </w:p>
        </w:tc>
        <w:tc>
          <w:tcPr>
            <w:tcW w:w="1020" w:type="dxa"/>
            <w:vAlign w:val="bottom"/>
          </w:tcPr>
          <w:p>
            <w:pPr>
              <w:jc w:val="right"/>
              <w:ind w:right="15"/>
              <w:spacing w:after="0"/>
              <w:rPr>
                <w:sz w:val="20"/>
                <w:szCs w:val="20"/>
                <w:color w:val="auto"/>
              </w:rPr>
            </w:pPr>
            <w:r>
              <w:rPr>
                <w:rFonts w:ascii="Arial" w:cs="Arial" w:eastAsia="Arial" w:hAnsi="Arial"/>
                <w:sz w:val="17"/>
                <w:szCs w:val="17"/>
                <w:color w:val="auto"/>
              </w:rPr>
              <w:t>41.6</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ind w:right="15"/>
              <w:spacing w:after="0"/>
              <w:rPr>
                <w:sz w:val="20"/>
                <w:szCs w:val="20"/>
                <w:color w:val="auto"/>
              </w:rPr>
            </w:pPr>
            <w:r>
              <w:rPr>
                <w:rFonts w:ascii="Arial" w:cs="Arial" w:eastAsia="Arial" w:hAnsi="Arial"/>
                <w:sz w:val="17"/>
                <w:szCs w:val="17"/>
                <w:color w:val="auto"/>
              </w:rPr>
              <w:t>38.8</w:t>
            </w:r>
          </w:p>
        </w:tc>
      </w:tr>
      <w:tr>
        <w:trPr>
          <w:trHeight w:val="279"/>
        </w:trPr>
        <w:tc>
          <w:tcPr>
            <w:tcW w:w="682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5.125% GBP Senior Notes due 2022</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80" w:type="dxa"/>
            <w:vAlign w:val="bottom"/>
            <w:shd w:val="clear" w:color="auto" w:fill="CCEEFF"/>
          </w:tcPr>
          <w:p>
            <w:pPr>
              <w:jc w:val="right"/>
              <w:ind w:right="136"/>
              <w:spacing w:after="0"/>
              <w:rPr>
                <w:sz w:val="20"/>
                <w:szCs w:val="20"/>
                <w:color w:val="auto"/>
              </w:rPr>
            </w:pPr>
            <w:r>
              <w:rPr>
                <w:rFonts w:ascii="Arial" w:cs="Arial" w:eastAsia="Arial" w:hAnsi="Arial"/>
                <w:sz w:val="17"/>
                <w:szCs w:val="17"/>
                <w:color w:val="auto"/>
              </w:rPr>
              <w:t>44.1</w:t>
            </w:r>
          </w:p>
        </w:tc>
        <w:tc>
          <w:tcPr>
            <w:tcW w:w="3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44.1</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44.1</w:t>
            </w:r>
          </w:p>
        </w:tc>
      </w:tr>
      <w:tr>
        <w:trPr>
          <w:trHeight w:val="261"/>
        </w:trPr>
        <w:tc>
          <w:tcPr>
            <w:tcW w:w="680" w:type="dxa"/>
            <w:vAlign w:val="bottom"/>
          </w:tcPr>
          <w:p>
            <w:pPr>
              <w:ind w:left="180"/>
              <w:spacing w:after="0"/>
              <w:rPr>
                <w:sz w:val="20"/>
                <w:szCs w:val="20"/>
                <w:color w:val="auto"/>
              </w:rPr>
            </w:pPr>
            <w:r>
              <w:rPr>
                <w:rFonts w:ascii="Arial" w:cs="Arial" w:eastAsia="Arial" w:hAnsi="Arial"/>
                <w:sz w:val="17"/>
                <w:szCs w:val="17"/>
                <w:color w:val="auto"/>
                <w:w w:val="99"/>
              </w:rPr>
              <w:t>6.00%</w:t>
            </w:r>
          </w:p>
        </w:tc>
        <w:tc>
          <w:tcPr>
            <w:tcW w:w="6140" w:type="dxa"/>
            <w:vAlign w:val="bottom"/>
          </w:tcPr>
          <w:p>
            <w:pPr>
              <w:ind w:left="20"/>
              <w:spacing w:after="0"/>
              <w:rPr>
                <w:sz w:val="20"/>
                <w:szCs w:val="20"/>
                <w:color w:val="auto"/>
              </w:rPr>
            </w:pPr>
            <w:r>
              <w:rPr>
                <w:rFonts w:ascii="Arial" w:cs="Arial" w:eastAsia="Arial" w:hAnsi="Arial"/>
                <w:sz w:val="17"/>
                <w:szCs w:val="17"/>
                <w:color w:val="auto"/>
              </w:rPr>
              <w:t>USD Senior Notes due 2024</w:t>
            </w: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1280" w:type="dxa"/>
            <w:vAlign w:val="bottom"/>
          </w:tcPr>
          <w:p>
            <w:pPr>
              <w:jc w:val="right"/>
              <w:ind w:right="136"/>
              <w:spacing w:after="0"/>
              <w:rPr>
                <w:sz w:val="20"/>
                <w:szCs w:val="20"/>
                <w:color w:val="auto"/>
              </w:rPr>
            </w:pPr>
            <w:r>
              <w:rPr>
                <w:rFonts w:ascii="Arial" w:cs="Arial" w:eastAsia="Arial" w:hAnsi="Arial"/>
                <w:sz w:val="17"/>
                <w:szCs w:val="17"/>
                <w:color w:val="auto"/>
              </w:rPr>
              <w:t>497.0</w:t>
            </w:r>
          </w:p>
        </w:tc>
        <w:tc>
          <w:tcPr>
            <w:tcW w:w="340" w:type="dxa"/>
            <w:vAlign w:val="bottom"/>
          </w:tcPr>
          <w:p>
            <w:pPr>
              <w:spacing w:after="0"/>
              <w:rPr>
                <w:sz w:val="22"/>
                <w:szCs w:val="22"/>
                <w:color w:val="auto"/>
              </w:rPr>
            </w:pPr>
          </w:p>
        </w:tc>
        <w:tc>
          <w:tcPr>
            <w:tcW w:w="1020" w:type="dxa"/>
            <w:vAlign w:val="bottom"/>
          </w:tcPr>
          <w:p>
            <w:pPr>
              <w:jc w:val="right"/>
              <w:ind w:right="15"/>
              <w:spacing w:after="0"/>
              <w:rPr>
                <w:sz w:val="20"/>
                <w:szCs w:val="20"/>
                <w:color w:val="auto"/>
              </w:rPr>
            </w:pPr>
            <w:r>
              <w:rPr>
                <w:rFonts w:ascii="Arial" w:cs="Arial" w:eastAsia="Arial" w:hAnsi="Arial"/>
                <w:sz w:val="17"/>
                <w:szCs w:val="17"/>
                <w:color w:val="auto"/>
              </w:rPr>
              <w:t>400.9</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ind w:right="15"/>
              <w:spacing w:after="0"/>
              <w:rPr>
                <w:sz w:val="20"/>
                <w:szCs w:val="20"/>
                <w:color w:val="auto"/>
              </w:rPr>
            </w:pPr>
            <w:r>
              <w:rPr>
                <w:rFonts w:ascii="Arial" w:cs="Arial" w:eastAsia="Arial" w:hAnsi="Arial"/>
                <w:sz w:val="17"/>
                <w:szCs w:val="17"/>
                <w:color w:val="auto"/>
              </w:rPr>
              <w:t>374.7</w:t>
            </w:r>
          </w:p>
        </w:tc>
      </w:tr>
      <w:tr>
        <w:trPr>
          <w:trHeight w:val="279"/>
        </w:trPr>
        <w:tc>
          <w:tcPr>
            <w:tcW w:w="680" w:type="dxa"/>
            <w:vAlign w:val="bottom"/>
            <w:shd w:val="clear" w:color="auto" w:fill="CCEEFF"/>
          </w:tcPr>
          <w:p>
            <w:pPr>
              <w:ind w:left="180"/>
              <w:spacing w:after="0"/>
              <w:rPr>
                <w:sz w:val="20"/>
                <w:szCs w:val="20"/>
                <w:color w:val="auto"/>
              </w:rPr>
            </w:pPr>
            <w:r>
              <w:rPr>
                <w:rFonts w:ascii="Arial" w:cs="Arial" w:eastAsia="Arial" w:hAnsi="Arial"/>
                <w:sz w:val="17"/>
                <w:szCs w:val="17"/>
                <w:color w:val="auto"/>
                <w:w w:val="99"/>
              </w:rPr>
              <w:t>4.50%</w:t>
            </w:r>
          </w:p>
        </w:tc>
        <w:tc>
          <w:tcPr>
            <w:tcW w:w="6140" w:type="dxa"/>
            <w:vAlign w:val="bottom"/>
            <w:shd w:val="clear" w:color="auto" w:fill="CCEEFF"/>
          </w:tcPr>
          <w:p>
            <w:pPr>
              <w:ind w:left="20"/>
              <w:spacing w:after="0"/>
              <w:rPr>
                <w:sz w:val="20"/>
                <w:szCs w:val="20"/>
                <w:color w:val="auto"/>
              </w:rPr>
            </w:pPr>
            <w:r>
              <w:rPr>
                <w:rFonts w:ascii="Arial" w:cs="Arial" w:eastAsia="Arial" w:hAnsi="Arial"/>
                <w:sz w:val="17"/>
                <w:szCs w:val="17"/>
                <w:color w:val="auto"/>
              </w:rPr>
              <w:t>EUR Senior Notes due 2025</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80" w:type="dxa"/>
            <w:vAlign w:val="bottom"/>
            <w:shd w:val="clear" w:color="auto" w:fill="CCEEFF"/>
          </w:tcPr>
          <w:p>
            <w:pPr>
              <w:jc w:val="right"/>
              <w:ind w:right="136"/>
              <w:spacing w:after="0"/>
              <w:rPr>
                <w:sz w:val="20"/>
                <w:szCs w:val="20"/>
                <w:color w:val="auto"/>
              </w:rPr>
            </w:pPr>
            <w:r>
              <w:rPr>
                <w:rFonts w:ascii="Arial" w:cs="Arial" w:eastAsia="Arial" w:hAnsi="Arial"/>
                <w:sz w:val="17"/>
                <w:szCs w:val="17"/>
                <w:color w:val="auto"/>
              </w:rPr>
              <w:t>460.0</w:t>
            </w:r>
          </w:p>
        </w:tc>
        <w:tc>
          <w:tcPr>
            <w:tcW w:w="3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407.1</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389.5</w:t>
            </w:r>
          </w:p>
        </w:tc>
      </w:tr>
      <w:tr>
        <w:trPr>
          <w:trHeight w:val="264"/>
        </w:trPr>
        <w:tc>
          <w:tcPr>
            <w:tcW w:w="680" w:type="dxa"/>
            <w:vAlign w:val="bottom"/>
            <w:tcBorders>
              <w:bottom w:val="single" w:sz="8" w:color="CCEEFF"/>
            </w:tcBorders>
          </w:tcPr>
          <w:p>
            <w:pPr>
              <w:ind w:left="180"/>
              <w:spacing w:after="0"/>
              <w:rPr>
                <w:sz w:val="20"/>
                <w:szCs w:val="20"/>
                <w:color w:val="auto"/>
              </w:rPr>
            </w:pPr>
            <w:r>
              <w:rPr>
                <w:rFonts w:ascii="Arial" w:cs="Arial" w:eastAsia="Arial" w:hAnsi="Arial"/>
                <w:sz w:val="17"/>
                <w:szCs w:val="17"/>
                <w:color w:val="auto"/>
                <w:w w:val="99"/>
              </w:rPr>
              <w:t>5.75%</w:t>
            </w:r>
          </w:p>
        </w:tc>
        <w:tc>
          <w:tcPr>
            <w:tcW w:w="61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USD Senior Notes due 2025</w:t>
            </w:r>
          </w:p>
        </w:tc>
        <w:tc>
          <w:tcPr>
            <w:tcW w:w="200" w:type="dxa"/>
            <w:vAlign w:val="bottom"/>
            <w:tcBorders>
              <w:bottom w:val="single" w:sz="8" w:color="CCEEFF"/>
            </w:tcBorders>
          </w:tcPr>
          <w:p>
            <w:pPr>
              <w:jc w:val="right"/>
              <w:spacing w:after="0"/>
              <w:rPr>
                <w:sz w:val="20"/>
                <w:szCs w:val="20"/>
                <w:color w:val="auto"/>
              </w:rPr>
            </w:pPr>
            <w:r>
              <w:rPr>
                <w:rFonts w:ascii="Arial" w:cs="Arial" w:eastAsia="Arial" w:hAnsi="Arial"/>
                <w:sz w:val="17"/>
                <w:szCs w:val="17"/>
                <w:color w:val="auto"/>
              </w:rPr>
              <w:t>$</w:t>
            </w:r>
          </w:p>
        </w:tc>
        <w:tc>
          <w:tcPr>
            <w:tcW w:w="1280" w:type="dxa"/>
            <w:vAlign w:val="bottom"/>
            <w:tcBorders>
              <w:bottom w:val="single" w:sz="8" w:color="CCEEFF"/>
            </w:tcBorders>
          </w:tcPr>
          <w:p>
            <w:pPr>
              <w:jc w:val="right"/>
              <w:ind w:right="136"/>
              <w:spacing w:after="0"/>
              <w:rPr>
                <w:sz w:val="20"/>
                <w:szCs w:val="20"/>
                <w:color w:val="auto"/>
              </w:rPr>
            </w:pPr>
            <w:r>
              <w:rPr>
                <w:rFonts w:ascii="Arial" w:cs="Arial" w:eastAsia="Arial" w:hAnsi="Arial"/>
                <w:sz w:val="17"/>
                <w:szCs w:val="17"/>
                <w:color w:val="auto"/>
              </w:rPr>
              <w:t>388.7</w:t>
            </w: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313.5</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293.1</w:t>
            </w:r>
          </w:p>
        </w:tc>
      </w:tr>
      <w:tr>
        <w:trPr>
          <w:trHeight w:val="250"/>
        </w:trPr>
        <w:tc>
          <w:tcPr>
            <w:tcW w:w="6820" w:type="dxa"/>
            <w:vAlign w:val="bottom"/>
            <w:gridSpan w:val="2"/>
            <w:shd w:val="clear" w:color="auto" w:fill="CCEEFF"/>
          </w:tcPr>
          <w:p>
            <w:pPr>
              <w:ind w:left="280"/>
              <w:spacing w:after="0"/>
              <w:rPr>
                <w:sz w:val="20"/>
                <w:szCs w:val="20"/>
                <w:color w:val="auto"/>
              </w:rPr>
            </w:pPr>
            <w:r>
              <w:rPr>
                <w:rFonts w:ascii="Arial" w:cs="Arial" w:eastAsia="Arial" w:hAnsi="Arial"/>
                <w:sz w:val="17"/>
                <w:szCs w:val="17"/>
                <w:color w:val="auto"/>
              </w:rPr>
              <w:t>Total Senior Notes</w:t>
            </w:r>
          </w:p>
        </w:tc>
        <w:tc>
          <w:tcPr>
            <w:tcW w:w="20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1,265.0</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1,194.2</w:t>
            </w:r>
          </w:p>
        </w:tc>
      </w:tr>
      <w:tr>
        <w:trPr>
          <w:trHeight w:val="189"/>
        </w:trPr>
        <w:tc>
          <w:tcPr>
            <w:tcW w:w="680" w:type="dxa"/>
            <w:vAlign w:val="bottom"/>
          </w:tcPr>
          <w:p>
            <w:pPr>
              <w:spacing w:after="0"/>
              <w:rPr>
                <w:sz w:val="16"/>
                <w:szCs w:val="16"/>
                <w:color w:val="auto"/>
              </w:rPr>
            </w:pPr>
          </w:p>
        </w:tc>
        <w:tc>
          <w:tcPr>
            <w:tcW w:w="6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270"/>
        </w:trPr>
        <w:tc>
          <w:tcPr>
            <w:tcW w:w="682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rPr>
              <w:t>Vendor financing</w:t>
            </w:r>
          </w:p>
        </w:tc>
        <w:tc>
          <w:tcPr>
            <w:tcW w:w="20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1,886.8</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1,835.0</w:t>
            </w:r>
          </w:p>
        </w:tc>
      </w:tr>
      <w:tr>
        <w:trPr>
          <w:trHeight w:val="261"/>
        </w:trPr>
        <w:tc>
          <w:tcPr>
            <w:tcW w:w="6820" w:type="dxa"/>
            <w:vAlign w:val="bottom"/>
            <w:gridSpan w:val="2"/>
          </w:tcPr>
          <w:p>
            <w:pPr>
              <w:ind w:left="40"/>
              <w:spacing w:after="0"/>
              <w:rPr>
                <w:sz w:val="20"/>
                <w:szCs w:val="20"/>
                <w:color w:val="auto"/>
              </w:rPr>
            </w:pPr>
            <w:r>
              <w:rPr>
                <w:rFonts w:ascii="Arial" w:cs="Arial" w:eastAsia="Arial" w:hAnsi="Arial"/>
                <w:sz w:val="17"/>
                <w:szCs w:val="17"/>
                <w:color w:val="auto"/>
              </w:rPr>
              <w:t>Other debt</w:t>
            </w:r>
          </w:p>
        </w:tc>
        <w:tc>
          <w:tcPr>
            <w:tcW w:w="2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20" w:type="dxa"/>
            <w:vAlign w:val="bottom"/>
          </w:tcPr>
          <w:p>
            <w:pPr>
              <w:jc w:val="right"/>
              <w:ind w:right="15"/>
              <w:spacing w:after="0"/>
              <w:rPr>
                <w:sz w:val="20"/>
                <w:szCs w:val="20"/>
                <w:color w:val="auto"/>
              </w:rPr>
            </w:pPr>
            <w:r>
              <w:rPr>
                <w:rFonts w:ascii="Arial" w:cs="Arial" w:eastAsia="Arial" w:hAnsi="Arial"/>
                <w:sz w:val="17"/>
                <w:szCs w:val="17"/>
                <w:color w:val="auto"/>
              </w:rPr>
              <w:t>338.4</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ind w:right="15"/>
              <w:spacing w:after="0"/>
              <w:rPr>
                <w:sz w:val="20"/>
                <w:szCs w:val="20"/>
                <w:color w:val="auto"/>
              </w:rPr>
            </w:pPr>
            <w:r>
              <w:rPr>
                <w:rFonts w:ascii="Arial" w:cs="Arial" w:eastAsia="Arial" w:hAnsi="Arial"/>
                <w:sz w:val="17"/>
                <w:szCs w:val="17"/>
                <w:color w:val="auto"/>
              </w:rPr>
              <w:t>337.1</w:t>
            </w:r>
          </w:p>
        </w:tc>
      </w:tr>
      <w:tr>
        <w:trPr>
          <w:trHeight w:val="279"/>
        </w:trPr>
        <w:tc>
          <w:tcPr>
            <w:tcW w:w="682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rPr>
              <w:t>Finance lease obligations</w:t>
            </w: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0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51.4</w:t>
            </w:r>
          </w:p>
        </w:tc>
        <w:tc>
          <w:tcPr>
            <w:tcW w:w="100" w:type="dxa"/>
            <w:vAlign w:val="bottom"/>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13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52.9</w:t>
            </w:r>
          </w:p>
        </w:tc>
      </w:tr>
      <w:tr>
        <w:trPr>
          <w:trHeight w:val="241"/>
        </w:trPr>
        <w:tc>
          <w:tcPr>
            <w:tcW w:w="6820" w:type="dxa"/>
            <w:vAlign w:val="bottom"/>
            <w:gridSpan w:val="2"/>
          </w:tcPr>
          <w:p>
            <w:pPr>
              <w:ind w:left="500"/>
              <w:spacing w:after="0"/>
              <w:rPr>
                <w:sz w:val="20"/>
                <w:szCs w:val="20"/>
                <w:color w:val="auto"/>
              </w:rPr>
            </w:pPr>
            <w:r>
              <w:rPr>
                <w:rFonts w:ascii="Arial" w:cs="Arial" w:eastAsia="Arial" w:hAnsi="Arial"/>
                <w:sz w:val="17"/>
                <w:szCs w:val="17"/>
                <w:b w:val="1"/>
                <w:bCs w:val="1"/>
                <w:color w:val="auto"/>
              </w:rPr>
              <w:t>Total third-party debt and finance lease obligations</w:t>
            </w: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jc w:val="right"/>
              <w:ind w:right="15"/>
              <w:spacing w:after="0"/>
              <w:rPr>
                <w:sz w:val="20"/>
                <w:szCs w:val="20"/>
                <w:color w:val="auto"/>
              </w:rPr>
            </w:pPr>
            <w:r>
              <w:rPr>
                <w:rFonts w:ascii="Arial" w:cs="Arial" w:eastAsia="Arial" w:hAnsi="Arial"/>
                <w:sz w:val="17"/>
                <w:szCs w:val="17"/>
                <w:color w:val="auto"/>
              </w:rPr>
              <w:t>12,410.7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ind w:right="15"/>
              <w:spacing w:after="0"/>
              <w:rPr>
                <w:sz w:val="20"/>
                <w:szCs w:val="20"/>
                <w:color w:val="auto"/>
              </w:rPr>
            </w:pPr>
            <w:r>
              <w:rPr>
                <w:rFonts w:ascii="Arial" w:cs="Arial" w:eastAsia="Arial" w:hAnsi="Arial"/>
                <w:sz w:val="17"/>
                <w:szCs w:val="17"/>
                <w:color w:val="auto"/>
              </w:rPr>
              <w:t>12,007.1</w:t>
            </w:r>
          </w:p>
        </w:tc>
      </w:tr>
      <w:tr>
        <w:trPr>
          <w:trHeight w:val="279"/>
        </w:trPr>
        <w:tc>
          <w:tcPr>
            <w:tcW w:w="682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rPr>
              <w:t>Deferred financing costs, discounts and premiums, net</w:t>
            </w: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(15.4)</w:t>
            </w:r>
          </w:p>
        </w:tc>
        <w:tc>
          <w:tcPr>
            <w:tcW w:w="100" w:type="dxa"/>
            <w:vAlign w:val="bottom"/>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(17.5)</w:t>
            </w:r>
          </w:p>
        </w:tc>
      </w:tr>
      <w:tr>
        <w:trPr>
          <w:trHeight w:val="241"/>
        </w:trPr>
        <w:tc>
          <w:tcPr>
            <w:tcW w:w="6820" w:type="dxa"/>
            <w:vAlign w:val="bottom"/>
            <w:gridSpan w:val="2"/>
          </w:tcPr>
          <w:p>
            <w:pPr>
              <w:ind w:left="620"/>
              <w:spacing w:after="0"/>
              <w:rPr>
                <w:sz w:val="20"/>
                <w:szCs w:val="20"/>
                <w:color w:val="auto"/>
              </w:rPr>
            </w:pPr>
            <w:r>
              <w:rPr>
                <w:rFonts w:ascii="Arial" w:cs="Arial" w:eastAsia="Arial" w:hAnsi="Arial"/>
                <w:sz w:val="17"/>
                <w:szCs w:val="17"/>
                <w:b w:val="1"/>
                <w:bCs w:val="1"/>
                <w:color w:val="auto"/>
              </w:rPr>
              <w:t>Total carrying amount of third-party debt and finance lease obligations</w:t>
            </w: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jc w:val="right"/>
              <w:ind w:right="15"/>
              <w:spacing w:after="0"/>
              <w:rPr>
                <w:sz w:val="20"/>
                <w:szCs w:val="20"/>
                <w:color w:val="auto"/>
              </w:rPr>
            </w:pPr>
            <w:r>
              <w:rPr>
                <w:rFonts w:ascii="Arial" w:cs="Arial" w:eastAsia="Arial" w:hAnsi="Arial"/>
                <w:sz w:val="17"/>
                <w:szCs w:val="17"/>
                <w:color w:val="auto"/>
              </w:rPr>
              <w:t>12,395.3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ind w:right="15"/>
              <w:spacing w:after="0"/>
              <w:rPr>
                <w:sz w:val="20"/>
                <w:szCs w:val="20"/>
                <w:color w:val="auto"/>
              </w:rPr>
            </w:pPr>
            <w:r>
              <w:rPr>
                <w:rFonts w:ascii="Arial" w:cs="Arial" w:eastAsia="Arial" w:hAnsi="Arial"/>
                <w:sz w:val="17"/>
                <w:szCs w:val="17"/>
                <w:color w:val="auto"/>
              </w:rPr>
              <w:t>11,989.6</w:t>
            </w:r>
          </w:p>
        </w:tc>
      </w:tr>
      <w:tr>
        <w:trPr>
          <w:trHeight w:val="279"/>
        </w:trPr>
        <w:tc>
          <w:tcPr>
            <w:tcW w:w="682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rPr>
              <w:t>Less: cash and cash equivalents</w:t>
            </w: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0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21.2</w:t>
            </w:r>
          </w:p>
        </w:tc>
        <w:tc>
          <w:tcPr>
            <w:tcW w:w="100" w:type="dxa"/>
            <w:vAlign w:val="bottom"/>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13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34.5</w:t>
            </w:r>
          </w:p>
        </w:tc>
      </w:tr>
      <w:tr>
        <w:trPr>
          <w:trHeight w:val="275"/>
        </w:trPr>
        <w:tc>
          <w:tcPr>
            <w:tcW w:w="6820" w:type="dxa"/>
            <w:vAlign w:val="bottom"/>
            <w:gridSpan w:val="2"/>
          </w:tcPr>
          <w:p>
            <w:pPr>
              <w:ind w:left="520"/>
              <w:spacing w:after="0"/>
              <w:rPr>
                <w:sz w:val="20"/>
                <w:szCs w:val="20"/>
                <w:color w:val="auto"/>
              </w:rPr>
            </w:pPr>
            <w:r>
              <w:rPr>
                <w:rFonts w:ascii="Arial" w:cs="Arial" w:eastAsia="Arial" w:hAnsi="Arial"/>
                <w:sz w:val="17"/>
                <w:szCs w:val="17"/>
                <w:b w:val="1"/>
                <w:bCs w:val="1"/>
                <w:color w:val="auto"/>
              </w:rPr>
              <w:t>Net carrying amount of third-party debt and finance lease obligations</w:t>
            </w:r>
            <w:r>
              <w:rPr>
                <w:rFonts w:ascii="Arial" w:cs="Arial" w:eastAsia="Arial" w:hAnsi="Arial"/>
                <w:sz w:val="14"/>
                <w:szCs w:val="14"/>
                <w:b w:val="1"/>
                <w:bCs w:val="1"/>
                <w:color w:val="auto"/>
              </w:rPr>
              <w:t>6</w:t>
            </w:r>
          </w:p>
        </w:tc>
        <w:tc>
          <w:tcPr>
            <w:tcW w:w="200" w:type="dxa"/>
            <w:vAlign w:val="bottom"/>
          </w:tcPr>
          <w:p>
            <w:pPr>
              <w:spacing w:after="0"/>
              <w:rPr>
                <w:sz w:val="23"/>
                <w:szCs w:val="23"/>
                <w:color w:val="auto"/>
              </w:rPr>
            </w:pPr>
          </w:p>
        </w:tc>
        <w:tc>
          <w:tcPr>
            <w:tcW w:w="16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020" w:type="dxa"/>
            <w:vAlign w:val="bottom"/>
          </w:tcPr>
          <w:p>
            <w:pPr>
              <w:jc w:val="right"/>
              <w:ind w:right="15"/>
              <w:spacing w:after="0"/>
              <w:rPr>
                <w:sz w:val="20"/>
                <w:szCs w:val="20"/>
                <w:color w:val="auto"/>
              </w:rPr>
            </w:pPr>
            <w:r>
              <w:rPr>
                <w:rFonts w:ascii="Arial" w:cs="Arial" w:eastAsia="Arial" w:hAnsi="Arial"/>
                <w:sz w:val="17"/>
                <w:szCs w:val="17"/>
                <w:color w:val="auto"/>
              </w:rPr>
              <w:t>12,374.1</w:t>
            </w:r>
          </w:p>
        </w:tc>
        <w:tc>
          <w:tcPr>
            <w:tcW w:w="10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1300" w:type="dxa"/>
            <w:vAlign w:val="bottom"/>
          </w:tcPr>
          <w:p>
            <w:pPr>
              <w:jc w:val="right"/>
              <w:ind w:right="15"/>
              <w:spacing w:after="0"/>
              <w:rPr>
                <w:sz w:val="20"/>
                <w:szCs w:val="20"/>
                <w:color w:val="auto"/>
              </w:rPr>
            </w:pPr>
            <w:r>
              <w:rPr>
                <w:rFonts w:ascii="Arial" w:cs="Arial" w:eastAsia="Arial" w:hAnsi="Arial"/>
                <w:sz w:val="17"/>
                <w:szCs w:val="17"/>
                <w:color w:val="auto"/>
              </w:rPr>
              <w:t>11,955.1</w:t>
            </w:r>
          </w:p>
        </w:tc>
      </w:tr>
      <w:tr>
        <w:trPr>
          <w:trHeight w:val="212"/>
        </w:trPr>
        <w:tc>
          <w:tcPr>
            <w:tcW w:w="680" w:type="dxa"/>
            <w:vAlign w:val="bottom"/>
            <w:tcBorders>
              <w:top w:val="single" w:sz="8" w:color="CCEEFF"/>
            </w:tcBorders>
            <w:shd w:val="clear" w:color="auto" w:fill="CCEEFF"/>
          </w:tcPr>
          <w:p>
            <w:pPr>
              <w:spacing w:after="0"/>
              <w:rPr>
                <w:sz w:val="18"/>
                <w:szCs w:val="18"/>
                <w:color w:val="auto"/>
              </w:rPr>
            </w:pPr>
          </w:p>
        </w:tc>
        <w:tc>
          <w:tcPr>
            <w:tcW w:w="6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r>
      <w:tr>
        <w:trPr>
          <w:trHeight w:val="261"/>
        </w:trPr>
        <w:tc>
          <w:tcPr>
            <w:tcW w:w="6820" w:type="dxa"/>
            <w:vAlign w:val="bottom"/>
            <w:gridSpan w:val="2"/>
          </w:tcPr>
          <w:p>
            <w:pPr>
              <w:ind w:left="40"/>
              <w:spacing w:after="0"/>
              <w:rPr>
                <w:sz w:val="20"/>
                <w:szCs w:val="20"/>
                <w:color w:val="auto"/>
              </w:rPr>
            </w:pPr>
            <w:r>
              <w:rPr>
                <w:rFonts w:ascii="Arial" w:cs="Arial" w:eastAsia="Arial" w:hAnsi="Arial"/>
                <w:sz w:val="17"/>
                <w:szCs w:val="17"/>
                <w:color w:val="auto"/>
              </w:rPr>
              <w:t>Exchange rate (€ to £)</w:t>
            </w:r>
          </w:p>
        </w:tc>
        <w:tc>
          <w:tcPr>
            <w:tcW w:w="2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20" w:type="dxa"/>
            <w:vAlign w:val="bottom"/>
          </w:tcPr>
          <w:p>
            <w:pPr>
              <w:jc w:val="right"/>
              <w:ind w:right="15"/>
              <w:spacing w:after="0"/>
              <w:rPr>
                <w:sz w:val="20"/>
                <w:szCs w:val="20"/>
                <w:color w:val="auto"/>
              </w:rPr>
            </w:pPr>
            <w:r>
              <w:rPr>
                <w:rFonts w:ascii="Arial" w:cs="Arial" w:eastAsia="Arial" w:hAnsi="Arial"/>
                <w:sz w:val="17"/>
                <w:szCs w:val="17"/>
                <w:color w:val="auto"/>
              </w:rPr>
              <w:t>1.1300</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ind w:right="15"/>
              <w:spacing w:after="0"/>
              <w:rPr>
                <w:sz w:val="20"/>
                <w:szCs w:val="20"/>
                <w:color w:val="auto"/>
              </w:rPr>
            </w:pPr>
            <w:r>
              <w:rPr>
                <w:rFonts w:ascii="Arial" w:cs="Arial" w:eastAsia="Arial" w:hAnsi="Arial"/>
                <w:sz w:val="17"/>
                <w:szCs w:val="17"/>
                <w:color w:val="auto"/>
              </w:rPr>
              <w:t>1.1811</w:t>
            </w:r>
          </w:p>
        </w:tc>
      </w:tr>
      <w:tr>
        <w:trPr>
          <w:trHeight w:val="279"/>
        </w:trPr>
        <w:tc>
          <w:tcPr>
            <w:tcW w:w="682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rPr>
              <w:t>Exchange rate ($ to £)</w:t>
            </w: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1.2398</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1.3263</w:t>
            </w:r>
          </w:p>
        </w:tc>
      </w:tr>
    </w:tbl>
    <w:p>
      <w:pPr>
        <w:spacing w:after="0" w:line="200" w:lineRule="exact"/>
        <w:rPr>
          <w:sz w:val="20"/>
          <w:szCs w:val="20"/>
          <w:color w:val="auto"/>
        </w:rPr>
      </w:pPr>
    </w:p>
    <w:p>
      <w:pPr>
        <w:sectPr>
          <w:pgSz w:w="11900" w:h="16838" w:orient="portrait"/>
          <w:cols w:equalWidth="0" w:num="1">
            <w:col w:w="11240"/>
          </w:cols>
          <w:pgMar w:left="320" w:top="1194" w:right="339" w:bottom="1440" w:gutter="0" w:footer="0" w:header="0"/>
        </w:sectPr>
      </w:pPr>
    </w:p>
    <w:p>
      <w:pPr>
        <w:spacing w:after="0" w:line="234" w:lineRule="exact"/>
        <w:rPr>
          <w:sz w:val="20"/>
          <w:szCs w:val="20"/>
          <w:color w:val="auto"/>
        </w:rPr>
      </w:pPr>
    </w:p>
    <w:p>
      <w:pPr>
        <w:ind w:left="11160"/>
        <w:spacing w:after="0"/>
        <w:rPr>
          <w:sz w:val="20"/>
          <w:szCs w:val="20"/>
          <w:color w:val="auto"/>
        </w:rPr>
      </w:pPr>
      <w:r>
        <w:rPr>
          <w:rFonts w:ascii="Arial" w:cs="Arial" w:eastAsia="Arial" w:hAnsi="Arial"/>
          <w:sz w:val="14"/>
          <w:szCs w:val="14"/>
          <w:color w:val="auto"/>
        </w:rPr>
        <w:t>8</w:t>
      </w:r>
    </w:p>
    <w:p>
      <w:pPr>
        <w:sectPr>
          <w:pgSz w:w="11900" w:h="16838" w:orient="portrait"/>
          <w:cols w:equalWidth="0" w:num="1">
            <w:col w:w="11240"/>
          </w:cols>
          <w:pgMar w:left="320" w:top="1194" w:right="339" w:bottom="1440" w:gutter="0" w:footer="0" w:header="0"/>
          <w:type w:val="continuous"/>
        </w:sectPr>
      </w:pPr>
    </w:p>
    <w:bookmarkStart w:id="11" w:name="page12"/>
    <w:bookmarkEnd w:id="11"/>
    <w:p>
      <w:pPr>
        <w:spacing w:after="0"/>
        <w:rPr>
          <w:sz w:val="20"/>
          <w:szCs w:val="20"/>
          <w:color w:val="auto"/>
        </w:rPr>
      </w:pPr>
      <w:r>
        <w:rPr>
          <w:rFonts w:ascii="Arial" w:cs="Arial" w:eastAsia="Arial" w:hAnsi="Arial"/>
          <w:sz w:val="25"/>
          <w:szCs w:val="25"/>
          <w:color w:val="004F9F"/>
        </w:rPr>
        <w:drawing>
          <wp:anchor simplePos="0" relativeHeight="251657728" behindDoc="1" locked="0" layoutInCell="0" allowOverlap="1">
            <wp:simplePos x="0" y="0"/>
            <wp:positionH relativeFrom="page">
              <wp:posOffset>6500495</wp:posOffset>
            </wp:positionH>
            <wp:positionV relativeFrom="page">
              <wp:posOffset>88900</wp:posOffset>
            </wp:positionV>
            <wp:extent cx="840105" cy="53149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clrChange>
                        <a:clrFrom>
                          <a:srgbClr val="FFFFFF"/>
                        </a:clrFrom>
                        <a:clrTo>
                          <a:srgbClr val="FFFFFF">
                            <a:alpha val="0"/>
                          </a:srgbClr>
                        </a:clrTo>
                      </a:clrChange>
                      <a:extLst>
                        <a:ext uri="{28A0092B-C50C-407E-A947-70E740481C1C}"/>
                      </a:extLst>
                    </a:blip>
                    <a:srcRect/>
                    <a:stretch>
                      <a:fillRect/>
                    </a:stretch>
                  </pic:blipFill>
                  <pic:spPr bwMode="auto">
                    <a:xfrm>
                      <a:off x="0" y="0"/>
                      <a:ext cx="840105" cy="531495"/>
                    </a:xfrm>
                    <a:prstGeom prst="rect">
                      <a:avLst/>
                    </a:prstGeom>
                    <a:noFill/>
                  </pic:spPr>
                </pic:pic>
              </a:graphicData>
            </a:graphic>
          </wp:anchor>
        </w:drawing>
        <w:t>Covenant Debt Information</w:t>
      </w:r>
    </w:p>
    <w:p>
      <w:pPr>
        <w:spacing w:after="0" w:line="120" w:lineRule="exact"/>
        <w:rPr>
          <w:sz w:val="20"/>
          <w:szCs w:val="20"/>
          <w:color w:val="auto"/>
        </w:rPr>
      </w:pPr>
    </w:p>
    <w:p>
      <w:pPr>
        <w:jc w:val="both"/>
        <w:spacing w:after="0" w:line="239" w:lineRule="auto"/>
        <w:rPr>
          <w:sz w:val="20"/>
          <w:szCs w:val="20"/>
          <w:color w:val="auto"/>
        </w:rPr>
      </w:pPr>
      <w:r>
        <w:rPr>
          <w:rFonts w:ascii="Arial" w:cs="Arial" w:eastAsia="Arial" w:hAnsi="Arial"/>
          <w:sz w:val="19"/>
          <w:szCs w:val="19"/>
          <w:color w:val="auto"/>
        </w:rPr>
        <w:t>The following table details the pound sterling equivalent of the reconciliation from Virgin Media’s consolidated third-party debt to the total covenant amount of third-party gross and net debt and includes information regarding the projected principal-related cash flows of our cross-currency derivative instruments. The pound sterling equivalents presented below are based on exchange rates that were in effect as of March 31, 2020 and December 31, 2019. These amounts are presented for illustrative purposes only and will likely differ from the actual cash payments or receipts in future periods.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8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gridSpan w:val="2"/>
          </w:tcPr>
          <w:p>
            <w:pPr>
              <w:ind w:left="140"/>
              <w:spacing w:after="0"/>
              <w:rPr>
                <w:sz w:val="20"/>
                <w:szCs w:val="20"/>
                <w:color w:val="auto"/>
              </w:rPr>
            </w:pPr>
            <w:r>
              <w:rPr>
                <w:rFonts w:ascii="Arial" w:cs="Arial" w:eastAsia="Arial" w:hAnsi="Arial"/>
                <w:sz w:val="15"/>
                <w:szCs w:val="15"/>
                <w:b w:val="1"/>
                <w:bCs w:val="1"/>
                <w:color w:val="auto"/>
              </w:rPr>
              <w:t>March 31,</w:t>
            </w:r>
          </w:p>
        </w:tc>
        <w:tc>
          <w:tcPr>
            <w:tcW w:w="180" w:type="dxa"/>
            <w:vAlign w:val="bottom"/>
          </w:tcPr>
          <w:p>
            <w:pPr>
              <w:spacing w:after="0"/>
              <w:rPr>
                <w:sz w:val="17"/>
                <w:szCs w:val="17"/>
                <w:color w:val="auto"/>
              </w:rPr>
            </w:pPr>
          </w:p>
        </w:tc>
        <w:tc>
          <w:tcPr>
            <w:tcW w:w="1300" w:type="dxa"/>
            <w:vAlign w:val="bottom"/>
          </w:tcPr>
          <w:p>
            <w:pPr>
              <w:jc w:val="right"/>
              <w:ind w:right="157"/>
              <w:spacing w:after="0"/>
              <w:rPr>
                <w:sz w:val="20"/>
                <w:szCs w:val="20"/>
                <w:color w:val="auto"/>
              </w:rPr>
            </w:pPr>
            <w:r>
              <w:rPr>
                <w:rFonts w:ascii="Arial" w:cs="Arial" w:eastAsia="Arial" w:hAnsi="Arial"/>
                <w:sz w:val="15"/>
                <w:szCs w:val="15"/>
                <w:b w:val="1"/>
                <w:bCs w:val="1"/>
                <w:color w:val="auto"/>
              </w:rPr>
              <w:t>December 31,</w:t>
            </w:r>
          </w:p>
        </w:tc>
      </w:tr>
      <w:tr>
        <w:trPr>
          <w:trHeight w:val="274"/>
        </w:trPr>
        <w:tc>
          <w:tcPr>
            <w:tcW w:w="818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477"/>
              <w:spacing w:after="0"/>
              <w:rPr>
                <w:sz w:val="20"/>
                <w:szCs w:val="20"/>
                <w:color w:val="auto"/>
              </w:rPr>
            </w:pPr>
            <w:r>
              <w:rPr>
                <w:rFonts w:ascii="Arial" w:cs="Arial" w:eastAsia="Arial" w:hAnsi="Arial"/>
                <w:sz w:val="15"/>
                <w:szCs w:val="15"/>
                <w:b w:val="1"/>
                <w:bCs w:val="1"/>
                <w:color w:val="auto"/>
              </w:rPr>
              <w:t>2020</w:t>
            </w:r>
          </w:p>
        </w:tc>
        <w:tc>
          <w:tcPr>
            <w:tcW w:w="10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ind w:right="477"/>
              <w:spacing w:after="0"/>
              <w:rPr>
                <w:sz w:val="20"/>
                <w:szCs w:val="20"/>
                <w:color w:val="auto"/>
              </w:rPr>
            </w:pPr>
            <w:r>
              <w:rPr>
                <w:rFonts w:ascii="Arial" w:cs="Arial" w:eastAsia="Arial" w:hAnsi="Arial"/>
                <w:sz w:val="15"/>
                <w:szCs w:val="15"/>
                <w:b w:val="1"/>
                <w:bCs w:val="1"/>
                <w:color w:val="auto"/>
              </w:rPr>
              <w:t>2019</w:t>
            </w:r>
          </w:p>
        </w:tc>
      </w:tr>
      <w:tr>
        <w:trPr>
          <w:trHeight w:val="250"/>
        </w:trPr>
        <w:tc>
          <w:tcPr>
            <w:tcW w:w="8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800" w:type="dxa"/>
            <w:vAlign w:val="bottom"/>
            <w:gridSpan w:val="4"/>
          </w:tcPr>
          <w:p>
            <w:pPr>
              <w:jc w:val="right"/>
              <w:ind w:right="1057"/>
              <w:spacing w:after="0"/>
              <w:rPr>
                <w:sz w:val="20"/>
                <w:szCs w:val="20"/>
                <w:color w:val="auto"/>
              </w:rPr>
            </w:pPr>
            <w:r>
              <w:rPr>
                <w:rFonts w:ascii="Arial" w:cs="Arial" w:eastAsia="Arial" w:hAnsi="Arial"/>
                <w:sz w:val="15"/>
                <w:szCs w:val="15"/>
                <w:b w:val="1"/>
                <w:bCs w:val="1"/>
                <w:color w:val="auto"/>
              </w:rPr>
              <w:t>in millions</w:t>
            </w:r>
          </w:p>
        </w:tc>
      </w:tr>
      <w:tr>
        <w:trPr>
          <w:trHeight w:val="274"/>
        </w:trPr>
        <w:tc>
          <w:tcPr>
            <w:tcW w:w="8180" w:type="dxa"/>
            <w:vAlign w:val="bottom"/>
            <w:shd w:val="clear" w:color="auto" w:fill="CCEEFF"/>
          </w:tcPr>
          <w:p>
            <w:pPr>
              <w:ind w:left="40"/>
              <w:spacing w:after="0"/>
              <w:rPr>
                <w:sz w:val="20"/>
                <w:szCs w:val="20"/>
                <w:color w:val="auto"/>
              </w:rPr>
            </w:pPr>
            <w:r>
              <w:rPr>
                <w:rFonts w:ascii="Arial" w:cs="Arial" w:eastAsia="Arial" w:hAnsi="Arial"/>
                <w:sz w:val="17"/>
                <w:szCs w:val="17"/>
                <w:b w:val="1"/>
                <w:bCs w:val="1"/>
                <w:color w:val="auto"/>
              </w:rPr>
              <w:t>Total third-party debt and finance lease obligations (£ equivalent)</w:t>
            </w:r>
          </w:p>
        </w:tc>
        <w:tc>
          <w:tcPr>
            <w:tcW w:w="26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122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12,410.7</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00" w:type="dxa"/>
            <w:vAlign w:val="bottom"/>
            <w:shd w:val="clear" w:color="auto" w:fill="CCEEFF"/>
          </w:tcPr>
          <w:p>
            <w:pPr>
              <w:jc w:val="right"/>
              <w:ind w:right="17"/>
              <w:spacing w:after="0"/>
              <w:rPr>
                <w:sz w:val="20"/>
                <w:szCs w:val="20"/>
                <w:color w:val="auto"/>
              </w:rPr>
            </w:pPr>
            <w:r>
              <w:rPr>
                <w:rFonts w:ascii="Arial" w:cs="Arial" w:eastAsia="Arial" w:hAnsi="Arial"/>
                <w:sz w:val="17"/>
                <w:szCs w:val="17"/>
                <w:color w:val="auto"/>
              </w:rPr>
              <w:t>12,007.1</w:t>
            </w:r>
          </w:p>
        </w:tc>
      </w:tr>
      <w:tr>
        <w:trPr>
          <w:trHeight w:val="261"/>
        </w:trPr>
        <w:tc>
          <w:tcPr>
            <w:tcW w:w="8180" w:type="dxa"/>
            <w:vAlign w:val="bottom"/>
          </w:tcPr>
          <w:p>
            <w:pPr>
              <w:ind w:left="180"/>
              <w:spacing w:after="0"/>
              <w:rPr>
                <w:sz w:val="20"/>
                <w:szCs w:val="20"/>
                <w:color w:val="auto"/>
              </w:rPr>
            </w:pPr>
            <w:r>
              <w:rPr>
                <w:rFonts w:ascii="Arial" w:cs="Arial" w:eastAsia="Arial" w:hAnsi="Arial"/>
                <w:sz w:val="17"/>
                <w:szCs w:val="17"/>
                <w:color w:val="auto"/>
              </w:rPr>
              <w:t>Vendor financing</w:t>
            </w:r>
          </w:p>
        </w:tc>
        <w:tc>
          <w:tcPr>
            <w:tcW w:w="2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(1,886.8)</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(1,835.0)</w:t>
            </w:r>
          </w:p>
        </w:tc>
      </w:tr>
      <w:tr>
        <w:trPr>
          <w:trHeight w:val="279"/>
        </w:trPr>
        <w:tc>
          <w:tcPr>
            <w:tcW w:w="81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Other debt</w:t>
            </w:r>
          </w:p>
        </w:tc>
        <w:tc>
          <w:tcPr>
            <w:tcW w:w="26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(276.5)</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(276.0)</w:t>
            </w:r>
          </w:p>
        </w:tc>
      </w:tr>
      <w:tr>
        <w:trPr>
          <w:trHeight w:val="261"/>
        </w:trPr>
        <w:tc>
          <w:tcPr>
            <w:tcW w:w="8180" w:type="dxa"/>
            <w:vAlign w:val="bottom"/>
          </w:tcPr>
          <w:p>
            <w:pPr>
              <w:ind w:left="180"/>
              <w:spacing w:after="0"/>
              <w:rPr>
                <w:sz w:val="20"/>
                <w:szCs w:val="20"/>
                <w:color w:val="auto"/>
              </w:rPr>
            </w:pPr>
            <w:r>
              <w:rPr>
                <w:rFonts w:ascii="Arial" w:cs="Arial" w:eastAsia="Arial" w:hAnsi="Arial"/>
                <w:sz w:val="17"/>
                <w:szCs w:val="17"/>
                <w:color w:val="auto"/>
              </w:rPr>
              <w:t>Finance lease obligations</w:t>
            </w:r>
          </w:p>
        </w:tc>
        <w:tc>
          <w:tcPr>
            <w:tcW w:w="2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(51.4)</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(52.9)</w:t>
            </w:r>
          </w:p>
        </w:tc>
      </w:tr>
      <w:tr>
        <w:trPr>
          <w:trHeight w:val="219"/>
        </w:trPr>
        <w:tc>
          <w:tcPr>
            <w:tcW w:w="81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Projected principal-related cash payments associated with our cross-currency</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22"/>
        </w:trPr>
        <w:tc>
          <w:tcPr>
            <w:tcW w:w="81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derivative instruments</w:t>
            </w:r>
          </w:p>
        </w:tc>
        <w:tc>
          <w:tcPr>
            <w:tcW w:w="2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(700.8)</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(350.1)</w:t>
            </w:r>
          </w:p>
        </w:tc>
      </w:tr>
      <w:tr>
        <w:trPr>
          <w:trHeight w:val="241"/>
        </w:trPr>
        <w:tc>
          <w:tcPr>
            <w:tcW w:w="8180" w:type="dxa"/>
            <w:vAlign w:val="bottom"/>
          </w:tcPr>
          <w:p>
            <w:pPr>
              <w:ind w:left="40"/>
              <w:spacing w:after="0"/>
              <w:rPr>
                <w:sz w:val="20"/>
                <w:szCs w:val="20"/>
                <w:color w:val="auto"/>
              </w:rPr>
            </w:pPr>
            <w:r>
              <w:rPr>
                <w:rFonts w:ascii="Arial" w:cs="Arial" w:eastAsia="Arial" w:hAnsi="Arial"/>
                <w:sz w:val="17"/>
                <w:szCs w:val="17"/>
                <w:b w:val="1"/>
                <w:bCs w:val="1"/>
                <w:color w:val="auto"/>
              </w:rPr>
              <w:t>Total covenant amount of third-party gross debt</w:t>
            </w:r>
          </w:p>
        </w:tc>
        <w:tc>
          <w:tcPr>
            <w:tcW w:w="260" w:type="dxa"/>
            <w:vAlign w:val="bottom"/>
          </w:tcPr>
          <w:p>
            <w:pPr>
              <w:spacing w:after="0"/>
              <w:rPr>
                <w:sz w:val="20"/>
                <w:szCs w:val="20"/>
                <w:color w:val="auto"/>
              </w:rPr>
            </w:pPr>
          </w:p>
        </w:tc>
        <w:tc>
          <w:tcPr>
            <w:tcW w:w="1220" w:type="dxa"/>
            <w:vAlign w:val="bottom"/>
          </w:tcPr>
          <w:p>
            <w:pPr>
              <w:jc w:val="right"/>
              <w:ind w:right="17"/>
              <w:spacing w:after="0"/>
              <w:rPr>
                <w:sz w:val="20"/>
                <w:szCs w:val="20"/>
                <w:color w:val="auto"/>
              </w:rPr>
            </w:pPr>
            <w:r>
              <w:rPr>
                <w:rFonts w:ascii="Arial" w:cs="Arial" w:eastAsia="Arial" w:hAnsi="Arial"/>
                <w:sz w:val="17"/>
                <w:szCs w:val="17"/>
                <w:color w:val="auto"/>
              </w:rPr>
              <w:t>9,495.2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ind w:right="17"/>
              <w:spacing w:after="0"/>
              <w:rPr>
                <w:sz w:val="20"/>
                <w:szCs w:val="20"/>
                <w:color w:val="auto"/>
              </w:rPr>
            </w:pPr>
            <w:r>
              <w:rPr>
                <w:rFonts w:ascii="Arial" w:cs="Arial" w:eastAsia="Arial" w:hAnsi="Arial"/>
                <w:sz w:val="17"/>
                <w:szCs w:val="17"/>
                <w:color w:val="auto"/>
              </w:rPr>
              <w:t>9,493.1</w:t>
            </w:r>
          </w:p>
        </w:tc>
      </w:tr>
      <w:tr>
        <w:trPr>
          <w:trHeight w:val="279"/>
        </w:trPr>
        <w:tc>
          <w:tcPr>
            <w:tcW w:w="81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Cash and cash equivalents</w:t>
            </w:r>
          </w:p>
        </w:tc>
        <w:tc>
          <w:tcPr>
            <w:tcW w:w="260" w:type="dxa"/>
            <w:vAlign w:val="bottom"/>
            <w:tcBorders>
              <w:bottom w:val="single" w:sz="8" w:color="auto"/>
            </w:tcBorders>
            <w:shd w:val="clear" w:color="auto" w:fill="CCEEFF"/>
          </w:tcPr>
          <w:p>
            <w:pPr>
              <w:spacing w:after="0"/>
              <w:rPr>
                <w:sz w:val="24"/>
                <w:szCs w:val="24"/>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(20.3)</w:t>
            </w:r>
          </w:p>
        </w:tc>
        <w:tc>
          <w:tcPr>
            <w:tcW w:w="100" w:type="dxa"/>
            <w:vAlign w:val="bottom"/>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(33.9)</w:t>
            </w:r>
          </w:p>
        </w:tc>
      </w:tr>
      <w:tr>
        <w:trPr>
          <w:trHeight w:val="235"/>
        </w:trPr>
        <w:tc>
          <w:tcPr>
            <w:tcW w:w="8180" w:type="dxa"/>
            <w:vAlign w:val="bottom"/>
          </w:tcPr>
          <w:p>
            <w:pPr>
              <w:ind w:left="40"/>
              <w:spacing w:after="0"/>
              <w:rPr>
                <w:sz w:val="20"/>
                <w:szCs w:val="20"/>
                <w:color w:val="auto"/>
              </w:rPr>
            </w:pPr>
            <w:r>
              <w:rPr>
                <w:rFonts w:ascii="Arial" w:cs="Arial" w:eastAsia="Arial" w:hAnsi="Arial"/>
                <w:sz w:val="17"/>
                <w:szCs w:val="17"/>
                <w:b w:val="1"/>
                <w:bCs w:val="1"/>
                <w:color w:val="auto"/>
              </w:rPr>
              <w:t>Total covenant amount of third-party net debt</w:t>
            </w:r>
          </w:p>
        </w:tc>
        <w:tc>
          <w:tcPr>
            <w:tcW w:w="26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w:t>
            </w:r>
          </w:p>
        </w:tc>
        <w:tc>
          <w:tcPr>
            <w:tcW w:w="1220" w:type="dxa"/>
            <w:vAlign w:val="bottom"/>
            <w:tcBorders>
              <w:bottom w:val="single" w:sz="8" w:color="auto"/>
            </w:tcBorders>
          </w:tcPr>
          <w:p>
            <w:pPr>
              <w:jc w:val="right"/>
              <w:ind w:right="17"/>
              <w:spacing w:after="0"/>
              <w:rPr>
                <w:sz w:val="20"/>
                <w:szCs w:val="20"/>
                <w:color w:val="auto"/>
              </w:rPr>
            </w:pPr>
            <w:r>
              <w:rPr>
                <w:rFonts w:ascii="Arial" w:cs="Arial" w:eastAsia="Arial" w:hAnsi="Arial"/>
                <w:sz w:val="17"/>
                <w:szCs w:val="17"/>
                <w:color w:val="auto"/>
              </w:rPr>
              <w:t>9,474.9</w:t>
            </w:r>
          </w:p>
        </w:tc>
        <w:tc>
          <w:tcPr>
            <w:tcW w:w="10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300" w:type="dxa"/>
            <w:vAlign w:val="bottom"/>
            <w:tcBorders>
              <w:bottom w:val="single" w:sz="8" w:color="auto"/>
            </w:tcBorders>
          </w:tcPr>
          <w:p>
            <w:pPr>
              <w:jc w:val="right"/>
              <w:ind w:right="17"/>
              <w:spacing w:after="0"/>
              <w:rPr>
                <w:sz w:val="20"/>
                <w:szCs w:val="20"/>
                <w:color w:val="auto"/>
              </w:rPr>
            </w:pPr>
            <w:r>
              <w:rPr>
                <w:rFonts w:ascii="Arial" w:cs="Arial" w:eastAsia="Arial" w:hAnsi="Arial"/>
                <w:sz w:val="17"/>
                <w:szCs w:val="17"/>
                <w:color w:val="auto"/>
              </w:rPr>
              <w:t>9,459.2</w:t>
            </w:r>
          </w:p>
        </w:tc>
      </w:tr>
      <w:tr>
        <w:trPr>
          <w:trHeight w:val="20"/>
        </w:trPr>
        <w:tc>
          <w:tcPr>
            <w:tcW w:w="8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611"/>
        </w:trPr>
        <w:tc>
          <w:tcPr>
            <w:tcW w:w="8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9</w:t>
            </w:r>
          </w:p>
        </w:tc>
      </w:tr>
    </w:tbl>
    <w:p>
      <w:pPr>
        <w:sectPr>
          <w:pgSz w:w="11900" w:h="16838" w:orient="portrait"/>
          <w:cols w:equalWidth="0" w:num="1">
            <w:col w:w="11240"/>
          </w:cols>
          <w:pgMar w:left="320" w:top="1194" w:right="339" w:bottom="1440" w:gutter="0" w:footer="0" w:header="0"/>
        </w:sectPr>
      </w:pPr>
    </w:p>
    <w:bookmarkStart w:id="12" w:name="page13"/>
    <w:bookmarkEnd w:id="1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3140"/>
        <w:spacing w:after="0"/>
        <w:rPr>
          <w:sz w:val="20"/>
          <w:szCs w:val="20"/>
          <w:color w:val="auto"/>
        </w:rPr>
      </w:pPr>
      <w:r>
        <w:rPr>
          <w:rFonts w:ascii="Arial" w:cs="Arial" w:eastAsia="Arial" w:hAnsi="Arial"/>
          <w:sz w:val="20"/>
          <w:szCs w:val="20"/>
          <w:color w:val="auto"/>
        </w:rPr>
        <w:t>This page intentionally left blank</w:t>
      </w:r>
    </w:p>
    <w:p>
      <w:pPr>
        <w:spacing w:after="0" w:line="200" w:lineRule="exact"/>
        <w:rPr>
          <w:sz w:val="20"/>
          <w:szCs w:val="20"/>
          <w:color w:val="auto"/>
        </w:rPr>
      </w:pPr>
    </w:p>
    <w:p>
      <w:pPr>
        <w:spacing w:after="0" w:line="237"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0120"/>
          </w:cols>
          <w:pgMar w:left="1440" w:top="1440" w:right="339" w:bottom="1440" w:gutter="0" w:footer="0" w:header="0"/>
        </w:sectPr>
      </w:pPr>
    </w:p>
    <w:bookmarkStart w:id="13" w:name="page14"/>
    <w:bookmarkEnd w:id="13"/>
    <w:p>
      <w:pPr>
        <w:spacing w:after="0"/>
        <w:rPr>
          <w:sz w:val="20"/>
          <w:szCs w:val="20"/>
          <w:color w:val="auto"/>
        </w:rPr>
      </w:pPr>
      <w:r>
        <w:rPr>
          <w:rFonts w:ascii="Arial" w:cs="Arial" w:eastAsia="Arial" w:hAnsi="Arial"/>
          <w:sz w:val="36"/>
          <w:szCs w:val="36"/>
          <w:color w:val="00497F"/>
        </w:rPr>
        <w:drawing>
          <wp:anchor simplePos="0" relativeHeight="251657728" behindDoc="1" locked="0" layoutInCell="0" allowOverlap="1">
            <wp:simplePos x="0" y="0"/>
            <wp:positionH relativeFrom="page">
              <wp:posOffset>6680200</wp:posOffset>
            </wp:positionH>
            <wp:positionV relativeFrom="page">
              <wp:posOffset>88900</wp:posOffset>
            </wp:positionV>
            <wp:extent cx="659765" cy="53149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clrChange>
                        <a:clrFrom>
                          <a:srgbClr val="FFFFFF"/>
                        </a:clrFrom>
                        <a:clrTo>
                          <a:srgbClr val="FFFFFF">
                            <a:alpha val="0"/>
                          </a:srgbClr>
                        </a:clrTo>
                      </a:clrChange>
                      <a:extLst>
                        <a:ext uri="{28A0092B-C50C-407E-A947-70E740481C1C}"/>
                      </a:extLst>
                    </a:blip>
                    <a:srcRect/>
                    <a:stretch>
                      <a:fillRect/>
                    </a:stretch>
                  </pic:blipFill>
                  <pic:spPr bwMode="auto">
                    <a:xfrm>
                      <a:off x="0" y="0"/>
                      <a:ext cx="659765" cy="531495"/>
                    </a:xfrm>
                    <a:prstGeom prst="rect">
                      <a:avLst/>
                    </a:prstGeom>
                    <a:noFill/>
                  </pic:spPr>
                </pic:pic>
              </a:graphicData>
            </a:graphic>
          </wp:anchor>
        </w:drawing>
        <w:t>UPC Holding Reports Preliminary Q1 2020 Results</w:t>
      </w:r>
    </w:p>
    <w:p>
      <w:pPr>
        <w:spacing w:after="0" w:line="178" w:lineRule="exact"/>
        <w:rPr>
          <w:sz w:val="20"/>
          <w:szCs w:val="20"/>
          <w:color w:val="auto"/>
        </w:rPr>
      </w:pPr>
    </w:p>
    <w:p>
      <w:pPr>
        <w:ind w:right="2380"/>
        <w:spacing w:after="0" w:line="382" w:lineRule="auto"/>
        <w:rPr>
          <w:sz w:val="20"/>
          <w:szCs w:val="20"/>
          <w:color w:val="auto"/>
        </w:rPr>
      </w:pPr>
      <w:r>
        <w:rPr>
          <w:rFonts w:ascii="Arial" w:cs="Arial" w:eastAsia="Arial" w:hAnsi="Arial"/>
          <w:sz w:val="28"/>
          <w:szCs w:val="28"/>
          <w:color w:val="00497F"/>
        </w:rPr>
        <w:t>Swiss Market remains Highly Competitive; Continued ARPU pressure Record Mobile Net Additions driven by Acceleration in Poland Flawless Connectivity for Customers During COVID-19 Pandemic</w:t>
      </w:r>
    </w:p>
    <w:p>
      <w:pPr>
        <w:spacing w:after="0" w:line="2"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UPC Holding Group (“UPC Holding”) provides market-leading triple- and quad-play services through next-generation networks and innovative technology platforms. The information in this release relates to our operations in Switzerland, Poland and Slovakia, unless otherwise indicated (Poland and Slovakia together are referred to as "CEE"). Our operations connected 2.7 million customers subscribing to 5.7 million television, internet and fixed-line telephony services and served 229,400 mobile subscribers at March 31, 2020.</w:t>
      </w:r>
    </w:p>
    <w:p>
      <w:pPr>
        <w:spacing w:after="0" w:line="15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Operating and strategic highlights:</w:t>
      </w:r>
    </w:p>
    <w:p>
      <w:pPr>
        <w:spacing w:after="0" w:line="240" w:lineRule="exact"/>
        <w:rPr>
          <w:sz w:val="20"/>
          <w:szCs w:val="20"/>
          <w:color w:val="auto"/>
        </w:rPr>
      </w:pPr>
    </w:p>
    <w:p>
      <w:pPr>
        <w:ind w:left="580" w:hanging="491"/>
        <w:spacing w:after="0" w:line="246" w:lineRule="auto"/>
        <w:tabs>
          <w:tab w:leader="none" w:pos="580" w:val="left"/>
        </w:tabs>
        <w:numPr>
          <w:ilvl w:val="0"/>
          <w:numId w:val="8"/>
        </w:numPr>
        <w:rPr>
          <w:rFonts w:ascii="Arial" w:cs="Arial" w:eastAsia="Arial" w:hAnsi="Arial"/>
          <w:sz w:val="20"/>
          <w:szCs w:val="20"/>
          <w:color w:val="auto"/>
        </w:rPr>
      </w:pPr>
      <w:r>
        <w:rPr>
          <w:rFonts w:ascii="Arial" w:cs="Arial" w:eastAsia="Arial" w:hAnsi="Arial"/>
          <w:sz w:val="20"/>
          <w:szCs w:val="20"/>
          <w:color w:val="auto"/>
        </w:rPr>
        <w:t>UPC’s operations continue to drive fixed-mobile convergence, while providing leading connectivity and entertainment experiences to support future ARPU growth and a stable customer base</w:t>
      </w:r>
    </w:p>
    <w:p>
      <w:pPr>
        <w:spacing w:after="0" w:line="95" w:lineRule="exact"/>
        <w:rPr>
          <w:rFonts w:ascii="Arial" w:cs="Arial" w:eastAsia="Arial" w:hAnsi="Arial"/>
          <w:sz w:val="20"/>
          <w:szCs w:val="20"/>
          <w:color w:val="auto"/>
        </w:rPr>
      </w:pPr>
    </w:p>
    <w:p>
      <w:pPr>
        <w:ind w:left="1220" w:hanging="483"/>
        <w:spacing w:after="0" w:line="246" w:lineRule="auto"/>
        <w:tabs>
          <w:tab w:leader="none" w:pos="1220" w:val="left"/>
        </w:tabs>
        <w:numPr>
          <w:ilvl w:val="1"/>
          <w:numId w:val="8"/>
        </w:numPr>
        <w:rPr>
          <w:rFonts w:ascii="Arial" w:cs="Arial" w:eastAsia="Arial" w:hAnsi="Arial"/>
          <w:sz w:val="20"/>
          <w:szCs w:val="20"/>
          <w:color w:val="auto"/>
        </w:rPr>
      </w:pPr>
      <w:r>
        <w:rPr>
          <w:rFonts w:ascii="Arial" w:cs="Arial" w:eastAsia="Arial" w:hAnsi="Arial"/>
          <w:sz w:val="20"/>
          <w:szCs w:val="20"/>
          <w:color w:val="auto"/>
        </w:rPr>
        <w:t>UPC Switzerland, which launched the country’s largest Gigabit network at the end of Q3 2019, has already gained 53,000 1 Gbps customers</w:t>
      </w:r>
    </w:p>
    <w:p>
      <w:pPr>
        <w:spacing w:after="0" w:line="95" w:lineRule="exact"/>
        <w:rPr>
          <w:rFonts w:ascii="Arial" w:cs="Arial" w:eastAsia="Arial" w:hAnsi="Arial"/>
          <w:sz w:val="20"/>
          <w:szCs w:val="20"/>
          <w:color w:val="auto"/>
        </w:rPr>
      </w:pPr>
    </w:p>
    <w:p>
      <w:pPr>
        <w:jc w:val="both"/>
        <w:ind w:left="1220" w:hanging="483"/>
        <w:spacing w:after="0" w:line="243" w:lineRule="auto"/>
        <w:tabs>
          <w:tab w:leader="none" w:pos="1220" w:val="left"/>
        </w:tabs>
        <w:numPr>
          <w:ilvl w:val="1"/>
          <w:numId w:val="8"/>
        </w:numPr>
        <w:rPr>
          <w:rFonts w:ascii="Arial" w:cs="Arial" w:eastAsia="Arial" w:hAnsi="Arial"/>
          <w:sz w:val="20"/>
          <w:szCs w:val="20"/>
          <w:color w:val="auto"/>
        </w:rPr>
      </w:pPr>
      <w:r>
        <w:rPr>
          <w:rFonts w:ascii="Arial" w:cs="Arial" w:eastAsia="Arial" w:hAnsi="Arial"/>
          <w:sz w:val="20"/>
          <w:szCs w:val="20"/>
          <w:color w:val="auto"/>
        </w:rPr>
        <w:t>Horizon 4 (UPC TV) reaches a base of 278,000 customers in Switzerland, representing 47% and 28% of our enhanced and total video bases respectively. Product NPS continues to be significantly higher than our legacy platform</w:t>
      </w:r>
    </w:p>
    <w:p>
      <w:pPr>
        <w:spacing w:after="0" w:line="95" w:lineRule="exact"/>
        <w:rPr>
          <w:rFonts w:ascii="Arial" w:cs="Arial" w:eastAsia="Arial" w:hAnsi="Arial"/>
          <w:sz w:val="20"/>
          <w:szCs w:val="20"/>
          <w:color w:val="auto"/>
        </w:rPr>
      </w:pPr>
    </w:p>
    <w:p>
      <w:pPr>
        <w:ind w:left="580" w:right="20" w:hanging="491"/>
        <w:spacing w:after="0" w:line="217" w:lineRule="auto"/>
        <w:tabs>
          <w:tab w:leader="none" w:pos="580" w:val="left"/>
        </w:tabs>
        <w:numPr>
          <w:ilvl w:val="0"/>
          <w:numId w:val="8"/>
        </w:numPr>
        <w:rPr>
          <w:rFonts w:ascii="Arial" w:cs="Arial" w:eastAsia="Arial" w:hAnsi="Arial"/>
          <w:sz w:val="20"/>
          <w:szCs w:val="20"/>
          <w:color w:val="auto"/>
        </w:rPr>
      </w:pPr>
      <w:r>
        <w:rPr>
          <w:rFonts w:ascii="Arial" w:cs="Arial" w:eastAsia="Arial" w:hAnsi="Arial"/>
          <w:sz w:val="20"/>
          <w:szCs w:val="20"/>
          <w:color w:val="auto"/>
        </w:rPr>
        <w:t>Swiss Q1 Customer ARPU of CHF 69.12 decreased 2.8% YoY on a both a reported and rebased</w:t>
      </w:r>
      <w:r>
        <w:rPr>
          <w:rFonts w:ascii="Arial" w:cs="Arial" w:eastAsia="Arial" w:hAnsi="Arial"/>
          <w:sz w:val="25"/>
          <w:szCs w:val="25"/>
          <w:color w:val="auto"/>
          <w:vertAlign w:val="superscript"/>
        </w:rPr>
        <w:t>1</w:t>
      </w:r>
      <w:r>
        <w:rPr>
          <w:rFonts w:ascii="Arial" w:cs="Arial" w:eastAsia="Arial" w:hAnsi="Arial"/>
          <w:sz w:val="20"/>
          <w:szCs w:val="20"/>
          <w:color w:val="auto"/>
        </w:rPr>
        <w:t xml:space="preserve"> basis, as a result of higher front-book discounts due to the highly competitive nature of the market</w:t>
      </w:r>
    </w:p>
    <w:p>
      <w:pPr>
        <w:spacing w:after="0" w:line="101" w:lineRule="exact"/>
        <w:rPr>
          <w:rFonts w:ascii="Arial" w:cs="Arial" w:eastAsia="Arial" w:hAnsi="Arial"/>
          <w:sz w:val="20"/>
          <w:szCs w:val="20"/>
          <w:color w:val="auto"/>
        </w:rPr>
      </w:pPr>
    </w:p>
    <w:p>
      <w:pPr>
        <w:ind w:left="580" w:right="20" w:hanging="491"/>
        <w:spacing w:after="0" w:line="246" w:lineRule="auto"/>
        <w:tabs>
          <w:tab w:leader="none" w:pos="580" w:val="left"/>
        </w:tabs>
        <w:numPr>
          <w:ilvl w:val="0"/>
          <w:numId w:val="8"/>
        </w:numPr>
        <w:rPr>
          <w:rFonts w:ascii="Arial" w:cs="Arial" w:eastAsia="Arial" w:hAnsi="Arial"/>
          <w:sz w:val="20"/>
          <w:szCs w:val="20"/>
          <w:color w:val="auto"/>
        </w:rPr>
      </w:pPr>
      <w:r>
        <w:rPr>
          <w:rFonts w:ascii="Arial" w:cs="Arial" w:eastAsia="Arial" w:hAnsi="Arial"/>
          <w:sz w:val="20"/>
          <w:szCs w:val="20"/>
          <w:color w:val="auto"/>
        </w:rPr>
        <w:t>CEE Q1 Customer ARPU of €20.00 grew 1.0% YoY on a reported basis and 1.7% YoY on a rebased basis, due to an improved front-book tier mix</w:t>
      </w:r>
    </w:p>
    <w:p>
      <w:pPr>
        <w:spacing w:after="0" w:line="95" w:lineRule="exact"/>
        <w:rPr>
          <w:rFonts w:ascii="Arial" w:cs="Arial" w:eastAsia="Arial" w:hAnsi="Arial"/>
          <w:sz w:val="20"/>
          <w:szCs w:val="20"/>
          <w:color w:val="auto"/>
        </w:rPr>
      </w:pPr>
    </w:p>
    <w:p>
      <w:pPr>
        <w:ind w:left="580" w:hanging="491"/>
        <w:spacing w:after="0"/>
        <w:tabs>
          <w:tab w:leader="none" w:pos="580" w:val="left"/>
        </w:tabs>
        <w:numPr>
          <w:ilvl w:val="0"/>
          <w:numId w:val="8"/>
        </w:numPr>
        <w:rPr>
          <w:rFonts w:ascii="Arial" w:cs="Arial" w:eastAsia="Arial" w:hAnsi="Arial"/>
          <w:sz w:val="20"/>
          <w:szCs w:val="20"/>
          <w:color w:val="auto"/>
        </w:rPr>
      </w:pPr>
      <w:r>
        <w:rPr>
          <w:rFonts w:ascii="Arial" w:cs="Arial" w:eastAsia="Arial" w:hAnsi="Arial"/>
          <w:sz w:val="20"/>
          <w:szCs w:val="20"/>
          <w:color w:val="auto"/>
        </w:rPr>
        <w:t>Customer relationship losses were 10,000 in Q1 as compared to a loss of 12,000 in Q1 2019</w:t>
      </w:r>
    </w:p>
    <w:p>
      <w:pPr>
        <w:spacing w:after="0" w:line="107" w:lineRule="exact"/>
        <w:rPr>
          <w:rFonts w:ascii="Arial" w:cs="Arial" w:eastAsia="Arial" w:hAnsi="Arial"/>
          <w:sz w:val="20"/>
          <w:szCs w:val="20"/>
          <w:color w:val="auto"/>
        </w:rPr>
      </w:pPr>
    </w:p>
    <w:p>
      <w:pPr>
        <w:ind w:left="1220" w:hanging="483"/>
        <w:spacing w:after="0" w:line="246" w:lineRule="auto"/>
        <w:tabs>
          <w:tab w:leader="none" w:pos="1220" w:val="left"/>
        </w:tabs>
        <w:numPr>
          <w:ilvl w:val="1"/>
          <w:numId w:val="8"/>
        </w:numPr>
        <w:rPr>
          <w:rFonts w:ascii="Arial" w:cs="Arial" w:eastAsia="Arial" w:hAnsi="Arial"/>
          <w:sz w:val="20"/>
          <w:szCs w:val="20"/>
          <w:color w:val="auto"/>
        </w:rPr>
      </w:pPr>
      <w:r>
        <w:rPr>
          <w:rFonts w:ascii="Arial" w:cs="Arial" w:eastAsia="Arial" w:hAnsi="Arial"/>
          <w:sz w:val="20"/>
          <w:szCs w:val="20"/>
          <w:color w:val="auto"/>
        </w:rPr>
        <w:t>Switzerland lost 16,000 customers in Q1, representing an 8,000 YoY improvement, supported by the aforementioned product enhancements but still adversely impacted by competitive market conditions</w:t>
      </w:r>
    </w:p>
    <w:p>
      <w:pPr>
        <w:spacing w:after="0" w:line="95" w:lineRule="exact"/>
        <w:rPr>
          <w:rFonts w:ascii="Arial" w:cs="Arial" w:eastAsia="Arial" w:hAnsi="Arial"/>
          <w:sz w:val="20"/>
          <w:szCs w:val="20"/>
          <w:color w:val="auto"/>
        </w:rPr>
      </w:pPr>
    </w:p>
    <w:p>
      <w:pPr>
        <w:ind w:left="1220" w:hanging="483"/>
        <w:spacing w:after="0" w:line="246" w:lineRule="auto"/>
        <w:tabs>
          <w:tab w:leader="none" w:pos="1220" w:val="left"/>
        </w:tabs>
        <w:numPr>
          <w:ilvl w:val="1"/>
          <w:numId w:val="8"/>
        </w:numPr>
        <w:rPr>
          <w:rFonts w:ascii="Arial" w:cs="Arial" w:eastAsia="Arial" w:hAnsi="Arial"/>
          <w:sz w:val="20"/>
          <w:szCs w:val="20"/>
          <w:color w:val="auto"/>
        </w:rPr>
      </w:pPr>
      <w:r>
        <w:rPr>
          <w:rFonts w:ascii="Arial" w:cs="Arial" w:eastAsia="Arial" w:hAnsi="Arial"/>
          <w:sz w:val="20"/>
          <w:szCs w:val="20"/>
          <w:color w:val="auto"/>
        </w:rPr>
        <w:t>CEE added 6,000 customers in Q1, as compared to 12,000 in Q1 2019, as an increased focus on front-book ARPU led to lower gross additions</w:t>
      </w:r>
    </w:p>
    <w:p>
      <w:pPr>
        <w:spacing w:after="0" w:line="95" w:lineRule="exact"/>
        <w:rPr>
          <w:rFonts w:ascii="Arial" w:cs="Arial" w:eastAsia="Arial" w:hAnsi="Arial"/>
          <w:sz w:val="20"/>
          <w:szCs w:val="20"/>
          <w:color w:val="auto"/>
        </w:rPr>
      </w:pPr>
    </w:p>
    <w:p>
      <w:pPr>
        <w:ind w:left="580" w:hanging="491"/>
        <w:spacing w:after="0"/>
        <w:tabs>
          <w:tab w:leader="none" w:pos="580" w:val="left"/>
        </w:tabs>
        <w:numPr>
          <w:ilvl w:val="0"/>
          <w:numId w:val="8"/>
        </w:numPr>
        <w:rPr>
          <w:rFonts w:ascii="Arial" w:cs="Arial" w:eastAsia="Arial" w:hAnsi="Arial"/>
          <w:sz w:val="20"/>
          <w:szCs w:val="20"/>
          <w:color w:val="auto"/>
        </w:rPr>
      </w:pPr>
      <w:r>
        <w:rPr>
          <w:rFonts w:ascii="Arial" w:cs="Arial" w:eastAsia="Arial" w:hAnsi="Arial"/>
          <w:sz w:val="20"/>
          <w:szCs w:val="20"/>
          <w:color w:val="auto"/>
        </w:rPr>
        <w:t>Mobile additions were 20,000 in Q1, our highest to date, as compared to 13,000 in Q1 2019</w:t>
      </w:r>
    </w:p>
    <w:p>
      <w:pPr>
        <w:spacing w:after="0" w:line="107" w:lineRule="exact"/>
        <w:rPr>
          <w:rFonts w:ascii="Arial" w:cs="Arial" w:eastAsia="Arial" w:hAnsi="Arial"/>
          <w:sz w:val="20"/>
          <w:szCs w:val="20"/>
          <w:color w:val="auto"/>
        </w:rPr>
      </w:pPr>
    </w:p>
    <w:p>
      <w:pPr>
        <w:ind w:left="1220" w:hanging="483"/>
        <w:spacing w:after="0"/>
        <w:tabs>
          <w:tab w:leader="none" w:pos="1220" w:val="left"/>
        </w:tabs>
        <w:numPr>
          <w:ilvl w:val="1"/>
          <w:numId w:val="8"/>
        </w:numPr>
        <w:rPr>
          <w:rFonts w:ascii="Arial" w:cs="Arial" w:eastAsia="Arial" w:hAnsi="Arial"/>
          <w:sz w:val="20"/>
          <w:szCs w:val="20"/>
          <w:color w:val="auto"/>
        </w:rPr>
      </w:pPr>
      <w:r>
        <w:rPr>
          <w:rFonts w:ascii="Arial" w:cs="Arial" w:eastAsia="Arial" w:hAnsi="Arial"/>
          <w:sz w:val="20"/>
          <w:szCs w:val="20"/>
          <w:color w:val="auto"/>
        </w:rPr>
        <w:t>UPC Switzerland drove FMC to 21%, as compared to 15% in Q1 2019</w:t>
      </w:r>
    </w:p>
    <w:p>
      <w:pPr>
        <w:spacing w:after="0" w:line="107" w:lineRule="exact"/>
        <w:rPr>
          <w:rFonts w:ascii="Arial" w:cs="Arial" w:eastAsia="Arial" w:hAnsi="Arial"/>
          <w:sz w:val="20"/>
          <w:szCs w:val="20"/>
          <w:color w:val="auto"/>
        </w:rPr>
      </w:pPr>
    </w:p>
    <w:p>
      <w:pPr>
        <w:ind w:left="1220" w:right="20" w:hanging="483"/>
        <w:spacing w:after="0" w:line="246" w:lineRule="auto"/>
        <w:tabs>
          <w:tab w:leader="none" w:pos="1220" w:val="left"/>
        </w:tabs>
        <w:numPr>
          <w:ilvl w:val="1"/>
          <w:numId w:val="8"/>
        </w:numPr>
        <w:rPr>
          <w:rFonts w:ascii="Arial" w:cs="Arial" w:eastAsia="Arial" w:hAnsi="Arial"/>
          <w:sz w:val="18"/>
          <w:szCs w:val="18"/>
          <w:color w:val="auto"/>
        </w:rPr>
      </w:pPr>
      <w:r>
        <w:rPr>
          <w:rFonts w:ascii="Arial" w:cs="Arial" w:eastAsia="Arial" w:hAnsi="Arial"/>
          <w:sz w:val="20"/>
          <w:szCs w:val="20"/>
          <w:color w:val="auto"/>
        </w:rPr>
        <w:t>Following the launch of a new mobile offering in Q3 2019, UPC Poland continued to increase its postpaid base with 7,000 additions in Q1</w:t>
      </w:r>
    </w:p>
    <w:p>
      <w:pPr>
        <w:spacing w:after="0" w:line="95" w:lineRule="exact"/>
        <w:rPr>
          <w:rFonts w:ascii="Arial" w:cs="Arial" w:eastAsia="Arial" w:hAnsi="Arial"/>
          <w:sz w:val="18"/>
          <w:szCs w:val="18"/>
          <w:color w:val="auto"/>
        </w:rPr>
      </w:pPr>
    </w:p>
    <w:p>
      <w:pPr>
        <w:ind w:left="580" w:right="20" w:hanging="491"/>
        <w:spacing w:after="0" w:line="246" w:lineRule="auto"/>
        <w:tabs>
          <w:tab w:leader="none" w:pos="580" w:val="left"/>
        </w:tabs>
        <w:numPr>
          <w:ilvl w:val="0"/>
          <w:numId w:val="8"/>
        </w:numPr>
        <w:rPr>
          <w:rFonts w:ascii="Arial" w:cs="Arial" w:eastAsia="Arial" w:hAnsi="Arial"/>
          <w:sz w:val="20"/>
          <w:szCs w:val="20"/>
          <w:color w:val="auto"/>
        </w:rPr>
      </w:pPr>
      <w:r>
        <w:rPr>
          <w:rFonts w:ascii="Arial" w:cs="Arial" w:eastAsia="Arial" w:hAnsi="Arial"/>
          <w:sz w:val="20"/>
          <w:szCs w:val="20"/>
          <w:color w:val="auto"/>
        </w:rPr>
        <w:t>During the quarter, we adapted our business operations quickly in response to the COVID-19 pandemic to keep our customers connected and ensure the safety of our employees</w:t>
      </w:r>
    </w:p>
    <w:p>
      <w:pPr>
        <w:spacing w:after="0" w:line="95" w:lineRule="exact"/>
        <w:rPr>
          <w:rFonts w:ascii="Arial" w:cs="Arial" w:eastAsia="Arial" w:hAnsi="Arial"/>
          <w:sz w:val="20"/>
          <w:szCs w:val="20"/>
          <w:color w:val="auto"/>
        </w:rPr>
      </w:pPr>
    </w:p>
    <w:p>
      <w:pPr>
        <w:ind w:left="1220" w:hanging="483"/>
        <w:spacing w:after="0" w:line="246" w:lineRule="auto"/>
        <w:tabs>
          <w:tab w:leader="none" w:pos="1220" w:val="left"/>
        </w:tabs>
        <w:numPr>
          <w:ilvl w:val="1"/>
          <w:numId w:val="8"/>
        </w:numPr>
        <w:rPr>
          <w:rFonts w:ascii="Arial" w:cs="Arial" w:eastAsia="Arial" w:hAnsi="Arial"/>
          <w:sz w:val="20"/>
          <w:szCs w:val="20"/>
          <w:color w:val="auto"/>
        </w:rPr>
      </w:pPr>
      <w:r>
        <w:rPr>
          <w:rFonts w:ascii="Arial" w:cs="Arial" w:eastAsia="Arial" w:hAnsi="Arial"/>
          <w:sz w:val="20"/>
          <w:szCs w:val="20"/>
          <w:color w:val="auto"/>
        </w:rPr>
        <w:t>Our robust network is successfully handling the increased demand from customers working from home during the pandemic</w:t>
      </w:r>
    </w:p>
    <w:p>
      <w:pPr>
        <w:spacing w:after="0" w:line="95" w:lineRule="exact"/>
        <w:rPr>
          <w:rFonts w:ascii="Arial" w:cs="Arial" w:eastAsia="Arial" w:hAnsi="Arial"/>
          <w:sz w:val="20"/>
          <w:szCs w:val="20"/>
          <w:color w:val="auto"/>
        </w:rPr>
      </w:pPr>
    </w:p>
    <w:p>
      <w:pPr>
        <w:jc w:val="both"/>
        <w:ind w:left="1220" w:hanging="483"/>
        <w:spacing w:after="0" w:line="243" w:lineRule="auto"/>
        <w:tabs>
          <w:tab w:leader="none" w:pos="1220" w:val="left"/>
        </w:tabs>
        <w:numPr>
          <w:ilvl w:val="1"/>
          <w:numId w:val="8"/>
        </w:numPr>
        <w:rPr>
          <w:rFonts w:ascii="Arial" w:cs="Arial" w:eastAsia="Arial" w:hAnsi="Arial"/>
          <w:sz w:val="20"/>
          <w:szCs w:val="20"/>
          <w:color w:val="auto"/>
        </w:rPr>
      </w:pPr>
      <w:r>
        <w:rPr>
          <w:rFonts w:ascii="Arial" w:cs="Arial" w:eastAsia="Arial" w:hAnsi="Arial"/>
          <w:sz w:val="20"/>
          <w:szCs w:val="20"/>
          <w:color w:val="auto"/>
        </w:rPr>
        <w:t>We are proactively helping our residential customers stay connected and entertained during this period. The initiatives range from automatically upgrading customers to 100Mbps to unlocking all children’s channels and expanding our range of premium channels free of charge</w:t>
      </w:r>
    </w:p>
    <w:p>
      <w:pPr>
        <w:spacing w:after="0" w:line="211"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240"/>
          </w:cols>
          <w:pgMar w:left="320" w:top="1204" w:right="339" w:bottom="1440" w:gutter="0" w:footer="0" w:header="0"/>
        </w:sectPr>
      </w:pPr>
    </w:p>
    <w:bookmarkStart w:id="14" w:name="page15"/>
    <w:bookmarkEnd w:id="14"/>
    <w:p>
      <w:pPr>
        <w:ind w:left="1220" w:hanging="483"/>
        <w:spacing w:after="0" w:line="246" w:lineRule="auto"/>
        <w:tabs>
          <w:tab w:leader="none" w:pos="1220" w:val="left"/>
        </w:tabs>
        <w:numPr>
          <w:ilvl w:val="0"/>
          <w:numId w:val="9"/>
        </w:numPr>
        <w:rPr>
          <w:rFonts w:ascii="Arial" w:cs="Arial" w:eastAsia="Arial" w:hAnsi="Arial"/>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6680200</wp:posOffset>
            </wp:positionH>
            <wp:positionV relativeFrom="page">
              <wp:posOffset>88900</wp:posOffset>
            </wp:positionV>
            <wp:extent cx="659765" cy="53149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clrChange>
                        <a:clrFrom>
                          <a:srgbClr val="FFFFFF"/>
                        </a:clrFrom>
                        <a:clrTo>
                          <a:srgbClr val="FFFFFF">
                            <a:alpha val="0"/>
                          </a:srgbClr>
                        </a:clrTo>
                      </a:clrChange>
                      <a:extLst>
                        <a:ext uri="{28A0092B-C50C-407E-A947-70E740481C1C}"/>
                      </a:extLst>
                    </a:blip>
                    <a:srcRect/>
                    <a:stretch>
                      <a:fillRect/>
                    </a:stretch>
                  </pic:blipFill>
                  <pic:spPr bwMode="auto">
                    <a:xfrm>
                      <a:off x="0" y="0"/>
                      <a:ext cx="659765" cy="531495"/>
                    </a:xfrm>
                    <a:prstGeom prst="rect">
                      <a:avLst/>
                    </a:prstGeom>
                    <a:noFill/>
                  </pic:spPr>
                </pic:pic>
              </a:graphicData>
            </a:graphic>
          </wp:anchor>
        </w:drawing>
        <w:t>In B2B, we have increased capacity and provided additional security services to enable remote working for many businesses and maintain connectivity during this difficult time</w:t>
      </w:r>
    </w:p>
    <w:p>
      <w:pPr>
        <w:spacing w:after="0" w:line="30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Financial highlights:</w:t>
      </w:r>
    </w:p>
    <w:p>
      <w:pPr>
        <w:spacing w:after="0" w:line="186" w:lineRule="exact"/>
        <w:rPr>
          <w:sz w:val="20"/>
          <w:szCs w:val="20"/>
          <w:color w:val="auto"/>
        </w:rPr>
      </w:pPr>
    </w:p>
    <w:p>
      <w:pPr>
        <w:ind w:left="580" w:hanging="491"/>
        <w:spacing w:after="0"/>
        <w:tabs>
          <w:tab w:leader="none" w:pos="580" w:val="left"/>
        </w:tabs>
        <w:numPr>
          <w:ilvl w:val="0"/>
          <w:numId w:val="10"/>
        </w:numPr>
        <w:rPr>
          <w:rFonts w:ascii="Arial" w:cs="Arial" w:eastAsia="Arial" w:hAnsi="Arial"/>
          <w:sz w:val="20"/>
          <w:szCs w:val="20"/>
          <w:color w:val="auto"/>
        </w:rPr>
      </w:pPr>
      <w:r>
        <w:rPr>
          <w:rFonts w:ascii="Arial" w:cs="Arial" w:eastAsia="Arial" w:hAnsi="Arial"/>
          <w:sz w:val="20"/>
          <w:szCs w:val="20"/>
          <w:color w:val="auto"/>
        </w:rPr>
        <w:t>Revenue of €396 million in Q1 increased 3.2% YoY on a reported basis and declined 1.0% YoY on a rebased basis</w:t>
      </w:r>
    </w:p>
    <w:p>
      <w:pPr>
        <w:spacing w:after="0" w:line="107" w:lineRule="exact"/>
        <w:rPr>
          <w:rFonts w:ascii="Arial" w:cs="Arial" w:eastAsia="Arial" w:hAnsi="Arial"/>
          <w:sz w:val="20"/>
          <w:szCs w:val="20"/>
          <w:color w:val="auto"/>
        </w:rPr>
      </w:pPr>
    </w:p>
    <w:p>
      <w:pPr>
        <w:jc w:val="both"/>
        <w:ind w:left="1220" w:hanging="483"/>
        <w:spacing w:after="0" w:line="243" w:lineRule="auto"/>
        <w:tabs>
          <w:tab w:leader="none" w:pos="1220" w:val="left"/>
        </w:tabs>
        <w:numPr>
          <w:ilvl w:val="1"/>
          <w:numId w:val="10"/>
        </w:numPr>
        <w:rPr>
          <w:rFonts w:ascii="Arial" w:cs="Arial" w:eastAsia="Arial" w:hAnsi="Arial"/>
          <w:sz w:val="20"/>
          <w:szCs w:val="20"/>
          <w:color w:val="auto"/>
        </w:rPr>
      </w:pPr>
      <w:r>
        <w:rPr>
          <w:rFonts w:ascii="Arial" w:cs="Arial" w:eastAsia="Arial" w:hAnsi="Arial"/>
          <w:sz w:val="20"/>
          <w:szCs w:val="20"/>
          <w:color w:val="auto"/>
        </w:rPr>
        <w:t>Swiss revenue grew 3.3% YoY on a reported basis and declined 2.7% YoY on a rebased basis, primarily due to the net effect of lower consumer subscription revenue as a result of 3P volume losses, partially offset by (i) continued volume related mobile service revenue growth and (ii) higher handset sales</w:t>
      </w:r>
    </w:p>
    <w:p>
      <w:pPr>
        <w:spacing w:after="0" w:line="97" w:lineRule="exact"/>
        <w:rPr>
          <w:rFonts w:ascii="Arial" w:cs="Arial" w:eastAsia="Arial" w:hAnsi="Arial"/>
          <w:sz w:val="20"/>
          <w:szCs w:val="20"/>
          <w:color w:val="auto"/>
        </w:rPr>
      </w:pPr>
    </w:p>
    <w:p>
      <w:pPr>
        <w:ind w:left="1880" w:hanging="495"/>
        <w:spacing w:after="0" w:line="246" w:lineRule="auto"/>
        <w:tabs>
          <w:tab w:leader="none" w:pos="1880" w:val="left"/>
        </w:tabs>
        <w:numPr>
          <w:ilvl w:val="2"/>
          <w:numId w:val="10"/>
        </w:numPr>
        <w:rPr>
          <w:rFonts w:ascii="Arial" w:cs="Arial" w:eastAsia="Arial" w:hAnsi="Arial"/>
          <w:sz w:val="20"/>
          <w:szCs w:val="20"/>
          <w:color w:val="auto"/>
        </w:rPr>
      </w:pPr>
      <w:r>
        <w:rPr>
          <w:rFonts w:ascii="Arial" w:cs="Arial" w:eastAsia="Arial" w:hAnsi="Arial"/>
          <w:sz w:val="20"/>
          <w:szCs w:val="20"/>
          <w:color w:val="auto"/>
        </w:rPr>
        <w:t>Q1 revenue include a favorable increase of €1.5 million in Switzerland due to the acceleration of revenue from our distribution partner for the broadcast of ice hockey, as further described below</w:t>
      </w:r>
    </w:p>
    <w:p>
      <w:pPr>
        <w:spacing w:after="0" w:line="95" w:lineRule="exact"/>
        <w:rPr>
          <w:rFonts w:ascii="Arial" w:cs="Arial" w:eastAsia="Arial" w:hAnsi="Arial"/>
          <w:sz w:val="20"/>
          <w:szCs w:val="20"/>
          <w:color w:val="auto"/>
        </w:rPr>
      </w:pPr>
    </w:p>
    <w:p>
      <w:pPr>
        <w:ind w:left="1220" w:hanging="483"/>
        <w:spacing w:after="0" w:line="246" w:lineRule="auto"/>
        <w:tabs>
          <w:tab w:leader="none" w:pos="1220" w:val="left"/>
        </w:tabs>
        <w:numPr>
          <w:ilvl w:val="1"/>
          <w:numId w:val="10"/>
        </w:numPr>
        <w:rPr>
          <w:rFonts w:ascii="Arial" w:cs="Arial" w:eastAsia="Arial" w:hAnsi="Arial"/>
          <w:sz w:val="20"/>
          <w:szCs w:val="20"/>
          <w:color w:val="auto"/>
        </w:rPr>
      </w:pPr>
      <w:r>
        <w:rPr>
          <w:rFonts w:ascii="Arial" w:cs="Arial" w:eastAsia="Arial" w:hAnsi="Arial"/>
          <w:sz w:val="20"/>
          <w:szCs w:val="20"/>
          <w:color w:val="auto"/>
        </w:rPr>
        <w:t>CEE revenue grew 3.1% YoY on a reported basis and 3.5% on a rebased basis due to an increase in residential cable subscription revenue driven by new build areas and growth in B2B</w:t>
      </w:r>
    </w:p>
    <w:p>
      <w:pPr>
        <w:spacing w:after="0" w:line="93" w:lineRule="exact"/>
        <w:rPr>
          <w:rFonts w:ascii="Arial" w:cs="Arial" w:eastAsia="Arial" w:hAnsi="Arial"/>
          <w:sz w:val="20"/>
          <w:szCs w:val="20"/>
          <w:color w:val="auto"/>
        </w:rPr>
      </w:pPr>
    </w:p>
    <w:p>
      <w:pPr>
        <w:ind w:left="580" w:hanging="491"/>
        <w:spacing w:after="0"/>
        <w:tabs>
          <w:tab w:leader="none" w:pos="580" w:val="left"/>
        </w:tabs>
        <w:numPr>
          <w:ilvl w:val="0"/>
          <w:numId w:val="10"/>
        </w:numPr>
        <w:rPr>
          <w:rFonts w:ascii="Arial" w:cs="Arial" w:eastAsia="Arial" w:hAnsi="Arial"/>
          <w:sz w:val="20"/>
          <w:szCs w:val="20"/>
          <w:color w:val="auto"/>
        </w:rPr>
      </w:pPr>
      <w:r>
        <w:rPr>
          <w:rFonts w:ascii="Arial" w:cs="Arial" w:eastAsia="Arial" w:hAnsi="Arial"/>
          <w:sz w:val="20"/>
          <w:szCs w:val="20"/>
          <w:color w:val="auto"/>
        </w:rPr>
        <w:t>Operating income decreased 92.3% in Q1 to €4 million, largely driven by the decrease in OCF</w:t>
      </w:r>
      <w:r>
        <w:rPr>
          <w:rFonts w:ascii="Arial" w:cs="Arial" w:eastAsia="Arial" w:hAnsi="Arial"/>
          <w:sz w:val="25"/>
          <w:szCs w:val="25"/>
          <w:color w:val="auto"/>
          <w:vertAlign w:val="superscript"/>
        </w:rPr>
        <w:t>2</w:t>
      </w:r>
    </w:p>
    <w:p>
      <w:pPr>
        <w:spacing w:after="0" w:line="52" w:lineRule="exact"/>
        <w:rPr>
          <w:rFonts w:ascii="Arial" w:cs="Arial" w:eastAsia="Arial" w:hAnsi="Arial"/>
          <w:sz w:val="20"/>
          <w:szCs w:val="20"/>
          <w:color w:val="auto"/>
        </w:rPr>
      </w:pPr>
    </w:p>
    <w:p>
      <w:pPr>
        <w:ind w:left="580" w:hanging="491"/>
        <w:spacing w:after="0"/>
        <w:tabs>
          <w:tab w:leader="none" w:pos="580" w:val="left"/>
        </w:tabs>
        <w:numPr>
          <w:ilvl w:val="0"/>
          <w:numId w:val="10"/>
        </w:numPr>
        <w:rPr>
          <w:rFonts w:ascii="Arial" w:cs="Arial" w:eastAsia="Arial" w:hAnsi="Arial"/>
          <w:sz w:val="20"/>
          <w:szCs w:val="20"/>
          <w:color w:val="auto"/>
        </w:rPr>
      </w:pPr>
      <w:r>
        <w:rPr>
          <w:rFonts w:ascii="Arial" w:cs="Arial" w:eastAsia="Arial" w:hAnsi="Arial"/>
          <w:sz w:val="20"/>
          <w:szCs w:val="20"/>
          <w:color w:val="auto"/>
        </w:rPr>
        <w:t>Segment OCF of €171 million in Q1 declined 7.2% YoY on a reported basis and 10.9% YoY on a rebased basis</w:t>
      </w:r>
    </w:p>
    <w:p>
      <w:pPr>
        <w:spacing w:after="0" w:line="107" w:lineRule="exact"/>
        <w:rPr>
          <w:rFonts w:ascii="Arial" w:cs="Arial" w:eastAsia="Arial" w:hAnsi="Arial"/>
          <w:sz w:val="20"/>
          <w:szCs w:val="20"/>
          <w:color w:val="auto"/>
        </w:rPr>
      </w:pPr>
    </w:p>
    <w:p>
      <w:pPr>
        <w:ind w:left="1220" w:hanging="483"/>
        <w:spacing w:after="0" w:line="246" w:lineRule="auto"/>
        <w:tabs>
          <w:tab w:leader="none" w:pos="1220" w:val="left"/>
        </w:tabs>
        <w:numPr>
          <w:ilvl w:val="1"/>
          <w:numId w:val="10"/>
        </w:numPr>
        <w:rPr>
          <w:rFonts w:ascii="Arial" w:cs="Arial" w:eastAsia="Arial" w:hAnsi="Arial"/>
          <w:sz w:val="20"/>
          <w:szCs w:val="20"/>
          <w:color w:val="auto"/>
        </w:rPr>
      </w:pPr>
      <w:r>
        <w:rPr>
          <w:rFonts w:ascii="Arial" w:cs="Arial" w:eastAsia="Arial" w:hAnsi="Arial"/>
          <w:sz w:val="20"/>
          <w:szCs w:val="20"/>
          <w:color w:val="auto"/>
        </w:rPr>
        <w:t>Swiss OCF declined 11.6% YoY on a reported basis and 16.0% on a rebased basis, mainly due to (i) higher interconnect and mobile handset costs and (ii) the aforementioned loss of residential cable subscription revenue</w:t>
      </w:r>
    </w:p>
    <w:p>
      <w:pPr>
        <w:spacing w:after="0" w:line="95" w:lineRule="exact"/>
        <w:rPr>
          <w:rFonts w:ascii="Arial" w:cs="Arial" w:eastAsia="Arial" w:hAnsi="Arial"/>
          <w:sz w:val="20"/>
          <w:szCs w:val="20"/>
          <w:color w:val="auto"/>
        </w:rPr>
      </w:pPr>
    </w:p>
    <w:p>
      <w:pPr>
        <w:jc w:val="both"/>
        <w:ind w:left="1880" w:hanging="495"/>
        <w:spacing w:after="0" w:line="243" w:lineRule="auto"/>
        <w:tabs>
          <w:tab w:leader="none" w:pos="1880" w:val="left"/>
        </w:tabs>
        <w:numPr>
          <w:ilvl w:val="2"/>
          <w:numId w:val="10"/>
        </w:numPr>
        <w:rPr>
          <w:rFonts w:ascii="Arial" w:cs="Arial" w:eastAsia="Arial" w:hAnsi="Arial"/>
          <w:sz w:val="20"/>
          <w:szCs w:val="20"/>
          <w:color w:val="auto"/>
        </w:rPr>
      </w:pPr>
      <w:r>
        <w:rPr>
          <w:rFonts w:ascii="Arial" w:cs="Arial" w:eastAsia="Arial" w:hAnsi="Arial"/>
          <w:sz w:val="20"/>
          <w:szCs w:val="20"/>
          <w:color w:val="auto"/>
        </w:rPr>
        <w:t>The rebased Segment OCF decline included a net unfavorable impact of €2.0 million due to the acceleration of certain prepaid amounts and associated revenues related to ice hockey sports rights, as COVID-19 led to the cancellation of the league</w:t>
      </w:r>
    </w:p>
    <w:p>
      <w:pPr>
        <w:spacing w:after="0" w:line="97" w:lineRule="exact"/>
        <w:rPr>
          <w:rFonts w:ascii="Arial" w:cs="Arial" w:eastAsia="Arial" w:hAnsi="Arial"/>
          <w:sz w:val="20"/>
          <w:szCs w:val="20"/>
          <w:color w:val="auto"/>
        </w:rPr>
      </w:pPr>
    </w:p>
    <w:p>
      <w:pPr>
        <w:ind w:left="1220" w:hanging="483"/>
        <w:spacing w:after="0" w:line="246" w:lineRule="auto"/>
        <w:tabs>
          <w:tab w:leader="none" w:pos="1220" w:val="left"/>
        </w:tabs>
        <w:numPr>
          <w:ilvl w:val="1"/>
          <w:numId w:val="10"/>
        </w:numPr>
        <w:rPr>
          <w:rFonts w:ascii="Arial" w:cs="Arial" w:eastAsia="Arial" w:hAnsi="Arial"/>
          <w:sz w:val="20"/>
          <w:szCs w:val="20"/>
          <w:color w:val="auto"/>
        </w:rPr>
      </w:pPr>
      <w:r>
        <w:rPr>
          <w:rFonts w:ascii="Arial" w:cs="Arial" w:eastAsia="Arial" w:hAnsi="Arial"/>
          <w:sz w:val="20"/>
          <w:szCs w:val="20"/>
          <w:color w:val="auto"/>
        </w:rPr>
        <w:t>CEE OCF increased by 4.4% YoY on a reported basis and 4.8% on a rebased basis, largely driven by the aforementioned increase in residential cable subscription revenue</w:t>
      </w:r>
    </w:p>
    <w:p>
      <w:pPr>
        <w:spacing w:after="0" w:line="95" w:lineRule="exact"/>
        <w:rPr>
          <w:rFonts w:ascii="Arial" w:cs="Arial" w:eastAsia="Arial" w:hAnsi="Arial"/>
          <w:sz w:val="20"/>
          <w:szCs w:val="20"/>
          <w:color w:val="auto"/>
        </w:rPr>
      </w:pPr>
    </w:p>
    <w:p>
      <w:pPr>
        <w:ind w:left="580" w:hanging="491"/>
        <w:spacing w:after="0"/>
        <w:tabs>
          <w:tab w:leader="none" w:pos="580" w:val="left"/>
        </w:tabs>
        <w:numPr>
          <w:ilvl w:val="0"/>
          <w:numId w:val="10"/>
        </w:numPr>
        <w:rPr>
          <w:rFonts w:ascii="Arial" w:cs="Arial" w:eastAsia="Arial" w:hAnsi="Arial"/>
          <w:sz w:val="20"/>
          <w:szCs w:val="20"/>
          <w:color w:val="auto"/>
        </w:rPr>
      </w:pPr>
      <w:r>
        <w:rPr>
          <w:rFonts w:ascii="Arial" w:cs="Arial" w:eastAsia="Arial" w:hAnsi="Arial"/>
          <w:sz w:val="20"/>
          <w:szCs w:val="20"/>
          <w:color w:val="auto"/>
        </w:rPr>
        <w:t>Q1 segment property and equipment additions were 20.2% of revenue, up from 18.5% in the prior year period</w:t>
      </w:r>
    </w:p>
    <w:p>
      <w:pPr>
        <w:spacing w:after="0" w:line="107" w:lineRule="exact"/>
        <w:rPr>
          <w:rFonts w:ascii="Arial" w:cs="Arial" w:eastAsia="Arial" w:hAnsi="Arial"/>
          <w:sz w:val="20"/>
          <w:szCs w:val="20"/>
          <w:color w:val="auto"/>
        </w:rPr>
      </w:pPr>
    </w:p>
    <w:p>
      <w:pPr>
        <w:ind w:left="1220" w:hanging="483"/>
        <w:spacing w:after="0" w:line="246" w:lineRule="auto"/>
        <w:tabs>
          <w:tab w:leader="none" w:pos="1220" w:val="left"/>
        </w:tabs>
        <w:numPr>
          <w:ilvl w:val="1"/>
          <w:numId w:val="10"/>
        </w:numPr>
        <w:rPr>
          <w:rFonts w:ascii="Arial" w:cs="Arial" w:eastAsia="Arial" w:hAnsi="Arial"/>
          <w:sz w:val="20"/>
          <w:szCs w:val="20"/>
          <w:color w:val="auto"/>
        </w:rPr>
      </w:pPr>
      <w:r>
        <w:rPr>
          <w:rFonts w:ascii="Arial" w:cs="Arial" w:eastAsia="Arial" w:hAnsi="Arial"/>
          <w:sz w:val="20"/>
          <w:szCs w:val="20"/>
          <w:color w:val="auto"/>
        </w:rPr>
        <w:t>The Q1 increase was largely driven by new build projects and CPE inventory. Q1 property and equipment additions were 21.9% of revenue for Switzerland and 15.8% for CEE</w:t>
      </w:r>
    </w:p>
    <w:p>
      <w:pPr>
        <w:spacing w:after="0" w:line="95" w:lineRule="exact"/>
        <w:rPr>
          <w:rFonts w:ascii="Arial" w:cs="Arial" w:eastAsia="Arial" w:hAnsi="Arial"/>
          <w:sz w:val="20"/>
          <w:szCs w:val="20"/>
          <w:color w:val="auto"/>
        </w:rPr>
      </w:pPr>
    </w:p>
    <w:p>
      <w:pPr>
        <w:ind w:left="580" w:hanging="491"/>
        <w:spacing w:after="0" w:line="246" w:lineRule="auto"/>
        <w:tabs>
          <w:tab w:leader="none" w:pos="580" w:val="left"/>
        </w:tabs>
        <w:numPr>
          <w:ilvl w:val="0"/>
          <w:numId w:val="10"/>
        </w:numPr>
        <w:rPr>
          <w:rFonts w:ascii="Arial" w:cs="Arial" w:eastAsia="Arial" w:hAnsi="Arial"/>
          <w:sz w:val="20"/>
          <w:szCs w:val="20"/>
          <w:color w:val="auto"/>
        </w:rPr>
      </w:pPr>
      <w:r>
        <w:rPr>
          <w:rFonts w:ascii="Arial" w:cs="Arial" w:eastAsia="Arial" w:hAnsi="Arial"/>
          <w:sz w:val="20"/>
          <w:szCs w:val="20"/>
          <w:color w:val="auto"/>
        </w:rPr>
        <w:t>At March 31, 2020, our fully-swapped third-party debt borrowing cost was 4.0% and the average tenor of our third-party debt (excluding vendor financing) was over 8 years</w:t>
      </w:r>
    </w:p>
    <w:p>
      <w:pPr>
        <w:spacing w:after="0" w:line="95" w:lineRule="exact"/>
        <w:rPr>
          <w:rFonts w:ascii="Arial" w:cs="Arial" w:eastAsia="Arial" w:hAnsi="Arial"/>
          <w:sz w:val="20"/>
          <w:szCs w:val="20"/>
          <w:color w:val="auto"/>
        </w:rPr>
      </w:pPr>
    </w:p>
    <w:p>
      <w:pPr>
        <w:jc w:val="both"/>
        <w:ind w:left="580" w:hanging="491"/>
        <w:spacing w:after="0" w:line="243" w:lineRule="auto"/>
        <w:tabs>
          <w:tab w:leader="none" w:pos="580" w:val="left"/>
        </w:tabs>
        <w:numPr>
          <w:ilvl w:val="0"/>
          <w:numId w:val="10"/>
        </w:numPr>
        <w:rPr>
          <w:rFonts w:ascii="Arial" w:cs="Arial" w:eastAsia="Arial" w:hAnsi="Arial"/>
          <w:sz w:val="20"/>
          <w:szCs w:val="20"/>
          <w:color w:val="auto"/>
        </w:rPr>
      </w:pPr>
      <w:r>
        <w:rPr>
          <w:rFonts w:ascii="Arial" w:cs="Arial" w:eastAsia="Arial" w:hAnsi="Arial"/>
          <w:sz w:val="20"/>
          <w:szCs w:val="20"/>
          <w:color w:val="auto"/>
        </w:rPr>
        <w:t>At March 31, 2020, and subject to the completion of our corresponding compliance reporting requirements, the ratios of Senior Secured and Total Net Debt to Annualized EBITDA (last two quarters annualized) for UPC Holding were 3.06x and 4.64x, respectively, as calculated in accordance with our most restrictive covenants</w:t>
      </w:r>
    </w:p>
    <w:p>
      <w:pPr>
        <w:spacing w:after="0" w:line="97" w:lineRule="exact"/>
        <w:rPr>
          <w:rFonts w:ascii="Arial" w:cs="Arial" w:eastAsia="Arial" w:hAnsi="Arial"/>
          <w:sz w:val="20"/>
          <w:szCs w:val="20"/>
          <w:color w:val="auto"/>
        </w:rPr>
      </w:pPr>
    </w:p>
    <w:p>
      <w:pPr>
        <w:jc w:val="both"/>
        <w:ind w:left="1220" w:hanging="483"/>
        <w:spacing w:after="0" w:line="243" w:lineRule="auto"/>
        <w:tabs>
          <w:tab w:leader="none" w:pos="1220" w:val="left"/>
        </w:tabs>
        <w:numPr>
          <w:ilvl w:val="1"/>
          <w:numId w:val="10"/>
        </w:numPr>
        <w:rPr>
          <w:rFonts w:ascii="Arial" w:cs="Arial" w:eastAsia="Arial" w:hAnsi="Arial"/>
          <w:sz w:val="20"/>
          <w:szCs w:val="20"/>
          <w:color w:val="auto"/>
        </w:rPr>
      </w:pPr>
      <w:r>
        <w:rPr>
          <w:rFonts w:ascii="Arial" w:cs="Arial" w:eastAsia="Arial" w:hAnsi="Arial"/>
          <w:sz w:val="20"/>
          <w:szCs w:val="20"/>
          <w:color w:val="auto"/>
        </w:rPr>
        <w:t>Vendor financing obligations are not included in the calculation of our leverage covenants. If we were to include these obligations in our leverage ratio calculation, the ratio of Total Net Debt to Annualized EBITDA for UPC Holding would have been 5.45x at March 31, 2020</w:t>
      </w:r>
    </w:p>
    <w:p>
      <w:pPr>
        <w:spacing w:after="0" w:line="97" w:lineRule="exact"/>
        <w:rPr>
          <w:rFonts w:ascii="Arial" w:cs="Arial" w:eastAsia="Arial" w:hAnsi="Arial"/>
          <w:sz w:val="20"/>
          <w:szCs w:val="20"/>
          <w:color w:val="auto"/>
        </w:rPr>
      </w:pPr>
    </w:p>
    <w:p>
      <w:pPr>
        <w:jc w:val="both"/>
        <w:ind w:left="580" w:hanging="491"/>
        <w:spacing w:after="0" w:line="243" w:lineRule="auto"/>
        <w:tabs>
          <w:tab w:leader="none" w:pos="580" w:val="left"/>
        </w:tabs>
        <w:numPr>
          <w:ilvl w:val="0"/>
          <w:numId w:val="10"/>
        </w:numPr>
        <w:rPr>
          <w:rFonts w:ascii="Arial" w:cs="Arial" w:eastAsia="Arial" w:hAnsi="Arial"/>
          <w:sz w:val="20"/>
          <w:szCs w:val="20"/>
          <w:color w:val="auto"/>
        </w:rPr>
      </w:pPr>
      <w:r>
        <w:rPr>
          <w:rFonts w:ascii="Arial" w:cs="Arial" w:eastAsia="Arial" w:hAnsi="Arial"/>
          <w:sz w:val="20"/>
          <w:szCs w:val="20"/>
          <w:color w:val="auto"/>
        </w:rPr>
        <w:t>At March 31, 2020, we had maximum undrawn commitments of €990.1 million. When our Q1 compliance reporting requirements have been completed and assuming no change from March 31, 2020 borrowing levels, we anticipate €652.0 million of borrowing capacity to be available</w:t>
      </w:r>
    </w:p>
    <w:p>
      <w:pPr>
        <w:spacing w:after="0" w:line="200" w:lineRule="exact"/>
        <w:rPr>
          <w:sz w:val="20"/>
          <w:szCs w:val="20"/>
          <w:color w:val="auto"/>
        </w:rPr>
      </w:pPr>
    </w:p>
    <w:p>
      <w:pPr>
        <w:spacing w:after="0" w:line="349"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240"/>
          </w:cols>
          <w:pgMar w:left="320" w:top="1297" w:right="339" w:bottom="1440" w:gutter="0" w:footer="0" w:header="0"/>
        </w:sectPr>
      </w:pPr>
    </w:p>
    <w:bookmarkStart w:id="15" w:name="page16"/>
    <w:bookmarkEnd w:id="15"/>
    <w:p>
      <w:pPr>
        <w:jc w:val="both"/>
        <w:ind w:left="500" w:hanging="491"/>
        <w:spacing w:after="0" w:line="243" w:lineRule="auto"/>
        <w:tabs>
          <w:tab w:leader="none" w:pos="500" w:val="left"/>
        </w:tabs>
        <w:numPr>
          <w:ilvl w:val="0"/>
          <w:numId w:val="11"/>
        </w:numPr>
        <w:rPr>
          <w:rFonts w:ascii="Arial" w:cs="Arial" w:eastAsia="Arial" w:hAnsi="Arial"/>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6680200</wp:posOffset>
            </wp:positionH>
            <wp:positionV relativeFrom="page">
              <wp:posOffset>88900</wp:posOffset>
            </wp:positionV>
            <wp:extent cx="659765" cy="53149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clrChange>
                        <a:clrFrom>
                          <a:srgbClr val="FFFFFF"/>
                        </a:clrFrom>
                        <a:clrTo>
                          <a:srgbClr val="FFFFFF">
                            <a:alpha val="0"/>
                          </a:srgbClr>
                        </a:clrTo>
                      </a:clrChange>
                      <a:extLst>
                        <a:ext uri="{28A0092B-C50C-407E-A947-70E740481C1C}"/>
                      </a:extLst>
                    </a:blip>
                    <a:srcRect/>
                    <a:stretch>
                      <a:fillRect/>
                    </a:stretch>
                  </pic:blipFill>
                  <pic:spPr bwMode="auto">
                    <a:xfrm>
                      <a:off x="0" y="0"/>
                      <a:ext cx="659765" cy="531495"/>
                    </a:xfrm>
                    <a:prstGeom prst="rect">
                      <a:avLst/>
                    </a:prstGeom>
                    <a:noFill/>
                  </pic:spPr>
                </pic:pic>
              </a:graphicData>
            </a:graphic>
          </wp:anchor>
        </w:drawing>
        <w:t>During April 2020, as a result of the sale of certain entities of the UPC borrowing group and associated reduction in outstanding debt and EBITDA of the remaining UPC borrowing group, revolving Facility AM was cancelled in full and a new revolving facility with commitments equal to €500.0 million was established at EURIBOR + 2.50% due 2026</w:t>
      </w:r>
    </w:p>
    <w:p>
      <w:pPr>
        <w:spacing w:after="0" w:line="200" w:lineRule="exact"/>
        <w:rPr>
          <w:sz w:val="20"/>
          <w:szCs w:val="20"/>
          <w:color w:val="auto"/>
        </w:rPr>
      </w:pPr>
    </w:p>
    <w:p>
      <w:pPr>
        <w:spacing w:after="0" w:line="349"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160"/>
          </w:cols>
          <w:pgMar w:left="400" w:top="1297" w:right="339" w:bottom="1440" w:gutter="0" w:footer="0" w:header="0"/>
        </w:sectPr>
      </w:pPr>
    </w:p>
    <w:bookmarkStart w:id="16" w:name="page17"/>
    <w:bookmarkEnd w:id="16"/>
    <w:p>
      <w:pPr>
        <w:spacing w:after="0"/>
        <w:rPr>
          <w:sz w:val="20"/>
          <w:szCs w:val="20"/>
          <w:color w:val="auto"/>
        </w:rPr>
      </w:pPr>
      <w:r>
        <w:rPr>
          <w:rFonts w:ascii="Arial" w:cs="Arial" w:eastAsia="Arial" w:hAnsi="Arial"/>
          <w:sz w:val="25"/>
          <w:szCs w:val="25"/>
          <w:color w:val="004F9F"/>
        </w:rPr>
        <w:drawing>
          <wp:anchor simplePos="0" relativeHeight="251657728" behindDoc="1" locked="0" layoutInCell="0" allowOverlap="1">
            <wp:simplePos x="0" y="0"/>
            <wp:positionH relativeFrom="page">
              <wp:posOffset>6680200</wp:posOffset>
            </wp:positionH>
            <wp:positionV relativeFrom="page">
              <wp:posOffset>88900</wp:posOffset>
            </wp:positionV>
            <wp:extent cx="659765" cy="53149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clrChange>
                        <a:clrFrom>
                          <a:srgbClr val="FFFFFF"/>
                        </a:clrFrom>
                        <a:clrTo>
                          <a:srgbClr val="FFFFFF">
                            <a:alpha val="0"/>
                          </a:srgbClr>
                        </a:clrTo>
                      </a:clrChange>
                      <a:extLst>
                        <a:ext uri="{28A0092B-C50C-407E-A947-70E740481C1C}"/>
                      </a:extLst>
                    </a:blip>
                    <a:srcRect/>
                    <a:stretch>
                      <a:fillRect/>
                    </a:stretch>
                  </pic:blipFill>
                  <pic:spPr bwMode="auto">
                    <a:xfrm>
                      <a:off x="0" y="0"/>
                      <a:ext cx="659765" cy="531495"/>
                    </a:xfrm>
                    <a:prstGeom prst="rect">
                      <a:avLst/>
                    </a:prstGeom>
                    <a:noFill/>
                  </pic:spPr>
                </pic:pic>
              </a:graphicData>
            </a:graphic>
          </wp:anchor>
        </w:drawing>
        <w:t>Operating Statistics Summary</w:t>
      </w:r>
    </w:p>
    <w:p>
      <w:pPr>
        <w:spacing w:after="0" w:line="152" w:lineRule="exact"/>
        <w:rPr>
          <w:sz w:val="20"/>
          <w:szCs w:val="20"/>
          <w:color w:val="auto"/>
        </w:rPr>
      </w:pPr>
    </w:p>
    <w:p>
      <w:pPr>
        <w:jc w:val="center"/>
        <w:ind w:left="7420"/>
        <w:spacing w:after="0"/>
        <w:rPr>
          <w:sz w:val="20"/>
          <w:szCs w:val="20"/>
          <w:color w:val="auto"/>
        </w:rPr>
      </w:pPr>
      <w:r>
        <w:rPr>
          <w:rFonts w:ascii="Arial" w:cs="Arial" w:eastAsia="Arial" w:hAnsi="Arial"/>
          <w:sz w:val="16"/>
          <w:szCs w:val="16"/>
          <w:b w:val="1"/>
          <w:bCs w:val="1"/>
          <w:color w:val="auto"/>
        </w:rPr>
        <w:t>As of and for the</w:t>
      </w:r>
    </w:p>
    <w:p>
      <w:pPr>
        <w:spacing w:after="0" w:line="25" w:lineRule="exact"/>
        <w:rPr>
          <w:sz w:val="20"/>
          <w:szCs w:val="20"/>
          <w:color w:val="auto"/>
        </w:rPr>
      </w:pPr>
    </w:p>
    <w:p>
      <w:pPr>
        <w:jc w:val="center"/>
        <w:ind w:left="7420"/>
        <w:spacing w:after="0"/>
        <w:rPr>
          <w:sz w:val="20"/>
          <w:szCs w:val="20"/>
          <w:color w:val="auto"/>
        </w:rPr>
      </w:pPr>
      <w:r>
        <w:rPr>
          <w:rFonts w:ascii="Arial" w:cs="Arial" w:eastAsia="Arial" w:hAnsi="Arial"/>
          <w:sz w:val="16"/>
          <w:szCs w:val="16"/>
          <w:b w:val="1"/>
          <w:bCs w:val="1"/>
          <w:color w:val="auto"/>
        </w:rPr>
        <w:t>three months ended</w:t>
      </w:r>
    </w:p>
    <w:p>
      <w:pPr>
        <w:spacing w:after="0" w:line="39" w:lineRule="exact"/>
        <w:rPr>
          <w:sz w:val="20"/>
          <w:szCs w:val="20"/>
          <w:color w:val="auto"/>
        </w:rPr>
      </w:pPr>
    </w:p>
    <w:p>
      <w:pPr>
        <w:ind w:left="8960"/>
        <w:spacing w:after="0"/>
        <w:rPr>
          <w:sz w:val="20"/>
          <w:szCs w:val="20"/>
          <w:color w:val="auto"/>
        </w:rPr>
      </w:pPr>
      <w:r>
        <w:rPr>
          <w:rFonts w:ascii="Arial" w:cs="Arial" w:eastAsia="Arial" w:hAnsi="Arial"/>
          <w:sz w:val="16"/>
          <w:szCs w:val="16"/>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4702810</wp:posOffset>
            </wp:positionH>
            <wp:positionV relativeFrom="paragraph">
              <wp:posOffset>48895</wp:posOffset>
            </wp:positionV>
            <wp:extent cx="243459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434590" cy="8255"/>
                    </a:xfrm>
                    <a:prstGeom prst="rect">
                      <a:avLst/>
                    </a:prstGeom>
                    <a:noFill/>
                  </pic:spPr>
                </pic:pic>
              </a:graphicData>
            </a:graphic>
          </wp:anchor>
        </w:drawing>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4340" w:type="dxa"/>
            <w:vAlign w:val="bottom"/>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651"/>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671"/>
              <w:spacing w:after="0"/>
              <w:rPr>
                <w:sz w:val="20"/>
                <w:szCs w:val="20"/>
                <w:color w:val="auto"/>
              </w:rPr>
            </w:pPr>
            <w:r>
              <w:rPr>
                <w:rFonts w:ascii="Arial" w:cs="Arial" w:eastAsia="Arial" w:hAnsi="Arial"/>
                <w:sz w:val="16"/>
                <w:szCs w:val="16"/>
                <w:b w:val="1"/>
                <w:bCs w:val="1"/>
                <w:color w:val="auto"/>
              </w:rPr>
              <w:t>2019</w:t>
            </w:r>
          </w:p>
        </w:tc>
      </w:tr>
      <w:tr>
        <w:trPr>
          <w:trHeight w:val="338"/>
        </w:trPr>
        <w:tc>
          <w:tcPr>
            <w:tcW w:w="40" w:type="dxa"/>
            <w:vAlign w:val="bottom"/>
          </w:tcPr>
          <w:p>
            <w:pPr>
              <w:spacing w:after="0"/>
              <w:rPr>
                <w:sz w:val="24"/>
                <w:szCs w:val="24"/>
                <w:color w:val="auto"/>
              </w:rPr>
            </w:pPr>
          </w:p>
        </w:tc>
        <w:tc>
          <w:tcPr>
            <w:tcW w:w="7360" w:type="dxa"/>
            <w:vAlign w:val="bottom"/>
            <w:gridSpan w:val="4"/>
          </w:tcPr>
          <w:p>
            <w:pPr>
              <w:spacing w:after="0"/>
              <w:rPr>
                <w:sz w:val="20"/>
                <w:szCs w:val="20"/>
                <w:color w:val="auto"/>
              </w:rPr>
            </w:pPr>
            <w:r>
              <w:rPr>
                <w:rFonts w:ascii="Arial" w:cs="Arial" w:eastAsia="Arial" w:hAnsi="Arial"/>
                <w:sz w:val="18"/>
                <w:szCs w:val="18"/>
                <w:b w:val="1"/>
                <w:bCs w:val="1"/>
                <w:color w:val="auto"/>
              </w:rPr>
              <w:t>Footprint</w:t>
            </w:r>
          </w:p>
        </w:tc>
        <w:tc>
          <w:tcPr>
            <w:tcW w:w="5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34"/>
        </w:trPr>
        <w:tc>
          <w:tcPr>
            <w:tcW w:w="40" w:type="dxa"/>
            <w:vAlign w:val="bottom"/>
          </w:tcPr>
          <w:p>
            <w:pPr>
              <w:spacing w:after="0"/>
              <w:rPr>
                <w:sz w:val="2"/>
                <w:szCs w:val="2"/>
                <w:color w:val="auto"/>
              </w:rPr>
            </w:pPr>
          </w:p>
        </w:tc>
        <w:tc>
          <w:tcPr>
            <w:tcW w:w="780" w:type="dxa"/>
            <w:vAlign w:val="bottom"/>
            <w:tcBorders>
              <w:top w:val="single" w:sz="8" w:color="auto"/>
            </w:tcBorders>
          </w:tcPr>
          <w:p>
            <w:pPr>
              <w:spacing w:after="0"/>
              <w:rPr>
                <w:sz w:val="2"/>
                <w:szCs w:val="2"/>
                <w:color w:val="auto"/>
              </w:rPr>
            </w:pPr>
          </w:p>
        </w:tc>
        <w:tc>
          <w:tcPr>
            <w:tcW w:w="8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43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40" w:type="dxa"/>
            <w:vAlign w:val="bottom"/>
            <w:shd w:val="clear" w:color="auto" w:fill="CCEEFF"/>
          </w:tcPr>
          <w:p>
            <w:pPr>
              <w:spacing w:after="0"/>
              <w:rPr>
                <w:sz w:val="23"/>
                <w:szCs w:val="23"/>
                <w:color w:val="auto"/>
              </w:rPr>
            </w:pPr>
          </w:p>
        </w:tc>
        <w:tc>
          <w:tcPr>
            <w:tcW w:w="73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Homes Passed</w:t>
            </w:r>
          </w:p>
        </w:tc>
        <w:tc>
          <w:tcPr>
            <w:tcW w:w="58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6,564,800</w:t>
            </w:r>
          </w:p>
        </w:tc>
        <w:tc>
          <w:tcPr>
            <w:tcW w:w="12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6,438,900</w:t>
            </w:r>
          </w:p>
        </w:tc>
      </w:tr>
      <w:tr>
        <w:trPr>
          <w:trHeight w:val="135"/>
        </w:trPr>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4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80" w:type="dxa"/>
            <w:vAlign w:val="bottom"/>
          </w:tcPr>
          <w:p>
            <w:pPr>
              <w:spacing w:after="0"/>
              <w:rPr>
                <w:sz w:val="11"/>
                <w:szCs w:val="1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020" w:type="dxa"/>
            <w:vAlign w:val="bottom"/>
            <w:tcBorders>
              <w:bottom w:val="single" w:sz="8" w:color="auto"/>
            </w:tcBorders>
            <w:gridSpan w:val="3"/>
            <w:shd w:val="clear" w:color="auto" w:fill="CCEEFF"/>
          </w:tcPr>
          <w:p>
            <w:pPr>
              <w:spacing w:after="0"/>
              <w:rPr>
                <w:sz w:val="20"/>
                <w:szCs w:val="20"/>
                <w:color w:val="auto"/>
              </w:rPr>
            </w:pPr>
            <w:r>
              <w:rPr>
                <w:rFonts w:ascii="Arial" w:cs="Arial" w:eastAsia="Arial" w:hAnsi="Arial"/>
                <w:sz w:val="18"/>
                <w:szCs w:val="18"/>
                <w:b w:val="1"/>
                <w:bCs w:val="1"/>
                <w:color w:val="auto"/>
                <w:w w:val="99"/>
              </w:rPr>
              <w:t>Fixed-Line Customer Relationships</w:t>
            </w:r>
          </w:p>
        </w:tc>
        <w:tc>
          <w:tcPr>
            <w:tcW w:w="43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63"/>
        </w:trPr>
        <w:tc>
          <w:tcPr>
            <w:tcW w:w="40" w:type="dxa"/>
            <w:vAlign w:val="bottom"/>
          </w:tcPr>
          <w:p>
            <w:pPr>
              <w:spacing w:after="0"/>
              <w:rPr>
                <w:sz w:val="22"/>
                <w:szCs w:val="22"/>
                <w:color w:val="auto"/>
              </w:rPr>
            </w:pPr>
          </w:p>
        </w:tc>
        <w:tc>
          <w:tcPr>
            <w:tcW w:w="7360" w:type="dxa"/>
            <w:vAlign w:val="bottom"/>
            <w:gridSpan w:val="4"/>
          </w:tcPr>
          <w:p>
            <w:pPr>
              <w:spacing w:after="0"/>
              <w:rPr>
                <w:sz w:val="20"/>
                <w:szCs w:val="20"/>
                <w:color w:val="auto"/>
              </w:rPr>
            </w:pPr>
            <w:r>
              <w:rPr>
                <w:rFonts w:ascii="Arial" w:cs="Arial" w:eastAsia="Arial" w:hAnsi="Arial"/>
                <w:sz w:val="18"/>
                <w:szCs w:val="18"/>
                <w:color w:val="auto"/>
              </w:rPr>
              <w:t>Fixed-Line Customer Relationships</w:t>
            </w:r>
          </w:p>
        </w:tc>
        <w:tc>
          <w:tcPr>
            <w:tcW w:w="580" w:type="dxa"/>
            <w:vAlign w:val="bottom"/>
          </w:tcPr>
          <w:p>
            <w:pPr>
              <w:spacing w:after="0"/>
              <w:rPr>
                <w:sz w:val="22"/>
                <w:szCs w:val="22"/>
                <w:color w:val="auto"/>
              </w:rPr>
            </w:pPr>
          </w:p>
        </w:tc>
        <w:tc>
          <w:tcPr>
            <w:tcW w:w="1280" w:type="dxa"/>
            <w:vAlign w:val="bottom"/>
          </w:tcPr>
          <w:p>
            <w:pPr>
              <w:jc w:val="right"/>
              <w:ind w:right="91"/>
              <w:spacing w:after="0"/>
              <w:rPr>
                <w:sz w:val="20"/>
                <w:szCs w:val="20"/>
                <w:color w:val="auto"/>
              </w:rPr>
            </w:pPr>
            <w:r>
              <w:rPr>
                <w:rFonts w:ascii="Arial" w:cs="Arial" w:eastAsia="Arial" w:hAnsi="Arial"/>
                <w:sz w:val="18"/>
                <w:szCs w:val="18"/>
                <w:color w:val="auto"/>
              </w:rPr>
              <w:t>2,694,800</w:t>
            </w: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80" w:type="dxa"/>
            <w:vAlign w:val="bottom"/>
          </w:tcPr>
          <w:p>
            <w:pPr>
              <w:jc w:val="right"/>
              <w:ind w:right="91"/>
              <w:spacing w:after="0"/>
              <w:rPr>
                <w:sz w:val="20"/>
                <w:szCs w:val="20"/>
                <w:color w:val="auto"/>
              </w:rPr>
            </w:pPr>
            <w:r>
              <w:rPr>
                <w:rFonts w:ascii="Arial" w:cs="Arial" w:eastAsia="Arial" w:hAnsi="Arial"/>
                <w:sz w:val="18"/>
                <w:szCs w:val="18"/>
                <w:color w:val="auto"/>
              </w:rPr>
              <w:t>2,749,700</w:t>
            </w:r>
          </w:p>
        </w:tc>
      </w:tr>
      <w:tr>
        <w:trPr>
          <w:trHeight w:val="277"/>
        </w:trPr>
        <w:tc>
          <w:tcPr>
            <w:tcW w:w="40" w:type="dxa"/>
            <w:vAlign w:val="bottom"/>
            <w:shd w:val="clear" w:color="auto" w:fill="CCEEFF"/>
          </w:tcPr>
          <w:p>
            <w:pPr>
              <w:spacing w:after="0"/>
              <w:rPr>
                <w:sz w:val="24"/>
                <w:szCs w:val="24"/>
                <w:color w:val="auto"/>
              </w:rPr>
            </w:pPr>
          </w:p>
        </w:tc>
        <w:tc>
          <w:tcPr>
            <w:tcW w:w="73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Q1 Organic</w:t>
            </w:r>
            <w:r>
              <w:rPr>
                <w:rFonts w:ascii="Arial" w:cs="Arial" w:eastAsia="Arial" w:hAnsi="Arial"/>
                <w:sz w:val="21"/>
                <w:szCs w:val="21"/>
                <w:color w:val="auto"/>
                <w:vertAlign w:val="superscript"/>
              </w:rPr>
              <w:t>3</w:t>
            </w:r>
            <w:r>
              <w:rPr>
                <w:rFonts w:ascii="Arial" w:cs="Arial" w:eastAsia="Arial" w:hAnsi="Arial"/>
                <w:sz w:val="18"/>
                <w:szCs w:val="18"/>
                <w:color w:val="auto"/>
              </w:rPr>
              <w:t xml:space="preserve"> Fixed-Line Customer Relationship net additions (losses)</w:t>
            </w:r>
          </w:p>
        </w:tc>
        <w:tc>
          <w:tcPr>
            <w:tcW w:w="58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(10,300)</w:t>
            </w: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(12,000)</w:t>
            </w:r>
          </w:p>
        </w:tc>
      </w:tr>
      <w:tr>
        <w:trPr>
          <w:trHeight w:val="122"/>
        </w:trPr>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43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80" w:type="dxa"/>
            <w:vAlign w:val="bottom"/>
          </w:tcPr>
          <w:p>
            <w:pPr>
              <w:spacing w:after="0"/>
              <w:rPr>
                <w:sz w:val="10"/>
                <w:szCs w:val="10"/>
                <w:color w:val="auto"/>
              </w:rPr>
            </w:pPr>
          </w:p>
        </w:tc>
      </w:tr>
      <w:tr>
        <w:trPr>
          <w:trHeight w:val="270"/>
        </w:trPr>
        <w:tc>
          <w:tcPr>
            <w:tcW w:w="40" w:type="dxa"/>
            <w:vAlign w:val="bottom"/>
            <w:shd w:val="clear" w:color="auto" w:fill="CCEEFF"/>
          </w:tcPr>
          <w:p>
            <w:pPr>
              <w:spacing w:after="0"/>
              <w:rPr>
                <w:sz w:val="23"/>
                <w:szCs w:val="23"/>
                <w:color w:val="auto"/>
              </w:rPr>
            </w:pPr>
          </w:p>
        </w:tc>
        <w:tc>
          <w:tcPr>
            <w:tcW w:w="73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Q1 Monthly ARPU per Fixed-Line Customer Relationship</w:t>
            </w:r>
          </w:p>
        </w:tc>
        <w:tc>
          <w:tcPr>
            <w:tcW w:w="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37.01</w:t>
            </w:r>
          </w:p>
        </w:tc>
        <w:tc>
          <w:tcPr>
            <w:tcW w:w="120" w:type="dxa"/>
            <w:vAlign w:val="bottom"/>
            <w:shd w:val="clear" w:color="auto" w:fill="CCEEFF"/>
          </w:tcPr>
          <w:p>
            <w:pPr>
              <w:spacing w:after="0"/>
              <w:rPr>
                <w:sz w:val="23"/>
                <w:szCs w:val="23"/>
                <w:color w:val="auto"/>
              </w:rPr>
            </w:pPr>
          </w:p>
        </w:tc>
        <w:tc>
          <w:tcPr>
            <w:tcW w:w="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37.01</w:t>
            </w:r>
          </w:p>
        </w:tc>
      </w:tr>
      <w:tr>
        <w:trPr>
          <w:trHeight w:val="263"/>
        </w:trPr>
        <w:tc>
          <w:tcPr>
            <w:tcW w:w="40" w:type="dxa"/>
            <w:vAlign w:val="bottom"/>
          </w:tcPr>
          <w:p>
            <w:pPr>
              <w:spacing w:after="0"/>
              <w:rPr>
                <w:sz w:val="22"/>
                <w:szCs w:val="22"/>
                <w:color w:val="auto"/>
              </w:rPr>
            </w:pPr>
          </w:p>
        </w:tc>
        <w:tc>
          <w:tcPr>
            <w:tcW w:w="7360" w:type="dxa"/>
            <w:vAlign w:val="bottom"/>
            <w:gridSpan w:val="4"/>
          </w:tcPr>
          <w:p>
            <w:pPr>
              <w:ind w:left="140"/>
              <w:spacing w:after="0"/>
              <w:rPr>
                <w:sz w:val="20"/>
                <w:szCs w:val="20"/>
                <w:color w:val="auto"/>
              </w:rPr>
            </w:pPr>
            <w:r>
              <w:rPr>
                <w:rFonts w:ascii="Arial" w:cs="Arial" w:eastAsia="Arial" w:hAnsi="Arial"/>
                <w:sz w:val="18"/>
                <w:szCs w:val="18"/>
                <w:color w:val="auto"/>
              </w:rPr>
              <w:t>Switzerland Q1 Monthly ARPU per Fixed-Line Customer Relationship</w:t>
            </w:r>
          </w:p>
        </w:tc>
        <w:tc>
          <w:tcPr>
            <w:tcW w:w="580" w:type="dxa"/>
            <w:vAlign w:val="bottom"/>
          </w:tcPr>
          <w:p>
            <w:pPr>
              <w:ind w:left="40"/>
              <w:spacing w:after="0"/>
              <w:rPr>
                <w:sz w:val="20"/>
                <w:szCs w:val="20"/>
                <w:color w:val="auto"/>
              </w:rPr>
            </w:pPr>
            <w:r>
              <w:rPr>
                <w:rFonts w:ascii="Arial" w:cs="Arial" w:eastAsia="Arial" w:hAnsi="Arial"/>
                <w:sz w:val="18"/>
                <w:szCs w:val="18"/>
                <w:color w:val="auto"/>
              </w:rPr>
              <w:t>CHF</w:t>
            </w:r>
          </w:p>
        </w:tc>
        <w:tc>
          <w:tcPr>
            <w:tcW w:w="1280" w:type="dxa"/>
            <w:vAlign w:val="bottom"/>
          </w:tcPr>
          <w:p>
            <w:pPr>
              <w:jc w:val="right"/>
              <w:ind w:right="91"/>
              <w:spacing w:after="0"/>
              <w:rPr>
                <w:sz w:val="20"/>
                <w:szCs w:val="20"/>
                <w:color w:val="auto"/>
              </w:rPr>
            </w:pPr>
            <w:r>
              <w:rPr>
                <w:rFonts w:ascii="Arial" w:cs="Arial" w:eastAsia="Arial" w:hAnsi="Arial"/>
                <w:sz w:val="18"/>
                <w:szCs w:val="18"/>
                <w:color w:val="auto"/>
              </w:rPr>
              <w:t>69.12</w:t>
            </w:r>
          </w:p>
        </w:tc>
        <w:tc>
          <w:tcPr>
            <w:tcW w:w="120" w:type="dxa"/>
            <w:vAlign w:val="bottom"/>
          </w:tcPr>
          <w:p>
            <w:pPr>
              <w:spacing w:after="0"/>
              <w:rPr>
                <w:sz w:val="22"/>
                <w:szCs w:val="22"/>
                <w:color w:val="auto"/>
              </w:rPr>
            </w:pPr>
          </w:p>
        </w:tc>
        <w:tc>
          <w:tcPr>
            <w:tcW w:w="580" w:type="dxa"/>
            <w:vAlign w:val="bottom"/>
          </w:tcPr>
          <w:p>
            <w:pPr>
              <w:ind w:left="20"/>
              <w:spacing w:after="0"/>
              <w:rPr>
                <w:sz w:val="20"/>
                <w:szCs w:val="20"/>
                <w:color w:val="auto"/>
              </w:rPr>
            </w:pPr>
            <w:r>
              <w:rPr>
                <w:rFonts w:ascii="Arial" w:cs="Arial" w:eastAsia="Arial" w:hAnsi="Arial"/>
                <w:sz w:val="18"/>
                <w:szCs w:val="18"/>
                <w:color w:val="auto"/>
              </w:rPr>
              <w:t>CHF</w:t>
            </w:r>
          </w:p>
        </w:tc>
        <w:tc>
          <w:tcPr>
            <w:tcW w:w="1280" w:type="dxa"/>
            <w:vAlign w:val="bottom"/>
          </w:tcPr>
          <w:p>
            <w:pPr>
              <w:jc w:val="right"/>
              <w:ind w:right="91"/>
              <w:spacing w:after="0"/>
              <w:rPr>
                <w:sz w:val="20"/>
                <w:szCs w:val="20"/>
                <w:color w:val="auto"/>
              </w:rPr>
            </w:pPr>
            <w:r>
              <w:rPr>
                <w:rFonts w:ascii="Arial" w:cs="Arial" w:eastAsia="Arial" w:hAnsi="Arial"/>
                <w:sz w:val="18"/>
                <w:szCs w:val="18"/>
                <w:color w:val="auto"/>
              </w:rPr>
              <w:t>71.08</w:t>
            </w:r>
          </w:p>
        </w:tc>
      </w:tr>
      <w:tr>
        <w:trPr>
          <w:trHeight w:val="277"/>
        </w:trPr>
        <w:tc>
          <w:tcPr>
            <w:tcW w:w="40" w:type="dxa"/>
            <w:vAlign w:val="bottom"/>
            <w:shd w:val="clear" w:color="auto" w:fill="CCEEFF"/>
          </w:tcPr>
          <w:p>
            <w:pPr>
              <w:spacing w:after="0"/>
              <w:rPr>
                <w:sz w:val="24"/>
                <w:szCs w:val="24"/>
                <w:color w:val="auto"/>
              </w:rPr>
            </w:pPr>
          </w:p>
        </w:tc>
        <w:tc>
          <w:tcPr>
            <w:tcW w:w="7360" w:type="dxa"/>
            <w:vAlign w:val="bottom"/>
            <w:gridSpan w:val="4"/>
            <w:shd w:val="clear" w:color="auto" w:fill="CCEEFF"/>
          </w:tcPr>
          <w:p>
            <w:pPr>
              <w:ind w:left="140"/>
              <w:spacing w:after="0"/>
              <w:rPr>
                <w:sz w:val="20"/>
                <w:szCs w:val="20"/>
                <w:color w:val="auto"/>
              </w:rPr>
            </w:pPr>
            <w:r>
              <w:rPr>
                <w:rFonts w:ascii="Arial" w:cs="Arial" w:eastAsia="Arial" w:hAnsi="Arial"/>
                <w:sz w:val="18"/>
                <w:szCs w:val="18"/>
                <w:color w:val="auto"/>
              </w:rPr>
              <w:t>CEE Q1 Monthly ARPU per Fixed-Line Customer Relationship</w:t>
            </w:r>
          </w:p>
        </w:tc>
        <w:tc>
          <w:tcPr>
            <w:tcW w:w="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20.00</w:t>
            </w: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19.80</w:t>
            </w:r>
          </w:p>
        </w:tc>
      </w:tr>
      <w:tr>
        <w:trPr>
          <w:trHeight w:val="135"/>
        </w:trPr>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4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80" w:type="dxa"/>
            <w:vAlign w:val="bottom"/>
          </w:tcPr>
          <w:p>
            <w:pPr>
              <w:spacing w:after="0"/>
              <w:rPr>
                <w:sz w:val="11"/>
                <w:szCs w:val="11"/>
                <w:color w:val="auto"/>
              </w:rPr>
            </w:pPr>
          </w:p>
        </w:tc>
      </w:tr>
      <w:tr>
        <w:trPr>
          <w:trHeight w:val="250"/>
        </w:trPr>
        <w:tc>
          <w:tcPr>
            <w:tcW w:w="40" w:type="dxa"/>
            <w:vAlign w:val="bottom"/>
            <w:shd w:val="clear" w:color="auto" w:fill="CCEEFF"/>
          </w:tcPr>
          <w:p>
            <w:pPr>
              <w:spacing w:after="0"/>
              <w:rPr>
                <w:sz w:val="21"/>
                <w:szCs w:val="21"/>
                <w:color w:val="auto"/>
              </w:rPr>
            </w:pPr>
          </w:p>
        </w:tc>
        <w:tc>
          <w:tcPr>
            <w:tcW w:w="736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Customer Bundling</w:t>
            </w:r>
          </w:p>
        </w:tc>
        <w:tc>
          <w:tcPr>
            <w:tcW w:w="58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r>
      <w:tr>
        <w:trPr>
          <w:trHeight w:val="122"/>
        </w:trPr>
        <w:tc>
          <w:tcPr>
            <w:tcW w:w="40" w:type="dxa"/>
            <w:vAlign w:val="bottom"/>
            <w:tcBorders>
              <w:top w:val="single" w:sz="8" w:color="CCEEFF"/>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1360" w:type="dxa"/>
            <w:vAlign w:val="bottom"/>
            <w:tcBorders>
              <w:top w:val="single" w:sz="8" w:color="CCEEFF"/>
            </w:tcBorders>
          </w:tcPr>
          <w:p>
            <w:pPr>
              <w:spacing w:after="0"/>
              <w:rPr>
                <w:sz w:val="10"/>
                <w:szCs w:val="10"/>
                <w:color w:val="auto"/>
              </w:rPr>
            </w:pPr>
          </w:p>
        </w:tc>
        <w:tc>
          <w:tcPr>
            <w:tcW w:w="4340" w:type="dxa"/>
            <w:vAlign w:val="bottom"/>
            <w:tcBorders>
              <w:top w:val="single" w:sz="8" w:color="CCEEFF"/>
            </w:tcBorders>
          </w:tcPr>
          <w:p>
            <w:pPr>
              <w:spacing w:after="0"/>
              <w:rPr>
                <w:sz w:val="10"/>
                <w:szCs w:val="10"/>
                <w:color w:val="auto"/>
              </w:rPr>
            </w:pPr>
          </w:p>
        </w:tc>
        <w:tc>
          <w:tcPr>
            <w:tcW w:w="580" w:type="dxa"/>
            <w:vAlign w:val="bottom"/>
            <w:tcBorders>
              <w:top w:val="single" w:sz="8" w:color="CCEEFF"/>
            </w:tcBorders>
          </w:tcPr>
          <w:p>
            <w:pPr>
              <w:spacing w:after="0"/>
              <w:rPr>
                <w:sz w:val="10"/>
                <w:szCs w:val="10"/>
                <w:color w:val="auto"/>
              </w:rPr>
            </w:pPr>
          </w:p>
        </w:tc>
        <w:tc>
          <w:tcPr>
            <w:tcW w:w="1280" w:type="dxa"/>
            <w:vAlign w:val="bottom"/>
            <w:tcBorders>
              <w:top w:val="single" w:sz="8" w:color="CCEEFF"/>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580" w:type="dxa"/>
            <w:vAlign w:val="bottom"/>
            <w:tcBorders>
              <w:top w:val="single" w:sz="8" w:color="CCEEFF"/>
            </w:tcBorders>
          </w:tcPr>
          <w:p>
            <w:pPr>
              <w:spacing w:after="0"/>
              <w:rPr>
                <w:sz w:val="10"/>
                <w:szCs w:val="10"/>
                <w:color w:val="auto"/>
              </w:rPr>
            </w:pPr>
          </w:p>
        </w:tc>
        <w:tc>
          <w:tcPr>
            <w:tcW w:w="1280" w:type="dxa"/>
            <w:vAlign w:val="bottom"/>
            <w:tcBorders>
              <w:top w:val="single" w:sz="8" w:color="CCEEFF"/>
            </w:tcBorders>
          </w:tcPr>
          <w:p>
            <w:pPr>
              <w:spacing w:after="0"/>
              <w:rPr>
                <w:sz w:val="10"/>
                <w:szCs w:val="10"/>
                <w:color w:val="auto"/>
              </w:rPr>
            </w:pPr>
          </w:p>
        </w:tc>
      </w:tr>
      <w:tr>
        <w:trPr>
          <w:trHeight w:val="270"/>
        </w:trPr>
        <w:tc>
          <w:tcPr>
            <w:tcW w:w="40" w:type="dxa"/>
            <w:vAlign w:val="bottom"/>
            <w:shd w:val="clear" w:color="auto" w:fill="CCEEFF"/>
          </w:tcPr>
          <w:p>
            <w:pPr>
              <w:spacing w:after="0"/>
              <w:rPr>
                <w:sz w:val="23"/>
                <w:szCs w:val="23"/>
                <w:color w:val="auto"/>
              </w:rPr>
            </w:pPr>
          </w:p>
        </w:tc>
        <w:tc>
          <w:tcPr>
            <w:tcW w:w="73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Fixed-mobile Convergence Switzerland</w:t>
            </w:r>
          </w:p>
        </w:tc>
        <w:tc>
          <w:tcPr>
            <w:tcW w:w="58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12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w:t>
            </w:r>
          </w:p>
        </w:tc>
      </w:tr>
      <w:tr>
        <w:trPr>
          <w:trHeight w:val="263"/>
        </w:trPr>
        <w:tc>
          <w:tcPr>
            <w:tcW w:w="40" w:type="dxa"/>
            <w:vAlign w:val="bottom"/>
          </w:tcPr>
          <w:p>
            <w:pPr>
              <w:spacing w:after="0"/>
              <w:rPr>
                <w:sz w:val="22"/>
                <w:szCs w:val="22"/>
                <w:color w:val="auto"/>
              </w:rPr>
            </w:pPr>
          </w:p>
        </w:tc>
        <w:tc>
          <w:tcPr>
            <w:tcW w:w="7360" w:type="dxa"/>
            <w:vAlign w:val="bottom"/>
            <w:gridSpan w:val="4"/>
          </w:tcPr>
          <w:p>
            <w:pPr>
              <w:spacing w:after="0"/>
              <w:rPr>
                <w:sz w:val="20"/>
                <w:szCs w:val="20"/>
                <w:color w:val="auto"/>
              </w:rPr>
            </w:pPr>
            <w:r>
              <w:rPr>
                <w:rFonts w:ascii="Arial" w:cs="Arial" w:eastAsia="Arial" w:hAnsi="Arial"/>
                <w:sz w:val="18"/>
                <w:szCs w:val="18"/>
                <w:color w:val="auto"/>
              </w:rPr>
              <w:t>Fixed-mobile Convergence CEE</w:t>
            </w:r>
          </w:p>
        </w:tc>
        <w:tc>
          <w:tcPr>
            <w:tcW w:w="58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0.9%</w:t>
            </w: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0.2%</w:t>
            </w:r>
          </w:p>
        </w:tc>
      </w:tr>
      <w:tr>
        <w:trPr>
          <w:trHeight w:val="128"/>
        </w:trPr>
        <w:tc>
          <w:tcPr>
            <w:tcW w:w="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360" w:type="dxa"/>
            <w:vAlign w:val="bottom"/>
            <w:shd w:val="clear" w:color="auto" w:fill="CCEEFF"/>
          </w:tcPr>
          <w:p>
            <w:pPr>
              <w:spacing w:after="0"/>
              <w:rPr>
                <w:sz w:val="11"/>
                <w:szCs w:val="11"/>
                <w:color w:val="auto"/>
              </w:rPr>
            </w:pPr>
          </w:p>
        </w:tc>
        <w:tc>
          <w:tcPr>
            <w:tcW w:w="43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r>
      <w:tr>
        <w:trPr>
          <w:trHeight w:val="122"/>
        </w:trPr>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43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80" w:type="dxa"/>
            <w:vAlign w:val="bottom"/>
          </w:tcPr>
          <w:p>
            <w:pPr>
              <w:spacing w:after="0"/>
              <w:rPr>
                <w:sz w:val="10"/>
                <w:szCs w:val="10"/>
                <w:color w:val="auto"/>
              </w:rPr>
            </w:pPr>
          </w:p>
        </w:tc>
      </w:tr>
      <w:tr>
        <w:trPr>
          <w:trHeight w:val="270"/>
        </w:trPr>
        <w:tc>
          <w:tcPr>
            <w:tcW w:w="40" w:type="dxa"/>
            <w:vAlign w:val="bottom"/>
            <w:shd w:val="clear" w:color="auto" w:fill="CCEEFF"/>
          </w:tcPr>
          <w:p>
            <w:pPr>
              <w:spacing w:after="0"/>
              <w:rPr>
                <w:sz w:val="23"/>
                <w:szCs w:val="23"/>
                <w:color w:val="auto"/>
              </w:rPr>
            </w:pPr>
          </w:p>
        </w:tc>
        <w:tc>
          <w:tcPr>
            <w:tcW w:w="73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Single-Play</w:t>
            </w:r>
          </w:p>
        </w:tc>
        <w:tc>
          <w:tcPr>
            <w:tcW w:w="58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w:t>
            </w:r>
          </w:p>
        </w:tc>
        <w:tc>
          <w:tcPr>
            <w:tcW w:w="12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w:t>
            </w:r>
          </w:p>
        </w:tc>
      </w:tr>
      <w:tr>
        <w:trPr>
          <w:trHeight w:val="263"/>
        </w:trPr>
        <w:tc>
          <w:tcPr>
            <w:tcW w:w="40" w:type="dxa"/>
            <w:vAlign w:val="bottom"/>
          </w:tcPr>
          <w:p>
            <w:pPr>
              <w:spacing w:after="0"/>
              <w:rPr>
                <w:sz w:val="22"/>
                <w:szCs w:val="22"/>
                <w:color w:val="auto"/>
              </w:rPr>
            </w:pPr>
          </w:p>
        </w:tc>
        <w:tc>
          <w:tcPr>
            <w:tcW w:w="7360" w:type="dxa"/>
            <w:vAlign w:val="bottom"/>
            <w:gridSpan w:val="4"/>
          </w:tcPr>
          <w:p>
            <w:pPr>
              <w:spacing w:after="0"/>
              <w:rPr>
                <w:sz w:val="20"/>
                <w:szCs w:val="20"/>
                <w:color w:val="auto"/>
              </w:rPr>
            </w:pPr>
            <w:r>
              <w:rPr>
                <w:rFonts w:ascii="Arial" w:cs="Arial" w:eastAsia="Arial" w:hAnsi="Arial"/>
                <w:sz w:val="18"/>
                <w:szCs w:val="18"/>
                <w:color w:val="auto"/>
              </w:rPr>
              <w:t>Double-Play</w:t>
            </w:r>
          </w:p>
        </w:tc>
        <w:tc>
          <w:tcPr>
            <w:tcW w:w="58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27.4%</w:t>
            </w: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25.3%</w:t>
            </w:r>
          </w:p>
        </w:tc>
      </w:tr>
      <w:tr>
        <w:trPr>
          <w:trHeight w:val="277"/>
        </w:trPr>
        <w:tc>
          <w:tcPr>
            <w:tcW w:w="40" w:type="dxa"/>
            <w:vAlign w:val="bottom"/>
            <w:shd w:val="clear" w:color="auto" w:fill="CCEEFF"/>
          </w:tcPr>
          <w:p>
            <w:pPr>
              <w:spacing w:after="0"/>
              <w:rPr>
                <w:sz w:val="24"/>
                <w:szCs w:val="24"/>
                <w:color w:val="auto"/>
              </w:rPr>
            </w:pPr>
          </w:p>
        </w:tc>
        <w:tc>
          <w:tcPr>
            <w:tcW w:w="73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Triple-Play</w:t>
            </w:r>
          </w:p>
        </w:tc>
        <w:tc>
          <w:tcPr>
            <w:tcW w:w="580" w:type="dxa"/>
            <w:vAlign w:val="bottom"/>
            <w:shd w:val="clear" w:color="auto" w:fill="CCEEFF"/>
          </w:tcPr>
          <w:p>
            <w:pPr>
              <w:spacing w:after="0"/>
              <w:rPr>
                <w:sz w:val="24"/>
                <w:szCs w:val="2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w:t>
            </w: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w:t>
            </w:r>
          </w:p>
        </w:tc>
      </w:tr>
      <w:tr>
        <w:trPr>
          <w:trHeight w:val="135"/>
        </w:trPr>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4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80" w:type="dxa"/>
            <w:vAlign w:val="bottom"/>
          </w:tcPr>
          <w:p>
            <w:pPr>
              <w:spacing w:after="0"/>
              <w:rPr>
                <w:sz w:val="11"/>
                <w:szCs w:val="1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b w:val="1"/>
                <w:bCs w:val="1"/>
                <w:color w:val="auto"/>
                <w:w w:val="98"/>
              </w:rPr>
              <w:t>Mobile Subscribers</w:t>
            </w:r>
          </w:p>
        </w:tc>
        <w:tc>
          <w:tcPr>
            <w:tcW w:w="5700" w:type="dxa"/>
            <w:vAlign w:val="bottom"/>
            <w:tcBorders>
              <w:bottom w:val="single" w:sz="8" w:color="CCEEFF"/>
            </w:tcBorders>
            <w:gridSpan w:val="2"/>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63"/>
        </w:trPr>
        <w:tc>
          <w:tcPr>
            <w:tcW w:w="40" w:type="dxa"/>
            <w:vAlign w:val="bottom"/>
          </w:tcPr>
          <w:p>
            <w:pPr>
              <w:spacing w:after="0"/>
              <w:rPr>
                <w:sz w:val="22"/>
                <w:szCs w:val="22"/>
                <w:color w:val="auto"/>
              </w:rPr>
            </w:pPr>
          </w:p>
        </w:tc>
        <w:tc>
          <w:tcPr>
            <w:tcW w:w="7360" w:type="dxa"/>
            <w:vAlign w:val="bottom"/>
            <w:gridSpan w:val="4"/>
          </w:tcPr>
          <w:p>
            <w:pPr>
              <w:spacing w:after="0"/>
              <w:rPr>
                <w:sz w:val="20"/>
                <w:szCs w:val="20"/>
                <w:color w:val="auto"/>
              </w:rPr>
            </w:pPr>
            <w:r>
              <w:rPr>
                <w:rFonts w:ascii="Arial" w:cs="Arial" w:eastAsia="Arial" w:hAnsi="Arial"/>
                <w:sz w:val="18"/>
                <w:szCs w:val="18"/>
                <w:color w:val="auto"/>
              </w:rPr>
              <w:t>Total Mobile Subscribers</w:t>
            </w:r>
          </w:p>
        </w:tc>
        <w:tc>
          <w:tcPr>
            <w:tcW w:w="580" w:type="dxa"/>
            <w:vAlign w:val="bottom"/>
          </w:tcPr>
          <w:p>
            <w:pPr>
              <w:spacing w:after="0"/>
              <w:rPr>
                <w:sz w:val="22"/>
                <w:szCs w:val="22"/>
                <w:color w:val="auto"/>
              </w:rPr>
            </w:pPr>
          </w:p>
        </w:tc>
        <w:tc>
          <w:tcPr>
            <w:tcW w:w="1280" w:type="dxa"/>
            <w:vAlign w:val="bottom"/>
          </w:tcPr>
          <w:p>
            <w:pPr>
              <w:jc w:val="right"/>
              <w:ind w:right="91"/>
              <w:spacing w:after="0"/>
              <w:rPr>
                <w:sz w:val="20"/>
                <w:szCs w:val="20"/>
                <w:color w:val="auto"/>
              </w:rPr>
            </w:pPr>
            <w:r>
              <w:rPr>
                <w:rFonts w:ascii="Arial" w:cs="Arial" w:eastAsia="Arial" w:hAnsi="Arial"/>
                <w:sz w:val="18"/>
                <w:szCs w:val="18"/>
                <w:color w:val="auto"/>
              </w:rPr>
              <w:t>229,400</w:t>
            </w: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80" w:type="dxa"/>
            <w:vAlign w:val="bottom"/>
          </w:tcPr>
          <w:p>
            <w:pPr>
              <w:jc w:val="right"/>
              <w:ind w:right="91"/>
              <w:spacing w:after="0"/>
              <w:rPr>
                <w:sz w:val="20"/>
                <w:szCs w:val="20"/>
                <w:color w:val="auto"/>
              </w:rPr>
            </w:pPr>
            <w:r>
              <w:rPr>
                <w:rFonts w:ascii="Arial" w:cs="Arial" w:eastAsia="Arial" w:hAnsi="Arial"/>
                <w:sz w:val="18"/>
                <w:szCs w:val="18"/>
                <w:color w:val="auto"/>
              </w:rPr>
              <w:t>161,900</w:t>
            </w:r>
          </w:p>
        </w:tc>
      </w:tr>
      <w:tr>
        <w:trPr>
          <w:trHeight w:val="128"/>
        </w:trPr>
        <w:tc>
          <w:tcPr>
            <w:tcW w:w="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360" w:type="dxa"/>
            <w:vAlign w:val="bottom"/>
            <w:shd w:val="clear" w:color="auto" w:fill="CCEEFF"/>
          </w:tcPr>
          <w:p>
            <w:pPr>
              <w:spacing w:after="0"/>
              <w:rPr>
                <w:sz w:val="11"/>
                <w:szCs w:val="11"/>
                <w:color w:val="auto"/>
              </w:rPr>
            </w:pPr>
          </w:p>
        </w:tc>
        <w:tc>
          <w:tcPr>
            <w:tcW w:w="43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r>
      <w:tr>
        <w:trPr>
          <w:trHeight w:val="270"/>
        </w:trPr>
        <w:tc>
          <w:tcPr>
            <w:tcW w:w="40" w:type="dxa"/>
            <w:vAlign w:val="bottom"/>
          </w:tcPr>
          <w:p>
            <w:pPr>
              <w:spacing w:after="0"/>
              <w:rPr>
                <w:sz w:val="23"/>
                <w:szCs w:val="23"/>
                <w:color w:val="auto"/>
              </w:rPr>
            </w:pPr>
          </w:p>
        </w:tc>
        <w:tc>
          <w:tcPr>
            <w:tcW w:w="7360" w:type="dxa"/>
            <w:vAlign w:val="bottom"/>
            <w:gridSpan w:val="4"/>
          </w:tcPr>
          <w:p>
            <w:pPr>
              <w:spacing w:after="0"/>
              <w:rPr>
                <w:sz w:val="20"/>
                <w:szCs w:val="20"/>
                <w:color w:val="auto"/>
              </w:rPr>
            </w:pPr>
            <w:r>
              <w:rPr>
                <w:rFonts w:ascii="Arial" w:cs="Arial" w:eastAsia="Arial" w:hAnsi="Arial"/>
                <w:sz w:val="18"/>
                <w:szCs w:val="18"/>
                <w:color w:val="auto"/>
              </w:rPr>
              <w:t>Total Organic</w:t>
            </w:r>
            <w:r>
              <w:rPr>
                <w:rFonts w:ascii="Arial" w:cs="Arial" w:eastAsia="Arial" w:hAnsi="Arial"/>
                <w:sz w:val="21"/>
                <w:szCs w:val="21"/>
                <w:color w:val="auto"/>
                <w:vertAlign w:val="superscript"/>
              </w:rPr>
              <w:t>3</w:t>
            </w:r>
            <w:r>
              <w:rPr>
                <w:rFonts w:ascii="Arial" w:cs="Arial" w:eastAsia="Arial" w:hAnsi="Arial"/>
                <w:sz w:val="18"/>
                <w:szCs w:val="18"/>
                <w:color w:val="auto"/>
              </w:rPr>
              <w:t xml:space="preserve"> Mobile net additions (losses)</w:t>
            </w:r>
          </w:p>
        </w:tc>
        <w:tc>
          <w:tcPr>
            <w:tcW w:w="580" w:type="dxa"/>
            <w:vAlign w:val="bottom"/>
          </w:tcPr>
          <w:p>
            <w:pPr>
              <w:spacing w:after="0"/>
              <w:rPr>
                <w:sz w:val="23"/>
                <w:szCs w:val="23"/>
                <w:color w:val="auto"/>
              </w:rPr>
            </w:pPr>
          </w:p>
        </w:tc>
        <w:tc>
          <w:tcPr>
            <w:tcW w:w="1280" w:type="dxa"/>
            <w:vAlign w:val="bottom"/>
          </w:tcPr>
          <w:p>
            <w:pPr>
              <w:jc w:val="right"/>
              <w:ind w:right="91"/>
              <w:spacing w:after="0"/>
              <w:rPr>
                <w:sz w:val="20"/>
                <w:szCs w:val="20"/>
                <w:color w:val="auto"/>
              </w:rPr>
            </w:pPr>
            <w:r>
              <w:rPr>
                <w:rFonts w:ascii="Arial" w:cs="Arial" w:eastAsia="Arial" w:hAnsi="Arial"/>
                <w:sz w:val="18"/>
                <w:szCs w:val="18"/>
                <w:color w:val="auto"/>
              </w:rPr>
              <w:t>19,700</w:t>
            </w:r>
          </w:p>
        </w:tc>
        <w:tc>
          <w:tcPr>
            <w:tcW w:w="1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280" w:type="dxa"/>
            <w:vAlign w:val="bottom"/>
          </w:tcPr>
          <w:p>
            <w:pPr>
              <w:jc w:val="right"/>
              <w:ind w:right="91"/>
              <w:spacing w:after="0"/>
              <w:rPr>
                <w:sz w:val="20"/>
                <w:szCs w:val="20"/>
                <w:color w:val="auto"/>
              </w:rPr>
            </w:pPr>
            <w:r>
              <w:rPr>
                <w:rFonts w:ascii="Arial" w:cs="Arial" w:eastAsia="Arial" w:hAnsi="Arial"/>
                <w:sz w:val="18"/>
                <w:szCs w:val="18"/>
                <w:color w:val="auto"/>
              </w:rPr>
              <w:t>12,600</w:t>
            </w:r>
          </w:p>
        </w:tc>
      </w:tr>
      <w:tr>
        <w:trPr>
          <w:trHeight w:val="135"/>
        </w:trPr>
        <w:tc>
          <w:tcPr>
            <w:tcW w:w="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360" w:type="dxa"/>
            <w:vAlign w:val="bottom"/>
            <w:shd w:val="clear" w:color="auto" w:fill="CCEEFF"/>
          </w:tcPr>
          <w:p>
            <w:pPr>
              <w:spacing w:after="0"/>
              <w:rPr>
                <w:sz w:val="11"/>
                <w:szCs w:val="11"/>
                <w:color w:val="auto"/>
              </w:rPr>
            </w:pPr>
          </w:p>
        </w:tc>
        <w:tc>
          <w:tcPr>
            <w:tcW w:w="43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r>
      <w:tr>
        <w:trPr>
          <w:trHeight w:val="263"/>
        </w:trPr>
        <w:tc>
          <w:tcPr>
            <w:tcW w:w="40" w:type="dxa"/>
            <w:vAlign w:val="bottom"/>
          </w:tcPr>
          <w:p>
            <w:pPr>
              <w:spacing w:after="0"/>
              <w:rPr>
                <w:sz w:val="22"/>
                <w:szCs w:val="22"/>
                <w:color w:val="auto"/>
              </w:rPr>
            </w:pPr>
          </w:p>
        </w:tc>
        <w:tc>
          <w:tcPr>
            <w:tcW w:w="7360" w:type="dxa"/>
            <w:vAlign w:val="bottom"/>
            <w:gridSpan w:val="4"/>
          </w:tcPr>
          <w:p>
            <w:pPr>
              <w:spacing w:after="0"/>
              <w:rPr>
                <w:sz w:val="20"/>
                <w:szCs w:val="20"/>
                <w:color w:val="auto"/>
              </w:rPr>
            </w:pPr>
            <w:r>
              <w:rPr>
                <w:rFonts w:ascii="Arial" w:cs="Arial" w:eastAsia="Arial" w:hAnsi="Arial"/>
                <w:sz w:val="18"/>
                <w:szCs w:val="18"/>
                <w:color w:val="auto"/>
              </w:rPr>
              <w:t>Q1 Monthly ARPU per Mobile Subscriber:</w:t>
            </w:r>
          </w:p>
        </w:tc>
        <w:tc>
          <w:tcPr>
            <w:tcW w:w="58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80" w:type="dxa"/>
            <w:vAlign w:val="bottom"/>
          </w:tcPr>
          <w:p>
            <w:pPr>
              <w:spacing w:after="0"/>
              <w:rPr>
                <w:sz w:val="22"/>
                <w:szCs w:val="22"/>
                <w:color w:val="auto"/>
              </w:rPr>
            </w:pPr>
          </w:p>
        </w:tc>
      </w:tr>
      <w:tr>
        <w:trPr>
          <w:trHeight w:val="277"/>
        </w:trPr>
        <w:tc>
          <w:tcPr>
            <w:tcW w:w="40" w:type="dxa"/>
            <w:vAlign w:val="bottom"/>
            <w:shd w:val="clear" w:color="auto" w:fill="CCEEFF"/>
          </w:tcPr>
          <w:p>
            <w:pPr>
              <w:spacing w:after="0"/>
              <w:rPr>
                <w:sz w:val="24"/>
                <w:szCs w:val="24"/>
                <w:color w:val="auto"/>
              </w:rPr>
            </w:pPr>
          </w:p>
        </w:tc>
        <w:tc>
          <w:tcPr>
            <w:tcW w:w="7360" w:type="dxa"/>
            <w:vAlign w:val="bottom"/>
            <w:gridSpan w:val="4"/>
            <w:shd w:val="clear" w:color="auto" w:fill="CCEEFF"/>
          </w:tcPr>
          <w:p>
            <w:pPr>
              <w:ind w:left="320"/>
              <w:spacing w:after="0"/>
              <w:rPr>
                <w:sz w:val="20"/>
                <w:szCs w:val="20"/>
                <w:color w:val="auto"/>
              </w:rPr>
            </w:pPr>
            <w:r>
              <w:rPr>
                <w:rFonts w:ascii="Arial" w:cs="Arial" w:eastAsia="Arial" w:hAnsi="Arial"/>
                <w:sz w:val="18"/>
                <w:szCs w:val="18"/>
                <w:color w:val="auto"/>
              </w:rPr>
              <w:t>Including interconnect revenue</w:t>
            </w:r>
          </w:p>
        </w:tc>
        <w:tc>
          <w:tcPr>
            <w:tcW w:w="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31.24</w:t>
            </w: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30.98</w:t>
            </w:r>
          </w:p>
        </w:tc>
      </w:tr>
      <w:tr>
        <w:trPr>
          <w:trHeight w:val="257"/>
        </w:trPr>
        <w:tc>
          <w:tcPr>
            <w:tcW w:w="40" w:type="dxa"/>
            <w:vAlign w:val="bottom"/>
          </w:tcPr>
          <w:p>
            <w:pPr>
              <w:spacing w:after="0"/>
              <w:rPr>
                <w:sz w:val="22"/>
                <w:szCs w:val="22"/>
                <w:color w:val="auto"/>
              </w:rPr>
            </w:pPr>
          </w:p>
        </w:tc>
        <w:tc>
          <w:tcPr>
            <w:tcW w:w="7360" w:type="dxa"/>
            <w:vAlign w:val="bottom"/>
            <w:gridSpan w:val="4"/>
          </w:tcPr>
          <w:p>
            <w:pPr>
              <w:ind w:left="320"/>
              <w:spacing w:after="0"/>
              <w:rPr>
                <w:sz w:val="20"/>
                <w:szCs w:val="20"/>
                <w:color w:val="auto"/>
              </w:rPr>
            </w:pPr>
            <w:r>
              <w:rPr>
                <w:rFonts w:ascii="Arial" w:cs="Arial" w:eastAsia="Arial" w:hAnsi="Arial"/>
                <w:sz w:val="18"/>
                <w:szCs w:val="18"/>
                <w:color w:val="auto"/>
              </w:rPr>
              <w:t>Excluding interconnect revenue</w:t>
            </w:r>
          </w:p>
        </w:tc>
        <w:tc>
          <w:tcPr>
            <w:tcW w:w="580" w:type="dxa"/>
            <w:vAlign w:val="bottom"/>
          </w:tcPr>
          <w:p>
            <w:pPr>
              <w:ind w:left="4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91"/>
              <w:spacing w:after="0"/>
              <w:rPr>
                <w:sz w:val="20"/>
                <w:szCs w:val="20"/>
                <w:color w:val="auto"/>
              </w:rPr>
            </w:pPr>
            <w:r>
              <w:rPr>
                <w:rFonts w:ascii="Arial" w:cs="Arial" w:eastAsia="Arial" w:hAnsi="Arial"/>
                <w:sz w:val="18"/>
                <w:szCs w:val="18"/>
                <w:color w:val="auto"/>
              </w:rPr>
              <w:t>27.51</w:t>
            </w:r>
          </w:p>
        </w:tc>
        <w:tc>
          <w:tcPr>
            <w:tcW w:w="120" w:type="dxa"/>
            <w:vAlign w:val="bottom"/>
          </w:tcPr>
          <w:p>
            <w:pPr>
              <w:spacing w:after="0"/>
              <w:rPr>
                <w:sz w:val="22"/>
                <w:szCs w:val="22"/>
                <w:color w:val="auto"/>
              </w:rPr>
            </w:pPr>
          </w:p>
        </w:tc>
        <w:tc>
          <w:tcPr>
            <w:tcW w:w="580" w:type="dxa"/>
            <w:vAlign w:val="bottom"/>
          </w:tcPr>
          <w:p>
            <w:pPr>
              <w:ind w:left="2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91"/>
              <w:spacing w:after="0"/>
              <w:rPr>
                <w:sz w:val="20"/>
                <w:szCs w:val="20"/>
                <w:color w:val="auto"/>
              </w:rPr>
            </w:pPr>
            <w:r>
              <w:rPr>
                <w:rFonts w:ascii="Arial" w:cs="Arial" w:eastAsia="Arial" w:hAnsi="Arial"/>
                <w:sz w:val="18"/>
                <w:szCs w:val="18"/>
                <w:color w:val="auto"/>
              </w:rPr>
              <w:t>28.22</w:t>
            </w:r>
          </w:p>
        </w:tc>
      </w:tr>
      <w:tr>
        <w:trPr>
          <w:trHeight w:val="669"/>
        </w:trPr>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14</w:t>
            </w:r>
          </w:p>
        </w:tc>
      </w:tr>
    </w:tbl>
    <w:p>
      <w:pPr>
        <w:sectPr>
          <w:pgSz w:w="11900" w:h="16838" w:orient="portrait"/>
          <w:cols w:equalWidth="0" w:num="1">
            <w:col w:w="11240"/>
          </w:cols>
          <w:pgMar w:left="320" w:top="1194" w:right="339" w:bottom="1440" w:gutter="0" w:footer="0" w:header="0"/>
        </w:sectPr>
      </w:pPr>
    </w:p>
    <w:bookmarkStart w:id="17" w:name="page18"/>
    <w:bookmarkEnd w:id="17"/>
    <w:p>
      <w:pPr>
        <w:spacing w:after="0"/>
        <w:rPr>
          <w:sz w:val="20"/>
          <w:szCs w:val="20"/>
          <w:color w:val="auto"/>
        </w:rPr>
      </w:pPr>
      <w:r>
        <w:rPr>
          <w:rFonts w:ascii="Arial" w:cs="Arial" w:eastAsia="Arial" w:hAnsi="Arial"/>
          <w:sz w:val="25"/>
          <w:szCs w:val="25"/>
          <w:color w:val="004F9F"/>
        </w:rPr>
        <w:drawing>
          <wp:anchor simplePos="0" relativeHeight="251657728" behindDoc="1" locked="0" layoutInCell="0" allowOverlap="1">
            <wp:simplePos x="0" y="0"/>
            <wp:positionH relativeFrom="page">
              <wp:posOffset>6680200</wp:posOffset>
            </wp:positionH>
            <wp:positionV relativeFrom="page">
              <wp:posOffset>88900</wp:posOffset>
            </wp:positionV>
            <wp:extent cx="659765" cy="53149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clrChange>
                        <a:clrFrom>
                          <a:srgbClr val="FFFFFF"/>
                        </a:clrFrom>
                        <a:clrTo>
                          <a:srgbClr val="FFFFFF">
                            <a:alpha val="0"/>
                          </a:srgbClr>
                        </a:clrTo>
                      </a:clrChange>
                      <a:extLst>
                        <a:ext uri="{28A0092B-C50C-407E-A947-70E740481C1C}"/>
                      </a:extLst>
                    </a:blip>
                    <a:srcRect/>
                    <a:stretch>
                      <a:fillRect/>
                    </a:stretch>
                  </pic:blipFill>
                  <pic:spPr bwMode="auto">
                    <a:xfrm>
                      <a:off x="0" y="0"/>
                      <a:ext cx="659765" cy="531495"/>
                    </a:xfrm>
                    <a:prstGeom prst="rect">
                      <a:avLst/>
                    </a:prstGeom>
                    <a:noFill/>
                  </pic:spPr>
                </pic:pic>
              </a:graphicData>
            </a:graphic>
          </wp:anchor>
        </w:drawing>
        <w:t>Financial Results, Segment OCF Reconciliation, Property &amp; Equipment Additions</w:t>
      </w:r>
    </w:p>
    <w:p>
      <w:pPr>
        <w:spacing w:after="0" w:line="85" w:lineRule="exact"/>
        <w:rPr>
          <w:sz w:val="20"/>
          <w:szCs w:val="20"/>
          <w:color w:val="auto"/>
        </w:rPr>
      </w:pPr>
    </w:p>
    <w:p>
      <w:pPr>
        <w:spacing w:after="0" w:line="246" w:lineRule="auto"/>
        <w:rPr>
          <w:sz w:val="20"/>
          <w:szCs w:val="20"/>
          <w:color w:val="auto"/>
        </w:rPr>
      </w:pPr>
      <w:r>
        <w:rPr>
          <w:rFonts w:ascii="Arial" w:cs="Arial" w:eastAsia="Arial" w:hAnsi="Arial"/>
          <w:sz w:val="20"/>
          <w:szCs w:val="20"/>
          <w:color w:val="auto"/>
        </w:rPr>
        <w:t>The following table reflects preliminary unaudited selected financial results for the three months ended March 31, 2020 and 2019:</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60" w:type="dxa"/>
            <w:vAlign w:val="bottom"/>
            <w:gridSpan w:val="4"/>
          </w:tcPr>
          <w:p>
            <w:pPr>
              <w:jc w:val="center"/>
              <w:ind w:right="191"/>
              <w:spacing w:after="0"/>
              <w:rPr>
                <w:sz w:val="20"/>
                <w:szCs w:val="20"/>
                <w:color w:val="auto"/>
              </w:rPr>
            </w:pPr>
            <w:r>
              <w:rPr>
                <w:rFonts w:ascii="Arial" w:cs="Arial" w:eastAsia="Arial" w:hAnsi="Arial"/>
                <w:sz w:val="16"/>
                <w:szCs w:val="16"/>
                <w:b w:val="1"/>
                <w:bCs w:val="1"/>
                <w:color w:val="auto"/>
              </w:rPr>
              <w:t>Three months ended</w:t>
            </w: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83"/>
        </w:trPr>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3"/>
          </w:tcPr>
          <w:p>
            <w:pPr>
              <w:jc w:val="center"/>
              <w:ind w:left="552"/>
              <w:spacing w:after="0"/>
              <w:rPr>
                <w:sz w:val="20"/>
                <w:szCs w:val="20"/>
                <w:color w:val="auto"/>
              </w:rPr>
            </w:pPr>
            <w:r>
              <w:rPr>
                <w:rFonts w:ascii="Arial" w:cs="Arial" w:eastAsia="Arial" w:hAnsi="Arial"/>
                <w:sz w:val="16"/>
                <w:szCs w:val="16"/>
                <w:b w:val="1"/>
                <w:bCs w:val="1"/>
                <w:color w:val="auto"/>
              </w:rPr>
              <w:t>March 31,</w:t>
            </w:r>
          </w:p>
        </w:tc>
        <w:tc>
          <w:tcPr>
            <w:tcW w:w="9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800" w:type="dxa"/>
            <w:vAlign w:val="bottom"/>
            <w:tcBorders>
              <w:bottom w:val="single" w:sz="8" w:color="auto"/>
            </w:tcBorders>
            <w:gridSpan w:val="3"/>
          </w:tcPr>
          <w:p>
            <w:pPr>
              <w:jc w:val="right"/>
              <w:ind w:right="552"/>
              <w:spacing w:after="0"/>
              <w:rPr>
                <w:sz w:val="20"/>
                <w:szCs w:val="20"/>
                <w:color w:val="auto"/>
              </w:rPr>
            </w:pPr>
            <w:r>
              <w:rPr>
                <w:rFonts w:ascii="Arial" w:cs="Arial" w:eastAsia="Arial" w:hAnsi="Arial"/>
                <w:sz w:val="16"/>
                <w:szCs w:val="16"/>
                <w:b w:val="1"/>
                <w:bCs w:val="1"/>
                <w:color w:val="auto"/>
              </w:rPr>
              <w:t>Increase/(decrease)</w:t>
            </w:r>
          </w:p>
        </w:tc>
      </w:tr>
      <w:tr>
        <w:trPr>
          <w:trHeight w:val="263"/>
        </w:trPr>
        <w:tc>
          <w:tcPr>
            <w:tcW w:w="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33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92"/>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91"/>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gridSpan w:val="2"/>
          </w:tcPr>
          <w:p>
            <w:pPr>
              <w:jc w:val="right"/>
              <w:ind w:right="320"/>
              <w:spacing w:after="0"/>
              <w:rPr>
                <w:sz w:val="20"/>
                <w:szCs w:val="20"/>
                <w:color w:val="auto"/>
              </w:rPr>
            </w:pPr>
            <w:r>
              <w:rPr>
                <w:rFonts w:ascii="Arial" w:cs="Arial" w:eastAsia="Arial" w:hAnsi="Arial"/>
                <w:sz w:val="16"/>
                <w:szCs w:val="16"/>
                <w:b w:val="1"/>
                <w:bCs w:val="1"/>
                <w:color w:val="auto"/>
              </w:rPr>
              <w:t>Reported %</w:t>
            </w:r>
          </w:p>
        </w:tc>
        <w:tc>
          <w:tcPr>
            <w:tcW w:w="1360" w:type="dxa"/>
            <w:vAlign w:val="bottom"/>
            <w:tcBorders>
              <w:bottom w:val="single" w:sz="8" w:color="auto"/>
            </w:tcBorders>
          </w:tcPr>
          <w:p>
            <w:pPr>
              <w:jc w:val="right"/>
              <w:ind w:right="152"/>
              <w:spacing w:after="0"/>
              <w:rPr>
                <w:sz w:val="20"/>
                <w:szCs w:val="20"/>
                <w:color w:val="auto"/>
              </w:rPr>
            </w:pPr>
            <w:r>
              <w:rPr>
                <w:rFonts w:ascii="Arial" w:cs="Arial" w:eastAsia="Arial" w:hAnsi="Arial"/>
                <w:sz w:val="16"/>
                <w:szCs w:val="16"/>
                <w:b w:val="1"/>
                <w:bCs w:val="1"/>
                <w:color w:val="auto"/>
              </w:rPr>
              <w:t>Rebased %</w:t>
            </w:r>
          </w:p>
        </w:tc>
      </w:tr>
      <w:tr>
        <w:trPr>
          <w:trHeight w:val="224"/>
        </w:trPr>
        <w:tc>
          <w:tcPr>
            <w:tcW w:w="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900" w:type="dxa"/>
            <w:vAlign w:val="bottom"/>
            <w:gridSpan w:val="5"/>
          </w:tcPr>
          <w:p>
            <w:pPr>
              <w:jc w:val="right"/>
              <w:ind w:right="320"/>
              <w:spacing w:after="0"/>
              <w:rPr>
                <w:sz w:val="20"/>
                <w:szCs w:val="20"/>
                <w:color w:val="auto"/>
              </w:rPr>
            </w:pPr>
            <w:r>
              <w:rPr>
                <w:rFonts w:ascii="Arial" w:cs="Arial" w:eastAsia="Arial" w:hAnsi="Arial"/>
                <w:sz w:val="16"/>
                <w:szCs w:val="16"/>
                <w:b w:val="1"/>
                <w:bCs w:val="1"/>
                <w:color w:val="auto"/>
              </w:rPr>
              <w:t>in millions, except % amounts</w:t>
            </w:r>
          </w:p>
        </w:tc>
        <w:tc>
          <w:tcPr>
            <w:tcW w:w="1360" w:type="dxa"/>
            <w:vAlign w:val="bottom"/>
          </w:tcPr>
          <w:p>
            <w:pPr>
              <w:spacing w:after="0"/>
              <w:rPr>
                <w:sz w:val="19"/>
                <w:szCs w:val="19"/>
                <w:color w:val="auto"/>
              </w:rPr>
            </w:pPr>
          </w:p>
        </w:tc>
      </w:tr>
      <w:tr>
        <w:trPr>
          <w:trHeight w:val="33"/>
        </w:trPr>
        <w:tc>
          <w:tcPr>
            <w:tcW w:w="40" w:type="dxa"/>
            <w:vAlign w:val="bottom"/>
          </w:tcPr>
          <w:p>
            <w:pPr>
              <w:spacing w:after="0"/>
              <w:rPr>
                <w:sz w:val="2"/>
                <w:szCs w:val="2"/>
                <w:color w:val="auto"/>
              </w:rPr>
            </w:pPr>
          </w:p>
        </w:tc>
        <w:tc>
          <w:tcPr>
            <w:tcW w:w="7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7"/>
              </w:rPr>
              <w:t>Revenue</w:t>
            </w:r>
          </w:p>
        </w:tc>
        <w:tc>
          <w:tcPr>
            <w:tcW w:w="4780" w:type="dxa"/>
            <w:vAlign w:val="bottom"/>
            <w:tcBorders>
              <w:bottom w:val="single" w:sz="8" w:color="CCEEFF"/>
            </w:tcBorders>
            <w:gridSpan w:val="3"/>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63"/>
        </w:trPr>
        <w:tc>
          <w:tcPr>
            <w:tcW w:w="40" w:type="dxa"/>
            <w:vAlign w:val="bottom"/>
          </w:tcPr>
          <w:p>
            <w:pPr>
              <w:spacing w:after="0"/>
              <w:rPr>
                <w:sz w:val="22"/>
                <w:szCs w:val="22"/>
                <w:color w:val="auto"/>
              </w:rPr>
            </w:pPr>
          </w:p>
        </w:tc>
        <w:tc>
          <w:tcPr>
            <w:tcW w:w="5500" w:type="dxa"/>
            <w:vAlign w:val="bottom"/>
            <w:gridSpan w:val="4"/>
          </w:tcPr>
          <w:p>
            <w:pPr>
              <w:spacing w:after="0"/>
              <w:rPr>
                <w:sz w:val="20"/>
                <w:szCs w:val="20"/>
                <w:color w:val="auto"/>
              </w:rPr>
            </w:pPr>
            <w:r>
              <w:rPr>
                <w:rFonts w:ascii="Arial" w:cs="Arial" w:eastAsia="Arial" w:hAnsi="Arial"/>
                <w:sz w:val="18"/>
                <w:szCs w:val="18"/>
                <w:color w:val="auto"/>
              </w:rPr>
              <w:t>Switzerland</w:t>
            </w:r>
          </w:p>
        </w:tc>
        <w:tc>
          <w:tcPr>
            <w:tcW w:w="320" w:type="dxa"/>
            <w:vAlign w:val="bottom"/>
          </w:tcPr>
          <w:p>
            <w:pPr>
              <w:ind w:left="6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32"/>
              <w:spacing w:after="0"/>
              <w:rPr>
                <w:sz w:val="20"/>
                <w:szCs w:val="20"/>
                <w:color w:val="auto"/>
              </w:rPr>
            </w:pPr>
            <w:r>
              <w:rPr>
                <w:rFonts w:ascii="Arial" w:cs="Arial" w:eastAsia="Arial" w:hAnsi="Arial"/>
                <w:sz w:val="18"/>
                <w:szCs w:val="18"/>
                <w:color w:val="auto"/>
              </w:rPr>
              <w:t>287.4</w:t>
            </w:r>
          </w:p>
        </w:tc>
        <w:tc>
          <w:tcPr>
            <w:tcW w:w="100" w:type="dxa"/>
            <w:vAlign w:val="bottom"/>
          </w:tcPr>
          <w:p>
            <w:pPr>
              <w:spacing w:after="0"/>
              <w:rPr>
                <w:sz w:val="22"/>
                <w:szCs w:val="22"/>
                <w:color w:val="auto"/>
              </w:rPr>
            </w:pPr>
          </w:p>
        </w:tc>
        <w:tc>
          <w:tcPr>
            <w:tcW w:w="420" w:type="dxa"/>
            <w:vAlign w:val="bottom"/>
          </w:tcPr>
          <w:p>
            <w:pPr>
              <w:ind w:left="6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31"/>
              <w:spacing w:after="0"/>
              <w:rPr>
                <w:sz w:val="20"/>
                <w:szCs w:val="20"/>
                <w:color w:val="auto"/>
              </w:rPr>
            </w:pPr>
            <w:r>
              <w:rPr>
                <w:rFonts w:ascii="Arial" w:cs="Arial" w:eastAsia="Arial" w:hAnsi="Arial"/>
                <w:sz w:val="18"/>
                <w:szCs w:val="18"/>
                <w:color w:val="auto"/>
              </w:rPr>
              <w:t>278.3</w:t>
            </w:r>
          </w:p>
        </w:tc>
        <w:tc>
          <w:tcPr>
            <w:tcW w:w="1460" w:type="dxa"/>
            <w:vAlign w:val="bottom"/>
            <w:gridSpan w:val="2"/>
          </w:tcPr>
          <w:p>
            <w:pPr>
              <w:jc w:val="right"/>
              <w:ind w:right="15"/>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70"/>
        </w:trPr>
        <w:tc>
          <w:tcPr>
            <w:tcW w:w="40" w:type="dxa"/>
            <w:vAlign w:val="bottom"/>
            <w:shd w:val="clear" w:color="auto" w:fill="CCEEFF"/>
          </w:tcPr>
          <w:p>
            <w:pPr>
              <w:spacing w:after="0"/>
              <w:rPr>
                <w:sz w:val="23"/>
                <w:szCs w:val="23"/>
                <w:color w:val="auto"/>
              </w:rPr>
            </w:pPr>
          </w:p>
        </w:tc>
        <w:tc>
          <w:tcPr>
            <w:tcW w:w="55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Central and Eastern Europe</w:t>
            </w:r>
          </w:p>
        </w:tc>
        <w:tc>
          <w:tcPr>
            <w:tcW w:w="32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108.2</w:t>
            </w:r>
          </w:p>
        </w:tc>
        <w:tc>
          <w:tcPr>
            <w:tcW w:w="100" w:type="dxa"/>
            <w:vAlign w:val="bottom"/>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104.9</w:t>
            </w:r>
          </w:p>
        </w:tc>
        <w:tc>
          <w:tcPr>
            <w:tcW w:w="120" w:type="dxa"/>
            <w:vAlign w:val="bottom"/>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3.5%</w:t>
            </w:r>
          </w:p>
        </w:tc>
      </w:tr>
      <w:tr>
        <w:trPr>
          <w:trHeight w:val="297"/>
        </w:trPr>
        <w:tc>
          <w:tcPr>
            <w:tcW w:w="40" w:type="dxa"/>
            <w:vAlign w:val="bottom"/>
          </w:tcPr>
          <w:p>
            <w:pPr>
              <w:spacing w:after="0"/>
              <w:rPr>
                <w:sz w:val="24"/>
                <w:szCs w:val="24"/>
                <w:color w:val="auto"/>
              </w:rPr>
            </w:pPr>
          </w:p>
        </w:tc>
        <w:tc>
          <w:tcPr>
            <w:tcW w:w="5500" w:type="dxa"/>
            <w:vAlign w:val="bottom"/>
            <w:gridSpan w:val="4"/>
          </w:tcPr>
          <w:p>
            <w:pPr>
              <w:ind w:left="240"/>
              <w:spacing w:after="0"/>
              <w:rPr>
                <w:sz w:val="20"/>
                <w:szCs w:val="20"/>
                <w:color w:val="auto"/>
              </w:rPr>
            </w:pPr>
            <w:r>
              <w:rPr>
                <w:rFonts w:ascii="Arial" w:cs="Arial" w:eastAsia="Arial" w:hAnsi="Arial"/>
                <w:sz w:val="18"/>
                <w:szCs w:val="18"/>
                <w:color w:val="auto"/>
              </w:rPr>
              <w:t>Total</w:t>
            </w:r>
          </w:p>
        </w:tc>
        <w:tc>
          <w:tcPr>
            <w:tcW w:w="320" w:type="dxa"/>
            <w:vAlign w:val="bottom"/>
          </w:tcPr>
          <w:p>
            <w:pPr>
              <w:ind w:left="6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32"/>
              <w:spacing w:after="0"/>
              <w:rPr>
                <w:sz w:val="20"/>
                <w:szCs w:val="20"/>
                <w:color w:val="auto"/>
              </w:rPr>
            </w:pPr>
            <w:r>
              <w:rPr>
                <w:rFonts w:ascii="Arial" w:cs="Arial" w:eastAsia="Arial" w:hAnsi="Arial"/>
                <w:sz w:val="18"/>
                <w:szCs w:val="18"/>
                <w:color w:val="auto"/>
              </w:rPr>
              <w:t>395.6</w:t>
            </w:r>
          </w:p>
        </w:tc>
        <w:tc>
          <w:tcPr>
            <w:tcW w:w="100" w:type="dxa"/>
            <w:vAlign w:val="bottom"/>
          </w:tcPr>
          <w:p>
            <w:pPr>
              <w:spacing w:after="0"/>
              <w:rPr>
                <w:sz w:val="24"/>
                <w:szCs w:val="24"/>
                <w:color w:val="auto"/>
              </w:rPr>
            </w:pPr>
          </w:p>
        </w:tc>
        <w:tc>
          <w:tcPr>
            <w:tcW w:w="420" w:type="dxa"/>
            <w:vAlign w:val="bottom"/>
          </w:tcPr>
          <w:p>
            <w:pPr>
              <w:ind w:left="6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31"/>
              <w:spacing w:after="0"/>
              <w:rPr>
                <w:sz w:val="20"/>
                <w:szCs w:val="20"/>
                <w:color w:val="auto"/>
              </w:rPr>
            </w:pPr>
            <w:r>
              <w:rPr>
                <w:rFonts w:ascii="Arial" w:cs="Arial" w:eastAsia="Arial" w:hAnsi="Arial"/>
                <w:sz w:val="18"/>
                <w:szCs w:val="18"/>
                <w:color w:val="auto"/>
              </w:rPr>
              <w:t>383.2</w:t>
            </w:r>
          </w:p>
        </w:tc>
        <w:tc>
          <w:tcPr>
            <w:tcW w:w="1460" w:type="dxa"/>
            <w:vAlign w:val="bottom"/>
            <w:gridSpan w:val="2"/>
          </w:tcPr>
          <w:p>
            <w:pPr>
              <w:jc w:val="right"/>
              <w:ind w:right="15"/>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143"/>
        </w:trPr>
        <w:tc>
          <w:tcPr>
            <w:tcW w:w="40" w:type="dxa"/>
            <w:vAlign w:val="bottom"/>
            <w:tcBorders>
              <w:top w:val="single" w:sz="8" w:color="CCEEFF"/>
            </w:tcBorders>
            <w:shd w:val="clear" w:color="auto" w:fill="CCEEFF"/>
          </w:tcPr>
          <w:p>
            <w:pPr>
              <w:spacing w:after="0"/>
              <w:rPr>
                <w:sz w:val="12"/>
                <w:szCs w:val="12"/>
                <w:color w:val="auto"/>
              </w:rPr>
            </w:pPr>
          </w:p>
        </w:tc>
        <w:tc>
          <w:tcPr>
            <w:tcW w:w="720" w:type="dxa"/>
            <w:vAlign w:val="bottom"/>
            <w:tcBorders>
              <w:top w:val="single" w:sz="8" w:color="CCEEFF"/>
            </w:tcBorders>
            <w:shd w:val="clear" w:color="auto" w:fill="CCEEFF"/>
          </w:tcPr>
          <w:p>
            <w:pPr>
              <w:spacing w:after="0"/>
              <w:rPr>
                <w:sz w:val="12"/>
                <w:szCs w:val="12"/>
                <w:color w:val="auto"/>
              </w:rPr>
            </w:pPr>
          </w:p>
        </w:tc>
        <w:tc>
          <w:tcPr>
            <w:tcW w:w="420" w:type="dxa"/>
            <w:vAlign w:val="bottom"/>
            <w:tcBorders>
              <w:top w:val="single" w:sz="8" w:color="CCEEFF"/>
            </w:tcBorders>
            <w:shd w:val="clear" w:color="auto" w:fill="CCEEFF"/>
          </w:tcPr>
          <w:p>
            <w:pPr>
              <w:spacing w:after="0"/>
              <w:rPr>
                <w:sz w:val="12"/>
                <w:szCs w:val="12"/>
                <w:color w:val="auto"/>
              </w:rPr>
            </w:pPr>
          </w:p>
        </w:tc>
        <w:tc>
          <w:tcPr>
            <w:tcW w:w="1040" w:type="dxa"/>
            <w:vAlign w:val="bottom"/>
            <w:tcBorders>
              <w:top w:val="single" w:sz="8" w:color="CCEEFF"/>
            </w:tcBorders>
            <w:shd w:val="clear" w:color="auto" w:fill="CCEEFF"/>
          </w:tcPr>
          <w:p>
            <w:pPr>
              <w:spacing w:after="0"/>
              <w:rPr>
                <w:sz w:val="12"/>
                <w:szCs w:val="12"/>
                <w:color w:val="auto"/>
              </w:rPr>
            </w:pPr>
          </w:p>
        </w:tc>
        <w:tc>
          <w:tcPr>
            <w:tcW w:w="3320" w:type="dxa"/>
            <w:vAlign w:val="bottom"/>
            <w:tcBorders>
              <w:top w:val="single" w:sz="8" w:color="CCEEFF"/>
            </w:tcBorders>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spacing w:after="0"/>
              <w:rPr>
                <w:sz w:val="12"/>
                <w:szCs w:val="12"/>
                <w:color w:val="auto"/>
              </w:rPr>
            </w:pPr>
          </w:p>
        </w:tc>
        <w:tc>
          <w:tcPr>
            <w:tcW w:w="10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3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360" w:type="dxa"/>
            <w:vAlign w:val="bottom"/>
            <w:tcBorders>
              <w:top w:val="single" w:sz="8" w:color="auto"/>
            </w:tcBorders>
            <w:shd w:val="clear" w:color="auto" w:fill="CCEEFF"/>
          </w:tcPr>
          <w:p>
            <w:pPr>
              <w:spacing w:after="0"/>
              <w:rPr>
                <w:sz w:val="12"/>
                <w:szCs w:val="12"/>
                <w:color w:val="auto"/>
              </w:rPr>
            </w:pPr>
          </w:p>
        </w:tc>
      </w:tr>
      <w:tr>
        <w:trPr>
          <w:trHeight w:val="216"/>
        </w:trPr>
        <w:tc>
          <w:tcPr>
            <w:tcW w:w="40" w:type="dxa"/>
            <w:vAlign w:val="bottom"/>
          </w:tcPr>
          <w:p>
            <w:pPr>
              <w:spacing w:after="0"/>
              <w:rPr>
                <w:sz w:val="18"/>
                <w:szCs w:val="18"/>
                <w:color w:val="auto"/>
              </w:rPr>
            </w:pPr>
          </w:p>
        </w:tc>
        <w:tc>
          <w:tcPr>
            <w:tcW w:w="5500" w:type="dxa"/>
            <w:vAlign w:val="bottom"/>
            <w:gridSpan w:val="4"/>
          </w:tcPr>
          <w:p>
            <w:pPr>
              <w:spacing w:after="0" w:line="216" w:lineRule="exact"/>
              <w:rPr>
                <w:sz w:val="20"/>
                <w:szCs w:val="20"/>
                <w:color w:val="auto"/>
              </w:rPr>
            </w:pPr>
            <w:r>
              <w:rPr>
                <w:rFonts w:ascii="Arial" w:cs="Arial" w:eastAsia="Arial" w:hAnsi="Arial"/>
                <w:sz w:val="18"/>
                <w:szCs w:val="18"/>
                <w:color w:val="auto"/>
              </w:rPr>
              <w:t>Segment OCF</w:t>
            </w:r>
            <w:r>
              <w:rPr>
                <w:rFonts w:ascii="Arial" w:cs="Arial" w:eastAsia="Arial" w:hAnsi="Arial"/>
                <w:sz w:val="25"/>
                <w:szCs w:val="25"/>
                <w:color w:val="auto"/>
                <w:vertAlign w:val="superscript"/>
              </w:rPr>
              <w:t>2</w:t>
            </w: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34"/>
        </w:trPr>
        <w:tc>
          <w:tcPr>
            <w:tcW w:w="40" w:type="dxa"/>
            <w:vAlign w:val="bottom"/>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420" w:type="dxa"/>
            <w:vAlign w:val="bottom"/>
            <w:tcBorders>
              <w:top w:val="single" w:sz="8" w:color="auto"/>
            </w:tcBorders>
          </w:tcPr>
          <w:p>
            <w:pPr>
              <w:spacing w:after="0"/>
              <w:rPr>
                <w:sz w:val="2"/>
                <w:szCs w:val="2"/>
                <w:color w:val="auto"/>
              </w:rPr>
            </w:pPr>
          </w:p>
        </w:tc>
        <w:tc>
          <w:tcPr>
            <w:tcW w:w="1040" w:type="dxa"/>
            <w:vAlign w:val="bottom"/>
          </w:tcPr>
          <w:p>
            <w:pPr>
              <w:spacing w:after="0"/>
              <w:rPr>
                <w:sz w:val="2"/>
                <w:szCs w:val="2"/>
                <w:color w:val="auto"/>
              </w:rPr>
            </w:pPr>
          </w:p>
        </w:tc>
        <w:tc>
          <w:tcPr>
            <w:tcW w:w="3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40" w:type="dxa"/>
            <w:vAlign w:val="bottom"/>
            <w:shd w:val="clear" w:color="auto" w:fill="CCEEFF"/>
          </w:tcPr>
          <w:p>
            <w:pPr>
              <w:spacing w:after="0"/>
              <w:rPr>
                <w:sz w:val="23"/>
                <w:szCs w:val="23"/>
                <w:color w:val="auto"/>
              </w:rPr>
            </w:pPr>
          </w:p>
        </w:tc>
        <w:tc>
          <w:tcPr>
            <w:tcW w:w="55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Switzerland</w:t>
            </w:r>
          </w:p>
        </w:tc>
        <w:tc>
          <w:tcPr>
            <w:tcW w:w="32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121.7</w:t>
            </w: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137.7</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00" w:type="dxa"/>
            <w:vAlign w:val="bottom"/>
            <w:shd w:val="clear" w:color="auto" w:fill="CCEEFF"/>
          </w:tcPr>
          <w:p>
            <w:pPr>
              <w:spacing w:after="0"/>
              <w:rPr>
                <w:sz w:val="23"/>
                <w:szCs w:val="23"/>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w:t>
            </w:r>
          </w:p>
        </w:tc>
      </w:tr>
      <w:tr>
        <w:trPr>
          <w:trHeight w:val="263"/>
        </w:trPr>
        <w:tc>
          <w:tcPr>
            <w:tcW w:w="40" w:type="dxa"/>
            <w:vAlign w:val="bottom"/>
          </w:tcPr>
          <w:p>
            <w:pPr>
              <w:spacing w:after="0"/>
              <w:rPr>
                <w:sz w:val="22"/>
                <w:szCs w:val="22"/>
                <w:color w:val="auto"/>
              </w:rPr>
            </w:pPr>
          </w:p>
        </w:tc>
        <w:tc>
          <w:tcPr>
            <w:tcW w:w="5500" w:type="dxa"/>
            <w:vAlign w:val="bottom"/>
            <w:gridSpan w:val="4"/>
          </w:tcPr>
          <w:p>
            <w:pPr>
              <w:spacing w:after="0"/>
              <w:rPr>
                <w:sz w:val="20"/>
                <w:szCs w:val="20"/>
                <w:color w:val="auto"/>
              </w:rPr>
            </w:pPr>
            <w:r>
              <w:rPr>
                <w:rFonts w:ascii="Arial" w:cs="Arial" w:eastAsia="Arial" w:hAnsi="Arial"/>
                <w:sz w:val="18"/>
                <w:szCs w:val="18"/>
                <w:color w:val="auto"/>
              </w:rPr>
              <w:t>Central and Eastern Europe</w:t>
            </w:r>
          </w:p>
        </w:tc>
        <w:tc>
          <w:tcPr>
            <w:tcW w:w="320" w:type="dxa"/>
            <w:vAlign w:val="bottom"/>
          </w:tcPr>
          <w:p>
            <w:pPr>
              <w:spacing w:after="0"/>
              <w:rPr>
                <w:sz w:val="22"/>
                <w:szCs w:val="22"/>
                <w:color w:val="auto"/>
              </w:rPr>
            </w:pPr>
          </w:p>
        </w:tc>
        <w:tc>
          <w:tcPr>
            <w:tcW w:w="1020" w:type="dxa"/>
            <w:vAlign w:val="bottom"/>
          </w:tcPr>
          <w:p>
            <w:pPr>
              <w:jc w:val="right"/>
              <w:ind w:right="132"/>
              <w:spacing w:after="0"/>
              <w:rPr>
                <w:sz w:val="20"/>
                <w:szCs w:val="20"/>
                <w:color w:val="auto"/>
              </w:rPr>
            </w:pPr>
            <w:r>
              <w:rPr>
                <w:rFonts w:ascii="Arial" w:cs="Arial" w:eastAsia="Arial" w:hAnsi="Arial"/>
                <w:sz w:val="18"/>
                <w:szCs w:val="18"/>
                <w:color w:val="auto"/>
              </w:rPr>
              <w:t>49.3</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20" w:type="dxa"/>
            <w:vAlign w:val="bottom"/>
          </w:tcPr>
          <w:p>
            <w:pPr>
              <w:jc w:val="right"/>
              <w:ind w:right="131"/>
              <w:spacing w:after="0"/>
              <w:rPr>
                <w:sz w:val="20"/>
                <w:szCs w:val="20"/>
                <w:color w:val="auto"/>
              </w:rPr>
            </w:pPr>
            <w:r>
              <w:rPr>
                <w:rFonts w:ascii="Arial" w:cs="Arial" w:eastAsia="Arial" w:hAnsi="Arial"/>
                <w:sz w:val="18"/>
                <w:szCs w:val="18"/>
                <w:color w:val="auto"/>
              </w:rPr>
              <w:t>47.2</w:t>
            </w:r>
          </w:p>
        </w:tc>
        <w:tc>
          <w:tcPr>
            <w:tcW w:w="1460" w:type="dxa"/>
            <w:vAlign w:val="bottom"/>
            <w:gridSpan w:val="2"/>
          </w:tcPr>
          <w:p>
            <w:pPr>
              <w:jc w:val="right"/>
              <w:ind w:right="15"/>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2"/>
                <w:szCs w:val="22"/>
                <w:color w:val="auto"/>
              </w:rPr>
            </w:pP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4.8%</w:t>
            </w:r>
          </w:p>
        </w:tc>
      </w:tr>
      <w:tr>
        <w:trPr>
          <w:trHeight w:val="270"/>
        </w:trPr>
        <w:tc>
          <w:tcPr>
            <w:tcW w:w="40" w:type="dxa"/>
            <w:vAlign w:val="bottom"/>
            <w:shd w:val="clear" w:color="auto" w:fill="CCEEFF"/>
          </w:tcPr>
          <w:p>
            <w:pPr>
              <w:spacing w:after="0"/>
              <w:rPr>
                <w:sz w:val="23"/>
                <w:szCs w:val="23"/>
                <w:color w:val="auto"/>
              </w:rPr>
            </w:pPr>
          </w:p>
        </w:tc>
        <w:tc>
          <w:tcPr>
            <w:tcW w:w="55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Central and Corporate and intersegment eliminations</w:t>
            </w:r>
          </w:p>
        </w:tc>
        <w:tc>
          <w:tcPr>
            <w:tcW w:w="32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(0.6)</w:t>
            </w:r>
          </w:p>
        </w:tc>
        <w:tc>
          <w:tcPr>
            <w:tcW w:w="120" w:type="dxa"/>
            <w:vAlign w:val="bottom"/>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ind w:right="175"/>
              <w:spacing w:after="0"/>
              <w:rPr>
                <w:sz w:val="20"/>
                <w:szCs w:val="20"/>
                <w:color w:val="auto"/>
              </w:rPr>
            </w:pPr>
            <w:r>
              <w:rPr>
                <w:rFonts w:ascii="Arial" w:cs="Arial" w:eastAsia="Arial" w:hAnsi="Arial"/>
                <w:sz w:val="18"/>
                <w:szCs w:val="18"/>
                <w:color w:val="auto"/>
              </w:rPr>
              <w:t>N.M.</w:t>
            </w:r>
          </w:p>
        </w:tc>
        <w:tc>
          <w:tcPr>
            <w:tcW w:w="100" w:type="dxa"/>
            <w:vAlign w:val="bottom"/>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rPr>
              <w:t>N.M.</w:t>
            </w:r>
          </w:p>
        </w:tc>
      </w:tr>
      <w:tr>
        <w:trPr>
          <w:trHeight w:val="297"/>
        </w:trPr>
        <w:tc>
          <w:tcPr>
            <w:tcW w:w="40" w:type="dxa"/>
            <w:vAlign w:val="bottom"/>
          </w:tcPr>
          <w:p>
            <w:pPr>
              <w:spacing w:after="0"/>
              <w:rPr>
                <w:sz w:val="24"/>
                <w:szCs w:val="24"/>
                <w:color w:val="auto"/>
              </w:rPr>
            </w:pPr>
          </w:p>
        </w:tc>
        <w:tc>
          <w:tcPr>
            <w:tcW w:w="5500" w:type="dxa"/>
            <w:vAlign w:val="bottom"/>
            <w:gridSpan w:val="4"/>
          </w:tcPr>
          <w:p>
            <w:pPr>
              <w:ind w:left="260"/>
              <w:spacing w:after="0"/>
              <w:rPr>
                <w:sz w:val="20"/>
                <w:szCs w:val="20"/>
                <w:color w:val="auto"/>
              </w:rPr>
            </w:pPr>
            <w:r>
              <w:rPr>
                <w:rFonts w:ascii="Arial" w:cs="Arial" w:eastAsia="Arial" w:hAnsi="Arial"/>
                <w:sz w:val="18"/>
                <w:szCs w:val="18"/>
                <w:color w:val="auto"/>
              </w:rPr>
              <w:t>Total Segment OCF</w:t>
            </w:r>
          </w:p>
        </w:tc>
        <w:tc>
          <w:tcPr>
            <w:tcW w:w="320" w:type="dxa"/>
            <w:vAlign w:val="bottom"/>
          </w:tcPr>
          <w:p>
            <w:pPr>
              <w:ind w:left="6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32"/>
              <w:spacing w:after="0"/>
              <w:rPr>
                <w:sz w:val="20"/>
                <w:szCs w:val="20"/>
                <w:color w:val="auto"/>
              </w:rPr>
            </w:pPr>
            <w:r>
              <w:rPr>
                <w:rFonts w:ascii="Arial" w:cs="Arial" w:eastAsia="Arial" w:hAnsi="Arial"/>
                <w:sz w:val="18"/>
                <w:szCs w:val="18"/>
                <w:color w:val="auto"/>
              </w:rPr>
              <w:t>171.0</w:t>
            </w:r>
          </w:p>
        </w:tc>
        <w:tc>
          <w:tcPr>
            <w:tcW w:w="100" w:type="dxa"/>
            <w:vAlign w:val="bottom"/>
          </w:tcPr>
          <w:p>
            <w:pPr>
              <w:spacing w:after="0"/>
              <w:rPr>
                <w:sz w:val="24"/>
                <w:szCs w:val="24"/>
                <w:color w:val="auto"/>
              </w:rPr>
            </w:pPr>
          </w:p>
        </w:tc>
        <w:tc>
          <w:tcPr>
            <w:tcW w:w="420" w:type="dxa"/>
            <w:vAlign w:val="bottom"/>
          </w:tcPr>
          <w:p>
            <w:pPr>
              <w:ind w:left="6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31"/>
              <w:spacing w:after="0"/>
              <w:rPr>
                <w:sz w:val="20"/>
                <w:szCs w:val="20"/>
                <w:color w:val="auto"/>
              </w:rPr>
            </w:pPr>
            <w:r>
              <w:rPr>
                <w:rFonts w:ascii="Arial" w:cs="Arial" w:eastAsia="Arial" w:hAnsi="Arial"/>
                <w:sz w:val="18"/>
                <w:szCs w:val="18"/>
                <w:color w:val="auto"/>
              </w:rPr>
              <w:t>184.3</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(10.9%)</w:t>
            </w:r>
          </w:p>
        </w:tc>
      </w:tr>
      <w:tr>
        <w:trPr>
          <w:trHeight w:val="143"/>
        </w:trPr>
        <w:tc>
          <w:tcPr>
            <w:tcW w:w="40" w:type="dxa"/>
            <w:vAlign w:val="bottom"/>
            <w:tcBorders>
              <w:top w:val="single" w:sz="8" w:color="CCEEFF"/>
            </w:tcBorders>
            <w:shd w:val="clear" w:color="auto" w:fill="CCEEFF"/>
          </w:tcPr>
          <w:p>
            <w:pPr>
              <w:spacing w:after="0"/>
              <w:rPr>
                <w:sz w:val="12"/>
                <w:szCs w:val="12"/>
                <w:color w:val="auto"/>
              </w:rPr>
            </w:pPr>
          </w:p>
        </w:tc>
        <w:tc>
          <w:tcPr>
            <w:tcW w:w="720" w:type="dxa"/>
            <w:vAlign w:val="bottom"/>
            <w:tcBorders>
              <w:top w:val="single" w:sz="8" w:color="CCEEFF"/>
            </w:tcBorders>
            <w:shd w:val="clear" w:color="auto" w:fill="CCEEFF"/>
          </w:tcPr>
          <w:p>
            <w:pPr>
              <w:spacing w:after="0"/>
              <w:rPr>
                <w:sz w:val="12"/>
                <w:szCs w:val="12"/>
                <w:color w:val="auto"/>
              </w:rPr>
            </w:pPr>
          </w:p>
        </w:tc>
        <w:tc>
          <w:tcPr>
            <w:tcW w:w="420" w:type="dxa"/>
            <w:vAlign w:val="bottom"/>
            <w:tcBorders>
              <w:top w:val="single" w:sz="8" w:color="CCEEFF"/>
            </w:tcBorders>
            <w:shd w:val="clear" w:color="auto" w:fill="CCEEFF"/>
          </w:tcPr>
          <w:p>
            <w:pPr>
              <w:spacing w:after="0"/>
              <w:rPr>
                <w:sz w:val="12"/>
                <w:szCs w:val="12"/>
                <w:color w:val="auto"/>
              </w:rPr>
            </w:pPr>
          </w:p>
        </w:tc>
        <w:tc>
          <w:tcPr>
            <w:tcW w:w="1040" w:type="dxa"/>
            <w:vAlign w:val="bottom"/>
            <w:tcBorders>
              <w:top w:val="single" w:sz="8" w:color="CCEEFF"/>
            </w:tcBorders>
            <w:shd w:val="clear" w:color="auto" w:fill="CCEEFF"/>
          </w:tcPr>
          <w:p>
            <w:pPr>
              <w:spacing w:after="0"/>
              <w:rPr>
                <w:sz w:val="12"/>
                <w:szCs w:val="12"/>
                <w:color w:val="auto"/>
              </w:rPr>
            </w:pPr>
          </w:p>
        </w:tc>
        <w:tc>
          <w:tcPr>
            <w:tcW w:w="3320" w:type="dxa"/>
            <w:vAlign w:val="bottom"/>
            <w:tcBorders>
              <w:top w:val="single" w:sz="8" w:color="CCEEFF"/>
            </w:tcBorders>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spacing w:after="0"/>
              <w:rPr>
                <w:sz w:val="12"/>
                <w:szCs w:val="12"/>
                <w:color w:val="auto"/>
              </w:rPr>
            </w:pPr>
          </w:p>
        </w:tc>
        <w:tc>
          <w:tcPr>
            <w:tcW w:w="10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3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360" w:type="dxa"/>
            <w:vAlign w:val="bottom"/>
            <w:tcBorders>
              <w:top w:val="single" w:sz="8" w:color="auto"/>
            </w:tcBorders>
            <w:shd w:val="clear" w:color="auto" w:fill="CCEEFF"/>
          </w:tcPr>
          <w:p>
            <w:pPr>
              <w:spacing w:after="0"/>
              <w:rPr>
                <w:sz w:val="12"/>
                <w:szCs w:val="12"/>
                <w:color w:val="auto"/>
              </w:rPr>
            </w:pPr>
          </w:p>
        </w:tc>
      </w:tr>
      <w:tr>
        <w:trPr>
          <w:trHeight w:val="263"/>
        </w:trPr>
        <w:tc>
          <w:tcPr>
            <w:tcW w:w="40" w:type="dxa"/>
            <w:vAlign w:val="bottom"/>
          </w:tcPr>
          <w:p>
            <w:pPr>
              <w:spacing w:after="0"/>
              <w:rPr>
                <w:sz w:val="22"/>
                <w:szCs w:val="22"/>
                <w:color w:val="auto"/>
              </w:rPr>
            </w:pPr>
          </w:p>
        </w:tc>
        <w:tc>
          <w:tcPr>
            <w:tcW w:w="5500" w:type="dxa"/>
            <w:vAlign w:val="bottom"/>
            <w:gridSpan w:val="4"/>
          </w:tcPr>
          <w:p>
            <w:pPr>
              <w:spacing w:after="0"/>
              <w:rPr>
                <w:sz w:val="20"/>
                <w:szCs w:val="20"/>
                <w:color w:val="auto"/>
              </w:rPr>
            </w:pPr>
            <w:r>
              <w:rPr>
                <w:rFonts w:ascii="Arial" w:cs="Arial" w:eastAsia="Arial" w:hAnsi="Arial"/>
                <w:sz w:val="18"/>
                <w:szCs w:val="18"/>
                <w:color w:val="auto"/>
              </w:rPr>
              <w:t>Operating income</w:t>
            </w:r>
          </w:p>
        </w:tc>
        <w:tc>
          <w:tcPr>
            <w:tcW w:w="320" w:type="dxa"/>
            <w:vAlign w:val="bottom"/>
          </w:tcPr>
          <w:p>
            <w:pPr>
              <w:ind w:left="6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32"/>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2"/>
                <w:szCs w:val="22"/>
                <w:color w:val="auto"/>
              </w:rPr>
            </w:pPr>
          </w:p>
        </w:tc>
        <w:tc>
          <w:tcPr>
            <w:tcW w:w="420" w:type="dxa"/>
            <w:vAlign w:val="bottom"/>
          </w:tcPr>
          <w:p>
            <w:pPr>
              <w:ind w:left="6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31"/>
              <w:spacing w:after="0"/>
              <w:rPr>
                <w:sz w:val="20"/>
                <w:szCs w:val="20"/>
                <w:color w:val="auto"/>
              </w:rPr>
            </w:pPr>
            <w:r>
              <w:rPr>
                <w:rFonts w:ascii="Arial" w:cs="Arial" w:eastAsia="Arial" w:hAnsi="Arial"/>
                <w:sz w:val="18"/>
                <w:szCs w:val="18"/>
                <w:color w:val="auto"/>
              </w:rPr>
              <w:t>54.7</w:t>
            </w:r>
          </w:p>
        </w:tc>
        <w:tc>
          <w:tcPr>
            <w:tcW w:w="1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60" w:type="dxa"/>
            <w:vAlign w:val="bottom"/>
          </w:tcPr>
          <w:p>
            <w:pPr>
              <w:spacing w:after="0"/>
              <w:rPr>
                <w:sz w:val="22"/>
                <w:szCs w:val="22"/>
                <w:color w:val="auto"/>
              </w:rPr>
            </w:pPr>
          </w:p>
        </w:tc>
      </w:tr>
      <w:tr>
        <w:trPr>
          <w:trHeight w:val="277"/>
        </w:trPr>
        <w:tc>
          <w:tcPr>
            <w:tcW w:w="40" w:type="dxa"/>
            <w:vAlign w:val="bottom"/>
            <w:shd w:val="clear" w:color="auto" w:fill="CCEEFF"/>
          </w:tcPr>
          <w:p>
            <w:pPr>
              <w:spacing w:after="0"/>
              <w:rPr>
                <w:sz w:val="24"/>
                <w:szCs w:val="24"/>
                <w:color w:val="auto"/>
              </w:rPr>
            </w:pPr>
          </w:p>
        </w:tc>
        <w:tc>
          <w:tcPr>
            <w:tcW w:w="55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Share-based compensation expense</w:t>
            </w:r>
          </w:p>
        </w:tc>
        <w:tc>
          <w:tcPr>
            <w:tcW w:w="3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4.8</w:t>
            </w:r>
          </w:p>
        </w:tc>
        <w:tc>
          <w:tcPr>
            <w:tcW w:w="12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r>
      <w:tr>
        <w:trPr>
          <w:trHeight w:val="263"/>
        </w:trPr>
        <w:tc>
          <w:tcPr>
            <w:tcW w:w="40" w:type="dxa"/>
            <w:vAlign w:val="bottom"/>
          </w:tcPr>
          <w:p>
            <w:pPr>
              <w:spacing w:after="0"/>
              <w:rPr>
                <w:sz w:val="22"/>
                <w:szCs w:val="22"/>
                <w:color w:val="auto"/>
              </w:rPr>
            </w:pPr>
          </w:p>
        </w:tc>
        <w:tc>
          <w:tcPr>
            <w:tcW w:w="5500" w:type="dxa"/>
            <w:vAlign w:val="bottom"/>
            <w:gridSpan w:val="4"/>
          </w:tcPr>
          <w:p>
            <w:pPr>
              <w:spacing w:after="0"/>
              <w:rPr>
                <w:sz w:val="20"/>
                <w:szCs w:val="20"/>
                <w:color w:val="auto"/>
              </w:rPr>
            </w:pPr>
            <w:r>
              <w:rPr>
                <w:rFonts w:ascii="Arial" w:cs="Arial" w:eastAsia="Arial" w:hAnsi="Arial"/>
                <w:sz w:val="18"/>
                <w:szCs w:val="18"/>
                <w:color w:val="auto"/>
              </w:rPr>
              <w:t>Related-party fees and allocations, net</w:t>
            </w:r>
          </w:p>
        </w:tc>
        <w:tc>
          <w:tcPr>
            <w:tcW w:w="320" w:type="dxa"/>
            <w:vAlign w:val="bottom"/>
          </w:tcPr>
          <w:p>
            <w:pPr>
              <w:spacing w:after="0"/>
              <w:rPr>
                <w:sz w:val="22"/>
                <w:szCs w:val="22"/>
                <w:color w:val="auto"/>
              </w:rPr>
            </w:pPr>
          </w:p>
        </w:tc>
        <w:tc>
          <w:tcPr>
            <w:tcW w:w="1020" w:type="dxa"/>
            <w:vAlign w:val="bottom"/>
          </w:tcPr>
          <w:p>
            <w:pPr>
              <w:jc w:val="right"/>
              <w:ind w:right="132"/>
              <w:spacing w:after="0"/>
              <w:rPr>
                <w:sz w:val="20"/>
                <w:szCs w:val="20"/>
                <w:color w:val="auto"/>
              </w:rPr>
            </w:pPr>
            <w:r>
              <w:rPr>
                <w:rFonts w:ascii="Arial" w:cs="Arial" w:eastAsia="Arial" w:hAnsi="Arial"/>
                <w:sz w:val="18"/>
                <w:szCs w:val="18"/>
                <w:color w:val="auto"/>
              </w:rPr>
              <w:t>60.5</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20" w:type="dxa"/>
            <w:vAlign w:val="bottom"/>
          </w:tcPr>
          <w:p>
            <w:pPr>
              <w:jc w:val="right"/>
              <w:ind w:right="131"/>
              <w:spacing w:after="0"/>
              <w:rPr>
                <w:sz w:val="20"/>
                <w:szCs w:val="20"/>
                <w:color w:val="auto"/>
              </w:rPr>
            </w:pPr>
            <w:r>
              <w:rPr>
                <w:rFonts w:ascii="Arial" w:cs="Arial" w:eastAsia="Arial" w:hAnsi="Arial"/>
                <w:sz w:val="18"/>
                <w:szCs w:val="18"/>
                <w:color w:val="auto"/>
              </w:rPr>
              <w:t>39.3</w:t>
            </w:r>
          </w:p>
        </w:tc>
        <w:tc>
          <w:tcPr>
            <w:tcW w:w="1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60" w:type="dxa"/>
            <w:vAlign w:val="bottom"/>
          </w:tcPr>
          <w:p>
            <w:pPr>
              <w:spacing w:after="0"/>
              <w:rPr>
                <w:sz w:val="22"/>
                <w:szCs w:val="22"/>
                <w:color w:val="auto"/>
              </w:rPr>
            </w:pPr>
          </w:p>
        </w:tc>
      </w:tr>
      <w:tr>
        <w:trPr>
          <w:trHeight w:val="277"/>
        </w:trPr>
        <w:tc>
          <w:tcPr>
            <w:tcW w:w="40" w:type="dxa"/>
            <w:vAlign w:val="bottom"/>
            <w:shd w:val="clear" w:color="auto" w:fill="CCEEFF"/>
          </w:tcPr>
          <w:p>
            <w:pPr>
              <w:spacing w:after="0"/>
              <w:rPr>
                <w:sz w:val="24"/>
                <w:szCs w:val="24"/>
                <w:color w:val="auto"/>
              </w:rPr>
            </w:pPr>
          </w:p>
        </w:tc>
        <w:tc>
          <w:tcPr>
            <w:tcW w:w="55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32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90.2</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84.5</w:t>
            </w:r>
          </w:p>
        </w:tc>
        <w:tc>
          <w:tcPr>
            <w:tcW w:w="12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r>
      <w:tr>
        <w:trPr>
          <w:trHeight w:val="264"/>
        </w:trPr>
        <w:tc>
          <w:tcPr>
            <w:tcW w:w="40" w:type="dxa"/>
            <w:vAlign w:val="bottom"/>
            <w:tcBorders>
              <w:bottom w:val="single" w:sz="8" w:color="CCEEFF"/>
            </w:tcBorders>
          </w:tcPr>
          <w:p>
            <w:pPr>
              <w:spacing w:after="0"/>
              <w:rPr>
                <w:sz w:val="22"/>
                <w:szCs w:val="22"/>
                <w:color w:val="auto"/>
              </w:rPr>
            </w:pPr>
          </w:p>
        </w:tc>
        <w:tc>
          <w:tcPr>
            <w:tcW w:w="5500" w:type="dxa"/>
            <w:vAlign w:val="bottom"/>
            <w:tcBorders>
              <w:bottom w:val="single" w:sz="8" w:color="CCEEFF"/>
            </w:tcBorders>
            <w:gridSpan w:val="4"/>
          </w:tcPr>
          <w:p>
            <w:pPr>
              <w:spacing w:after="0"/>
              <w:rPr>
                <w:sz w:val="20"/>
                <w:szCs w:val="20"/>
                <w:color w:val="auto"/>
              </w:rPr>
            </w:pPr>
            <w:r>
              <w:rPr>
                <w:rFonts w:ascii="Arial" w:cs="Arial" w:eastAsia="Arial" w:hAnsi="Arial"/>
                <w:sz w:val="18"/>
                <w:szCs w:val="18"/>
                <w:color w:val="auto"/>
              </w:rPr>
              <w:t>Impairment, restructuring and other operating items, net</w:t>
            </w:r>
          </w:p>
        </w:tc>
        <w:tc>
          <w:tcPr>
            <w:tcW w:w="3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12.2</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tcPr>
          <w:p>
            <w:pPr>
              <w:spacing w:after="0"/>
              <w:rPr>
                <w:sz w:val="22"/>
                <w:szCs w:val="22"/>
                <w:color w:val="auto"/>
              </w:rPr>
            </w:pPr>
          </w:p>
        </w:tc>
        <w:tc>
          <w:tcPr>
            <w:tcW w:w="134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360" w:type="dxa"/>
            <w:vAlign w:val="bottom"/>
            <w:tcBorders>
              <w:bottom w:val="single" w:sz="8" w:color="CCEEFF"/>
            </w:tcBorders>
          </w:tcPr>
          <w:p>
            <w:pPr>
              <w:spacing w:after="0"/>
              <w:rPr>
                <w:sz w:val="22"/>
                <w:szCs w:val="22"/>
                <w:color w:val="auto"/>
              </w:rPr>
            </w:pPr>
          </w:p>
        </w:tc>
      </w:tr>
      <w:tr>
        <w:trPr>
          <w:trHeight w:val="256"/>
        </w:trPr>
        <w:tc>
          <w:tcPr>
            <w:tcW w:w="40" w:type="dxa"/>
            <w:vAlign w:val="bottom"/>
            <w:tcBorders>
              <w:bottom w:val="single" w:sz="8" w:color="CCEEFF"/>
            </w:tcBorders>
            <w:shd w:val="clear" w:color="auto" w:fill="CCEEFF"/>
          </w:tcPr>
          <w:p>
            <w:pPr>
              <w:spacing w:after="0"/>
              <w:rPr>
                <w:sz w:val="22"/>
                <w:szCs w:val="22"/>
                <w:color w:val="auto"/>
              </w:rPr>
            </w:pPr>
          </w:p>
        </w:tc>
        <w:tc>
          <w:tcPr>
            <w:tcW w:w="5500" w:type="dxa"/>
            <w:vAlign w:val="bottom"/>
            <w:tcBorders>
              <w:bottom w:val="single" w:sz="8" w:color="CCEEFF"/>
            </w:tcBorders>
            <w:gridSpan w:val="4"/>
            <w:shd w:val="clear" w:color="auto" w:fill="CCEEFF"/>
          </w:tcPr>
          <w:p>
            <w:pPr>
              <w:ind w:left="260"/>
              <w:spacing w:after="0"/>
              <w:rPr>
                <w:sz w:val="20"/>
                <w:szCs w:val="20"/>
                <w:color w:val="auto"/>
              </w:rPr>
            </w:pPr>
            <w:r>
              <w:rPr>
                <w:rFonts w:ascii="Arial" w:cs="Arial" w:eastAsia="Arial" w:hAnsi="Arial"/>
                <w:sz w:val="18"/>
                <w:szCs w:val="18"/>
                <w:color w:val="auto"/>
              </w:rPr>
              <w:t>Total Segment OCF</w:t>
            </w:r>
          </w:p>
        </w:tc>
        <w:tc>
          <w:tcPr>
            <w:tcW w:w="32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171.0</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8"/>
                <w:szCs w:val="18"/>
                <w:color w:val="auto"/>
              </w:rPr>
              <w:t>184.3</w:t>
            </w:r>
          </w:p>
        </w:tc>
        <w:tc>
          <w:tcPr>
            <w:tcW w:w="1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spacing w:after="0"/>
              <w:rPr>
                <w:sz w:val="22"/>
                <w:szCs w:val="22"/>
                <w:color w:val="auto"/>
              </w:rPr>
            </w:pPr>
          </w:p>
        </w:tc>
      </w:tr>
      <w:tr>
        <w:trPr>
          <w:trHeight w:val="20"/>
        </w:trPr>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170"/>
        </w:trPr>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550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Segment OCF as a percentage of revenue</w:t>
            </w:r>
          </w:p>
        </w:tc>
        <w:tc>
          <w:tcPr>
            <w:tcW w:w="32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43.2 %</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48.1 %</w:t>
            </w:r>
          </w:p>
        </w:tc>
        <w:tc>
          <w:tcPr>
            <w:tcW w:w="1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spacing w:after="0"/>
              <w:rPr>
                <w:sz w:val="22"/>
                <w:szCs w:val="22"/>
                <w:color w:val="auto"/>
              </w:rPr>
            </w:pPr>
          </w:p>
        </w:tc>
      </w:tr>
      <w:tr>
        <w:trPr>
          <w:trHeight w:val="20"/>
        </w:trPr>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169"/>
        </w:trPr>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550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Operating income as a percentage of revenue</w:t>
            </w:r>
          </w:p>
        </w:tc>
        <w:tc>
          <w:tcPr>
            <w:tcW w:w="32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1.1 %</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14.3 %</w:t>
            </w:r>
          </w:p>
        </w:tc>
        <w:tc>
          <w:tcPr>
            <w:tcW w:w="1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spacing w:after="0"/>
              <w:rPr>
                <w:sz w:val="22"/>
                <w:szCs w:val="22"/>
                <w:color w:val="auto"/>
              </w:rPr>
            </w:pPr>
          </w:p>
        </w:tc>
      </w:tr>
      <w:tr>
        <w:trPr>
          <w:trHeight w:val="20"/>
        </w:trPr>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88"/>
        </w:trPr>
        <w:tc>
          <w:tcPr>
            <w:tcW w:w="2220" w:type="dxa"/>
            <w:vAlign w:val="bottom"/>
            <w:tcBorders>
              <w:bottom w:val="single" w:sz="8" w:color="auto"/>
            </w:tcBorders>
            <w:gridSpan w:val="4"/>
          </w:tcPr>
          <w:p>
            <w:pPr>
              <w:spacing w:after="0"/>
              <w:rPr>
                <w:sz w:val="7"/>
                <w:szCs w:val="7"/>
                <w:color w:val="auto"/>
              </w:rPr>
            </w:pPr>
          </w:p>
        </w:tc>
        <w:tc>
          <w:tcPr>
            <w:tcW w:w="3320" w:type="dxa"/>
            <w:vAlign w:val="bottom"/>
          </w:tcPr>
          <w:p>
            <w:pPr>
              <w:spacing w:after="0"/>
              <w:rPr>
                <w:sz w:val="7"/>
                <w:szCs w:val="7"/>
                <w:color w:val="auto"/>
              </w:rPr>
            </w:pPr>
          </w:p>
        </w:tc>
        <w:tc>
          <w:tcPr>
            <w:tcW w:w="3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20" w:type="dxa"/>
            <w:vAlign w:val="bottom"/>
          </w:tcPr>
          <w:p>
            <w:pPr>
              <w:spacing w:after="0"/>
              <w:rPr>
                <w:sz w:val="7"/>
                <w:szCs w:val="7"/>
                <w:color w:val="auto"/>
              </w:rPr>
            </w:pPr>
          </w:p>
        </w:tc>
        <w:tc>
          <w:tcPr>
            <w:tcW w:w="9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360" w:type="dxa"/>
            <w:vAlign w:val="bottom"/>
          </w:tcPr>
          <w:p>
            <w:pPr>
              <w:spacing w:after="0"/>
              <w:rPr>
                <w:sz w:val="7"/>
                <w:szCs w:val="7"/>
                <w:color w:val="auto"/>
              </w:rPr>
            </w:pPr>
          </w:p>
        </w:tc>
      </w:tr>
      <w:tr>
        <w:trPr>
          <w:trHeight w:val="285"/>
        </w:trPr>
        <w:tc>
          <w:tcPr>
            <w:tcW w:w="5540" w:type="dxa"/>
            <w:vAlign w:val="bottom"/>
            <w:gridSpan w:val="5"/>
          </w:tcPr>
          <w:p>
            <w:pPr>
              <w:spacing w:after="0"/>
              <w:rPr>
                <w:sz w:val="20"/>
                <w:szCs w:val="20"/>
                <w:color w:val="auto"/>
              </w:rPr>
            </w:pPr>
            <w:r>
              <w:rPr>
                <w:rFonts w:ascii="Arial" w:cs="Arial" w:eastAsia="Arial" w:hAnsi="Arial"/>
                <w:sz w:val="16"/>
                <w:szCs w:val="16"/>
                <w:color w:val="auto"/>
              </w:rPr>
              <w:t>N.M. - not meaningful</w:t>
            </w: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405"/>
        </w:trPr>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15</w:t>
            </w:r>
          </w:p>
        </w:tc>
      </w:tr>
    </w:tbl>
    <w:p>
      <w:pPr>
        <w:sectPr>
          <w:pgSz w:w="11900" w:h="16838" w:orient="portrait"/>
          <w:cols w:equalWidth="0" w:num="1">
            <w:col w:w="11240"/>
          </w:cols>
          <w:pgMar w:left="320" w:top="1167" w:right="339" w:bottom="1440" w:gutter="0" w:footer="0" w:header="0"/>
        </w:sectPr>
      </w:pPr>
    </w:p>
    <w:bookmarkStart w:id="18" w:name="page19"/>
    <w:bookmarkEnd w:id="18"/>
    <w:p>
      <w:pPr>
        <w:spacing w:after="0" w:line="246" w:lineRule="auto"/>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6680200</wp:posOffset>
            </wp:positionH>
            <wp:positionV relativeFrom="page">
              <wp:posOffset>88900</wp:posOffset>
            </wp:positionV>
            <wp:extent cx="659765" cy="53149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clrChange>
                        <a:clrFrom>
                          <a:srgbClr val="FFFFFF"/>
                        </a:clrFrom>
                        <a:clrTo>
                          <a:srgbClr val="FFFFFF">
                            <a:alpha val="0"/>
                          </a:srgbClr>
                        </a:clrTo>
                      </a:clrChange>
                      <a:extLst>
                        <a:ext uri="{28A0092B-C50C-407E-A947-70E740481C1C}"/>
                      </a:extLst>
                    </a:blip>
                    <a:srcRect/>
                    <a:stretch>
                      <a:fillRect/>
                    </a:stretch>
                  </pic:blipFill>
                  <pic:spPr bwMode="auto">
                    <a:xfrm>
                      <a:off x="0" y="0"/>
                      <a:ext cx="659765" cy="531495"/>
                    </a:xfrm>
                    <a:prstGeom prst="rect">
                      <a:avLst/>
                    </a:prstGeom>
                    <a:noFill/>
                  </pic:spPr>
                </pic:pic>
              </a:graphicData>
            </a:graphic>
          </wp:anchor>
        </w:drawing>
        <w:t>The following table provides details of our property and equipment additions and reconciles those additions to the capital expenditures that we present in our combined statements of cash flows:</w:t>
      </w:r>
    </w:p>
    <w:p>
      <w:pPr>
        <w:spacing w:after="0" w:line="162" w:lineRule="exact"/>
        <w:rPr>
          <w:sz w:val="20"/>
          <w:szCs w:val="20"/>
          <w:color w:val="auto"/>
        </w:rPr>
      </w:pPr>
    </w:p>
    <w:p>
      <w:pPr>
        <w:jc w:val="center"/>
        <w:ind w:left="8260"/>
        <w:spacing w:after="0"/>
        <w:rPr>
          <w:sz w:val="20"/>
          <w:szCs w:val="20"/>
          <w:color w:val="auto"/>
        </w:rPr>
      </w:pPr>
      <w:r>
        <w:rPr>
          <w:rFonts w:ascii="Arial" w:cs="Arial" w:eastAsia="Arial" w:hAnsi="Arial"/>
          <w:sz w:val="16"/>
          <w:szCs w:val="16"/>
          <w:b w:val="1"/>
          <w:bCs w:val="1"/>
          <w:color w:val="auto"/>
        </w:rPr>
        <w:t>Three months ended</w:t>
      </w:r>
    </w:p>
    <w:p>
      <w:pPr>
        <w:spacing w:after="0" w:line="59" w:lineRule="exact"/>
        <w:rPr>
          <w:sz w:val="20"/>
          <w:szCs w:val="20"/>
          <w:color w:val="auto"/>
        </w:rPr>
      </w:pPr>
    </w:p>
    <w:p>
      <w:pPr>
        <w:jc w:val="center"/>
        <w:ind w:left="8260"/>
        <w:spacing w:after="0"/>
        <w:rPr>
          <w:sz w:val="20"/>
          <w:szCs w:val="20"/>
          <w:color w:val="auto"/>
        </w:rPr>
      </w:pPr>
      <w:r>
        <w:rPr>
          <w:rFonts w:ascii="Arial" w:cs="Arial" w:eastAsia="Arial" w:hAnsi="Arial"/>
          <w:sz w:val="16"/>
          <w:szCs w:val="16"/>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5242560</wp:posOffset>
            </wp:positionH>
            <wp:positionV relativeFrom="paragraph">
              <wp:posOffset>48895</wp:posOffset>
            </wp:positionV>
            <wp:extent cx="189420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894205" cy="8255"/>
                    </a:xfrm>
                    <a:prstGeom prst="rect">
                      <a:avLst/>
                    </a:prstGeom>
                    <a:noFill/>
                  </pic:spPr>
                </pic:pic>
              </a:graphicData>
            </a:graphic>
          </wp:anchor>
        </w:drawing>
      </w:r>
    </w:p>
    <w:p>
      <w:pPr>
        <w:spacing w:after="0" w:line="107" w:lineRule="exact"/>
        <w:rPr>
          <w:sz w:val="20"/>
          <w:szCs w:val="20"/>
          <w:color w:val="auto"/>
        </w:rPr>
      </w:pPr>
    </w:p>
    <w:p>
      <w:pPr>
        <w:ind w:left="8800"/>
        <w:spacing w:after="0"/>
        <w:tabs>
          <w:tab w:leader="none" w:pos="10320" w:val="left"/>
        </w:tabs>
        <w:rPr>
          <w:sz w:val="20"/>
          <w:szCs w:val="20"/>
          <w:color w:val="auto"/>
        </w:rPr>
      </w:pPr>
      <w:r>
        <w:rPr>
          <w:rFonts w:ascii="Arial" w:cs="Arial" w:eastAsia="Arial" w:hAnsi="Arial"/>
          <w:sz w:val="16"/>
          <w:szCs w:val="16"/>
          <w:b w:val="1"/>
          <w:bCs w:val="1"/>
          <w:color w:val="auto"/>
        </w:rPr>
        <w:t>2020</w:t>
      </w:r>
      <w:r>
        <w:rPr>
          <w:sz w:val="20"/>
          <w:szCs w:val="20"/>
          <w:color w:val="auto"/>
        </w:rPr>
        <w:tab/>
      </w:r>
      <w:r>
        <w:rPr>
          <w:rFonts w:ascii="Arial" w:cs="Arial" w:eastAsia="Arial" w:hAnsi="Arial"/>
          <w:sz w:val="16"/>
          <w:szCs w:val="16"/>
          <w:b w:val="1"/>
          <w:bCs w:val="1"/>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5242560</wp:posOffset>
            </wp:positionH>
            <wp:positionV relativeFrom="paragraph">
              <wp:posOffset>31750</wp:posOffset>
            </wp:positionV>
            <wp:extent cx="189420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894205" cy="8255"/>
                    </a:xfrm>
                    <a:prstGeom prst="rect">
                      <a:avLst/>
                    </a:prstGeom>
                    <a:noFill/>
                  </pic:spPr>
                </pic:pic>
              </a:graphicData>
            </a:graphic>
          </wp:anchor>
        </w:drawing>
      </w:r>
    </w:p>
    <w:p>
      <w:pPr>
        <w:spacing w:after="0" w:line="44" w:lineRule="exact"/>
        <w:rPr>
          <w:sz w:val="20"/>
          <w:szCs w:val="20"/>
          <w:color w:val="auto"/>
        </w:rPr>
      </w:pPr>
    </w:p>
    <w:p>
      <w:pPr>
        <w:ind w:left="8660"/>
        <w:spacing w:after="0"/>
        <w:rPr>
          <w:sz w:val="20"/>
          <w:szCs w:val="20"/>
          <w:color w:val="auto"/>
        </w:rPr>
      </w:pPr>
      <w:r>
        <w:rPr>
          <w:rFonts w:ascii="Arial" w:cs="Arial" w:eastAsia="Arial" w:hAnsi="Arial"/>
          <w:sz w:val="14"/>
          <w:szCs w:val="14"/>
          <w:b w:val="1"/>
          <w:bCs w:val="1"/>
          <w:color w:val="auto"/>
        </w:rPr>
        <w:t>in millions, except %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132320" cy="1714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ectPr>
          <w:pgSz w:w="11900" w:h="16838" w:orient="portrait"/>
          <w:cols w:equalWidth="0" w:num="1">
            <w:col w:w="11240"/>
          </w:cols>
          <w:pgMar w:left="320" w:top="1189" w:right="339" w:bottom="1440" w:gutter="0" w:footer="0" w:header="0"/>
        </w:sectPr>
      </w:pPr>
    </w:p>
    <w:p>
      <w:pPr>
        <w:spacing w:after="0" w:line="135" w:lineRule="exact"/>
        <w:rPr>
          <w:sz w:val="20"/>
          <w:szCs w:val="20"/>
          <w:color w:val="auto"/>
        </w:rPr>
      </w:pPr>
    </w:p>
    <w:p>
      <w:pPr>
        <w:ind w:left="40"/>
        <w:spacing w:after="0"/>
        <w:rPr>
          <w:sz w:val="20"/>
          <w:szCs w:val="20"/>
          <w:color w:val="auto"/>
        </w:rPr>
      </w:pPr>
      <w:r>
        <w:rPr>
          <w:rFonts w:ascii="Arial" w:cs="Arial" w:eastAsia="Arial" w:hAnsi="Arial"/>
          <w:sz w:val="18"/>
          <w:szCs w:val="18"/>
          <w:color w:val="auto"/>
        </w:rPr>
        <w:t>Customer premises equipment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New build and upgrade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Capacity</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Product and enablers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Baseline</w:t>
      </w:r>
    </w:p>
    <w:p>
      <w:pPr>
        <w:spacing w:after="0" w:line="6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Property and equipment additions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40" w:right="2020"/>
        <w:spacing w:after="0" w:line="313" w:lineRule="auto"/>
        <w:rPr>
          <w:sz w:val="20"/>
          <w:szCs w:val="20"/>
          <w:color w:val="auto"/>
        </w:rPr>
      </w:pPr>
      <w:r>
        <w:rPr>
          <w:rFonts w:ascii="Arial" w:cs="Arial" w:eastAsia="Arial" w:hAnsi="Arial"/>
          <w:sz w:val="18"/>
          <w:szCs w:val="18"/>
          <w:color w:val="auto"/>
        </w:rPr>
        <w:t>Assets acquired under capital-related vendor financing arrangements Assets acquired under finance leases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132320" cy="1714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ind w:left="40"/>
        <w:spacing w:after="0"/>
        <w:rPr>
          <w:sz w:val="20"/>
          <w:szCs w:val="20"/>
          <w:color w:val="auto"/>
        </w:rPr>
      </w:pPr>
      <w:r>
        <w:rPr>
          <w:rFonts w:ascii="Arial" w:cs="Arial" w:eastAsia="Arial" w:hAnsi="Arial"/>
          <w:sz w:val="17"/>
          <w:szCs w:val="17"/>
          <w:color w:val="auto"/>
        </w:rPr>
        <w:t>Changes in current liabilities related to capital expenditures (including related-party amounts)</w:t>
      </w:r>
    </w:p>
    <w:p>
      <w:pPr>
        <w:spacing w:after="0" w:line="86"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Total capital expenditures</w:t>
      </w:r>
      <w:r>
        <w:rPr>
          <w:rFonts w:ascii="Arial" w:cs="Arial" w:eastAsia="Arial" w:hAnsi="Arial"/>
          <w:sz w:val="21"/>
          <w:szCs w:val="21"/>
          <w:color w:val="auto"/>
          <w:vertAlign w:val="superscript"/>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7132320" cy="22288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222885"/>
                    </a:xfrm>
                    <a:prstGeom prst="rect">
                      <a:avLst/>
                    </a:prstGeom>
                    <a:noFill/>
                  </pic:spPr>
                </pic:pic>
              </a:graphicData>
            </a:graphic>
          </wp:anchor>
        </w:drawing>
      </w:r>
    </w:p>
    <w:p>
      <w:pPr>
        <w:spacing w:after="0" w:line="362"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auto"/>
        </w:rPr>
        <w:t>Regional Property and Equipment Additions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ind w:left="860" w:hanging="857"/>
        <w:spacing w:after="0"/>
        <w:tabs>
          <w:tab w:leader="none" w:pos="8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25.3</w:t>
      </w:r>
    </w:p>
    <w:p>
      <w:pPr>
        <w:spacing w:after="0" w:line="63" w:lineRule="exact"/>
        <w:rPr>
          <w:rFonts w:ascii="Arial" w:cs="Arial" w:eastAsia="Arial" w:hAnsi="Arial"/>
          <w:sz w:val="18"/>
          <w:szCs w:val="18"/>
          <w:color w:val="auto"/>
        </w:rPr>
      </w:pPr>
    </w:p>
    <w:p>
      <w:pPr>
        <w:ind w:left="860"/>
        <w:spacing w:after="0"/>
        <w:rPr>
          <w:rFonts w:ascii="Arial" w:cs="Arial" w:eastAsia="Arial" w:hAnsi="Arial"/>
          <w:sz w:val="18"/>
          <w:szCs w:val="18"/>
          <w:color w:val="auto"/>
        </w:rPr>
      </w:pPr>
      <w:r>
        <w:rPr>
          <w:rFonts w:ascii="Arial" w:cs="Arial" w:eastAsia="Arial" w:hAnsi="Arial"/>
          <w:sz w:val="18"/>
          <w:szCs w:val="18"/>
          <w:color w:val="auto"/>
        </w:rPr>
        <w:t>25.5</w:t>
      </w:r>
    </w:p>
    <w:p>
      <w:pPr>
        <w:spacing w:after="0" w:line="63" w:lineRule="exact"/>
        <w:rPr>
          <w:rFonts w:ascii="Arial" w:cs="Arial" w:eastAsia="Arial" w:hAnsi="Arial"/>
          <w:sz w:val="18"/>
          <w:szCs w:val="18"/>
          <w:color w:val="auto"/>
        </w:rPr>
      </w:pPr>
    </w:p>
    <w:p>
      <w:pPr>
        <w:ind w:left="960"/>
        <w:spacing w:after="0"/>
        <w:rPr>
          <w:rFonts w:ascii="Arial" w:cs="Arial" w:eastAsia="Arial" w:hAnsi="Arial"/>
          <w:sz w:val="18"/>
          <w:szCs w:val="18"/>
          <w:color w:val="auto"/>
        </w:rPr>
      </w:pPr>
      <w:r>
        <w:rPr>
          <w:rFonts w:ascii="Arial" w:cs="Arial" w:eastAsia="Arial" w:hAnsi="Arial"/>
          <w:sz w:val="18"/>
          <w:szCs w:val="18"/>
          <w:color w:val="auto"/>
        </w:rPr>
        <w:t>4.3</w:t>
      </w:r>
    </w:p>
    <w:p>
      <w:pPr>
        <w:spacing w:after="0" w:line="63" w:lineRule="exact"/>
        <w:rPr>
          <w:rFonts w:ascii="Arial" w:cs="Arial" w:eastAsia="Arial" w:hAnsi="Arial"/>
          <w:sz w:val="18"/>
          <w:szCs w:val="18"/>
          <w:color w:val="auto"/>
        </w:rPr>
      </w:pPr>
    </w:p>
    <w:p>
      <w:pPr>
        <w:ind w:left="960"/>
        <w:spacing w:after="0"/>
        <w:rPr>
          <w:rFonts w:ascii="Arial" w:cs="Arial" w:eastAsia="Arial" w:hAnsi="Arial"/>
          <w:sz w:val="18"/>
          <w:szCs w:val="18"/>
          <w:color w:val="auto"/>
        </w:rPr>
      </w:pPr>
      <w:r>
        <w:rPr>
          <w:rFonts w:ascii="Arial" w:cs="Arial" w:eastAsia="Arial" w:hAnsi="Arial"/>
          <w:sz w:val="18"/>
          <w:szCs w:val="18"/>
          <w:color w:val="auto"/>
        </w:rPr>
        <w:t>7.6</w:t>
      </w:r>
    </w:p>
    <w:p>
      <w:pPr>
        <w:spacing w:after="0" w:line="63" w:lineRule="exact"/>
        <w:rPr>
          <w:rFonts w:ascii="Arial" w:cs="Arial" w:eastAsia="Arial" w:hAnsi="Arial"/>
          <w:sz w:val="18"/>
          <w:szCs w:val="18"/>
          <w:color w:val="auto"/>
        </w:rPr>
      </w:pPr>
    </w:p>
    <w:p>
      <w:pPr>
        <w:ind w:left="860"/>
        <w:spacing w:after="0"/>
        <w:rPr>
          <w:rFonts w:ascii="Arial" w:cs="Arial" w:eastAsia="Arial" w:hAnsi="Arial"/>
          <w:sz w:val="18"/>
          <w:szCs w:val="18"/>
          <w:color w:val="auto"/>
        </w:rPr>
      </w:pPr>
      <w:r>
        <w:rPr>
          <w:rFonts w:ascii="Arial" w:cs="Arial" w:eastAsia="Arial" w:hAnsi="Arial"/>
          <w:sz w:val="18"/>
          <w:szCs w:val="18"/>
          <w:color w:val="auto"/>
        </w:rPr>
        <w:t>17.2</w:t>
      </w:r>
    </w:p>
    <w:p>
      <w:pPr>
        <w:spacing w:after="0" w:line="76" w:lineRule="exact"/>
        <w:rPr>
          <w:rFonts w:ascii="Arial" w:cs="Arial" w:eastAsia="Arial" w:hAnsi="Arial"/>
          <w:sz w:val="18"/>
          <w:szCs w:val="18"/>
          <w:color w:val="auto"/>
        </w:rPr>
      </w:pPr>
    </w:p>
    <w:p>
      <w:pPr>
        <w:ind w:left="860"/>
        <w:spacing w:after="0"/>
        <w:rPr>
          <w:rFonts w:ascii="Arial" w:cs="Arial" w:eastAsia="Arial" w:hAnsi="Arial"/>
          <w:sz w:val="18"/>
          <w:szCs w:val="18"/>
          <w:color w:val="auto"/>
        </w:rPr>
      </w:pPr>
      <w:r>
        <w:rPr>
          <w:rFonts w:ascii="Arial" w:cs="Arial" w:eastAsia="Arial" w:hAnsi="Arial"/>
          <w:sz w:val="18"/>
          <w:szCs w:val="18"/>
          <w:color w:val="auto"/>
        </w:rPr>
        <w:t>79.9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-156210</wp:posOffset>
            </wp:positionV>
            <wp:extent cx="90868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908685" cy="8255"/>
                    </a:xfrm>
                    <a:prstGeom prst="rect">
                      <a:avLst/>
                    </a:prstGeom>
                    <a:noFill/>
                  </pic:spPr>
                </pic:pic>
              </a:graphicData>
            </a:graphic>
          </wp:anchor>
        </w:drawing>
      </w:r>
    </w:p>
    <w:p>
      <w:pPr>
        <w:spacing w:after="0" w:line="4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(88.7)</w:t>
      </w:r>
    </w:p>
    <w:p>
      <w:pPr>
        <w:spacing w:after="0" w:line="5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(0.3)</w:t>
      </w:r>
    </w:p>
    <w:p>
      <w:pPr>
        <w:spacing w:after="0" w:line="77" w:lineRule="exact"/>
        <w:rPr>
          <w:sz w:val="20"/>
          <w:szCs w:val="20"/>
          <w:color w:val="auto"/>
        </w:rPr>
      </w:pPr>
    </w:p>
    <w:p>
      <w:pPr>
        <w:ind w:left="860"/>
        <w:spacing w:after="0"/>
        <w:rPr>
          <w:sz w:val="20"/>
          <w:szCs w:val="20"/>
          <w:color w:val="auto"/>
        </w:rPr>
      </w:pPr>
      <w:r>
        <w:rPr>
          <w:rFonts w:ascii="Arial" w:cs="Arial" w:eastAsia="Arial" w:hAnsi="Arial"/>
          <w:sz w:val="18"/>
          <w:szCs w:val="18"/>
          <w:color w:val="auto"/>
        </w:rPr>
        <w:t>66.9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14605</wp:posOffset>
            </wp:positionV>
            <wp:extent cx="90868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908685" cy="8255"/>
                    </a:xfrm>
                    <a:prstGeom prst="rect">
                      <a:avLst/>
                    </a:prstGeom>
                    <a:noFill/>
                  </pic:spPr>
                </pic:pic>
              </a:graphicData>
            </a:graphic>
          </wp:anchor>
        </w:drawing>
      </w:r>
    </w:p>
    <w:p>
      <w:pPr>
        <w:spacing w:after="0" w:line="43" w:lineRule="exact"/>
        <w:rPr>
          <w:sz w:val="20"/>
          <w:szCs w:val="20"/>
          <w:color w:val="auto"/>
        </w:rPr>
      </w:pPr>
    </w:p>
    <w:p>
      <w:pPr>
        <w:ind w:left="860" w:hanging="857"/>
        <w:spacing w:after="0"/>
        <w:tabs>
          <w:tab w:leader="none" w:pos="8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57.8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14605</wp:posOffset>
            </wp:positionV>
            <wp:extent cx="90868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90868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ind w:left="880" w:hanging="878"/>
        <w:spacing w:after="0"/>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19.6</w:t>
      </w:r>
    </w:p>
    <w:p>
      <w:pPr>
        <w:spacing w:after="0" w:line="63" w:lineRule="exact"/>
        <w:rPr>
          <w:rFonts w:ascii="Arial" w:cs="Arial" w:eastAsia="Arial" w:hAnsi="Arial"/>
          <w:sz w:val="18"/>
          <w:szCs w:val="18"/>
          <w:color w:val="auto"/>
        </w:rPr>
      </w:pPr>
    </w:p>
    <w:p>
      <w:pPr>
        <w:ind w:left="880"/>
        <w:spacing w:after="0"/>
        <w:rPr>
          <w:rFonts w:ascii="Arial" w:cs="Arial" w:eastAsia="Arial" w:hAnsi="Arial"/>
          <w:sz w:val="18"/>
          <w:szCs w:val="18"/>
          <w:color w:val="auto"/>
        </w:rPr>
      </w:pPr>
      <w:r>
        <w:rPr>
          <w:rFonts w:ascii="Arial" w:cs="Arial" w:eastAsia="Arial" w:hAnsi="Arial"/>
          <w:sz w:val="18"/>
          <w:szCs w:val="18"/>
          <w:color w:val="auto"/>
        </w:rPr>
        <w:t>19.4</w:t>
      </w:r>
    </w:p>
    <w:p>
      <w:pPr>
        <w:spacing w:after="0" w:line="63" w:lineRule="exact"/>
        <w:rPr>
          <w:rFonts w:ascii="Arial" w:cs="Arial" w:eastAsia="Arial" w:hAnsi="Arial"/>
          <w:sz w:val="18"/>
          <w:szCs w:val="18"/>
          <w:color w:val="auto"/>
        </w:rPr>
      </w:pPr>
    </w:p>
    <w:p>
      <w:pPr>
        <w:ind w:left="980"/>
        <w:spacing w:after="0"/>
        <w:rPr>
          <w:rFonts w:ascii="Arial" w:cs="Arial" w:eastAsia="Arial" w:hAnsi="Arial"/>
          <w:sz w:val="18"/>
          <w:szCs w:val="18"/>
          <w:color w:val="auto"/>
        </w:rPr>
      </w:pPr>
      <w:r>
        <w:rPr>
          <w:rFonts w:ascii="Arial" w:cs="Arial" w:eastAsia="Arial" w:hAnsi="Arial"/>
          <w:sz w:val="18"/>
          <w:szCs w:val="18"/>
          <w:color w:val="auto"/>
        </w:rPr>
        <w:t>7.9</w:t>
      </w:r>
    </w:p>
    <w:p>
      <w:pPr>
        <w:spacing w:after="0" w:line="63" w:lineRule="exact"/>
        <w:rPr>
          <w:rFonts w:ascii="Arial" w:cs="Arial" w:eastAsia="Arial" w:hAnsi="Arial"/>
          <w:sz w:val="18"/>
          <w:szCs w:val="18"/>
          <w:color w:val="auto"/>
        </w:rPr>
      </w:pPr>
    </w:p>
    <w:p>
      <w:pPr>
        <w:ind w:left="980"/>
        <w:spacing w:after="0"/>
        <w:rPr>
          <w:rFonts w:ascii="Arial" w:cs="Arial" w:eastAsia="Arial" w:hAnsi="Arial"/>
          <w:sz w:val="18"/>
          <w:szCs w:val="18"/>
          <w:color w:val="auto"/>
        </w:rPr>
      </w:pPr>
      <w:r>
        <w:rPr>
          <w:rFonts w:ascii="Arial" w:cs="Arial" w:eastAsia="Arial" w:hAnsi="Arial"/>
          <w:sz w:val="18"/>
          <w:szCs w:val="18"/>
          <w:color w:val="auto"/>
        </w:rPr>
        <w:t>7.3</w:t>
      </w:r>
    </w:p>
    <w:p>
      <w:pPr>
        <w:spacing w:after="0" w:line="63" w:lineRule="exact"/>
        <w:rPr>
          <w:rFonts w:ascii="Arial" w:cs="Arial" w:eastAsia="Arial" w:hAnsi="Arial"/>
          <w:sz w:val="18"/>
          <w:szCs w:val="18"/>
          <w:color w:val="auto"/>
        </w:rPr>
      </w:pPr>
    </w:p>
    <w:p>
      <w:pPr>
        <w:ind w:left="880"/>
        <w:spacing w:after="0"/>
        <w:rPr>
          <w:rFonts w:ascii="Arial" w:cs="Arial" w:eastAsia="Arial" w:hAnsi="Arial"/>
          <w:sz w:val="18"/>
          <w:szCs w:val="18"/>
          <w:color w:val="auto"/>
        </w:rPr>
      </w:pPr>
      <w:r>
        <w:rPr>
          <w:rFonts w:ascii="Arial" w:cs="Arial" w:eastAsia="Arial" w:hAnsi="Arial"/>
          <w:sz w:val="18"/>
          <w:szCs w:val="18"/>
          <w:color w:val="auto"/>
        </w:rPr>
        <w:t>16.6</w:t>
      </w:r>
    </w:p>
    <w:p>
      <w:pPr>
        <w:spacing w:after="0" w:line="76" w:lineRule="exact"/>
        <w:rPr>
          <w:rFonts w:ascii="Arial" w:cs="Arial" w:eastAsia="Arial" w:hAnsi="Arial"/>
          <w:sz w:val="18"/>
          <w:szCs w:val="18"/>
          <w:color w:val="auto"/>
        </w:rPr>
      </w:pPr>
    </w:p>
    <w:p>
      <w:pPr>
        <w:ind w:left="880"/>
        <w:spacing w:after="0"/>
        <w:rPr>
          <w:rFonts w:ascii="Arial" w:cs="Arial" w:eastAsia="Arial" w:hAnsi="Arial"/>
          <w:sz w:val="18"/>
          <w:szCs w:val="18"/>
          <w:color w:val="auto"/>
        </w:rPr>
      </w:pPr>
      <w:r>
        <w:rPr>
          <w:rFonts w:ascii="Arial" w:cs="Arial" w:eastAsia="Arial" w:hAnsi="Arial"/>
          <w:sz w:val="18"/>
          <w:szCs w:val="18"/>
          <w:color w:val="auto"/>
        </w:rPr>
        <w:t>70.8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-156210</wp:posOffset>
            </wp:positionV>
            <wp:extent cx="91757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917575" cy="8255"/>
                    </a:xfrm>
                    <a:prstGeom prst="rect">
                      <a:avLst/>
                    </a:prstGeom>
                    <a:noFill/>
                  </pic:spPr>
                </pic:pic>
              </a:graphicData>
            </a:graphic>
          </wp:anchor>
        </w:drawing>
      </w:r>
    </w:p>
    <w:p>
      <w:pPr>
        <w:spacing w:after="0" w:line="43" w:lineRule="exact"/>
        <w:rPr>
          <w:sz w:val="20"/>
          <w:szCs w:val="20"/>
          <w:color w:val="auto"/>
        </w:rPr>
      </w:pPr>
    </w:p>
    <w:p>
      <w:pPr>
        <w:jc w:val="right"/>
        <w:ind w:right="120"/>
        <w:spacing w:after="0"/>
        <w:rPr>
          <w:sz w:val="20"/>
          <w:szCs w:val="20"/>
          <w:color w:val="auto"/>
        </w:rPr>
      </w:pPr>
      <w:r>
        <w:rPr>
          <w:rFonts w:ascii="Arial" w:cs="Arial" w:eastAsia="Arial" w:hAnsi="Arial"/>
          <w:sz w:val="18"/>
          <w:szCs w:val="18"/>
          <w:color w:val="auto"/>
        </w:rPr>
        <w:t>(106.1)</w:t>
      </w:r>
    </w:p>
    <w:p>
      <w:pPr>
        <w:spacing w:after="0" w:line="50" w:lineRule="exact"/>
        <w:rPr>
          <w:sz w:val="20"/>
          <w:szCs w:val="20"/>
          <w:color w:val="auto"/>
        </w:rPr>
      </w:pPr>
    </w:p>
    <w:p>
      <w:pPr>
        <w:jc w:val="right"/>
        <w:ind w:right="120"/>
        <w:spacing w:after="0"/>
        <w:rPr>
          <w:sz w:val="20"/>
          <w:szCs w:val="20"/>
          <w:color w:val="auto"/>
        </w:rPr>
      </w:pPr>
      <w:r>
        <w:rPr>
          <w:rFonts w:ascii="Arial" w:cs="Arial" w:eastAsia="Arial" w:hAnsi="Arial"/>
          <w:sz w:val="18"/>
          <w:szCs w:val="18"/>
          <w:color w:val="auto"/>
        </w:rPr>
        <w:t>(0.2)</w:t>
      </w:r>
    </w:p>
    <w:p>
      <w:pPr>
        <w:spacing w:after="0" w:line="77" w:lineRule="exact"/>
        <w:rPr>
          <w:sz w:val="20"/>
          <w:szCs w:val="20"/>
          <w:color w:val="auto"/>
        </w:rPr>
      </w:pPr>
    </w:p>
    <w:p>
      <w:pPr>
        <w:ind w:left="780"/>
        <w:spacing w:after="0"/>
        <w:rPr>
          <w:sz w:val="20"/>
          <w:szCs w:val="20"/>
          <w:color w:val="auto"/>
        </w:rPr>
      </w:pPr>
      <w:r>
        <w:rPr>
          <w:rFonts w:ascii="Arial" w:cs="Arial" w:eastAsia="Arial" w:hAnsi="Arial"/>
          <w:sz w:val="18"/>
          <w:szCs w:val="18"/>
          <w:color w:val="auto"/>
        </w:rPr>
        <w:t>130.4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14605</wp:posOffset>
            </wp:positionV>
            <wp:extent cx="91757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917575" cy="8255"/>
                    </a:xfrm>
                    <a:prstGeom prst="rect">
                      <a:avLst/>
                    </a:prstGeom>
                    <a:noFill/>
                  </pic:spPr>
                </pic:pic>
              </a:graphicData>
            </a:graphic>
          </wp:anchor>
        </w:drawing>
      </w:r>
    </w:p>
    <w:p>
      <w:pPr>
        <w:spacing w:after="0" w:line="43" w:lineRule="exact"/>
        <w:rPr>
          <w:sz w:val="20"/>
          <w:szCs w:val="20"/>
          <w:color w:val="auto"/>
        </w:rPr>
      </w:pPr>
    </w:p>
    <w:p>
      <w:pPr>
        <w:ind w:left="880" w:hanging="878"/>
        <w:spacing w:after="0"/>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94.9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14605</wp:posOffset>
            </wp:positionV>
            <wp:extent cx="91757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917575" cy="8255"/>
                    </a:xfrm>
                    <a:prstGeom prst="rect">
                      <a:avLst/>
                    </a:prstGeom>
                    <a:noFill/>
                  </pic:spPr>
                </pic:pic>
              </a:graphicData>
            </a:graphic>
          </wp:anchor>
        </w:drawing>
      </w:r>
    </w:p>
    <w:p>
      <w:pPr>
        <w:spacing w:after="0" w:line="684" w:lineRule="exact"/>
        <w:rPr>
          <w:sz w:val="20"/>
          <w:szCs w:val="20"/>
          <w:color w:val="auto"/>
        </w:rPr>
      </w:pPr>
    </w:p>
    <w:p>
      <w:pPr>
        <w:sectPr>
          <w:pgSz w:w="11900" w:h="16838" w:orient="portrait"/>
          <w:cols w:equalWidth="0" w:num="3">
            <w:col w:w="7560" w:space="720"/>
            <w:col w:w="1280" w:space="260"/>
            <w:col w:w="1420"/>
          </w:cols>
          <w:pgMar w:left="320" w:top="1189" w:right="339" w:bottom="1440" w:gutter="0" w:footer="0" w:header="0"/>
          <w:type w:val="continuous"/>
        </w:sectPr>
      </w:pPr>
    </w:p>
    <w:p>
      <w:pPr>
        <w:spacing w:after="0" w:line="1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Switzerland</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Central and Eastern Europe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970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57" w:lineRule="exact"/>
        <w:rPr>
          <w:sz w:val="20"/>
          <w:szCs w:val="20"/>
          <w:color w:val="auto"/>
        </w:rPr>
      </w:pPr>
    </w:p>
    <w:p>
      <w:pPr>
        <w:ind w:left="280"/>
        <w:spacing w:after="0"/>
        <w:rPr>
          <w:sz w:val="20"/>
          <w:szCs w:val="20"/>
          <w:color w:val="auto"/>
        </w:rPr>
      </w:pPr>
      <w:r>
        <w:rPr>
          <w:rFonts w:ascii="Arial" w:cs="Arial" w:eastAsia="Arial" w:hAnsi="Arial"/>
          <w:sz w:val="17"/>
          <w:szCs w:val="17"/>
          <w:color w:val="auto"/>
        </w:rPr>
        <w:t>Total property and equipment additions</w:t>
      </w:r>
    </w:p>
    <w:p>
      <w:pPr>
        <w:spacing w:after="0" w:line="20" w:lineRule="exact"/>
        <w:rPr>
          <w:sz w:val="20"/>
          <w:szCs w:val="20"/>
          <w:color w:val="auto"/>
        </w:rPr>
      </w:pPr>
      <w:r>
        <w:rPr>
          <w:sz w:val="20"/>
          <w:szCs w:val="20"/>
          <w:color w:val="auto"/>
        </w:rPr>
        <w:br w:type="column"/>
      </w:r>
    </w:p>
    <w:p>
      <w:pPr>
        <w:ind w:left="857" w:hanging="857"/>
        <w:spacing w:after="0"/>
        <w:tabs>
          <w:tab w:leader="none" w:pos="857" w:val="left"/>
        </w:tabs>
        <w:numPr>
          <w:ilvl w:val="0"/>
          <w:numId w:val="16"/>
        </w:numPr>
        <w:rPr>
          <w:rFonts w:ascii="Arial" w:cs="Arial" w:eastAsia="Arial" w:hAnsi="Arial"/>
          <w:sz w:val="18"/>
          <w:szCs w:val="18"/>
          <w:color w:val="auto"/>
        </w:rPr>
      </w:pPr>
      <w:r>
        <w:rPr>
          <w:rFonts w:ascii="Arial" w:cs="Arial" w:eastAsia="Arial" w:hAnsi="Arial"/>
          <w:sz w:val="18"/>
          <w:szCs w:val="18"/>
          <w:color w:val="auto"/>
        </w:rPr>
        <w:t>62.8</w:t>
      </w:r>
    </w:p>
    <w:p>
      <w:pPr>
        <w:spacing w:after="0" w:line="63" w:lineRule="exact"/>
        <w:rPr>
          <w:rFonts w:ascii="Arial" w:cs="Arial" w:eastAsia="Arial" w:hAnsi="Arial"/>
          <w:sz w:val="18"/>
          <w:szCs w:val="18"/>
          <w:color w:val="auto"/>
        </w:rPr>
      </w:pPr>
    </w:p>
    <w:p>
      <w:pPr>
        <w:ind w:left="857"/>
        <w:spacing w:after="0"/>
        <w:rPr>
          <w:rFonts w:ascii="Arial" w:cs="Arial" w:eastAsia="Arial" w:hAnsi="Arial"/>
          <w:sz w:val="18"/>
          <w:szCs w:val="18"/>
          <w:color w:val="auto"/>
        </w:rPr>
      </w:pPr>
      <w:r>
        <w:rPr>
          <w:rFonts w:ascii="Arial" w:cs="Arial" w:eastAsia="Arial" w:hAnsi="Arial"/>
          <w:sz w:val="18"/>
          <w:szCs w:val="18"/>
          <w:color w:val="auto"/>
        </w:rPr>
        <w:t>17.1</w:t>
      </w:r>
    </w:p>
    <w:p>
      <w:pPr>
        <w:spacing w:after="0" w:line="76" w:lineRule="exact"/>
        <w:rPr>
          <w:rFonts w:ascii="Arial" w:cs="Arial" w:eastAsia="Arial" w:hAnsi="Arial"/>
          <w:sz w:val="18"/>
          <w:szCs w:val="18"/>
          <w:color w:val="auto"/>
        </w:rPr>
      </w:pPr>
    </w:p>
    <w:p>
      <w:pPr>
        <w:ind w:left="857" w:hanging="857"/>
        <w:spacing w:after="0"/>
        <w:tabs>
          <w:tab w:leader="none" w:pos="857" w:val="left"/>
        </w:tabs>
        <w:numPr>
          <w:ilvl w:val="0"/>
          <w:numId w:val="16"/>
        </w:numPr>
        <w:rPr>
          <w:rFonts w:ascii="Arial" w:cs="Arial" w:eastAsia="Arial" w:hAnsi="Arial"/>
          <w:sz w:val="18"/>
          <w:szCs w:val="18"/>
          <w:color w:val="auto"/>
        </w:rPr>
      </w:pPr>
      <w:r>
        <w:rPr>
          <w:rFonts w:ascii="Arial" w:cs="Arial" w:eastAsia="Arial" w:hAnsi="Arial"/>
          <w:sz w:val="18"/>
          <w:szCs w:val="18"/>
          <w:color w:val="auto"/>
        </w:rPr>
        <w:t>79.9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31750</wp:posOffset>
            </wp:positionV>
            <wp:extent cx="90868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90868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878" w:hanging="878"/>
        <w:spacing w:after="0"/>
        <w:tabs>
          <w:tab w:leader="none" w:pos="878" w:val="left"/>
        </w:tabs>
        <w:numPr>
          <w:ilvl w:val="0"/>
          <w:numId w:val="17"/>
        </w:numPr>
        <w:rPr>
          <w:rFonts w:ascii="Arial" w:cs="Arial" w:eastAsia="Arial" w:hAnsi="Arial"/>
          <w:sz w:val="18"/>
          <w:szCs w:val="18"/>
          <w:color w:val="auto"/>
        </w:rPr>
      </w:pPr>
      <w:r>
        <w:rPr>
          <w:rFonts w:ascii="Arial" w:cs="Arial" w:eastAsia="Arial" w:hAnsi="Arial"/>
          <w:sz w:val="18"/>
          <w:szCs w:val="18"/>
          <w:color w:val="auto"/>
        </w:rPr>
        <w:t>51.6</w:t>
      </w:r>
    </w:p>
    <w:p>
      <w:pPr>
        <w:spacing w:after="0" w:line="63" w:lineRule="exact"/>
        <w:rPr>
          <w:rFonts w:ascii="Arial" w:cs="Arial" w:eastAsia="Arial" w:hAnsi="Arial"/>
          <w:sz w:val="18"/>
          <w:szCs w:val="18"/>
          <w:color w:val="auto"/>
        </w:rPr>
      </w:pPr>
    </w:p>
    <w:p>
      <w:pPr>
        <w:ind w:left="878"/>
        <w:spacing w:after="0"/>
        <w:rPr>
          <w:rFonts w:ascii="Arial" w:cs="Arial" w:eastAsia="Arial" w:hAnsi="Arial"/>
          <w:sz w:val="18"/>
          <w:szCs w:val="18"/>
          <w:color w:val="auto"/>
        </w:rPr>
      </w:pPr>
      <w:r>
        <w:rPr>
          <w:rFonts w:ascii="Arial" w:cs="Arial" w:eastAsia="Arial" w:hAnsi="Arial"/>
          <w:sz w:val="18"/>
          <w:szCs w:val="18"/>
          <w:color w:val="auto"/>
        </w:rPr>
        <w:t>19.2</w:t>
      </w:r>
    </w:p>
    <w:p>
      <w:pPr>
        <w:spacing w:after="0" w:line="76" w:lineRule="exact"/>
        <w:rPr>
          <w:rFonts w:ascii="Arial" w:cs="Arial" w:eastAsia="Arial" w:hAnsi="Arial"/>
          <w:sz w:val="18"/>
          <w:szCs w:val="18"/>
          <w:color w:val="auto"/>
        </w:rPr>
      </w:pPr>
    </w:p>
    <w:p>
      <w:pPr>
        <w:ind w:left="878" w:hanging="878"/>
        <w:spacing w:after="0"/>
        <w:tabs>
          <w:tab w:leader="none" w:pos="878" w:val="left"/>
        </w:tabs>
        <w:numPr>
          <w:ilvl w:val="0"/>
          <w:numId w:val="17"/>
        </w:numPr>
        <w:rPr>
          <w:rFonts w:ascii="Arial" w:cs="Arial" w:eastAsia="Arial" w:hAnsi="Arial"/>
          <w:sz w:val="18"/>
          <w:szCs w:val="18"/>
          <w:color w:val="auto"/>
        </w:rPr>
      </w:pPr>
      <w:r>
        <w:rPr>
          <w:rFonts w:ascii="Arial" w:cs="Arial" w:eastAsia="Arial" w:hAnsi="Arial"/>
          <w:sz w:val="18"/>
          <w:szCs w:val="18"/>
          <w:color w:val="auto"/>
        </w:rPr>
        <w:t>70.8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31750</wp:posOffset>
            </wp:positionV>
            <wp:extent cx="91757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917575" cy="8255"/>
                    </a:xfrm>
                    <a:prstGeom prst="rect">
                      <a:avLst/>
                    </a:prstGeom>
                    <a:noFill/>
                  </pic:spPr>
                </pic:pic>
              </a:graphicData>
            </a:graphic>
          </wp:anchor>
        </w:drawing>
      </w:r>
    </w:p>
    <w:p>
      <w:pPr>
        <w:spacing w:after="0" w:line="201" w:lineRule="exact"/>
        <w:rPr>
          <w:sz w:val="20"/>
          <w:szCs w:val="20"/>
          <w:color w:val="auto"/>
        </w:rPr>
      </w:pPr>
    </w:p>
    <w:p>
      <w:pPr>
        <w:sectPr>
          <w:pgSz w:w="11900" w:h="16838" w:orient="portrait"/>
          <w:cols w:equalWidth="0" w:num="3">
            <w:col w:w="7563" w:space="720"/>
            <w:col w:w="1217" w:space="322"/>
            <w:col w:w="1418"/>
          </w:cols>
          <w:pgMar w:left="320" w:top="1189" w:right="339" w:bottom="1440" w:gutter="0" w:footer="0" w:header="0"/>
          <w:type w:val="continuous"/>
        </w:sectPr>
      </w:pP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8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and equipment additions as a percentage of revenue</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12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w:t>
            </w:r>
          </w:p>
        </w:tc>
      </w:tr>
      <w:tr>
        <w:trPr>
          <w:trHeight w:val="20"/>
        </w:trPr>
        <w:tc>
          <w:tcPr>
            <w:tcW w:w="826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7"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240"/>
          </w:cols>
          <w:pgMar w:left="320" w:top="1189" w:right="339" w:bottom="1440" w:gutter="0" w:footer="0" w:header="0"/>
          <w:type w:val="continuous"/>
        </w:sectPr>
      </w:pPr>
    </w:p>
    <w:bookmarkStart w:id="19" w:name="page20"/>
    <w:bookmarkEnd w:id="19"/>
    <w:p>
      <w:pPr>
        <w:spacing w:after="0"/>
        <w:rPr>
          <w:sz w:val="20"/>
          <w:szCs w:val="20"/>
          <w:color w:val="auto"/>
        </w:rPr>
      </w:pPr>
      <w:r>
        <w:rPr>
          <w:rFonts w:ascii="Arial" w:cs="Arial" w:eastAsia="Arial" w:hAnsi="Arial"/>
          <w:sz w:val="25"/>
          <w:szCs w:val="25"/>
          <w:color w:val="004F9F"/>
        </w:rPr>
        <w:drawing>
          <wp:anchor simplePos="0" relativeHeight="251657728" behindDoc="1" locked="0" layoutInCell="0" allowOverlap="1">
            <wp:simplePos x="0" y="0"/>
            <wp:positionH relativeFrom="page">
              <wp:posOffset>6680200</wp:posOffset>
            </wp:positionH>
            <wp:positionV relativeFrom="page">
              <wp:posOffset>88900</wp:posOffset>
            </wp:positionV>
            <wp:extent cx="659765" cy="53149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clrChange>
                        <a:clrFrom>
                          <a:srgbClr val="FFFFFF"/>
                        </a:clrFrom>
                        <a:clrTo>
                          <a:srgbClr val="FFFFFF">
                            <a:alpha val="0"/>
                          </a:srgbClr>
                        </a:clrTo>
                      </a:clrChange>
                      <a:extLst>
                        <a:ext uri="{28A0092B-C50C-407E-A947-70E740481C1C}"/>
                      </a:extLst>
                    </a:blip>
                    <a:srcRect/>
                    <a:stretch>
                      <a:fillRect/>
                    </a:stretch>
                  </pic:blipFill>
                  <pic:spPr bwMode="auto">
                    <a:xfrm>
                      <a:off x="0" y="0"/>
                      <a:ext cx="659765" cy="531495"/>
                    </a:xfrm>
                    <a:prstGeom prst="rect">
                      <a:avLst/>
                    </a:prstGeom>
                    <a:noFill/>
                  </pic:spPr>
                </pic:pic>
              </a:graphicData>
            </a:graphic>
          </wp:anchor>
        </w:drawing>
        <w:t>Third-Party Debt, Finance Lease Obligations and Cash and Cash Equivalents</w:t>
      </w:r>
    </w:p>
    <w:p>
      <w:pPr>
        <w:spacing w:after="0" w:line="234" w:lineRule="exact"/>
        <w:rPr>
          <w:sz w:val="20"/>
          <w:szCs w:val="20"/>
          <w:color w:val="auto"/>
        </w:rPr>
      </w:pPr>
    </w:p>
    <w:p>
      <w:pPr>
        <w:ind w:right="20"/>
        <w:spacing w:after="0" w:line="246" w:lineRule="auto"/>
        <w:rPr>
          <w:sz w:val="20"/>
          <w:szCs w:val="20"/>
          <w:color w:val="auto"/>
        </w:rPr>
      </w:pPr>
      <w:r>
        <w:rPr>
          <w:rFonts w:ascii="Arial" w:cs="Arial" w:eastAsia="Arial" w:hAnsi="Arial"/>
          <w:sz w:val="20"/>
          <w:szCs w:val="20"/>
          <w:color w:val="auto"/>
        </w:rPr>
        <w:t>The following table details the borrowing currency and euro equivalent of the nominal amount of UPC Holding’s combined third-party debt, finance lease obligations and cash and cash equivalents.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800" w:type="dxa"/>
            <w:vAlign w:val="bottom"/>
          </w:tcPr>
          <w:p>
            <w:pPr>
              <w:spacing w:after="0"/>
              <w:rPr>
                <w:sz w:val="17"/>
                <w:szCs w:val="17"/>
                <w:color w:val="auto"/>
              </w:rPr>
            </w:pPr>
          </w:p>
        </w:tc>
        <w:tc>
          <w:tcPr>
            <w:tcW w:w="6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0" w:type="dxa"/>
            <w:vAlign w:val="bottom"/>
            <w:gridSpan w:val="2"/>
          </w:tcPr>
          <w:p>
            <w:pPr>
              <w:jc w:val="right"/>
              <w:spacing w:after="0"/>
              <w:rPr>
                <w:sz w:val="20"/>
                <w:szCs w:val="20"/>
                <w:color w:val="auto"/>
              </w:rPr>
            </w:pPr>
            <w:r>
              <w:rPr>
                <w:rFonts w:ascii="Arial" w:cs="Arial" w:eastAsia="Arial" w:hAnsi="Arial"/>
                <w:sz w:val="15"/>
                <w:szCs w:val="15"/>
                <w:b w:val="1"/>
                <w:bCs w:val="1"/>
                <w:color w:val="auto"/>
              </w:rPr>
              <w:t>March 31,</w:t>
            </w: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jc w:val="right"/>
              <w:ind w:right="151"/>
              <w:spacing w:after="0"/>
              <w:rPr>
                <w:sz w:val="20"/>
                <w:szCs w:val="20"/>
                <w:color w:val="auto"/>
              </w:rPr>
            </w:pPr>
            <w:r>
              <w:rPr>
                <w:rFonts w:ascii="Arial" w:cs="Arial" w:eastAsia="Arial" w:hAnsi="Arial"/>
                <w:sz w:val="15"/>
                <w:szCs w:val="15"/>
                <w:b w:val="1"/>
                <w:bCs w:val="1"/>
                <w:color w:val="auto"/>
              </w:rPr>
              <w:t>December 31,</w:t>
            </w:r>
          </w:p>
        </w:tc>
      </w:tr>
      <w:tr>
        <w:trPr>
          <w:trHeight w:val="274"/>
        </w:trPr>
        <w:tc>
          <w:tcPr>
            <w:tcW w:w="800" w:type="dxa"/>
            <w:vAlign w:val="bottom"/>
          </w:tcPr>
          <w:p>
            <w:pPr>
              <w:spacing w:after="0"/>
              <w:rPr>
                <w:sz w:val="23"/>
                <w:szCs w:val="23"/>
                <w:color w:val="auto"/>
              </w:rPr>
            </w:pPr>
          </w:p>
        </w:tc>
        <w:tc>
          <w:tcPr>
            <w:tcW w:w="602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600" w:type="dxa"/>
            <w:vAlign w:val="bottom"/>
            <w:tcBorders>
              <w:bottom w:val="single" w:sz="8" w:color="auto"/>
            </w:tcBorders>
            <w:gridSpan w:val="2"/>
          </w:tcPr>
          <w:p>
            <w:pPr>
              <w:jc w:val="right"/>
              <w:ind w:right="110"/>
              <w:spacing w:after="0"/>
              <w:rPr>
                <w:sz w:val="20"/>
                <w:szCs w:val="20"/>
                <w:color w:val="auto"/>
              </w:rPr>
            </w:pPr>
            <w:r>
              <w:rPr>
                <w:rFonts w:ascii="Arial" w:cs="Arial" w:eastAsia="Arial" w:hAnsi="Arial"/>
                <w:sz w:val="15"/>
                <w:szCs w:val="15"/>
                <w:b w:val="1"/>
                <w:bCs w:val="1"/>
                <w:color w:val="auto"/>
              </w:rPr>
              <w:t>2020</w:t>
            </w:r>
          </w:p>
        </w:tc>
        <w:tc>
          <w:tcPr>
            <w:tcW w:w="102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ind w:right="471"/>
              <w:spacing w:after="0"/>
              <w:rPr>
                <w:sz w:val="20"/>
                <w:szCs w:val="20"/>
                <w:color w:val="auto"/>
              </w:rPr>
            </w:pPr>
            <w:r>
              <w:rPr>
                <w:rFonts w:ascii="Arial" w:cs="Arial" w:eastAsia="Arial" w:hAnsi="Arial"/>
                <w:sz w:val="15"/>
                <w:szCs w:val="15"/>
                <w:b w:val="1"/>
                <w:bCs w:val="1"/>
                <w:color w:val="auto"/>
              </w:rPr>
              <w:t>2019</w:t>
            </w:r>
          </w:p>
        </w:tc>
      </w:tr>
      <w:tr>
        <w:trPr>
          <w:trHeight w:val="165"/>
        </w:trPr>
        <w:tc>
          <w:tcPr>
            <w:tcW w:w="800" w:type="dxa"/>
            <w:vAlign w:val="bottom"/>
          </w:tcPr>
          <w:p>
            <w:pPr>
              <w:spacing w:after="0"/>
              <w:rPr>
                <w:sz w:val="14"/>
                <w:szCs w:val="14"/>
                <w:color w:val="auto"/>
              </w:rPr>
            </w:pPr>
          </w:p>
        </w:tc>
        <w:tc>
          <w:tcPr>
            <w:tcW w:w="6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0" w:type="dxa"/>
            <w:vAlign w:val="bottom"/>
            <w:gridSpan w:val="2"/>
          </w:tcPr>
          <w:p>
            <w:pPr>
              <w:jc w:val="right"/>
              <w:ind w:right="670"/>
              <w:spacing w:after="0" w:line="165" w:lineRule="exact"/>
              <w:rPr>
                <w:sz w:val="20"/>
                <w:szCs w:val="20"/>
                <w:color w:val="auto"/>
              </w:rPr>
            </w:pPr>
            <w:r>
              <w:rPr>
                <w:rFonts w:ascii="Arial" w:cs="Arial" w:eastAsia="Arial" w:hAnsi="Arial"/>
                <w:sz w:val="15"/>
                <w:szCs w:val="15"/>
                <w:b w:val="1"/>
                <w:bCs w:val="1"/>
                <w:color w:val="auto"/>
              </w:rPr>
              <w:t>Borrowing</w:t>
            </w: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206"/>
        </w:trPr>
        <w:tc>
          <w:tcPr>
            <w:tcW w:w="800" w:type="dxa"/>
            <w:vAlign w:val="bottom"/>
          </w:tcPr>
          <w:p>
            <w:pPr>
              <w:spacing w:after="0"/>
              <w:rPr>
                <w:sz w:val="17"/>
                <w:szCs w:val="17"/>
                <w:color w:val="auto"/>
              </w:rPr>
            </w:pPr>
          </w:p>
        </w:tc>
        <w:tc>
          <w:tcPr>
            <w:tcW w:w="60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gridSpan w:val="2"/>
          </w:tcPr>
          <w:p>
            <w:pPr>
              <w:jc w:val="right"/>
              <w:ind w:right="710"/>
              <w:spacing w:after="0"/>
              <w:rPr>
                <w:sz w:val="20"/>
                <w:szCs w:val="20"/>
                <w:color w:val="auto"/>
              </w:rPr>
            </w:pPr>
            <w:r>
              <w:rPr>
                <w:rFonts w:ascii="Arial" w:cs="Arial" w:eastAsia="Arial" w:hAnsi="Arial"/>
                <w:sz w:val="15"/>
                <w:szCs w:val="15"/>
                <w:b w:val="1"/>
                <w:bCs w:val="1"/>
                <w:color w:val="auto"/>
              </w:rPr>
              <w:t>currency</w:t>
            </w:r>
          </w:p>
        </w:tc>
        <w:tc>
          <w:tcPr>
            <w:tcW w:w="2600" w:type="dxa"/>
            <w:vAlign w:val="bottom"/>
            <w:tcBorders>
              <w:bottom w:val="single" w:sz="8" w:color="auto"/>
            </w:tcBorders>
            <w:gridSpan w:val="4"/>
          </w:tcPr>
          <w:p>
            <w:pPr>
              <w:jc w:val="right"/>
              <w:ind w:right="931"/>
              <w:spacing w:after="0"/>
              <w:rPr>
                <w:sz w:val="20"/>
                <w:szCs w:val="20"/>
                <w:color w:val="auto"/>
              </w:rPr>
            </w:pPr>
            <w:r>
              <w:rPr>
                <w:rFonts w:ascii="Arial" w:cs="Arial" w:eastAsia="Arial" w:hAnsi="Arial"/>
                <w:sz w:val="15"/>
                <w:szCs w:val="15"/>
                <w:b w:val="1"/>
                <w:bCs w:val="1"/>
                <w:color w:val="auto"/>
              </w:rPr>
              <w:t>€ equivalent</w:t>
            </w:r>
          </w:p>
        </w:tc>
      </w:tr>
      <w:tr>
        <w:trPr>
          <w:trHeight w:val="250"/>
        </w:trPr>
        <w:tc>
          <w:tcPr>
            <w:tcW w:w="800" w:type="dxa"/>
            <w:vAlign w:val="bottom"/>
          </w:tcPr>
          <w:p>
            <w:pPr>
              <w:spacing w:after="0"/>
              <w:rPr>
                <w:sz w:val="21"/>
                <w:szCs w:val="21"/>
                <w:color w:val="auto"/>
              </w:rPr>
            </w:pPr>
          </w:p>
        </w:tc>
        <w:tc>
          <w:tcPr>
            <w:tcW w:w="60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51"/>
              <w:spacing w:after="0"/>
              <w:rPr>
                <w:sz w:val="20"/>
                <w:szCs w:val="20"/>
                <w:color w:val="auto"/>
              </w:rPr>
            </w:pPr>
            <w:r>
              <w:rPr>
                <w:rFonts w:ascii="Arial" w:cs="Arial" w:eastAsia="Arial" w:hAnsi="Arial"/>
                <w:sz w:val="15"/>
                <w:szCs w:val="15"/>
                <w:b w:val="1"/>
                <w:bCs w:val="1"/>
                <w:color w:val="auto"/>
              </w:rPr>
              <w:t>in millions</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74"/>
        </w:trPr>
        <w:tc>
          <w:tcPr>
            <w:tcW w:w="6820" w:type="dxa"/>
            <w:vAlign w:val="bottom"/>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Senior Credit Facility</w:t>
            </w:r>
          </w:p>
        </w:tc>
        <w:tc>
          <w:tcPr>
            <w:tcW w:w="22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r>
      <w:tr>
        <w:trPr>
          <w:trHeight w:val="263"/>
        </w:trPr>
        <w:tc>
          <w:tcPr>
            <w:tcW w:w="800" w:type="dxa"/>
            <w:vAlign w:val="bottom"/>
          </w:tcPr>
          <w:p>
            <w:pPr>
              <w:ind w:left="180"/>
              <w:spacing w:after="0"/>
              <w:rPr>
                <w:sz w:val="20"/>
                <w:szCs w:val="20"/>
                <w:color w:val="auto"/>
              </w:rPr>
            </w:pPr>
            <w:r>
              <w:rPr>
                <w:rFonts w:ascii="Arial" w:cs="Arial" w:eastAsia="Arial" w:hAnsi="Arial"/>
                <w:sz w:val="18"/>
                <w:szCs w:val="18"/>
                <w:color w:val="auto"/>
                <w:w w:val="98"/>
              </w:rPr>
              <w:t>5.375%</w:t>
            </w:r>
          </w:p>
        </w:tc>
        <w:tc>
          <w:tcPr>
            <w:tcW w:w="6020" w:type="dxa"/>
            <w:vAlign w:val="bottom"/>
          </w:tcPr>
          <w:p>
            <w:pPr>
              <w:ind w:left="40"/>
              <w:spacing w:after="0"/>
              <w:rPr>
                <w:sz w:val="20"/>
                <w:szCs w:val="20"/>
                <w:color w:val="auto"/>
              </w:rPr>
            </w:pPr>
            <w:r>
              <w:rPr>
                <w:rFonts w:ascii="Arial" w:cs="Arial" w:eastAsia="Arial" w:hAnsi="Arial"/>
                <w:sz w:val="18"/>
                <w:szCs w:val="18"/>
                <w:color w:val="auto"/>
              </w:rPr>
              <w:t>USD Facility AL due 2025</w:t>
            </w:r>
          </w:p>
        </w:tc>
        <w:tc>
          <w:tcPr>
            <w:tcW w:w="220" w:type="dxa"/>
            <w:vAlign w:val="bottom"/>
          </w:tcPr>
          <w:p>
            <w:pPr>
              <w:ind w:left="40"/>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47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1,015.2</w:t>
            </w:r>
          </w:p>
        </w:tc>
      </w:tr>
      <w:tr>
        <w:trPr>
          <w:trHeight w:val="277"/>
        </w:trPr>
        <w:tc>
          <w:tcPr>
            <w:tcW w:w="8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8"/>
              </w:rPr>
              <w:t>4.000%</w:t>
            </w:r>
          </w:p>
        </w:tc>
        <w:tc>
          <w:tcPr>
            <w:tcW w:w="6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EUR Facility AK due 2027</w:t>
            </w:r>
          </w:p>
        </w:tc>
        <w:tc>
          <w:tcPr>
            <w:tcW w:w="22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540.0</w:t>
            </w:r>
          </w:p>
        </w:tc>
        <w:tc>
          <w:tcPr>
            <w:tcW w:w="3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540.0</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540.0</w:t>
            </w:r>
          </w:p>
        </w:tc>
      </w:tr>
      <w:tr>
        <w:trPr>
          <w:trHeight w:val="263"/>
        </w:trPr>
        <w:tc>
          <w:tcPr>
            <w:tcW w:w="800" w:type="dxa"/>
            <w:vAlign w:val="bottom"/>
          </w:tcPr>
          <w:p>
            <w:pPr>
              <w:ind w:left="180"/>
              <w:spacing w:after="0"/>
              <w:rPr>
                <w:sz w:val="20"/>
                <w:szCs w:val="20"/>
                <w:color w:val="auto"/>
              </w:rPr>
            </w:pPr>
            <w:r>
              <w:rPr>
                <w:rFonts w:ascii="Arial" w:cs="Arial" w:eastAsia="Arial" w:hAnsi="Arial"/>
                <w:sz w:val="18"/>
                <w:szCs w:val="18"/>
                <w:color w:val="auto"/>
                <w:w w:val="98"/>
              </w:rPr>
              <w:t>3.625%</w:t>
            </w:r>
          </w:p>
        </w:tc>
        <w:tc>
          <w:tcPr>
            <w:tcW w:w="6020" w:type="dxa"/>
            <w:vAlign w:val="bottom"/>
          </w:tcPr>
          <w:p>
            <w:pPr>
              <w:ind w:left="40"/>
              <w:spacing w:after="0"/>
              <w:rPr>
                <w:sz w:val="20"/>
                <w:szCs w:val="20"/>
                <w:color w:val="auto"/>
              </w:rPr>
            </w:pPr>
            <w:r>
              <w:rPr>
                <w:rFonts w:ascii="Arial" w:cs="Arial" w:eastAsia="Arial" w:hAnsi="Arial"/>
                <w:sz w:val="18"/>
                <w:szCs w:val="18"/>
                <w:color w:val="auto"/>
              </w:rPr>
              <w:t>EUR Facility AQ due 2029</w:t>
            </w:r>
          </w:p>
        </w:tc>
        <w:tc>
          <w:tcPr>
            <w:tcW w:w="220" w:type="dxa"/>
            <w:vAlign w:val="bottom"/>
          </w:tcPr>
          <w:p>
            <w:pPr>
              <w:ind w:left="4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34"/>
              <w:spacing w:after="0"/>
              <w:rPr>
                <w:sz w:val="20"/>
                <w:szCs w:val="20"/>
                <w:color w:val="auto"/>
              </w:rPr>
            </w:pPr>
            <w:r>
              <w:rPr>
                <w:rFonts w:ascii="Arial" w:cs="Arial" w:eastAsia="Arial" w:hAnsi="Arial"/>
                <w:sz w:val="18"/>
                <w:szCs w:val="18"/>
                <w:color w:val="auto"/>
              </w:rPr>
              <w:t>600.0</w:t>
            </w:r>
          </w:p>
        </w:tc>
        <w:tc>
          <w:tcPr>
            <w:tcW w:w="340" w:type="dxa"/>
            <w:vAlign w:val="bottom"/>
          </w:tcPr>
          <w:p>
            <w:pPr>
              <w:spacing w:after="0"/>
              <w:rPr>
                <w:sz w:val="22"/>
                <w:szCs w:val="22"/>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600.0</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600.0</w:t>
            </w:r>
          </w:p>
        </w:tc>
      </w:tr>
      <w:tr>
        <w:trPr>
          <w:trHeight w:val="277"/>
        </w:trPr>
        <w:tc>
          <w:tcPr>
            <w:tcW w:w="68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Facility AT (LIBOR + 2.25%) USD due 2028</w:t>
            </w:r>
          </w:p>
        </w:tc>
        <w:tc>
          <w:tcPr>
            <w:tcW w:w="22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700.0</w:t>
            </w:r>
          </w:p>
        </w:tc>
        <w:tc>
          <w:tcPr>
            <w:tcW w:w="3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638.0</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63"/>
        </w:trPr>
        <w:tc>
          <w:tcPr>
            <w:tcW w:w="6820" w:type="dxa"/>
            <w:vAlign w:val="bottom"/>
            <w:gridSpan w:val="2"/>
          </w:tcPr>
          <w:p>
            <w:pPr>
              <w:ind w:left="180"/>
              <w:spacing w:after="0"/>
              <w:rPr>
                <w:sz w:val="20"/>
                <w:szCs w:val="20"/>
                <w:color w:val="auto"/>
              </w:rPr>
            </w:pPr>
            <w:r>
              <w:rPr>
                <w:rFonts w:ascii="Arial" w:cs="Arial" w:eastAsia="Arial" w:hAnsi="Arial"/>
                <w:sz w:val="18"/>
                <w:szCs w:val="18"/>
                <w:color w:val="auto"/>
              </w:rPr>
              <w:t>Facility AU (EURIBOR + 2.50%) EUR due 2029</w:t>
            </w:r>
          </w:p>
        </w:tc>
        <w:tc>
          <w:tcPr>
            <w:tcW w:w="220" w:type="dxa"/>
            <w:vAlign w:val="bottom"/>
          </w:tcPr>
          <w:p>
            <w:pPr>
              <w:ind w:left="4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34"/>
              <w:spacing w:after="0"/>
              <w:rPr>
                <w:sz w:val="20"/>
                <w:szCs w:val="20"/>
                <w:color w:val="auto"/>
              </w:rPr>
            </w:pPr>
            <w:r>
              <w:rPr>
                <w:rFonts w:ascii="Arial" w:cs="Arial" w:eastAsia="Arial" w:hAnsi="Arial"/>
                <w:sz w:val="18"/>
                <w:szCs w:val="18"/>
                <w:color w:val="auto"/>
              </w:rPr>
              <w:t>400.0</w:t>
            </w:r>
          </w:p>
        </w:tc>
        <w:tc>
          <w:tcPr>
            <w:tcW w:w="340" w:type="dxa"/>
            <w:vAlign w:val="bottom"/>
          </w:tcPr>
          <w:p>
            <w:pPr>
              <w:spacing w:after="0"/>
              <w:rPr>
                <w:sz w:val="22"/>
                <w:szCs w:val="22"/>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400.0</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0"/>
        </w:trPr>
        <w:tc>
          <w:tcPr>
            <w:tcW w:w="68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€990.1 million Revolving Facility AM (EURIBOR + 2.75%) EUR due 2021</w:t>
            </w:r>
          </w:p>
        </w:tc>
        <w:tc>
          <w:tcPr>
            <w:tcW w:w="22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50"/>
        </w:trPr>
        <w:tc>
          <w:tcPr>
            <w:tcW w:w="6820" w:type="dxa"/>
            <w:vAlign w:val="bottom"/>
            <w:tcBorders>
              <w:bottom w:val="single" w:sz="8" w:color="CCEEFF"/>
            </w:tcBorders>
            <w:gridSpan w:val="2"/>
          </w:tcPr>
          <w:p>
            <w:pPr>
              <w:ind w:left="180"/>
              <w:spacing w:after="0"/>
              <w:rPr>
                <w:sz w:val="20"/>
                <w:szCs w:val="20"/>
                <w:color w:val="auto"/>
              </w:rPr>
            </w:pPr>
            <w:r>
              <w:rPr>
                <w:rFonts w:ascii="Arial" w:cs="Arial" w:eastAsia="Arial" w:hAnsi="Arial"/>
                <w:sz w:val="18"/>
                <w:szCs w:val="18"/>
                <w:color w:val="auto"/>
              </w:rPr>
              <w:t>Elimination of Facilities AK, AL and AQ in consolidation</w:t>
            </w:r>
          </w:p>
        </w:tc>
        <w:tc>
          <w:tcPr>
            <w:tcW w:w="220" w:type="dxa"/>
            <w:vAlign w:val="bottom"/>
            <w:tcBorders>
              <w:bottom w:val="single" w:sz="8" w:color="CCEEFF"/>
            </w:tcBorders>
          </w:tcPr>
          <w:p>
            <w:pPr>
              <w:spacing w:after="0"/>
              <w:rPr>
                <w:sz w:val="21"/>
                <w:szCs w:val="21"/>
                <w:color w:val="auto"/>
              </w:rPr>
            </w:pPr>
          </w:p>
        </w:tc>
        <w:tc>
          <w:tcPr>
            <w:tcW w:w="126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(1,140.0)</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(2,155.2)</w:t>
            </w:r>
          </w:p>
        </w:tc>
      </w:tr>
      <w:tr>
        <w:trPr>
          <w:trHeight w:val="250"/>
        </w:trPr>
        <w:tc>
          <w:tcPr>
            <w:tcW w:w="68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Total Senior Credit Facilities</w:t>
            </w: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1,038.0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189"/>
        </w:trPr>
        <w:tc>
          <w:tcPr>
            <w:tcW w:w="800" w:type="dxa"/>
            <w:vAlign w:val="bottom"/>
          </w:tcPr>
          <w:p>
            <w:pPr>
              <w:spacing w:after="0"/>
              <w:rPr>
                <w:sz w:val="16"/>
                <w:szCs w:val="16"/>
                <w:color w:val="auto"/>
              </w:rPr>
            </w:pPr>
          </w:p>
        </w:tc>
        <w:tc>
          <w:tcPr>
            <w:tcW w:w="6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270"/>
        </w:trPr>
        <w:tc>
          <w:tcPr>
            <w:tcW w:w="6820" w:type="dxa"/>
            <w:vAlign w:val="bottom"/>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Senior Secured Notes</w:t>
            </w:r>
          </w:p>
        </w:tc>
        <w:tc>
          <w:tcPr>
            <w:tcW w:w="22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r>
      <w:tr>
        <w:trPr>
          <w:trHeight w:val="263"/>
        </w:trPr>
        <w:tc>
          <w:tcPr>
            <w:tcW w:w="6820" w:type="dxa"/>
            <w:vAlign w:val="bottom"/>
            <w:gridSpan w:val="2"/>
          </w:tcPr>
          <w:p>
            <w:pPr>
              <w:ind w:left="180"/>
              <w:spacing w:after="0"/>
              <w:rPr>
                <w:sz w:val="20"/>
                <w:szCs w:val="20"/>
                <w:color w:val="auto"/>
              </w:rPr>
            </w:pPr>
            <w:r>
              <w:rPr>
                <w:rFonts w:ascii="Arial" w:cs="Arial" w:eastAsia="Arial" w:hAnsi="Arial"/>
                <w:sz w:val="18"/>
                <w:szCs w:val="18"/>
                <w:color w:val="auto"/>
              </w:rPr>
              <w:t>5.375% USD Senior Secured Notes due 2025</w:t>
            </w:r>
          </w:p>
        </w:tc>
        <w:tc>
          <w:tcPr>
            <w:tcW w:w="220" w:type="dxa"/>
            <w:vAlign w:val="bottom"/>
          </w:tcPr>
          <w:p>
            <w:pPr>
              <w:ind w:left="40"/>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47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1,015.2</w:t>
            </w:r>
          </w:p>
        </w:tc>
      </w:tr>
      <w:tr>
        <w:trPr>
          <w:trHeight w:val="277"/>
        </w:trPr>
        <w:tc>
          <w:tcPr>
            <w:tcW w:w="8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8"/>
              </w:rPr>
              <w:t>4.000%</w:t>
            </w:r>
          </w:p>
        </w:tc>
        <w:tc>
          <w:tcPr>
            <w:tcW w:w="6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EUR Senior Secured Notes due 2027</w:t>
            </w:r>
          </w:p>
        </w:tc>
        <w:tc>
          <w:tcPr>
            <w:tcW w:w="22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540.0</w:t>
            </w:r>
          </w:p>
        </w:tc>
        <w:tc>
          <w:tcPr>
            <w:tcW w:w="3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540.0</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540.0</w:t>
            </w:r>
          </w:p>
        </w:tc>
      </w:tr>
      <w:tr>
        <w:trPr>
          <w:trHeight w:val="263"/>
        </w:trPr>
        <w:tc>
          <w:tcPr>
            <w:tcW w:w="8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w w:val="98"/>
              </w:rPr>
              <w:t>3.625%</w:t>
            </w:r>
          </w:p>
        </w:tc>
        <w:tc>
          <w:tcPr>
            <w:tcW w:w="60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EUR Senior Secured Notes due 2029</w:t>
            </w:r>
          </w:p>
        </w:tc>
        <w:tc>
          <w:tcPr>
            <w:tcW w:w="2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tcPr>
          <w:p>
            <w:pPr>
              <w:jc w:val="right"/>
              <w:ind w:right="134"/>
              <w:spacing w:after="0"/>
              <w:rPr>
                <w:sz w:val="20"/>
                <w:szCs w:val="20"/>
                <w:color w:val="auto"/>
              </w:rPr>
            </w:pPr>
            <w:r>
              <w:rPr>
                <w:rFonts w:ascii="Arial" w:cs="Arial" w:eastAsia="Arial" w:hAnsi="Arial"/>
                <w:sz w:val="18"/>
                <w:szCs w:val="18"/>
                <w:color w:val="auto"/>
              </w:rPr>
              <w:t>600.0</w:t>
            </w: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600.0</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600.0</w:t>
            </w:r>
          </w:p>
        </w:tc>
      </w:tr>
      <w:tr>
        <w:trPr>
          <w:trHeight w:val="250"/>
        </w:trPr>
        <w:tc>
          <w:tcPr>
            <w:tcW w:w="68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Total Senior Secured Notes</w:t>
            </w: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1,140.0</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2,155.2</w:t>
            </w:r>
          </w:p>
        </w:tc>
      </w:tr>
      <w:tr>
        <w:trPr>
          <w:trHeight w:val="189"/>
        </w:trPr>
        <w:tc>
          <w:tcPr>
            <w:tcW w:w="800" w:type="dxa"/>
            <w:vAlign w:val="bottom"/>
          </w:tcPr>
          <w:p>
            <w:pPr>
              <w:spacing w:after="0"/>
              <w:rPr>
                <w:sz w:val="16"/>
                <w:szCs w:val="16"/>
                <w:color w:val="auto"/>
              </w:rPr>
            </w:pPr>
          </w:p>
        </w:tc>
        <w:tc>
          <w:tcPr>
            <w:tcW w:w="6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270"/>
        </w:trPr>
        <w:tc>
          <w:tcPr>
            <w:tcW w:w="6820" w:type="dxa"/>
            <w:vAlign w:val="bottom"/>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Senior Notes</w:t>
            </w:r>
          </w:p>
        </w:tc>
        <w:tc>
          <w:tcPr>
            <w:tcW w:w="22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r>
      <w:tr>
        <w:trPr>
          <w:trHeight w:val="263"/>
        </w:trPr>
        <w:tc>
          <w:tcPr>
            <w:tcW w:w="800" w:type="dxa"/>
            <w:vAlign w:val="bottom"/>
          </w:tcPr>
          <w:p>
            <w:pPr>
              <w:ind w:left="180"/>
              <w:spacing w:after="0"/>
              <w:rPr>
                <w:sz w:val="20"/>
                <w:szCs w:val="20"/>
                <w:color w:val="auto"/>
              </w:rPr>
            </w:pPr>
            <w:r>
              <w:rPr>
                <w:rFonts w:ascii="Arial" w:cs="Arial" w:eastAsia="Arial" w:hAnsi="Arial"/>
                <w:sz w:val="18"/>
                <w:szCs w:val="18"/>
                <w:color w:val="auto"/>
                <w:w w:val="98"/>
              </w:rPr>
              <w:t>5.500%</w:t>
            </w:r>
          </w:p>
        </w:tc>
        <w:tc>
          <w:tcPr>
            <w:tcW w:w="6020" w:type="dxa"/>
            <w:vAlign w:val="bottom"/>
          </w:tcPr>
          <w:p>
            <w:pPr>
              <w:ind w:left="40"/>
              <w:spacing w:after="0"/>
              <w:rPr>
                <w:sz w:val="20"/>
                <w:szCs w:val="20"/>
                <w:color w:val="auto"/>
              </w:rPr>
            </w:pPr>
            <w:r>
              <w:rPr>
                <w:rFonts w:ascii="Arial" w:cs="Arial" w:eastAsia="Arial" w:hAnsi="Arial"/>
                <w:sz w:val="18"/>
                <w:szCs w:val="18"/>
                <w:color w:val="auto"/>
              </w:rPr>
              <w:t>USD Senior Notes due 2028</w:t>
            </w:r>
          </w:p>
        </w:tc>
        <w:tc>
          <w:tcPr>
            <w:tcW w:w="220" w:type="dxa"/>
            <w:vAlign w:val="bottom"/>
          </w:tcPr>
          <w:p>
            <w:pPr>
              <w:ind w:left="4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34"/>
              <w:spacing w:after="0"/>
              <w:rPr>
                <w:sz w:val="20"/>
                <w:szCs w:val="20"/>
                <w:color w:val="auto"/>
              </w:rPr>
            </w:pPr>
            <w:r>
              <w:rPr>
                <w:rFonts w:ascii="Arial" w:cs="Arial" w:eastAsia="Arial" w:hAnsi="Arial"/>
                <w:sz w:val="18"/>
                <w:szCs w:val="18"/>
                <w:color w:val="auto"/>
              </w:rPr>
              <w:t>535.0</w:t>
            </w:r>
          </w:p>
        </w:tc>
        <w:tc>
          <w:tcPr>
            <w:tcW w:w="340" w:type="dxa"/>
            <w:vAlign w:val="bottom"/>
          </w:tcPr>
          <w:p>
            <w:pPr>
              <w:spacing w:after="0"/>
              <w:rPr>
                <w:sz w:val="22"/>
                <w:szCs w:val="22"/>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487.6</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476.4</w:t>
            </w:r>
          </w:p>
        </w:tc>
      </w:tr>
      <w:tr>
        <w:trPr>
          <w:trHeight w:val="270"/>
        </w:trPr>
        <w:tc>
          <w:tcPr>
            <w:tcW w:w="8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8"/>
              </w:rPr>
              <w:t>3.875%</w:t>
            </w:r>
          </w:p>
        </w:tc>
        <w:tc>
          <w:tcPr>
            <w:tcW w:w="6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EUR Senior Notes due 2029</w:t>
            </w:r>
          </w:p>
        </w:tc>
        <w:tc>
          <w:tcPr>
            <w:tcW w:w="22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594.3</w:t>
            </w:r>
          </w:p>
        </w:tc>
        <w:tc>
          <w:tcPr>
            <w:tcW w:w="3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594.3</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594.3</w:t>
            </w:r>
          </w:p>
        </w:tc>
      </w:tr>
      <w:tr>
        <w:trPr>
          <w:trHeight w:val="250"/>
        </w:trPr>
        <w:tc>
          <w:tcPr>
            <w:tcW w:w="6820" w:type="dxa"/>
            <w:vAlign w:val="bottom"/>
            <w:tcBorders>
              <w:bottom w:val="single" w:sz="8" w:color="CCEEFF"/>
            </w:tcBorders>
            <w:gridSpan w:val="2"/>
          </w:tcPr>
          <w:p>
            <w:pPr>
              <w:ind w:left="280"/>
              <w:spacing w:after="0"/>
              <w:rPr>
                <w:sz w:val="20"/>
                <w:szCs w:val="20"/>
                <w:color w:val="auto"/>
              </w:rPr>
            </w:pPr>
            <w:r>
              <w:rPr>
                <w:rFonts w:ascii="Arial" w:cs="Arial" w:eastAsia="Arial" w:hAnsi="Arial"/>
                <w:sz w:val="18"/>
                <w:szCs w:val="18"/>
                <w:color w:val="auto"/>
              </w:rPr>
              <w:t>Total Senior Notes</w:t>
            </w:r>
          </w:p>
        </w:tc>
        <w:tc>
          <w:tcPr>
            <w:tcW w:w="220" w:type="dxa"/>
            <w:vAlign w:val="bottom"/>
            <w:tcBorders>
              <w:bottom w:val="single" w:sz="8" w:color="CCEEFF"/>
            </w:tcBorders>
          </w:tcPr>
          <w:p>
            <w:pPr>
              <w:spacing w:after="0"/>
              <w:rPr>
                <w:sz w:val="21"/>
                <w:szCs w:val="21"/>
                <w:color w:val="auto"/>
              </w:rPr>
            </w:pPr>
          </w:p>
        </w:tc>
        <w:tc>
          <w:tcPr>
            <w:tcW w:w="126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1,081.9</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1,070.7</w:t>
            </w:r>
          </w:p>
        </w:tc>
      </w:tr>
      <w:tr>
        <w:trPr>
          <w:trHeight w:val="189"/>
        </w:trPr>
        <w:tc>
          <w:tcPr>
            <w:tcW w:w="800" w:type="dxa"/>
            <w:vAlign w:val="bottom"/>
            <w:shd w:val="clear" w:color="auto" w:fill="CCEEFF"/>
          </w:tcPr>
          <w:p>
            <w:pPr>
              <w:spacing w:after="0"/>
              <w:rPr>
                <w:sz w:val="16"/>
                <w:szCs w:val="16"/>
                <w:color w:val="auto"/>
              </w:rPr>
            </w:pPr>
          </w:p>
        </w:tc>
        <w:tc>
          <w:tcPr>
            <w:tcW w:w="60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r>
      <w:tr>
        <w:trPr>
          <w:trHeight w:val="263"/>
        </w:trPr>
        <w:tc>
          <w:tcPr>
            <w:tcW w:w="6820" w:type="dxa"/>
            <w:vAlign w:val="bottom"/>
            <w:gridSpan w:val="2"/>
          </w:tcPr>
          <w:p>
            <w:pPr>
              <w:ind w:left="40"/>
              <w:spacing w:after="0"/>
              <w:rPr>
                <w:sz w:val="20"/>
                <w:szCs w:val="20"/>
                <w:color w:val="auto"/>
              </w:rPr>
            </w:pPr>
            <w:r>
              <w:rPr>
                <w:rFonts w:ascii="Arial" w:cs="Arial" w:eastAsia="Arial" w:hAnsi="Arial"/>
                <w:sz w:val="18"/>
                <w:szCs w:val="18"/>
                <w:color w:val="auto"/>
              </w:rPr>
              <w:t>Vendor financing</w:t>
            </w:r>
          </w:p>
        </w:tc>
        <w:tc>
          <w:tcPr>
            <w:tcW w:w="2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567.4</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560.1</w:t>
            </w:r>
          </w:p>
        </w:tc>
      </w:tr>
      <w:tr>
        <w:trPr>
          <w:trHeight w:val="277"/>
        </w:trPr>
        <w:tc>
          <w:tcPr>
            <w:tcW w:w="68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Finance lease obligations</w:t>
            </w:r>
          </w:p>
        </w:tc>
        <w:tc>
          <w:tcPr>
            <w:tcW w:w="22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0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19.2</w:t>
            </w:r>
          </w:p>
        </w:tc>
        <w:tc>
          <w:tcPr>
            <w:tcW w:w="100" w:type="dxa"/>
            <w:vAlign w:val="bottom"/>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12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20.3</w:t>
            </w:r>
          </w:p>
        </w:tc>
      </w:tr>
      <w:tr>
        <w:trPr>
          <w:trHeight w:val="243"/>
        </w:trPr>
        <w:tc>
          <w:tcPr>
            <w:tcW w:w="6820" w:type="dxa"/>
            <w:vAlign w:val="bottom"/>
            <w:gridSpan w:val="2"/>
          </w:tcPr>
          <w:p>
            <w:pPr>
              <w:ind w:left="280"/>
              <w:spacing w:after="0"/>
              <w:rPr>
                <w:sz w:val="20"/>
                <w:szCs w:val="20"/>
                <w:color w:val="auto"/>
              </w:rPr>
            </w:pPr>
            <w:r>
              <w:rPr>
                <w:rFonts w:ascii="Arial" w:cs="Arial" w:eastAsia="Arial" w:hAnsi="Arial"/>
                <w:sz w:val="18"/>
                <w:szCs w:val="18"/>
                <w:b w:val="1"/>
                <w:bCs w:val="1"/>
                <w:color w:val="auto"/>
              </w:rPr>
              <w:t>Total third-party debt and finance lease obligations</w:t>
            </w: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3,846.5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3,806.3</w:t>
            </w:r>
          </w:p>
        </w:tc>
      </w:tr>
      <w:tr>
        <w:trPr>
          <w:trHeight w:val="277"/>
        </w:trPr>
        <w:tc>
          <w:tcPr>
            <w:tcW w:w="68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Deferred financing costs and discounts</w:t>
            </w:r>
          </w:p>
        </w:tc>
        <w:tc>
          <w:tcPr>
            <w:tcW w:w="22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100" w:type="dxa"/>
            <w:vAlign w:val="bottom"/>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w:t>
            </w:r>
          </w:p>
        </w:tc>
      </w:tr>
      <w:tr>
        <w:trPr>
          <w:trHeight w:val="243"/>
        </w:trPr>
        <w:tc>
          <w:tcPr>
            <w:tcW w:w="6820" w:type="dxa"/>
            <w:vAlign w:val="bottom"/>
            <w:gridSpan w:val="2"/>
          </w:tcPr>
          <w:p>
            <w:pPr>
              <w:ind w:left="280"/>
              <w:spacing w:after="0"/>
              <w:rPr>
                <w:sz w:val="20"/>
                <w:szCs w:val="20"/>
                <w:color w:val="auto"/>
              </w:rPr>
            </w:pPr>
            <w:r>
              <w:rPr>
                <w:rFonts w:ascii="Arial" w:cs="Arial" w:eastAsia="Arial" w:hAnsi="Arial"/>
                <w:sz w:val="18"/>
                <w:szCs w:val="18"/>
                <w:b w:val="1"/>
                <w:bCs w:val="1"/>
                <w:color w:val="auto"/>
              </w:rPr>
              <w:t>Total carrying amount of third-party debt and finance lease obligations</w:t>
            </w: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3,827.4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3,788.1</w:t>
            </w:r>
          </w:p>
        </w:tc>
      </w:tr>
      <w:tr>
        <w:trPr>
          <w:trHeight w:val="277"/>
        </w:trPr>
        <w:tc>
          <w:tcPr>
            <w:tcW w:w="68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Less: cash and cash equivalents</w:t>
            </w:r>
          </w:p>
        </w:tc>
        <w:tc>
          <w:tcPr>
            <w:tcW w:w="22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0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21.5</w:t>
            </w:r>
          </w:p>
        </w:tc>
        <w:tc>
          <w:tcPr>
            <w:tcW w:w="100" w:type="dxa"/>
            <w:vAlign w:val="bottom"/>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12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22.1</w:t>
            </w:r>
          </w:p>
        </w:tc>
      </w:tr>
      <w:tr>
        <w:trPr>
          <w:trHeight w:val="290"/>
        </w:trPr>
        <w:tc>
          <w:tcPr>
            <w:tcW w:w="6820" w:type="dxa"/>
            <w:vAlign w:val="bottom"/>
            <w:tcBorders>
              <w:bottom w:val="single" w:sz="8" w:color="CCEEFF"/>
            </w:tcBorders>
            <w:gridSpan w:val="2"/>
          </w:tcPr>
          <w:p>
            <w:pPr>
              <w:ind w:left="280"/>
              <w:spacing w:after="0"/>
              <w:rPr>
                <w:sz w:val="20"/>
                <w:szCs w:val="20"/>
                <w:color w:val="auto"/>
              </w:rPr>
            </w:pPr>
            <w:r>
              <w:rPr>
                <w:rFonts w:ascii="Arial" w:cs="Arial" w:eastAsia="Arial" w:hAnsi="Arial"/>
                <w:sz w:val="18"/>
                <w:szCs w:val="18"/>
                <w:b w:val="1"/>
                <w:bCs w:val="1"/>
                <w:color w:val="auto"/>
              </w:rPr>
              <w:t>Net carrying amount of third-party debt and finance lease obligations</w:t>
            </w:r>
            <w:r>
              <w:rPr>
                <w:rFonts w:ascii="Arial" w:cs="Arial" w:eastAsia="Arial" w:hAnsi="Arial"/>
                <w:sz w:val="21"/>
                <w:szCs w:val="21"/>
                <w:b w:val="1"/>
                <w:bCs w:val="1"/>
                <w:color w:val="auto"/>
                <w:vertAlign w:val="superscript"/>
              </w:rPr>
              <w:t>6</w:t>
            </w:r>
          </w:p>
        </w:tc>
        <w:tc>
          <w:tcPr>
            <w:tcW w:w="220" w:type="dxa"/>
            <w:vAlign w:val="bottom"/>
            <w:tcBorders>
              <w:bottom w:val="single" w:sz="8" w:color="CCEEFF"/>
            </w:tcBorders>
          </w:tcPr>
          <w:p>
            <w:pPr>
              <w:spacing w:after="0"/>
              <w:rPr>
                <w:sz w:val="24"/>
                <w:szCs w:val="24"/>
                <w:color w:val="auto"/>
              </w:rPr>
            </w:pPr>
          </w:p>
        </w:tc>
        <w:tc>
          <w:tcPr>
            <w:tcW w:w="126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3,805.9</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3,766.0</w:t>
            </w:r>
          </w:p>
        </w:tc>
      </w:tr>
      <w:tr>
        <w:trPr>
          <w:trHeight w:val="197"/>
        </w:trPr>
        <w:tc>
          <w:tcPr>
            <w:tcW w:w="800" w:type="dxa"/>
            <w:vAlign w:val="bottom"/>
            <w:shd w:val="clear" w:color="auto" w:fill="CCEEFF"/>
          </w:tcPr>
          <w:p>
            <w:pPr>
              <w:spacing w:after="0"/>
              <w:rPr>
                <w:sz w:val="17"/>
                <w:szCs w:val="17"/>
                <w:color w:val="auto"/>
              </w:rPr>
            </w:pPr>
          </w:p>
        </w:tc>
        <w:tc>
          <w:tcPr>
            <w:tcW w:w="6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r>
      <w:tr>
        <w:trPr>
          <w:trHeight w:val="257"/>
        </w:trPr>
        <w:tc>
          <w:tcPr>
            <w:tcW w:w="6820" w:type="dxa"/>
            <w:vAlign w:val="bottom"/>
            <w:gridSpan w:val="2"/>
          </w:tcPr>
          <w:p>
            <w:pPr>
              <w:ind w:left="40"/>
              <w:spacing w:after="0"/>
              <w:rPr>
                <w:sz w:val="20"/>
                <w:szCs w:val="20"/>
                <w:color w:val="auto"/>
              </w:rPr>
            </w:pPr>
            <w:r>
              <w:rPr>
                <w:rFonts w:ascii="Arial" w:cs="Arial" w:eastAsia="Arial" w:hAnsi="Arial"/>
                <w:sz w:val="18"/>
                <w:szCs w:val="18"/>
                <w:color w:val="auto"/>
              </w:rPr>
              <w:t>Exchange rate ($ to €)</w:t>
            </w:r>
          </w:p>
        </w:tc>
        <w:tc>
          <w:tcPr>
            <w:tcW w:w="2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1.0971</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1.1229</w:t>
            </w:r>
          </w:p>
        </w:tc>
      </w:tr>
      <w:tr>
        <w:trPr>
          <w:trHeight w:val="642"/>
        </w:trPr>
        <w:tc>
          <w:tcPr>
            <w:tcW w:w="800" w:type="dxa"/>
            <w:vAlign w:val="bottom"/>
          </w:tcPr>
          <w:p>
            <w:pPr>
              <w:spacing w:after="0"/>
              <w:rPr>
                <w:sz w:val="24"/>
                <w:szCs w:val="24"/>
                <w:color w:val="auto"/>
              </w:rPr>
            </w:pPr>
          </w:p>
        </w:tc>
        <w:tc>
          <w:tcPr>
            <w:tcW w:w="6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17</w:t>
            </w:r>
          </w:p>
        </w:tc>
      </w:tr>
    </w:tbl>
    <w:p>
      <w:pPr>
        <w:sectPr>
          <w:pgSz w:w="11900" w:h="16838" w:orient="portrait"/>
          <w:cols w:equalWidth="0" w:num="1">
            <w:col w:w="11240"/>
          </w:cols>
          <w:pgMar w:left="320" w:top="1194" w:right="339" w:bottom="1440" w:gutter="0" w:footer="0" w:header="0"/>
        </w:sectPr>
      </w:pPr>
    </w:p>
    <w:bookmarkStart w:id="20" w:name="page21"/>
    <w:bookmarkEnd w:id="20"/>
    <w:p>
      <w:pPr>
        <w:spacing w:after="0"/>
        <w:rPr>
          <w:sz w:val="20"/>
          <w:szCs w:val="20"/>
          <w:color w:val="auto"/>
        </w:rPr>
      </w:pPr>
      <w:r>
        <w:rPr>
          <w:rFonts w:ascii="Arial" w:cs="Arial" w:eastAsia="Arial" w:hAnsi="Arial"/>
          <w:sz w:val="25"/>
          <w:szCs w:val="25"/>
          <w:color w:val="004F9F"/>
        </w:rPr>
        <w:drawing>
          <wp:anchor simplePos="0" relativeHeight="251657728" behindDoc="1" locked="0" layoutInCell="0" allowOverlap="1">
            <wp:simplePos x="0" y="0"/>
            <wp:positionH relativeFrom="page">
              <wp:posOffset>6680200</wp:posOffset>
            </wp:positionH>
            <wp:positionV relativeFrom="page">
              <wp:posOffset>88900</wp:posOffset>
            </wp:positionV>
            <wp:extent cx="659765" cy="53149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clrChange>
                        <a:clrFrom>
                          <a:srgbClr val="FFFFFF"/>
                        </a:clrFrom>
                        <a:clrTo>
                          <a:srgbClr val="FFFFFF">
                            <a:alpha val="0"/>
                          </a:srgbClr>
                        </a:clrTo>
                      </a:clrChange>
                      <a:extLst>
                        <a:ext uri="{28A0092B-C50C-407E-A947-70E740481C1C}"/>
                      </a:extLst>
                    </a:blip>
                    <a:srcRect/>
                    <a:stretch>
                      <a:fillRect/>
                    </a:stretch>
                  </pic:blipFill>
                  <pic:spPr bwMode="auto">
                    <a:xfrm>
                      <a:off x="0" y="0"/>
                      <a:ext cx="659765" cy="531495"/>
                    </a:xfrm>
                    <a:prstGeom prst="rect">
                      <a:avLst/>
                    </a:prstGeom>
                    <a:noFill/>
                  </pic:spPr>
                </pic:pic>
              </a:graphicData>
            </a:graphic>
          </wp:anchor>
        </w:drawing>
        <w:t>Covenant Debt Information</w:t>
      </w:r>
    </w:p>
    <w:p>
      <w:pPr>
        <w:spacing w:after="0" w:line="112" w:lineRule="exact"/>
        <w:rPr>
          <w:sz w:val="20"/>
          <w:szCs w:val="20"/>
          <w:color w:val="auto"/>
        </w:rPr>
      </w:pPr>
    </w:p>
    <w:p>
      <w:pPr>
        <w:jc w:val="both"/>
        <w:spacing w:after="0" w:line="256" w:lineRule="auto"/>
        <w:rPr>
          <w:sz w:val="20"/>
          <w:szCs w:val="20"/>
          <w:color w:val="auto"/>
        </w:rPr>
      </w:pPr>
      <w:r>
        <w:rPr>
          <w:rFonts w:ascii="Arial" w:cs="Arial" w:eastAsia="Arial" w:hAnsi="Arial"/>
          <w:sz w:val="19"/>
          <w:szCs w:val="19"/>
          <w:color w:val="auto"/>
        </w:rPr>
        <w:t>The following table details the euro equivalent of the reconciliation from UPC Holding’s consolidated third-party debt to the total covenant amount of third-party gross and net debt and includes information regarding the projected principal-related cash flows of our cross-currency derivative instruments. The euro equivalents presented below are based on exchange rates that were in effect as of March 31, 2020 and December 31, 2019. These amounts are presented for illustrative purposes only and will likely differ from the actual cash payments or receipts in future periods.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8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gridSpan w:val="2"/>
          </w:tcPr>
          <w:p>
            <w:pPr>
              <w:ind w:left="140"/>
              <w:spacing w:after="0"/>
              <w:rPr>
                <w:sz w:val="20"/>
                <w:szCs w:val="20"/>
                <w:color w:val="auto"/>
              </w:rPr>
            </w:pPr>
            <w:r>
              <w:rPr>
                <w:rFonts w:ascii="Arial" w:cs="Arial" w:eastAsia="Arial" w:hAnsi="Arial"/>
                <w:sz w:val="15"/>
                <w:szCs w:val="15"/>
                <w:b w:val="1"/>
                <w:bCs w:val="1"/>
                <w:color w:val="auto"/>
              </w:rPr>
              <w:t>March 31,</w:t>
            </w:r>
          </w:p>
        </w:tc>
        <w:tc>
          <w:tcPr>
            <w:tcW w:w="200" w:type="dxa"/>
            <w:vAlign w:val="bottom"/>
          </w:tcPr>
          <w:p>
            <w:pPr>
              <w:spacing w:after="0"/>
              <w:rPr>
                <w:sz w:val="17"/>
                <w:szCs w:val="17"/>
                <w:color w:val="auto"/>
              </w:rPr>
            </w:pPr>
          </w:p>
        </w:tc>
        <w:tc>
          <w:tcPr>
            <w:tcW w:w="1280" w:type="dxa"/>
            <w:vAlign w:val="bottom"/>
          </w:tcPr>
          <w:p>
            <w:pPr>
              <w:jc w:val="right"/>
              <w:ind w:right="154"/>
              <w:spacing w:after="0"/>
              <w:rPr>
                <w:sz w:val="20"/>
                <w:szCs w:val="20"/>
                <w:color w:val="auto"/>
              </w:rPr>
            </w:pPr>
            <w:r>
              <w:rPr>
                <w:rFonts w:ascii="Arial" w:cs="Arial" w:eastAsia="Arial" w:hAnsi="Arial"/>
                <w:sz w:val="15"/>
                <w:szCs w:val="15"/>
                <w:b w:val="1"/>
                <w:bCs w:val="1"/>
                <w:color w:val="auto"/>
              </w:rPr>
              <w:t>December 31,</w:t>
            </w:r>
          </w:p>
        </w:tc>
      </w:tr>
      <w:tr>
        <w:trPr>
          <w:trHeight w:val="274"/>
        </w:trPr>
        <w:tc>
          <w:tcPr>
            <w:tcW w:w="818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474"/>
              <w:spacing w:after="0"/>
              <w:rPr>
                <w:sz w:val="20"/>
                <w:szCs w:val="20"/>
                <w:color w:val="auto"/>
              </w:rPr>
            </w:pPr>
            <w:r>
              <w:rPr>
                <w:rFonts w:ascii="Arial" w:cs="Arial" w:eastAsia="Arial" w:hAnsi="Arial"/>
                <w:sz w:val="15"/>
                <w:szCs w:val="15"/>
                <w:b w:val="1"/>
                <w:bCs w:val="1"/>
                <w:color w:val="auto"/>
              </w:rPr>
              <w:t>2020</w:t>
            </w:r>
          </w:p>
        </w:tc>
        <w:tc>
          <w:tcPr>
            <w:tcW w:w="100" w:type="dxa"/>
            <w:vAlign w:val="bottom"/>
            <w:tcBorders>
              <w:bottom w:val="single" w:sz="8" w:color="auto"/>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ind w:right="474"/>
              <w:spacing w:after="0"/>
              <w:rPr>
                <w:sz w:val="20"/>
                <w:szCs w:val="20"/>
                <w:color w:val="auto"/>
              </w:rPr>
            </w:pPr>
            <w:r>
              <w:rPr>
                <w:rFonts w:ascii="Arial" w:cs="Arial" w:eastAsia="Arial" w:hAnsi="Arial"/>
                <w:sz w:val="15"/>
                <w:szCs w:val="15"/>
                <w:b w:val="1"/>
                <w:bCs w:val="1"/>
                <w:color w:val="auto"/>
              </w:rPr>
              <w:t>2019</w:t>
            </w:r>
          </w:p>
        </w:tc>
      </w:tr>
      <w:tr>
        <w:trPr>
          <w:trHeight w:val="250"/>
        </w:trPr>
        <w:tc>
          <w:tcPr>
            <w:tcW w:w="8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800" w:type="dxa"/>
            <w:vAlign w:val="bottom"/>
            <w:gridSpan w:val="4"/>
          </w:tcPr>
          <w:p>
            <w:pPr>
              <w:jc w:val="right"/>
              <w:ind w:right="1054"/>
              <w:spacing w:after="0"/>
              <w:rPr>
                <w:sz w:val="20"/>
                <w:szCs w:val="20"/>
                <w:color w:val="auto"/>
              </w:rPr>
            </w:pPr>
            <w:r>
              <w:rPr>
                <w:rFonts w:ascii="Arial" w:cs="Arial" w:eastAsia="Arial" w:hAnsi="Arial"/>
                <w:sz w:val="15"/>
                <w:szCs w:val="15"/>
                <w:b w:val="1"/>
                <w:bCs w:val="1"/>
                <w:color w:val="auto"/>
              </w:rPr>
              <w:t>in millions</w:t>
            </w:r>
          </w:p>
        </w:tc>
      </w:tr>
      <w:tr>
        <w:trPr>
          <w:trHeight w:val="274"/>
        </w:trPr>
        <w:tc>
          <w:tcPr>
            <w:tcW w:w="818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Total third-party debt and finance lease obligations (€ equivalent)</w:t>
            </w:r>
          </w:p>
        </w:tc>
        <w:tc>
          <w:tcPr>
            <w:tcW w:w="26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3,846.5</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3,806.3</w:t>
            </w:r>
          </w:p>
        </w:tc>
      </w:tr>
      <w:tr>
        <w:trPr>
          <w:trHeight w:val="263"/>
        </w:trPr>
        <w:tc>
          <w:tcPr>
            <w:tcW w:w="8180" w:type="dxa"/>
            <w:vAlign w:val="bottom"/>
          </w:tcPr>
          <w:p>
            <w:pPr>
              <w:ind w:left="180"/>
              <w:spacing w:after="0"/>
              <w:rPr>
                <w:sz w:val="20"/>
                <w:szCs w:val="20"/>
                <w:color w:val="auto"/>
              </w:rPr>
            </w:pPr>
            <w:r>
              <w:rPr>
                <w:rFonts w:ascii="Arial" w:cs="Arial" w:eastAsia="Arial" w:hAnsi="Arial"/>
                <w:sz w:val="18"/>
                <w:szCs w:val="18"/>
                <w:color w:val="auto"/>
              </w:rPr>
              <w:t>Vendor financing</w:t>
            </w:r>
          </w:p>
        </w:tc>
        <w:tc>
          <w:tcPr>
            <w:tcW w:w="2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(567.4)</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(560.1)</w:t>
            </w:r>
          </w:p>
        </w:tc>
      </w:tr>
      <w:tr>
        <w:trPr>
          <w:trHeight w:val="277"/>
        </w:trPr>
        <w:tc>
          <w:tcPr>
            <w:tcW w:w="8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Finance lease obligations</w:t>
            </w:r>
          </w:p>
        </w:tc>
        <w:tc>
          <w:tcPr>
            <w:tcW w:w="26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w:t>
            </w:r>
          </w:p>
        </w:tc>
      </w:tr>
      <w:tr>
        <w:trPr>
          <w:trHeight w:val="229"/>
        </w:trPr>
        <w:tc>
          <w:tcPr>
            <w:tcW w:w="8180" w:type="dxa"/>
            <w:vAlign w:val="bottom"/>
          </w:tcPr>
          <w:p>
            <w:pPr>
              <w:ind w:left="180"/>
              <w:spacing w:after="0"/>
              <w:rPr>
                <w:sz w:val="20"/>
                <w:szCs w:val="20"/>
                <w:color w:val="auto"/>
              </w:rPr>
            </w:pPr>
            <w:r>
              <w:rPr>
                <w:rFonts w:ascii="Arial" w:cs="Arial" w:eastAsia="Arial" w:hAnsi="Arial"/>
                <w:sz w:val="18"/>
                <w:szCs w:val="18"/>
                <w:color w:val="auto"/>
              </w:rPr>
              <w:t>Projected principal-related cash receipts (payments) associated with our cross-currency derivative</w:t>
            </w: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24"/>
        </w:trPr>
        <w:tc>
          <w:tcPr>
            <w:tcW w:w="8180" w:type="dxa"/>
            <w:vAlign w:val="bottom"/>
            <w:tcBorders>
              <w:bottom w:val="single" w:sz="8" w:color="CCEEFF"/>
            </w:tcBorders>
          </w:tcPr>
          <w:p>
            <w:pPr>
              <w:ind w:left="260"/>
              <w:spacing w:after="0"/>
              <w:rPr>
                <w:sz w:val="20"/>
                <w:szCs w:val="20"/>
                <w:color w:val="auto"/>
              </w:rPr>
            </w:pPr>
            <w:r>
              <w:rPr>
                <w:rFonts w:ascii="Arial" w:cs="Arial" w:eastAsia="Arial" w:hAnsi="Arial"/>
                <w:sz w:val="18"/>
                <w:szCs w:val="18"/>
                <w:color w:val="auto"/>
              </w:rPr>
              <w:t>instruments</w:t>
            </w: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35.9</w:t>
            </w:r>
          </w:p>
        </w:tc>
      </w:tr>
      <w:tr>
        <w:trPr>
          <w:trHeight w:val="257"/>
        </w:trPr>
        <w:tc>
          <w:tcPr>
            <w:tcW w:w="818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Total covenant amount of third-party gross debt</w:t>
            </w: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3,253.3</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3,261.8</w:t>
            </w:r>
          </w:p>
        </w:tc>
      </w:tr>
      <w:tr>
        <w:trPr>
          <w:trHeight w:val="263"/>
        </w:trPr>
        <w:tc>
          <w:tcPr>
            <w:tcW w:w="8180" w:type="dxa"/>
            <w:vAlign w:val="bottom"/>
            <w:tcBorders>
              <w:bottom w:val="single" w:sz="8" w:color="CCEEFF"/>
            </w:tcBorders>
          </w:tcPr>
          <w:p>
            <w:pPr>
              <w:ind w:left="180"/>
              <w:spacing w:after="0"/>
              <w:rPr>
                <w:sz w:val="20"/>
                <w:szCs w:val="20"/>
                <w:color w:val="auto"/>
              </w:rPr>
            </w:pPr>
            <w:r>
              <w:rPr>
                <w:rFonts w:ascii="Arial" w:cs="Arial" w:eastAsia="Arial" w:hAnsi="Arial"/>
                <w:sz w:val="17"/>
                <w:szCs w:val="17"/>
                <w:color w:val="auto"/>
              </w:rPr>
              <w:t>Cash and cash equivalents</w:t>
            </w:r>
          </w:p>
        </w:tc>
        <w:tc>
          <w:tcPr>
            <w:tcW w:w="2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w:t>
            </w:r>
          </w:p>
        </w:tc>
      </w:tr>
      <w:tr>
        <w:trPr>
          <w:trHeight w:val="257"/>
        </w:trPr>
        <w:tc>
          <w:tcPr>
            <w:tcW w:w="8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covenant amount of third-party net debt</w:t>
            </w:r>
          </w:p>
        </w:tc>
        <w:tc>
          <w:tcPr>
            <w:tcW w:w="2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3,231.8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3,239.7</w:t>
            </w:r>
          </w:p>
        </w:tc>
      </w:tr>
      <w:tr>
        <w:trPr>
          <w:trHeight w:val="20"/>
        </w:trPr>
        <w:tc>
          <w:tcPr>
            <w:tcW w:w="8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609"/>
        </w:trPr>
        <w:tc>
          <w:tcPr>
            <w:tcW w:w="8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18</w:t>
            </w:r>
          </w:p>
        </w:tc>
      </w:tr>
    </w:tbl>
    <w:p>
      <w:pPr>
        <w:sectPr>
          <w:pgSz w:w="11900" w:h="16838" w:orient="portrait"/>
          <w:cols w:equalWidth="0" w:num="1">
            <w:col w:w="11240"/>
          </w:cols>
          <w:pgMar w:left="320" w:top="1194" w:right="339" w:bottom="1440" w:gutter="0" w:footer="0" w:header="0"/>
        </w:sectPr>
      </w:pPr>
    </w:p>
    <w:bookmarkStart w:id="21" w:name="page22"/>
    <w:bookmarkEnd w:id="21"/>
    <w:p>
      <w:pPr>
        <w:spacing w:after="0"/>
        <w:rPr>
          <w:sz w:val="20"/>
          <w:szCs w:val="20"/>
          <w:color w:val="auto"/>
        </w:rPr>
      </w:pPr>
      <w:r>
        <w:rPr>
          <w:rFonts w:ascii="Arial" w:cs="Arial" w:eastAsia="Arial" w:hAnsi="Arial"/>
          <w:sz w:val="25"/>
          <w:szCs w:val="25"/>
          <w:b w:val="1"/>
          <w:bCs w:val="1"/>
          <w:color w:val="48BFC2"/>
        </w:rPr>
        <w:drawing>
          <wp:anchor simplePos="0" relativeHeight="251657728" behindDoc="1" locked="0" layoutInCell="0" allowOverlap="1">
            <wp:simplePos x="0" y="0"/>
            <wp:positionH relativeFrom="page">
              <wp:posOffset>6809105</wp:posOffset>
            </wp:positionH>
            <wp:positionV relativeFrom="page">
              <wp:posOffset>88900</wp:posOffset>
            </wp:positionV>
            <wp:extent cx="531495" cy="53149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clrChange>
                        <a:clrFrom>
                          <a:srgbClr val="FFFFFF"/>
                        </a:clrFrom>
                        <a:clrTo>
                          <a:srgbClr val="FFFFFF">
                            <a:alpha val="0"/>
                          </a:srgbClr>
                        </a:clrTo>
                      </a:clrChange>
                      <a:extLst>
                        <a:ext uri="{28A0092B-C50C-407E-A947-70E740481C1C}"/>
                      </a:extLst>
                    </a:blip>
                    <a:srcRect/>
                    <a:stretch>
                      <a:fillRect/>
                    </a:stretch>
                  </pic:blipFill>
                  <pic:spPr bwMode="auto">
                    <a:xfrm>
                      <a:off x="0" y="0"/>
                      <a:ext cx="531495" cy="531495"/>
                    </a:xfrm>
                    <a:prstGeom prst="rect">
                      <a:avLst/>
                    </a:prstGeom>
                    <a:noFill/>
                  </pic:spPr>
                </pic:pic>
              </a:graphicData>
            </a:graphic>
          </wp:anchor>
        </w:drawing>
        <w:t>Forward-Looking Statements</w:t>
      </w:r>
    </w:p>
    <w:p>
      <w:pPr>
        <w:spacing w:after="0" w:line="209" w:lineRule="exact"/>
        <w:rPr>
          <w:sz w:val="20"/>
          <w:szCs w:val="20"/>
          <w:color w:val="auto"/>
        </w:rPr>
      </w:pPr>
    </w:p>
    <w:p>
      <w:pPr>
        <w:jc w:val="both"/>
        <w:spacing w:after="0" w:line="249" w:lineRule="auto"/>
        <w:rPr>
          <w:sz w:val="20"/>
          <w:szCs w:val="20"/>
          <w:color w:val="auto"/>
        </w:rPr>
      </w:pPr>
      <w:r>
        <w:rPr>
          <w:rFonts w:ascii="Arial" w:cs="Arial" w:eastAsia="Arial" w:hAnsi="Arial"/>
          <w:sz w:val="17"/>
          <w:szCs w:val="17"/>
          <w:color w:val="auto"/>
        </w:rPr>
        <w:t xml:space="preserve">This press release contains forward-looking statements within the meaning of the Private Securities Litigation Reform Act of 1995, including statements with respect to our strategies, future growth prospects and opportunities; expectations with respect to our financial performance; </w:t>
      </w:r>
      <w:r>
        <w:rPr>
          <w:rFonts w:ascii="Arial" w:cs="Arial" w:eastAsia="Arial" w:hAnsi="Arial"/>
          <w:sz w:val="16"/>
          <w:szCs w:val="16"/>
          <w:color w:val="auto"/>
        </w:rPr>
        <w:t xml:space="preserve">expectations with respect to continued network resiliency, capacity and connectivity amidst the COVID-19 usage surge; expected launch of broadband speed increases and connectivity and entertainment enhancements, including </w:t>
      </w:r>
      <w:r>
        <w:rPr>
          <w:rFonts w:ascii="Arial" w:cs="Arial" w:eastAsia="Arial" w:hAnsi="Arial"/>
          <w:sz w:val="17"/>
          <w:szCs w:val="17"/>
          <w:color w:val="auto"/>
        </w:rPr>
        <w:t>the anticipated continued rollout of 1 Gbps broadband service at Virgin</w:t>
      </w:r>
      <w:r>
        <w:rPr>
          <w:rFonts w:ascii="Arial" w:cs="Arial" w:eastAsia="Arial" w:hAnsi="Arial"/>
          <w:sz w:val="16"/>
          <w:szCs w:val="16"/>
          <w:color w:val="auto"/>
        </w:rPr>
        <w:t xml:space="preserve"> </w:t>
      </w:r>
      <w:r>
        <w:rPr>
          <w:rFonts w:ascii="Arial" w:cs="Arial" w:eastAsia="Arial" w:hAnsi="Arial"/>
          <w:sz w:val="17"/>
          <w:szCs w:val="17"/>
          <w:color w:val="auto"/>
        </w:rPr>
        <w:t xml:space="preserve">Media; the strength of our balance sheet and tenor of our third-party debt; projected principal-related cash flows of our cross currency derivative instruments; our anticipated borrowing capacity and use of debt proceeds; and other information and statements that are not historical fact. These forward-looking statements involve certain risks and uncertainties that could cause actual results to differ materially from those expressed or implied by these statements. These risks and uncertainties include events that are outside of our control, such as the continued use by subscribers and potential subscribers of our and our affiliates’ services and their willingness to upgrade to our more advanced offerings; our and our affiliates’ ability to meet challenges from competition, to manage rapid technological change or to maintain or increase rates to subscribers or to pass through increased costs to subscribers; </w:t>
      </w:r>
      <w:r>
        <w:rPr>
          <w:rFonts w:ascii="Arial" w:cs="Arial" w:eastAsia="Arial" w:hAnsi="Arial"/>
          <w:sz w:val="16"/>
          <w:szCs w:val="16"/>
          <w:color w:val="auto"/>
        </w:rPr>
        <w:t>the potential impact of the recent outbreak of COVID-19 on our company;</w:t>
      </w:r>
      <w:r>
        <w:rPr>
          <w:rFonts w:ascii="Arial" w:cs="Arial" w:eastAsia="Arial" w:hAnsi="Arial"/>
          <w:sz w:val="17"/>
          <w:szCs w:val="17"/>
          <w:color w:val="auto"/>
        </w:rPr>
        <w:t xml:space="preserve"> the effects of changes in laws or regulation; the effects of the U.K.’s exit from the E.U.; general economic factors; our and our affiliates’ ability to obtain regulatory approval and satisfy regulatory conditions associated with acquisitions and dispositions; our and affiliates’ ability to successfully acquire and integrate new businesses and realize anticipated efficiencies from acquired businesses; the availability of attractive programming for our and our affiliates’ video services and the costs associated with such programming; our and our affiliates’ ability to achieve forecasted financial and operating targets; the outcome of any pending or threatened litigation; the ability of our operating companies and affiliates to access cash of their respective subsidiaries; the impact of our operating companies' and affiliates’ future financial performance, or market conditions generally, on the availability, terms and deployment of capital; fluctuations in currency exchange and interest rates; the ability of suppliers, vendors and contractors to timely deliver quality products, equipment, software, services and access; our and our affiliates’ ability to adequately forecast and plan future network requirements including the costs and benefits associated with network expansions; and other factors detailed from time to time in our filings with the Securities and Exchange Commission, including our most recently filed Form 10-K/A and </w:t>
      </w:r>
      <w:r>
        <w:rPr>
          <w:rFonts w:ascii="Arial" w:cs="Arial" w:eastAsia="Arial" w:hAnsi="Arial"/>
          <w:sz w:val="16"/>
          <w:szCs w:val="16"/>
          <w:color w:val="auto"/>
        </w:rPr>
        <w:t>Forms 10-Q</w:t>
      </w:r>
      <w:r>
        <w:rPr>
          <w:rFonts w:ascii="Arial" w:cs="Arial" w:eastAsia="Arial" w:hAnsi="Arial"/>
          <w:sz w:val="17"/>
          <w:szCs w:val="17"/>
          <w:color w:val="auto"/>
        </w:rPr>
        <w:t>. These forward-looking statements speak only as of the date of this release. We expressly disclaim any obligation or undertaking to disseminate any updates or revisions to any forward-looking statement contained herein to reflect any change in our expectations with regard thereto or any change in events, conditions or circumstances on which any such statement is based.</w:t>
      </w:r>
    </w:p>
    <w:p>
      <w:pPr>
        <w:spacing w:after="0" w:line="279" w:lineRule="exact"/>
        <w:rPr>
          <w:sz w:val="20"/>
          <w:szCs w:val="20"/>
          <w:color w:val="auto"/>
        </w:rPr>
      </w:pPr>
    </w:p>
    <w:p>
      <w:pPr>
        <w:spacing w:after="0"/>
        <w:rPr>
          <w:sz w:val="20"/>
          <w:szCs w:val="20"/>
          <w:color w:val="auto"/>
        </w:rPr>
      </w:pPr>
      <w:r>
        <w:rPr>
          <w:rFonts w:ascii="Arial" w:cs="Arial" w:eastAsia="Arial" w:hAnsi="Arial"/>
          <w:sz w:val="25"/>
          <w:szCs w:val="25"/>
          <w:b w:val="1"/>
          <w:bCs w:val="1"/>
          <w:color w:val="48BFC2"/>
        </w:rPr>
        <w:t>Contact Information</w:t>
      </w:r>
    </w:p>
    <w:p>
      <w:pPr>
        <w:spacing w:after="0" w:line="225"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2880" w:type="dxa"/>
            <w:vAlign w:val="bottom"/>
            <w:gridSpan w:val="2"/>
          </w:tcPr>
          <w:p>
            <w:pPr>
              <w:spacing w:after="0"/>
              <w:rPr>
                <w:sz w:val="20"/>
                <w:szCs w:val="20"/>
                <w:color w:val="auto"/>
              </w:rPr>
            </w:pPr>
            <w:r>
              <w:rPr>
                <w:rFonts w:ascii="Arial" w:cs="Arial" w:eastAsia="Arial" w:hAnsi="Arial"/>
                <w:sz w:val="18"/>
                <w:szCs w:val="18"/>
                <w:b w:val="1"/>
                <w:bCs w:val="1"/>
                <w:color w:val="auto"/>
                <w:w w:val="99"/>
              </w:rPr>
              <w:t>Liberty Global Investor Relations:</w:t>
            </w:r>
          </w:p>
        </w:tc>
        <w:tc>
          <w:tcPr>
            <w:tcW w:w="2600" w:type="dxa"/>
            <w:vAlign w:val="bottom"/>
          </w:tcPr>
          <w:p>
            <w:pPr>
              <w:spacing w:after="0"/>
              <w:rPr>
                <w:sz w:val="18"/>
                <w:szCs w:val="18"/>
                <w:color w:val="auto"/>
              </w:rPr>
            </w:pPr>
          </w:p>
        </w:tc>
        <w:tc>
          <w:tcPr>
            <w:tcW w:w="3900" w:type="dxa"/>
            <w:vAlign w:val="bottom"/>
            <w:gridSpan w:val="3"/>
          </w:tcPr>
          <w:p>
            <w:pPr>
              <w:spacing w:after="0"/>
              <w:rPr>
                <w:sz w:val="20"/>
                <w:szCs w:val="20"/>
                <w:color w:val="auto"/>
              </w:rPr>
            </w:pPr>
            <w:r>
              <w:rPr>
                <w:rFonts w:ascii="Arial" w:cs="Arial" w:eastAsia="Arial" w:hAnsi="Arial"/>
                <w:sz w:val="18"/>
                <w:szCs w:val="18"/>
                <w:b w:val="1"/>
                <w:bCs w:val="1"/>
                <w:color w:val="auto"/>
              </w:rPr>
              <w:t>Liberty Global Corporate Communications:</w:t>
            </w:r>
          </w:p>
        </w:tc>
      </w:tr>
      <w:tr>
        <w:trPr>
          <w:trHeight w:val="20"/>
        </w:trPr>
        <w:tc>
          <w:tcPr>
            <w:tcW w:w="19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2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77"/>
        </w:trPr>
        <w:tc>
          <w:tcPr>
            <w:tcW w:w="1960" w:type="dxa"/>
            <w:vAlign w:val="bottom"/>
          </w:tcPr>
          <w:p>
            <w:pPr>
              <w:spacing w:after="0"/>
              <w:rPr>
                <w:sz w:val="20"/>
                <w:szCs w:val="20"/>
                <w:color w:val="auto"/>
              </w:rPr>
            </w:pPr>
            <w:r>
              <w:rPr>
                <w:rFonts w:ascii="Arial" w:cs="Arial" w:eastAsia="Arial" w:hAnsi="Arial"/>
                <w:sz w:val="18"/>
                <w:szCs w:val="18"/>
                <w:color w:val="auto"/>
              </w:rPr>
              <w:t>Matt Coates</w:t>
            </w:r>
          </w:p>
        </w:tc>
        <w:tc>
          <w:tcPr>
            <w:tcW w:w="3520" w:type="dxa"/>
            <w:vAlign w:val="bottom"/>
            <w:gridSpan w:val="2"/>
          </w:tcPr>
          <w:p>
            <w:pPr>
              <w:ind w:left="840"/>
              <w:spacing w:after="0"/>
              <w:rPr>
                <w:sz w:val="20"/>
                <w:szCs w:val="20"/>
                <w:color w:val="auto"/>
              </w:rPr>
            </w:pPr>
            <w:r>
              <w:rPr>
                <w:rFonts w:ascii="Arial" w:cs="Arial" w:eastAsia="Arial" w:hAnsi="Arial"/>
                <w:sz w:val="18"/>
                <w:szCs w:val="18"/>
                <w:color w:val="auto"/>
              </w:rPr>
              <w:t>+44 20 8483 6333</w:t>
            </w:r>
          </w:p>
        </w:tc>
        <w:tc>
          <w:tcPr>
            <w:tcW w:w="1680" w:type="dxa"/>
            <w:vAlign w:val="bottom"/>
          </w:tcPr>
          <w:p>
            <w:pPr>
              <w:spacing w:after="0"/>
              <w:rPr>
                <w:sz w:val="20"/>
                <w:szCs w:val="20"/>
                <w:color w:val="auto"/>
              </w:rPr>
            </w:pPr>
            <w:r>
              <w:rPr>
                <w:rFonts w:ascii="Arial" w:cs="Arial" w:eastAsia="Arial" w:hAnsi="Arial"/>
                <w:sz w:val="18"/>
                <w:szCs w:val="18"/>
                <w:color w:val="auto"/>
              </w:rPr>
              <w:t>Matt Beake</w:t>
            </w:r>
          </w:p>
        </w:tc>
        <w:tc>
          <w:tcPr>
            <w:tcW w:w="2220" w:type="dxa"/>
            <w:vAlign w:val="bottom"/>
            <w:gridSpan w:val="2"/>
          </w:tcPr>
          <w:p>
            <w:pPr>
              <w:jc w:val="right"/>
              <w:spacing w:after="0"/>
              <w:rPr>
                <w:sz w:val="20"/>
                <w:szCs w:val="20"/>
                <w:color w:val="auto"/>
              </w:rPr>
            </w:pPr>
            <w:r>
              <w:rPr>
                <w:rFonts w:ascii="Arial" w:cs="Arial" w:eastAsia="Arial" w:hAnsi="Arial"/>
                <w:sz w:val="18"/>
                <w:szCs w:val="18"/>
                <w:color w:val="auto"/>
              </w:rPr>
              <w:t>+44 20 8483 6428</w:t>
            </w:r>
          </w:p>
        </w:tc>
      </w:tr>
      <w:tr>
        <w:trPr>
          <w:trHeight w:val="270"/>
        </w:trPr>
        <w:tc>
          <w:tcPr>
            <w:tcW w:w="1960" w:type="dxa"/>
            <w:vAlign w:val="bottom"/>
          </w:tcPr>
          <w:p>
            <w:pPr>
              <w:spacing w:after="0"/>
              <w:rPr>
                <w:sz w:val="20"/>
                <w:szCs w:val="20"/>
                <w:color w:val="auto"/>
              </w:rPr>
            </w:pPr>
            <w:r>
              <w:rPr>
                <w:rFonts w:ascii="Arial" w:cs="Arial" w:eastAsia="Arial" w:hAnsi="Arial"/>
                <w:sz w:val="18"/>
                <w:szCs w:val="18"/>
                <w:color w:val="auto"/>
              </w:rPr>
              <w:t>John Rea</w:t>
            </w:r>
          </w:p>
        </w:tc>
        <w:tc>
          <w:tcPr>
            <w:tcW w:w="3520" w:type="dxa"/>
            <w:vAlign w:val="bottom"/>
            <w:gridSpan w:val="2"/>
          </w:tcPr>
          <w:p>
            <w:pPr>
              <w:ind w:left="840"/>
              <w:spacing w:after="0"/>
              <w:rPr>
                <w:sz w:val="20"/>
                <w:szCs w:val="20"/>
                <w:color w:val="auto"/>
              </w:rPr>
            </w:pPr>
            <w:r>
              <w:rPr>
                <w:rFonts w:ascii="Arial" w:cs="Arial" w:eastAsia="Arial" w:hAnsi="Arial"/>
                <w:sz w:val="18"/>
                <w:szCs w:val="18"/>
                <w:color w:val="auto"/>
              </w:rPr>
              <w:t>+1 303 220 4238</w:t>
            </w:r>
          </w:p>
        </w:tc>
        <w:tc>
          <w:tcPr>
            <w:tcW w:w="1680" w:type="dxa"/>
            <w:vAlign w:val="bottom"/>
          </w:tcPr>
          <w:p>
            <w:pPr>
              <w:spacing w:after="0"/>
              <w:rPr>
                <w:sz w:val="23"/>
                <w:szCs w:val="23"/>
                <w:color w:val="auto"/>
              </w:rPr>
            </w:pPr>
          </w:p>
        </w:tc>
        <w:tc>
          <w:tcPr>
            <w:tcW w:w="2000" w:type="dxa"/>
            <w:vAlign w:val="bottom"/>
          </w:tcPr>
          <w:p>
            <w:pPr>
              <w:spacing w:after="0"/>
              <w:rPr>
                <w:sz w:val="23"/>
                <w:szCs w:val="23"/>
                <w:color w:val="auto"/>
              </w:rPr>
            </w:pPr>
          </w:p>
        </w:tc>
        <w:tc>
          <w:tcPr>
            <w:tcW w:w="220" w:type="dxa"/>
            <w:vAlign w:val="bottom"/>
          </w:tcPr>
          <w:p>
            <w:pPr>
              <w:spacing w:after="0"/>
              <w:rPr>
                <w:sz w:val="23"/>
                <w:szCs w:val="23"/>
                <w:color w:val="auto"/>
              </w:rPr>
            </w:pPr>
          </w:p>
        </w:tc>
      </w:tr>
      <w:tr>
        <w:trPr>
          <w:trHeight w:val="270"/>
        </w:trPr>
        <w:tc>
          <w:tcPr>
            <w:tcW w:w="1960" w:type="dxa"/>
            <w:vAlign w:val="bottom"/>
          </w:tcPr>
          <w:p>
            <w:pPr>
              <w:spacing w:after="0"/>
              <w:rPr>
                <w:sz w:val="20"/>
                <w:szCs w:val="20"/>
                <w:color w:val="auto"/>
              </w:rPr>
            </w:pPr>
            <w:r>
              <w:rPr>
                <w:rFonts w:ascii="Arial" w:cs="Arial" w:eastAsia="Arial" w:hAnsi="Arial"/>
                <w:sz w:val="18"/>
                <w:szCs w:val="18"/>
                <w:color w:val="auto"/>
              </w:rPr>
              <w:t>Stefan Halters</w:t>
            </w:r>
          </w:p>
        </w:tc>
        <w:tc>
          <w:tcPr>
            <w:tcW w:w="3520" w:type="dxa"/>
            <w:vAlign w:val="bottom"/>
            <w:gridSpan w:val="2"/>
          </w:tcPr>
          <w:p>
            <w:pPr>
              <w:ind w:left="840"/>
              <w:spacing w:after="0"/>
              <w:rPr>
                <w:sz w:val="20"/>
                <w:szCs w:val="20"/>
                <w:color w:val="auto"/>
              </w:rPr>
            </w:pPr>
            <w:r>
              <w:rPr>
                <w:rFonts w:ascii="Arial" w:cs="Arial" w:eastAsia="Arial" w:hAnsi="Arial"/>
                <w:sz w:val="18"/>
                <w:szCs w:val="18"/>
                <w:color w:val="auto"/>
              </w:rPr>
              <w:t>+44 20 8483 6211</w:t>
            </w:r>
          </w:p>
        </w:tc>
        <w:tc>
          <w:tcPr>
            <w:tcW w:w="1680" w:type="dxa"/>
            <w:vAlign w:val="bottom"/>
          </w:tcPr>
          <w:p>
            <w:pPr>
              <w:spacing w:after="0"/>
              <w:rPr>
                <w:sz w:val="23"/>
                <w:szCs w:val="23"/>
                <w:color w:val="auto"/>
              </w:rPr>
            </w:pPr>
          </w:p>
        </w:tc>
        <w:tc>
          <w:tcPr>
            <w:tcW w:w="2000" w:type="dxa"/>
            <w:vAlign w:val="bottom"/>
          </w:tcPr>
          <w:p>
            <w:pPr>
              <w:spacing w:after="0"/>
              <w:rPr>
                <w:sz w:val="23"/>
                <w:szCs w:val="23"/>
                <w:color w:val="auto"/>
              </w:rPr>
            </w:pPr>
          </w:p>
        </w:tc>
        <w:tc>
          <w:tcPr>
            <w:tcW w:w="220" w:type="dxa"/>
            <w:vAlign w:val="bottom"/>
          </w:tcPr>
          <w:p>
            <w:pPr>
              <w:spacing w:after="0"/>
              <w:rPr>
                <w:sz w:val="23"/>
                <w:szCs w:val="23"/>
                <w:color w:val="auto"/>
              </w:rPr>
            </w:pPr>
          </w:p>
        </w:tc>
      </w:tr>
    </w:tbl>
    <w:p>
      <w:pPr>
        <w:spacing w:after="0" w:line="131"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2740" w:type="dxa"/>
            <w:vAlign w:val="bottom"/>
          </w:tcPr>
          <w:p>
            <w:pPr>
              <w:spacing w:after="0"/>
              <w:rPr>
                <w:sz w:val="20"/>
                <w:szCs w:val="20"/>
                <w:color w:val="auto"/>
              </w:rPr>
            </w:pPr>
            <w:r>
              <w:rPr>
                <w:rFonts w:ascii="Arial" w:cs="Arial" w:eastAsia="Arial" w:hAnsi="Arial"/>
                <w:sz w:val="18"/>
                <w:szCs w:val="18"/>
                <w:b w:val="1"/>
                <w:bCs w:val="1"/>
                <w:color w:val="auto"/>
                <w:w w:val="99"/>
              </w:rPr>
              <w:t>Virgin Media Investor Relations:</w:t>
            </w:r>
          </w:p>
        </w:tc>
        <w:tc>
          <w:tcPr>
            <w:tcW w:w="2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3900" w:type="dxa"/>
            <w:vAlign w:val="bottom"/>
            <w:gridSpan w:val="3"/>
          </w:tcPr>
          <w:p>
            <w:pPr>
              <w:spacing w:after="0"/>
              <w:rPr>
                <w:sz w:val="20"/>
                <w:szCs w:val="20"/>
                <w:color w:val="auto"/>
              </w:rPr>
            </w:pPr>
            <w:r>
              <w:rPr>
                <w:rFonts w:ascii="Arial" w:cs="Arial" w:eastAsia="Arial" w:hAnsi="Arial"/>
                <w:sz w:val="18"/>
                <w:szCs w:val="18"/>
                <w:b w:val="1"/>
                <w:bCs w:val="1"/>
                <w:color w:val="auto"/>
              </w:rPr>
              <w:t>Virgin Media Corporate Communications:</w:t>
            </w:r>
          </w:p>
        </w:tc>
      </w:tr>
      <w:tr>
        <w:trPr>
          <w:trHeight w:val="20"/>
        </w:trPr>
        <w:tc>
          <w:tcPr>
            <w:tcW w:w="27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780" w:type="dxa"/>
            <w:vAlign w:val="bottom"/>
            <w:shd w:val="clear" w:color="auto" w:fill="000000"/>
          </w:tcPr>
          <w:p>
            <w:pPr>
              <w:spacing w:after="0" w:line="20" w:lineRule="exact"/>
              <w:rPr>
                <w:sz w:val="1"/>
                <w:szCs w:val="1"/>
                <w:color w:val="auto"/>
              </w:rPr>
            </w:pPr>
          </w:p>
        </w:tc>
        <w:tc>
          <w:tcPr>
            <w:tcW w:w="17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77"/>
        </w:trPr>
        <w:tc>
          <w:tcPr>
            <w:tcW w:w="2740" w:type="dxa"/>
            <w:vAlign w:val="bottom"/>
          </w:tcPr>
          <w:p>
            <w:pPr>
              <w:spacing w:after="0"/>
              <w:rPr>
                <w:sz w:val="20"/>
                <w:szCs w:val="20"/>
                <w:color w:val="auto"/>
              </w:rPr>
            </w:pPr>
            <w:r>
              <w:rPr>
                <w:rFonts w:ascii="Arial" w:cs="Arial" w:eastAsia="Arial" w:hAnsi="Arial"/>
                <w:sz w:val="18"/>
                <w:szCs w:val="18"/>
                <w:color w:val="auto"/>
              </w:rPr>
              <w:t>Vani Bassi</w:t>
            </w:r>
          </w:p>
        </w:tc>
        <w:tc>
          <w:tcPr>
            <w:tcW w:w="20" w:type="dxa"/>
            <w:vAlign w:val="bottom"/>
          </w:tcPr>
          <w:p>
            <w:pPr>
              <w:spacing w:after="0"/>
              <w:rPr>
                <w:sz w:val="24"/>
                <w:szCs w:val="24"/>
                <w:color w:val="auto"/>
              </w:rPr>
            </w:pPr>
          </w:p>
        </w:tc>
        <w:tc>
          <w:tcPr>
            <w:tcW w:w="2720" w:type="dxa"/>
            <w:vAlign w:val="bottom"/>
          </w:tcPr>
          <w:p>
            <w:pPr>
              <w:jc w:val="right"/>
              <w:ind w:right="1130"/>
              <w:spacing w:after="0"/>
              <w:rPr>
                <w:sz w:val="20"/>
                <w:szCs w:val="20"/>
                <w:color w:val="auto"/>
              </w:rPr>
            </w:pPr>
            <w:r>
              <w:rPr>
                <w:rFonts w:ascii="Arial" w:cs="Arial" w:eastAsia="Arial" w:hAnsi="Arial"/>
                <w:sz w:val="18"/>
                <w:szCs w:val="18"/>
                <w:color w:val="auto"/>
              </w:rPr>
              <w:t>+44 333 000 2912</w:t>
            </w:r>
          </w:p>
        </w:tc>
        <w:tc>
          <w:tcPr>
            <w:tcW w:w="1780" w:type="dxa"/>
            <w:vAlign w:val="bottom"/>
          </w:tcPr>
          <w:p>
            <w:pPr>
              <w:spacing w:after="0"/>
              <w:rPr>
                <w:sz w:val="20"/>
                <w:szCs w:val="20"/>
                <w:color w:val="auto"/>
              </w:rPr>
            </w:pPr>
            <w:r>
              <w:rPr>
                <w:rFonts w:ascii="Arial" w:cs="Arial" w:eastAsia="Arial" w:hAnsi="Arial"/>
                <w:sz w:val="18"/>
                <w:szCs w:val="18"/>
                <w:color w:val="auto"/>
              </w:rPr>
              <w:t>James Lusher</w:t>
            </w:r>
          </w:p>
        </w:tc>
        <w:tc>
          <w:tcPr>
            <w:tcW w:w="2120" w:type="dxa"/>
            <w:vAlign w:val="bottom"/>
            <w:gridSpan w:val="2"/>
          </w:tcPr>
          <w:p>
            <w:pPr>
              <w:jc w:val="right"/>
              <w:spacing w:after="0"/>
              <w:rPr>
                <w:sz w:val="20"/>
                <w:szCs w:val="20"/>
                <w:color w:val="auto"/>
              </w:rPr>
            </w:pPr>
            <w:r>
              <w:rPr>
                <w:rFonts w:ascii="Arial" w:cs="Arial" w:eastAsia="Arial" w:hAnsi="Arial"/>
                <w:sz w:val="18"/>
                <w:szCs w:val="18"/>
                <w:color w:val="auto"/>
              </w:rPr>
              <w:t>+44 333 000 2900</w:t>
            </w:r>
          </w:p>
        </w:tc>
      </w:tr>
    </w:tbl>
    <w:p>
      <w:pPr>
        <w:spacing w:after="0" w:line="294" w:lineRule="exact"/>
        <w:rPr>
          <w:sz w:val="20"/>
          <w:szCs w:val="20"/>
          <w:color w:val="auto"/>
        </w:rPr>
      </w:pPr>
    </w:p>
    <w:p>
      <w:pPr>
        <w:spacing w:after="0"/>
        <w:rPr>
          <w:sz w:val="20"/>
          <w:szCs w:val="20"/>
          <w:color w:val="auto"/>
        </w:rPr>
      </w:pPr>
      <w:r>
        <w:rPr>
          <w:rFonts w:ascii="Arial" w:cs="Arial" w:eastAsia="Arial" w:hAnsi="Arial"/>
          <w:sz w:val="25"/>
          <w:szCs w:val="25"/>
          <w:b w:val="1"/>
          <w:bCs w:val="1"/>
          <w:color w:val="48BFC2"/>
        </w:rPr>
        <w:t>About Liberty Global</w:t>
      </w:r>
    </w:p>
    <w:p>
      <w:pPr>
        <w:spacing w:after="0" w:line="236" w:lineRule="exact"/>
        <w:rPr>
          <w:sz w:val="20"/>
          <w:szCs w:val="20"/>
          <w:color w:val="auto"/>
        </w:rPr>
      </w:pPr>
    </w:p>
    <w:p>
      <w:pPr>
        <w:jc w:val="both"/>
        <w:spacing w:after="0" w:line="250" w:lineRule="auto"/>
        <w:rPr>
          <w:sz w:val="20"/>
          <w:szCs w:val="20"/>
          <w:color w:val="auto"/>
        </w:rPr>
      </w:pPr>
      <w:r>
        <w:rPr>
          <w:rFonts w:ascii="Arial" w:cs="Arial" w:eastAsia="Arial" w:hAnsi="Arial"/>
          <w:sz w:val="17"/>
          <w:szCs w:val="17"/>
          <w:color w:val="auto"/>
        </w:rPr>
        <w:t>Liberty Global (NASDAQ: LBTYA, LBTYB and LBTYK) is one of the world’s leading converged video, broadband and communications companies, with operations in six European countries under the consumer brands Virgin Media, Telenet and UPC. We invest in the infrastructure and digital platforms that empower our customers to make the most of the digital revolution. Our substantial scale and commitment to innovation enable us to develop market-leading products delivered through next-generation networks that connect 11 million customers subscribing to 25 million TV, broadband internet and telephony services. We also serve 6 million mobile subscribers and offer WiFi service through millions of access points across our footprint.</w:t>
      </w:r>
    </w:p>
    <w:p>
      <w:pPr>
        <w:spacing w:after="0" w:line="290"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In addition, Liberty Global owns 50% of VodafoneZiggo, a joint venture in the Netherlands with 4 million customers subscribing to 10 million fixed-line and 5 million mobile services, as well as significant investments in ITV, All3Media, ITI Neovision, LionsGate, the Formula E racing series and several regional sports networks.</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color w:val="auto"/>
        </w:rPr>
        <w:t>For more information, please visit www.libertyglobal.com.</w:t>
      </w:r>
    </w:p>
    <w:p>
      <w:pPr>
        <w:spacing w:after="0" w:line="339" w:lineRule="exact"/>
        <w:rPr>
          <w:sz w:val="20"/>
          <w:szCs w:val="20"/>
          <w:color w:val="auto"/>
        </w:rPr>
      </w:pPr>
    </w:p>
    <w:p>
      <w:pPr>
        <w:ind w:left="11060"/>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240"/>
          </w:cols>
          <w:pgMar w:left="320" w:top="1378" w:right="339" w:bottom="1440" w:gutter="0" w:footer="0" w:header="0"/>
        </w:sectPr>
      </w:pPr>
    </w:p>
    <w:bookmarkStart w:id="22" w:name="page23"/>
    <w:bookmarkEnd w:id="22"/>
    <w:p>
      <w:pPr>
        <w:spacing w:after="0" w:line="11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6809105</wp:posOffset>
            </wp:positionH>
            <wp:positionV relativeFrom="page">
              <wp:posOffset>88900</wp:posOffset>
            </wp:positionV>
            <wp:extent cx="531495" cy="53149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clrChange>
                        <a:clrFrom>
                          <a:srgbClr val="FFFFFF"/>
                        </a:clrFrom>
                        <a:clrTo>
                          <a:srgbClr val="FFFFFF">
                            <a:alpha val="0"/>
                          </a:srgbClr>
                        </a:clrTo>
                      </a:clrChange>
                      <a:extLst>
                        <a:ext uri="{28A0092B-C50C-407E-A947-70E740481C1C}"/>
                      </a:extLst>
                    </a:blip>
                    <a:srcRect/>
                    <a:stretch>
                      <a:fillRect/>
                    </a:stretch>
                  </pic:blipFill>
                  <pic:spPr bwMode="auto">
                    <a:xfrm>
                      <a:off x="0" y="0"/>
                      <a:ext cx="531495" cy="531495"/>
                    </a:xfrm>
                    <a:prstGeom prst="rect">
                      <a:avLst/>
                    </a:prstGeom>
                    <a:noFill/>
                  </pic:spPr>
                </pic:pic>
              </a:graphicData>
            </a:graphic>
          </wp:anchor>
        </w:drawing>
      </w:r>
    </w:p>
    <w:p>
      <w:pPr>
        <w:jc w:val="center"/>
        <w:ind w:left="2060"/>
        <w:spacing w:after="0"/>
        <w:rPr>
          <w:sz w:val="20"/>
          <w:szCs w:val="20"/>
          <w:color w:val="auto"/>
        </w:rPr>
      </w:pPr>
      <w:r>
        <w:rPr>
          <w:rFonts w:ascii="Arial" w:cs="Arial" w:eastAsia="Arial" w:hAnsi="Arial"/>
          <w:sz w:val="20"/>
          <w:szCs w:val="20"/>
          <w:color w:val="004F9F"/>
        </w:rPr>
        <w:t>Selected Operating Data &amp; Subscriber Variance Table — As of and for the quarter ended March 31,</w:t>
      </w:r>
    </w:p>
    <w:p>
      <w:pPr>
        <w:jc w:val="center"/>
        <w:ind w:left="2060"/>
        <w:spacing w:after="0"/>
        <w:rPr>
          <w:sz w:val="20"/>
          <w:szCs w:val="20"/>
          <w:color w:val="auto"/>
        </w:rPr>
      </w:pPr>
      <w:r>
        <w:rPr>
          <w:rFonts w:ascii="Arial" w:cs="Arial" w:eastAsia="Arial" w:hAnsi="Arial"/>
          <w:sz w:val="20"/>
          <w:szCs w:val="20"/>
          <w:color w:val="004F9F"/>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1299210</wp:posOffset>
            </wp:positionH>
            <wp:positionV relativeFrom="paragraph">
              <wp:posOffset>10795</wp:posOffset>
            </wp:positionV>
            <wp:extent cx="583755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837555" cy="8255"/>
                    </a:xfrm>
                    <a:prstGeom prst="rect">
                      <a:avLst/>
                    </a:prstGeom>
                    <a:noFill/>
                  </pic:spPr>
                </pic:pic>
              </a:graphicData>
            </a:graphic>
          </wp:anchor>
        </w:drawing>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ind w:right="11"/>
              <w:spacing w:after="0"/>
              <w:rPr>
                <w:sz w:val="20"/>
                <w:szCs w:val="20"/>
                <w:color w:val="auto"/>
              </w:rPr>
            </w:pPr>
            <w:r>
              <w:rPr>
                <w:rFonts w:ascii="Arial" w:cs="Arial" w:eastAsia="Arial" w:hAnsi="Arial"/>
                <w:sz w:val="13"/>
                <w:szCs w:val="13"/>
                <w:b w:val="1"/>
                <w:bCs w:val="1"/>
                <w:color w:val="424242"/>
                <w:w w:val="95"/>
              </w:rPr>
              <w:t>Video</w:t>
            </w:r>
          </w:p>
        </w:tc>
        <w:tc>
          <w:tcPr>
            <w:tcW w:w="900" w:type="dxa"/>
            <w:vAlign w:val="bottom"/>
            <w:tcBorders>
              <w:bottom w:val="single" w:sz="8" w:color="auto"/>
            </w:tcBorders>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60" w:type="dxa"/>
            <w:vAlign w:val="bottom"/>
          </w:tcPr>
          <w:p>
            <w:pPr>
              <w:jc w:val="center"/>
              <w:ind w:right="11"/>
              <w:spacing w:after="0"/>
              <w:rPr>
                <w:sz w:val="20"/>
                <w:szCs w:val="20"/>
                <w:color w:val="auto"/>
              </w:rPr>
            </w:pPr>
            <w:r>
              <w:rPr>
                <w:rFonts w:ascii="Arial" w:cs="Arial" w:eastAsia="Arial" w:hAnsi="Arial"/>
                <w:sz w:val="11"/>
                <w:szCs w:val="11"/>
                <w:b w:val="1"/>
                <w:bCs w:val="1"/>
                <w:color w:val="424242"/>
                <w:w w:val="98"/>
              </w:rPr>
              <w:t>Fixed-Line</w:t>
            </w:r>
          </w:p>
        </w:tc>
        <w:tc>
          <w:tcPr>
            <w:tcW w:w="10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60" w:type="dxa"/>
            <w:vAlign w:val="bottom"/>
          </w:tcPr>
          <w:p>
            <w:pPr>
              <w:jc w:val="right"/>
              <w:ind w:right="290"/>
              <w:spacing w:after="0" w:line="122" w:lineRule="exact"/>
              <w:rPr>
                <w:sz w:val="20"/>
                <w:szCs w:val="20"/>
                <w:color w:val="auto"/>
              </w:rPr>
            </w:pPr>
            <w:r>
              <w:rPr>
                <w:rFonts w:ascii="Arial" w:cs="Arial" w:eastAsia="Arial" w:hAnsi="Arial"/>
                <w:sz w:val="11"/>
                <w:szCs w:val="11"/>
                <w:b w:val="1"/>
                <w:bCs w:val="1"/>
                <w:color w:val="424242"/>
              </w:rPr>
              <w:t>Homes</w:t>
            </w:r>
          </w:p>
        </w:tc>
        <w:tc>
          <w:tcPr>
            <w:tcW w:w="1060" w:type="dxa"/>
            <w:vAlign w:val="bottom"/>
          </w:tcPr>
          <w:p>
            <w:pPr>
              <w:jc w:val="center"/>
              <w:ind w:right="11"/>
              <w:spacing w:after="0" w:line="122" w:lineRule="exact"/>
              <w:rPr>
                <w:sz w:val="20"/>
                <w:szCs w:val="20"/>
                <w:color w:val="auto"/>
              </w:rPr>
            </w:pPr>
            <w:r>
              <w:rPr>
                <w:rFonts w:ascii="Arial" w:cs="Arial" w:eastAsia="Arial" w:hAnsi="Arial"/>
                <w:sz w:val="11"/>
                <w:szCs w:val="11"/>
                <w:b w:val="1"/>
                <w:bCs w:val="1"/>
                <w:color w:val="424242"/>
                <w:w w:val="97"/>
              </w:rPr>
              <w:t>Customer</w:t>
            </w:r>
          </w:p>
        </w:tc>
        <w:tc>
          <w:tcPr>
            <w:tcW w:w="1000" w:type="dxa"/>
            <w:vAlign w:val="bottom"/>
          </w:tcPr>
          <w:p>
            <w:pPr>
              <w:jc w:val="right"/>
              <w:ind w:right="350"/>
              <w:spacing w:after="0" w:line="122" w:lineRule="exact"/>
              <w:rPr>
                <w:sz w:val="20"/>
                <w:szCs w:val="20"/>
                <w:color w:val="auto"/>
              </w:rPr>
            </w:pPr>
            <w:r>
              <w:rPr>
                <w:rFonts w:ascii="Arial" w:cs="Arial" w:eastAsia="Arial" w:hAnsi="Arial"/>
                <w:sz w:val="11"/>
                <w:szCs w:val="11"/>
                <w:b w:val="1"/>
                <w:bCs w:val="1"/>
                <w:color w:val="424242"/>
              </w:rPr>
              <w:t>Total</w:t>
            </w:r>
          </w:p>
        </w:tc>
        <w:tc>
          <w:tcPr>
            <w:tcW w:w="980" w:type="dxa"/>
            <w:vAlign w:val="bottom"/>
          </w:tcPr>
          <w:p>
            <w:pPr>
              <w:jc w:val="right"/>
              <w:ind w:right="250"/>
              <w:spacing w:after="0" w:line="122" w:lineRule="exact"/>
              <w:rPr>
                <w:sz w:val="20"/>
                <w:szCs w:val="20"/>
                <w:color w:val="auto"/>
              </w:rPr>
            </w:pPr>
            <w:r>
              <w:rPr>
                <w:rFonts w:ascii="Arial" w:cs="Arial" w:eastAsia="Arial" w:hAnsi="Arial"/>
                <w:sz w:val="11"/>
                <w:szCs w:val="11"/>
                <w:b w:val="1"/>
                <w:bCs w:val="1"/>
                <w:color w:val="424242"/>
              </w:rPr>
              <w:t>Internet</w:t>
            </w:r>
          </w:p>
        </w:tc>
        <w:tc>
          <w:tcPr>
            <w:tcW w:w="1000" w:type="dxa"/>
            <w:vAlign w:val="bottom"/>
          </w:tcPr>
          <w:p>
            <w:pPr>
              <w:jc w:val="right"/>
              <w:ind w:right="130"/>
              <w:spacing w:after="0" w:line="122" w:lineRule="exact"/>
              <w:rPr>
                <w:sz w:val="20"/>
                <w:szCs w:val="20"/>
                <w:color w:val="auto"/>
              </w:rPr>
            </w:pPr>
            <w:r>
              <w:rPr>
                <w:rFonts w:ascii="Arial" w:cs="Arial" w:eastAsia="Arial" w:hAnsi="Arial"/>
                <w:sz w:val="11"/>
                <w:szCs w:val="11"/>
                <w:b w:val="1"/>
                <w:bCs w:val="1"/>
                <w:color w:val="424242"/>
              </w:rPr>
              <w:t>Basic Video</w:t>
            </w:r>
          </w:p>
        </w:tc>
        <w:tc>
          <w:tcPr>
            <w:tcW w:w="1100" w:type="dxa"/>
            <w:vAlign w:val="bottom"/>
          </w:tcPr>
          <w:p>
            <w:pPr>
              <w:jc w:val="center"/>
              <w:ind w:right="31"/>
              <w:spacing w:after="0" w:line="122" w:lineRule="exact"/>
              <w:rPr>
                <w:sz w:val="20"/>
                <w:szCs w:val="20"/>
                <w:color w:val="auto"/>
              </w:rPr>
            </w:pPr>
            <w:r>
              <w:rPr>
                <w:rFonts w:ascii="Arial" w:cs="Arial" w:eastAsia="Arial" w:hAnsi="Arial"/>
                <w:sz w:val="11"/>
                <w:szCs w:val="11"/>
                <w:b w:val="1"/>
                <w:bCs w:val="1"/>
                <w:color w:val="424242"/>
                <w:w w:val="98"/>
              </w:rPr>
              <w:t>Enhanced Video</w:t>
            </w:r>
          </w:p>
        </w:tc>
        <w:tc>
          <w:tcPr>
            <w:tcW w:w="900" w:type="dxa"/>
            <w:vAlign w:val="bottom"/>
          </w:tcPr>
          <w:p>
            <w:pPr>
              <w:jc w:val="right"/>
              <w:ind w:right="310"/>
              <w:spacing w:after="0" w:line="122" w:lineRule="exact"/>
              <w:rPr>
                <w:sz w:val="20"/>
                <w:szCs w:val="20"/>
                <w:color w:val="auto"/>
              </w:rPr>
            </w:pPr>
            <w:r>
              <w:rPr>
                <w:rFonts w:ascii="Arial" w:cs="Arial" w:eastAsia="Arial" w:hAnsi="Arial"/>
                <w:sz w:val="11"/>
                <w:szCs w:val="11"/>
                <w:b w:val="1"/>
                <w:bCs w:val="1"/>
                <w:color w:val="424242"/>
              </w:rPr>
              <w:t>Total</w:t>
            </w:r>
          </w:p>
        </w:tc>
        <w:tc>
          <w:tcPr>
            <w:tcW w:w="1000" w:type="dxa"/>
            <w:vAlign w:val="bottom"/>
          </w:tcPr>
          <w:p>
            <w:pPr>
              <w:jc w:val="right"/>
              <w:ind w:right="170"/>
              <w:spacing w:after="0" w:line="122" w:lineRule="exact"/>
              <w:rPr>
                <w:sz w:val="20"/>
                <w:szCs w:val="20"/>
                <w:color w:val="auto"/>
              </w:rPr>
            </w:pPr>
            <w:r>
              <w:rPr>
                <w:rFonts w:ascii="Arial" w:cs="Arial" w:eastAsia="Arial" w:hAnsi="Arial"/>
                <w:sz w:val="11"/>
                <w:szCs w:val="11"/>
                <w:b w:val="1"/>
                <w:bCs w:val="1"/>
                <w:color w:val="424242"/>
              </w:rPr>
              <w:t>Telephony</w:t>
            </w:r>
          </w:p>
        </w:tc>
        <w:tc>
          <w:tcPr>
            <w:tcW w:w="100" w:type="dxa"/>
            <w:vAlign w:val="bottom"/>
          </w:tcPr>
          <w:p>
            <w:pPr>
              <w:spacing w:after="0"/>
              <w:rPr>
                <w:sz w:val="10"/>
                <w:szCs w:val="10"/>
                <w:color w:val="auto"/>
              </w:rPr>
            </w:pPr>
          </w:p>
        </w:tc>
        <w:tc>
          <w:tcPr>
            <w:tcW w:w="1000" w:type="dxa"/>
            <w:vAlign w:val="bottom"/>
          </w:tcPr>
          <w:p>
            <w:pPr>
              <w:jc w:val="right"/>
              <w:ind w:right="110"/>
              <w:spacing w:after="0" w:line="122" w:lineRule="exact"/>
              <w:rPr>
                <w:sz w:val="20"/>
                <w:szCs w:val="20"/>
                <w:color w:val="auto"/>
              </w:rPr>
            </w:pPr>
            <w:r>
              <w:rPr>
                <w:rFonts w:ascii="Arial" w:cs="Arial" w:eastAsia="Arial" w:hAnsi="Arial"/>
                <w:sz w:val="11"/>
                <w:szCs w:val="11"/>
                <w:b w:val="1"/>
                <w:bCs w:val="1"/>
                <w:color w:val="424242"/>
              </w:rPr>
              <w:t>Total Mobile</w:t>
            </w:r>
          </w:p>
        </w:tc>
        <w:tc>
          <w:tcPr>
            <w:tcW w:w="0" w:type="dxa"/>
            <w:vAlign w:val="bottom"/>
          </w:tcPr>
          <w:p>
            <w:pPr>
              <w:spacing w:after="0"/>
              <w:rPr>
                <w:sz w:val="1"/>
                <w:szCs w:val="1"/>
                <w:color w:val="auto"/>
              </w:rPr>
            </w:pPr>
          </w:p>
        </w:tc>
      </w:tr>
      <w:tr>
        <w:trPr>
          <w:trHeight w:val="142"/>
        </w:trPr>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60" w:type="dxa"/>
            <w:vAlign w:val="bottom"/>
          </w:tcPr>
          <w:p>
            <w:pPr>
              <w:jc w:val="right"/>
              <w:ind w:right="290"/>
              <w:spacing w:after="0"/>
              <w:rPr>
                <w:sz w:val="20"/>
                <w:szCs w:val="20"/>
                <w:color w:val="auto"/>
              </w:rPr>
            </w:pPr>
            <w:r>
              <w:rPr>
                <w:rFonts w:ascii="Arial" w:cs="Arial" w:eastAsia="Arial" w:hAnsi="Arial"/>
                <w:sz w:val="11"/>
                <w:szCs w:val="11"/>
                <w:b w:val="1"/>
                <w:bCs w:val="1"/>
                <w:color w:val="424242"/>
              </w:rPr>
              <w:t>Passed</w:t>
            </w:r>
          </w:p>
        </w:tc>
        <w:tc>
          <w:tcPr>
            <w:tcW w:w="1060" w:type="dxa"/>
            <w:vAlign w:val="bottom"/>
          </w:tcPr>
          <w:p>
            <w:pPr>
              <w:jc w:val="center"/>
              <w:ind w:right="11"/>
              <w:spacing w:after="0"/>
              <w:rPr>
                <w:sz w:val="20"/>
                <w:szCs w:val="20"/>
                <w:color w:val="auto"/>
              </w:rPr>
            </w:pPr>
            <w:r>
              <w:rPr>
                <w:rFonts w:ascii="Arial" w:cs="Arial" w:eastAsia="Arial" w:hAnsi="Arial"/>
                <w:sz w:val="11"/>
                <w:szCs w:val="11"/>
                <w:b w:val="1"/>
                <w:bCs w:val="1"/>
                <w:color w:val="424242"/>
                <w:w w:val="96"/>
              </w:rPr>
              <w:t>Relationships</w:t>
            </w:r>
          </w:p>
        </w:tc>
        <w:tc>
          <w:tcPr>
            <w:tcW w:w="1000" w:type="dxa"/>
            <w:vAlign w:val="bottom"/>
          </w:tcPr>
          <w:p>
            <w:pPr>
              <w:jc w:val="right"/>
              <w:ind w:right="330"/>
              <w:spacing w:after="0"/>
              <w:rPr>
                <w:sz w:val="20"/>
                <w:szCs w:val="20"/>
                <w:color w:val="auto"/>
              </w:rPr>
            </w:pPr>
            <w:r>
              <w:rPr>
                <w:rFonts w:ascii="Arial" w:cs="Arial" w:eastAsia="Arial" w:hAnsi="Arial"/>
                <w:sz w:val="11"/>
                <w:szCs w:val="11"/>
                <w:b w:val="1"/>
                <w:bCs w:val="1"/>
                <w:color w:val="424242"/>
              </w:rPr>
              <w:t>RGUs</w:t>
            </w:r>
          </w:p>
        </w:tc>
        <w:tc>
          <w:tcPr>
            <w:tcW w:w="980" w:type="dxa"/>
            <w:vAlign w:val="bottom"/>
          </w:tcPr>
          <w:p>
            <w:pPr>
              <w:jc w:val="right"/>
              <w:ind w:right="90"/>
              <w:spacing w:after="0"/>
              <w:rPr>
                <w:sz w:val="20"/>
                <w:szCs w:val="20"/>
                <w:color w:val="auto"/>
              </w:rPr>
            </w:pPr>
            <w:r>
              <w:rPr>
                <w:rFonts w:ascii="Arial" w:cs="Arial" w:eastAsia="Arial" w:hAnsi="Arial"/>
                <w:sz w:val="11"/>
                <w:szCs w:val="11"/>
                <w:b w:val="1"/>
                <w:bCs w:val="1"/>
                <w:color w:val="424242"/>
              </w:rPr>
              <w:t>Subscribers</w:t>
            </w:r>
            <w:r>
              <w:rPr>
                <w:rFonts w:ascii="Arial" w:cs="Arial" w:eastAsia="Arial" w:hAnsi="Arial"/>
                <w:sz w:val="7"/>
                <w:szCs w:val="7"/>
                <w:b w:val="1"/>
                <w:bCs w:val="1"/>
                <w:color w:val="424242"/>
              </w:rPr>
              <w:t>(i)</w:t>
            </w:r>
          </w:p>
        </w:tc>
        <w:tc>
          <w:tcPr>
            <w:tcW w:w="1000" w:type="dxa"/>
            <w:vAlign w:val="bottom"/>
          </w:tcPr>
          <w:p>
            <w:pPr>
              <w:jc w:val="right"/>
              <w:ind w:right="70"/>
              <w:spacing w:after="0"/>
              <w:rPr>
                <w:sz w:val="20"/>
                <w:szCs w:val="20"/>
                <w:color w:val="auto"/>
              </w:rPr>
            </w:pPr>
            <w:r>
              <w:rPr>
                <w:rFonts w:ascii="Arial" w:cs="Arial" w:eastAsia="Arial" w:hAnsi="Arial"/>
                <w:sz w:val="11"/>
                <w:szCs w:val="11"/>
                <w:b w:val="1"/>
                <w:bCs w:val="1"/>
                <w:color w:val="424242"/>
              </w:rPr>
              <w:t>Subscribers</w:t>
            </w:r>
            <w:r>
              <w:rPr>
                <w:rFonts w:ascii="Arial" w:cs="Arial" w:eastAsia="Arial" w:hAnsi="Arial"/>
                <w:sz w:val="7"/>
                <w:szCs w:val="7"/>
                <w:b w:val="1"/>
                <w:bCs w:val="1"/>
                <w:color w:val="424242"/>
              </w:rPr>
              <w:t>(ii)</w:t>
            </w:r>
          </w:p>
        </w:tc>
        <w:tc>
          <w:tcPr>
            <w:tcW w:w="1100" w:type="dxa"/>
            <w:vAlign w:val="bottom"/>
          </w:tcPr>
          <w:p>
            <w:pPr>
              <w:jc w:val="center"/>
              <w:ind w:right="51"/>
              <w:spacing w:after="0"/>
              <w:rPr>
                <w:sz w:val="20"/>
                <w:szCs w:val="20"/>
                <w:color w:val="auto"/>
              </w:rPr>
            </w:pPr>
            <w:r>
              <w:rPr>
                <w:rFonts w:ascii="Arial" w:cs="Arial" w:eastAsia="Arial" w:hAnsi="Arial"/>
                <w:sz w:val="11"/>
                <w:szCs w:val="11"/>
                <w:b w:val="1"/>
                <w:bCs w:val="1"/>
                <w:color w:val="424242"/>
                <w:w w:val="97"/>
              </w:rPr>
              <w:t>Subscribers</w:t>
            </w:r>
          </w:p>
        </w:tc>
        <w:tc>
          <w:tcPr>
            <w:tcW w:w="900" w:type="dxa"/>
            <w:vAlign w:val="bottom"/>
          </w:tcPr>
          <w:p>
            <w:pPr>
              <w:jc w:val="right"/>
              <w:ind w:right="290"/>
              <w:spacing w:after="0"/>
              <w:rPr>
                <w:sz w:val="20"/>
                <w:szCs w:val="20"/>
                <w:color w:val="auto"/>
              </w:rPr>
            </w:pPr>
            <w:r>
              <w:rPr>
                <w:rFonts w:ascii="Arial" w:cs="Arial" w:eastAsia="Arial" w:hAnsi="Arial"/>
                <w:sz w:val="11"/>
                <w:szCs w:val="11"/>
                <w:b w:val="1"/>
                <w:bCs w:val="1"/>
                <w:color w:val="424242"/>
              </w:rPr>
              <w:t>Video</w:t>
            </w:r>
          </w:p>
        </w:tc>
        <w:tc>
          <w:tcPr>
            <w:tcW w:w="1000" w:type="dxa"/>
            <w:vAlign w:val="bottom"/>
          </w:tcPr>
          <w:p>
            <w:pPr>
              <w:jc w:val="right"/>
              <w:ind w:right="70"/>
              <w:spacing w:after="0"/>
              <w:rPr>
                <w:sz w:val="20"/>
                <w:szCs w:val="20"/>
                <w:color w:val="auto"/>
              </w:rPr>
            </w:pPr>
            <w:r>
              <w:rPr>
                <w:rFonts w:ascii="Arial" w:cs="Arial" w:eastAsia="Arial" w:hAnsi="Arial"/>
                <w:sz w:val="11"/>
                <w:szCs w:val="11"/>
                <w:b w:val="1"/>
                <w:bCs w:val="1"/>
                <w:color w:val="424242"/>
              </w:rPr>
              <w:t>Subscribers</w:t>
            </w:r>
            <w:r>
              <w:rPr>
                <w:rFonts w:ascii="Arial" w:cs="Arial" w:eastAsia="Arial" w:hAnsi="Arial"/>
                <w:sz w:val="7"/>
                <w:szCs w:val="7"/>
                <w:b w:val="1"/>
                <w:bCs w:val="1"/>
                <w:color w:val="424242"/>
              </w:rPr>
              <w:t>(iii)</w:t>
            </w:r>
          </w:p>
        </w:tc>
        <w:tc>
          <w:tcPr>
            <w:tcW w:w="100" w:type="dxa"/>
            <w:vAlign w:val="bottom"/>
          </w:tcPr>
          <w:p>
            <w:pPr>
              <w:spacing w:after="0"/>
              <w:rPr>
                <w:sz w:val="12"/>
                <w:szCs w:val="12"/>
                <w:color w:val="auto"/>
              </w:rPr>
            </w:pPr>
          </w:p>
        </w:tc>
        <w:tc>
          <w:tcPr>
            <w:tcW w:w="1000" w:type="dxa"/>
            <w:vAlign w:val="bottom"/>
          </w:tcPr>
          <w:p>
            <w:pPr>
              <w:jc w:val="right"/>
              <w:ind w:right="110"/>
              <w:spacing w:after="0"/>
              <w:rPr>
                <w:sz w:val="20"/>
                <w:szCs w:val="20"/>
                <w:color w:val="auto"/>
              </w:rPr>
            </w:pPr>
            <w:r>
              <w:rPr>
                <w:rFonts w:ascii="Arial" w:cs="Arial" w:eastAsia="Arial" w:hAnsi="Arial"/>
                <w:sz w:val="11"/>
                <w:szCs w:val="11"/>
                <w:b w:val="1"/>
                <w:bCs w:val="1"/>
                <w:color w:val="424242"/>
              </w:rPr>
              <w:t>Subscribers</w:t>
            </w:r>
          </w:p>
        </w:tc>
        <w:tc>
          <w:tcPr>
            <w:tcW w:w="0" w:type="dxa"/>
            <w:vAlign w:val="bottom"/>
          </w:tcPr>
          <w:p>
            <w:pPr>
              <w:spacing w:after="0"/>
              <w:rPr>
                <w:sz w:val="1"/>
                <w:szCs w:val="1"/>
                <w:color w:val="auto"/>
              </w:rPr>
            </w:pPr>
          </w:p>
        </w:tc>
      </w:tr>
      <w:tr>
        <w:trPr>
          <w:trHeight w:val="22"/>
        </w:trPr>
        <w:tc>
          <w:tcPr>
            <w:tcW w:w="4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3"/>
        </w:trPr>
        <w:tc>
          <w:tcPr>
            <w:tcW w:w="40" w:type="dxa"/>
            <w:vAlign w:val="bottom"/>
            <w:shd w:val="clear" w:color="auto" w:fill="CCEEFF"/>
          </w:tcPr>
          <w:p>
            <w:pPr>
              <w:spacing w:after="0"/>
              <w:rPr>
                <w:sz w:val="21"/>
                <w:szCs w:val="21"/>
                <w:color w:val="auto"/>
              </w:rPr>
            </w:pPr>
          </w:p>
        </w:tc>
        <w:tc>
          <w:tcPr>
            <w:tcW w:w="2000" w:type="dxa"/>
            <w:vAlign w:val="bottom"/>
            <w:gridSpan w:val="5"/>
            <w:shd w:val="clear" w:color="auto" w:fill="CCEEFF"/>
          </w:tcPr>
          <w:p>
            <w:pPr>
              <w:spacing w:after="0"/>
              <w:rPr>
                <w:sz w:val="20"/>
                <w:szCs w:val="20"/>
                <w:color w:val="auto"/>
              </w:rPr>
            </w:pPr>
            <w:r>
              <w:rPr>
                <w:rFonts w:ascii="Arial" w:cs="Arial" w:eastAsia="Arial" w:hAnsi="Arial"/>
                <w:sz w:val="14"/>
                <w:szCs w:val="14"/>
                <w:b w:val="1"/>
                <w:bCs w:val="1"/>
                <w:color w:val="424242"/>
              </w:rPr>
              <w:t>Operating Data</w:t>
            </w:r>
          </w:p>
        </w:tc>
        <w:tc>
          <w:tcPr>
            <w:tcW w:w="106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24"/>
        </w:trPr>
        <w:tc>
          <w:tcPr>
            <w:tcW w:w="40" w:type="dxa"/>
            <w:vAlign w:val="bottom"/>
            <w:tcBorders>
              <w:top w:val="single" w:sz="8" w:color="CCEEFF"/>
            </w:tcBorders>
          </w:tcPr>
          <w:p>
            <w:pPr>
              <w:spacing w:after="0"/>
              <w:rPr>
                <w:sz w:val="24"/>
                <w:szCs w:val="24"/>
                <w:color w:val="auto"/>
              </w:rPr>
            </w:pPr>
          </w:p>
        </w:tc>
        <w:tc>
          <w:tcPr>
            <w:tcW w:w="1020" w:type="dxa"/>
            <w:vAlign w:val="bottom"/>
            <w:tcBorders>
              <w:top w:val="single" w:sz="8" w:color="424242"/>
            </w:tcBorders>
            <w:gridSpan w:val="3"/>
          </w:tcPr>
          <w:p>
            <w:pPr>
              <w:ind w:left="80"/>
              <w:spacing w:after="0"/>
              <w:rPr>
                <w:sz w:val="20"/>
                <w:szCs w:val="20"/>
                <w:color w:val="auto"/>
              </w:rPr>
            </w:pPr>
            <w:r>
              <w:rPr>
                <w:rFonts w:ascii="Arial" w:cs="Arial" w:eastAsia="Arial" w:hAnsi="Arial"/>
                <w:sz w:val="14"/>
                <w:szCs w:val="14"/>
                <w:color w:val="2C2C2C"/>
              </w:rPr>
              <w:t>Switzerland</w:t>
            </w:r>
            <w:r>
              <w:rPr>
                <w:rFonts w:ascii="Arial" w:cs="Arial" w:eastAsia="Arial" w:hAnsi="Arial"/>
                <w:sz w:val="17"/>
                <w:szCs w:val="17"/>
                <w:color w:val="2C2C2C"/>
                <w:vertAlign w:val="superscript"/>
              </w:rPr>
              <w:t>(iv)</w:t>
            </w:r>
          </w:p>
        </w:tc>
        <w:tc>
          <w:tcPr>
            <w:tcW w:w="980" w:type="dxa"/>
            <w:vAlign w:val="bottom"/>
            <w:tcBorders>
              <w:top w:val="single" w:sz="8" w:color="CCEEFF"/>
            </w:tcBorders>
            <w:gridSpan w:val="2"/>
          </w:tcPr>
          <w:p>
            <w:pPr>
              <w:spacing w:after="0"/>
              <w:rPr>
                <w:sz w:val="24"/>
                <w:szCs w:val="24"/>
                <w:color w:val="auto"/>
              </w:rPr>
            </w:pPr>
          </w:p>
        </w:tc>
        <w:tc>
          <w:tcPr>
            <w:tcW w:w="1060" w:type="dxa"/>
            <w:vAlign w:val="bottom"/>
            <w:tcBorders>
              <w:top w:val="single" w:sz="8" w:color="CCEEFF"/>
            </w:tcBorders>
            <w:vMerge w:val="restart"/>
          </w:tcPr>
          <w:p>
            <w:pPr>
              <w:jc w:val="right"/>
              <w:ind w:right="70"/>
              <w:spacing w:after="0"/>
              <w:rPr>
                <w:sz w:val="20"/>
                <w:szCs w:val="20"/>
                <w:color w:val="auto"/>
              </w:rPr>
            </w:pPr>
            <w:r>
              <w:rPr>
                <w:rFonts w:ascii="Arial" w:cs="Arial" w:eastAsia="Arial" w:hAnsi="Arial"/>
                <w:sz w:val="14"/>
                <w:szCs w:val="14"/>
                <w:color w:val="auto"/>
              </w:rPr>
              <w:t>2,382,200</w:t>
            </w:r>
          </w:p>
        </w:tc>
        <w:tc>
          <w:tcPr>
            <w:tcW w:w="1060" w:type="dxa"/>
            <w:vAlign w:val="bottom"/>
            <w:tcBorders>
              <w:top w:val="single" w:sz="8" w:color="CCEEFF"/>
            </w:tcBorders>
            <w:vMerge w:val="restart"/>
          </w:tcPr>
          <w:p>
            <w:pPr>
              <w:jc w:val="right"/>
              <w:ind w:right="111"/>
              <w:spacing w:after="0"/>
              <w:rPr>
                <w:sz w:val="20"/>
                <w:szCs w:val="20"/>
                <w:color w:val="auto"/>
              </w:rPr>
            </w:pPr>
            <w:r>
              <w:rPr>
                <w:rFonts w:ascii="Arial" w:cs="Arial" w:eastAsia="Arial" w:hAnsi="Arial"/>
                <w:sz w:val="14"/>
                <w:szCs w:val="14"/>
                <w:color w:val="auto"/>
              </w:rPr>
              <w:t>1,011,900</w:t>
            </w:r>
          </w:p>
        </w:tc>
        <w:tc>
          <w:tcPr>
            <w:tcW w:w="1000" w:type="dxa"/>
            <w:vAlign w:val="bottom"/>
            <w:tcBorders>
              <w:top w:val="single" w:sz="8" w:color="CCEEFF"/>
            </w:tcBorders>
            <w:vMerge w:val="restart"/>
          </w:tcPr>
          <w:p>
            <w:pPr>
              <w:jc w:val="right"/>
              <w:ind w:right="90"/>
              <w:spacing w:after="0"/>
              <w:rPr>
                <w:sz w:val="20"/>
                <w:szCs w:val="20"/>
                <w:color w:val="auto"/>
              </w:rPr>
            </w:pPr>
            <w:r>
              <w:rPr>
                <w:rFonts w:ascii="Arial" w:cs="Arial" w:eastAsia="Arial" w:hAnsi="Arial"/>
                <w:sz w:val="14"/>
                <w:szCs w:val="14"/>
                <w:color w:val="auto"/>
              </w:rPr>
              <w:t>2,140,200</w:t>
            </w:r>
          </w:p>
        </w:tc>
        <w:tc>
          <w:tcPr>
            <w:tcW w:w="980" w:type="dxa"/>
            <w:vAlign w:val="bottom"/>
            <w:tcBorders>
              <w:top w:val="single" w:sz="8" w:color="CCEEFF"/>
            </w:tcBorders>
            <w:vMerge w:val="restart"/>
          </w:tcPr>
          <w:p>
            <w:pPr>
              <w:jc w:val="right"/>
              <w:ind w:right="50"/>
              <w:spacing w:after="0"/>
              <w:rPr>
                <w:sz w:val="20"/>
                <w:szCs w:val="20"/>
                <w:color w:val="auto"/>
              </w:rPr>
            </w:pPr>
            <w:r>
              <w:rPr>
                <w:rFonts w:ascii="Arial" w:cs="Arial" w:eastAsia="Arial" w:hAnsi="Arial"/>
                <w:sz w:val="14"/>
                <w:szCs w:val="14"/>
                <w:color w:val="auto"/>
              </w:rPr>
              <w:t>651,900</w:t>
            </w:r>
          </w:p>
        </w:tc>
        <w:tc>
          <w:tcPr>
            <w:tcW w:w="1000" w:type="dxa"/>
            <w:vAlign w:val="bottom"/>
            <w:tcBorders>
              <w:top w:val="single" w:sz="8" w:color="CCEEFF"/>
            </w:tcBorders>
            <w:vMerge w:val="restart"/>
          </w:tcPr>
          <w:p>
            <w:pPr>
              <w:jc w:val="right"/>
              <w:ind w:right="50"/>
              <w:spacing w:after="0"/>
              <w:rPr>
                <w:sz w:val="20"/>
                <w:szCs w:val="20"/>
                <w:color w:val="auto"/>
              </w:rPr>
            </w:pPr>
            <w:r>
              <w:rPr>
                <w:rFonts w:ascii="Arial" w:cs="Arial" w:eastAsia="Arial" w:hAnsi="Arial"/>
                <w:sz w:val="14"/>
                <w:szCs w:val="14"/>
                <w:color w:val="auto"/>
              </w:rPr>
              <w:t>399,300</w:t>
            </w:r>
          </w:p>
        </w:tc>
        <w:tc>
          <w:tcPr>
            <w:tcW w:w="1100" w:type="dxa"/>
            <w:vAlign w:val="bottom"/>
            <w:tcBorders>
              <w:top w:val="single" w:sz="8" w:color="CCEEFF"/>
            </w:tcBorders>
            <w:vMerge w:val="restart"/>
          </w:tcPr>
          <w:p>
            <w:pPr>
              <w:jc w:val="right"/>
              <w:ind w:right="151"/>
              <w:spacing w:after="0"/>
              <w:rPr>
                <w:sz w:val="20"/>
                <w:szCs w:val="20"/>
                <w:color w:val="auto"/>
              </w:rPr>
            </w:pPr>
            <w:r>
              <w:rPr>
                <w:rFonts w:ascii="Arial" w:cs="Arial" w:eastAsia="Arial" w:hAnsi="Arial"/>
                <w:sz w:val="14"/>
                <w:szCs w:val="14"/>
                <w:color w:val="auto"/>
              </w:rPr>
              <w:t>586,700</w:t>
            </w:r>
          </w:p>
        </w:tc>
        <w:tc>
          <w:tcPr>
            <w:tcW w:w="900" w:type="dxa"/>
            <w:vAlign w:val="bottom"/>
            <w:tcBorders>
              <w:top w:val="single" w:sz="8" w:color="CCEEFF"/>
            </w:tcBorders>
            <w:vMerge w:val="restart"/>
          </w:tcPr>
          <w:p>
            <w:pPr>
              <w:jc w:val="right"/>
              <w:ind w:right="50"/>
              <w:spacing w:after="0"/>
              <w:rPr>
                <w:sz w:val="20"/>
                <w:szCs w:val="20"/>
                <w:color w:val="auto"/>
              </w:rPr>
            </w:pPr>
            <w:r>
              <w:rPr>
                <w:rFonts w:ascii="Arial" w:cs="Arial" w:eastAsia="Arial" w:hAnsi="Arial"/>
                <w:sz w:val="14"/>
                <w:szCs w:val="14"/>
                <w:color w:val="auto"/>
              </w:rPr>
              <w:t>986,000</w:t>
            </w:r>
          </w:p>
        </w:tc>
        <w:tc>
          <w:tcPr>
            <w:tcW w:w="1000" w:type="dxa"/>
            <w:vAlign w:val="bottom"/>
            <w:tcBorders>
              <w:top w:val="single" w:sz="8" w:color="CCEEFF"/>
            </w:tcBorders>
            <w:vMerge w:val="restart"/>
          </w:tcPr>
          <w:p>
            <w:pPr>
              <w:jc w:val="right"/>
              <w:ind w:right="50"/>
              <w:spacing w:after="0"/>
              <w:rPr>
                <w:sz w:val="20"/>
                <w:szCs w:val="20"/>
                <w:color w:val="auto"/>
              </w:rPr>
            </w:pPr>
            <w:r>
              <w:rPr>
                <w:rFonts w:ascii="Arial" w:cs="Arial" w:eastAsia="Arial" w:hAnsi="Arial"/>
                <w:sz w:val="14"/>
                <w:szCs w:val="14"/>
                <w:color w:val="auto"/>
              </w:rPr>
              <w:t>502,300</w:t>
            </w:r>
          </w:p>
        </w:tc>
        <w:tc>
          <w:tcPr>
            <w:tcW w:w="100" w:type="dxa"/>
            <w:vAlign w:val="bottom"/>
            <w:tcBorders>
              <w:top w:val="single" w:sz="8" w:color="CCEEFF"/>
            </w:tcBorders>
          </w:tcPr>
          <w:p>
            <w:pPr>
              <w:spacing w:after="0"/>
              <w:rPr>
                <w:sz w:val="24"/>
                <w:szCs w:val="24"/>
                <w:color w:val="auto"/>
              </w:rPr>
            </w:pPr>
          </w:p>
        </w:tc>
        <w:tc>
          <w:tcPr>
            <w:tcW w:w="1000" w:type="dxa"/>
            <w:vAlign w:val="bottom"/>
            <w:tcBorders>
              <w:top w:val="single" w:sz="8" w:color="CCEEFF"/>
            </w:tcBorders>
            <w:vMerge w:val="restart"/>
          </w:tcPr>
          <w:p>
            <w:pPr>
              <w:jc w:val="right"/>
              <w:ind w:right="30"/>
              <w:spacing w:after="0"/>
              <w:rPr>
                <w:sz w:val="20"/>
                <w:szCs w:val="20"/>
                <w:color w:val="auto"/>
              </w:rPr>
            </w:pPr>
            <w:r>
              <w:rPr>
                <w:rFonts w:ascii="Arial" w:cs="Arial" w:eastAsia="Arial" w:hAnsi="Arial"/>
                <w:sz w:val="14"/>
                <w:szCs w:val="14"/>
                <w:color w:val="auto"/>
              </w:rPr>
              <w:t>213,200</w:t>
            </w: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78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440" w:type="dxa"/>
            <w:vAlign w:val="bottom"/>
          </w:tcPr>
          <w:p>
            <w:pPr>
              <w:spacing w:after="0"/>
              <w:rPr>
                <w:sz w:val="4"/>
                <w:szCs w:val="4"/>
                <w:color w:val="auto"/>
              </w:rPr>
            </w:pPr>
          </w:p>
        </w:tc>
        <w:tc>
          <w:tcPr>
            <w:tcW w:w="540" w:type="dxa"/>
            <w:vAlign w:val="bottom"/>
          </w:tcPr>
          <w:p>
            <w:pPr>
              <w:spacing w:after="0"/>
              <w:rPr>
                <w:sz w:val="4"/>
                <w:szCs w:val="4"/>
                <w:color w:val="auto"/>
              </w:rPr>
            </w:pPr>
          </w:p>
        </w:tc>
        <w:tc>
          <w:tcPr>
            <w:tcW w:w="1060" w:type="dxa"/>
            <w:vAlign w:val="bottom"/>
            <w:vMerge w:val="continue"/>
          </w:tcPr>
          <w:p>
            <w:pPr>
              <w:spacing w:after="0"/>
              <w:rPr>
                <w:sz w:val="4"/>
                <w:szCs w:val="4"/>
                <w:color w:val="auto"/>
              </w:rPr>
            </w:pPr>
          </w:p>
        </w:tc>
        <w:tc>
          <w:tcPr>
            <w:tcW w:w="1060" w:type="dxa"/>
            <w:vAlign w:val="bottom"/>
            <w:vMerge w:val="continue"/>
          </w:tcPr>
          <w:p>
            <w:pPr>
              <w:spacing w:after="0"/>
              <w:rPr>
                <w:sz w:val="4"/>
                <w:szCs w:val="4"/>
                <w:color w:val="auto"/>
              </w:rPr>
            </w:pPr>
          </w:p>
        </w:tc>
        <w:tc>
          <w:tcPr>
            <w:tcW w:w="1000" w:type="dxa"/>
            <w:vAlign w:val="bottom"/>
            <w:vMerge w:val="continue"/>
          </w:tcPr>
          <w:p>
            <w:pPr>
              <w:spacing w:after="0"/>
              <w:rPr>
                <w:sz w:val="4"/>
                <w:szCs w:val="4"/>
                <w:color w:val="auto"/>
              </w:rPr>
            </w:pPr>
          </w:p>
        </w:tc>
        <w:tc>
          <w:tcPr>
            <w:tcW w:w="980" w:type="dxa"/>
            <w:vAlign w:val="bottom"/>
            <w:vMerge w:val="continue"/>
          </w:tcPr>
          <w:p>
            <w:pPr>
              <w:spacing w:after="0"/>
              <w:rPr>
                <w:sz w:val="4"/>
                <w:szCs w:val="4"/>
                <w:color w:val="auto"/>
              </w:rPr>
            </w:pPr>
          </w:p>
        </w:tc>
        <w:tc>
          <w:tcPr>
            <w:tcW w:w="1000" w:type="dxa"/>
            <w:vAlign w:val="bottom"/>
            <w:vMerge w:val="continue"/>
          </w:tcPr>
          <w:p>
            <w:pPr>
              <w:spacing w:after="0"/>
              <w:rPr>
                <w:sz w:val="4"/>
                <w:szCs w:val="4"/>
                <w:color w:val="auto"/>
              </w:rPr>
            </w:pPr>
          </w:p>
        </w:tc>
        <w:tc>
          <w:tcPr>
            <w:tcW w:w="1100" w:type="dxa"/>
            <w:vAlign w:val="bottom"/>
            <w:vMerge w:val="continue"/>
          </w:tcPr>
          <w:p>
            <w:pPr>
              <w:spacing w:after="0"/>
              <w:rPr>
                <w:sz w:val="4"/>
                <w:szCs w:val="4"/>
                <w:color w:val="auto"/>
              </w:rPr>
            </w:pPr>
          </w:p>
        </w:tc>
        <w:tc>
          <w:tcPr>
            <w:tcW w:w="900" w:type="dxa"/>
            <w:vAlign w:val="bottom"/>
            <w:vMerge w:val="continue"/>
          </w:tcPr>
          <w:p>
            <w:pPr>
              <w:spacing w:after="0"/>
              <w:rPr>
                <w:sz w:val="4"/>
                <w:szCs w:val="4"/>
                <w:color w:val="auto"/>
              </w:rPr>
            </w:pPr>
          </w:p>
        </w:tc>
        <w:tc>
          <w:tcPr>
            <w:tcW w:w="100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0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76"/>
        </w:trPr>
        <w:tc>
          <w:tcPr>
            <w:tcW w:w="40" w:type="dxa"/>
            <w:vAlign w:val="bottom"/>
            <w:shd w:val="clear" w:color="auto" w:fill="CCEEFF"/>
          </w:tcPr>
          <w:p>
            <w:pPr>
              <w:spacing w:after="0"/>
              <w:rPr>
                <w:sz w:val="24"/>
                <w:szCs w:val="24"/>
                <w:color w:val="auto"/>
              </w:rPr>
            </w:pPr>
          </w:p>
        </w:tc>
        <w:tc>
          <w:tcPr>
            <w:tcW w:w="2000" w:type="dxa"/>
            <w:vAlign w:val="bottom"/>
            <w:gridSpan w:val="5"/>
            <w:shd w:val="clear" w:color="auto" w:fill="CCEEFF"/>
          </w:tcPr>
          <w:p>
            <w:pPr>
              <w:ind w:left="80"/>
              <w:spacing w:after="0"/>
              <w:rPr>
                <w:sz w:val="20"/>
                <w:szCs w:val="20"/>
                <w:color w:val="auto"/>
              </w:rPr>
            </w:pPr>
            <w:r>
              <w:rPr>
                <w:rFonts w:ascii="Arial" w:cs="Arial" w:eastAsia="Arial" w:hAnsi="Arial"/>
                <w:sz w:val="14"/>
                <w:szCs w:val="14"/>
                <w:color w:val="424242"/>
              </w:rPr>
              <w:t>Poland</w:t>
            </w:r>
          </w:p>
        </w:tc>
        <w:tc>
          <w:tcPr>
            <w:tcW w:w="106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3,562,500</w:t>
            </w:r>
          </w:p>
        </w:tc>
        <w:tc>
          <w:tcPr>
            <w:tcW w:w="1060" w:type="dxa"/>
            <w:vAlign w:val="bottom"/>
            <w:shd w:val="clear" w:color="auto" w:fill="CCEEFF"/>
          </w:tcPr>
          <w:p>
            <w:pPr>
              <w:jc w:val="right"/>
              <w:ind w:right="111"/>
              <w:spacing w:after="0"/>
              <w:rPr>
                <w:sz w:val="20"/>
                <w:szCs w:val="20"/>
                <w:color w:val="auto"/>
              </w:rPr>
            </w:pPr>
            <w:r>
              <w:rPr>
                <w:rFonts w:ascii="Arial" w:cs="Arial" w:eastAsia="Arial" w:hAnsi="Arial"/>
                <w:sz w:val="14"/>
                <w:szCs w:val="14"/>
                <w:color w:val="auto"/>
              </w:rPr>
              <w:t>1,490,000</w:t>
            </w:r>
          </w:p>
        </w:tc>
        <w:tc>
          <w:tcPr>
            <w:tcW w:w="100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3,184,600</w:t>
            </w:r>
          </w:p>
        </w:tc>
        <w:tc>
          <w:tcPr>
            <w:tcW w:w="98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1,241,300</w:t>
            </w:r>
          </w:p>
        </w:tc>
        <w:tc>
          <w:tcPr>
            <w:tcW w:w="100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207,300</w:t>
            </w:r>
          </w:p>
        </w:tc>
        <w:tc>
          <w:tcPr>
            <w:tcW w:w="1100" w:type="dxa"/>
            <w:vAlign w:val="bottom"/>
            <w:shd w:val="clear" w:color="auto" w:fill="CCEEFF"/>
          </w:tcPr>
          <w:p>
            <w:pPr>
              <w:jc w:val="right"/>
              <w:ind w:right="151"/>
              <w:spacing w:after="0"/>
              <w:rPr>
                <w:sz w:val="20"/>
                <w:szCs w:val="20"/>
                <w:color w:val="auto"/>
              </w:rPr>
            </w:pPr>
            <w:r>
              <w:rPr>
                <w:rFonts w:ascii="Arial" w:cs="Arial" w:eastAsia="Arial" w:hAnsi="Arial"/>
                <w:sz w:val="14"/>
                <w:szCs w:val="14"/>
                <w:color w:val="auto"/>
              </w:rPr>
              <w:t>1,068,800</w:t>
            </w:r>
          </w:p>
        </w:tc>
        <w:tc>
          <w:tcPr>
            <w:tcW w:w="90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1,276,100</w:t>
            </w:r>
          </w:p>
        </w:tc>
        <w:tc>
          <w:tcPr>
            <w:tcW w:w="100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667,200</w:t>
            </w:r>
          </w:p>
        </w:tc>
        <w:tc>
          <w:tcPr>
            <w:tcW w:w="10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16,200</w:t>
            </w: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tcPr>
          <w:p>
            <w:pPr>
              <w:spacing w:after="0"/>
              <w:rPr>
                <w:sz w:val="22"/>
                <w:szCs w:val="22"/>
                <w:color w:val="auto"/>
              </w:rPr>
            </w:pPr>
          </w:p>
        </w:tc>
        <w:tc>
          <w:tcPr>
            <w:tcW w:w="2000" w:type="dxa"/>
            <w:vAlign w:val="bottom"/>
            <w:tcBorders>
              <w:bottom w:val="single" w:sz="8" w:color="CCEEFF"/>
            </w:tcBorders>
            <w:gridSpan w:val="5"/>
          </w:tcPr>
          <w:p>
            <w:pPr>
              <w:ind w:left="80"/>
              <w:spacing w:after="0"/>
              <w:rPr>
                <w:sz w:val="20"/>
                <w:szCs w:val="20"/>
                <w:color w:val="auto"/>
              </w:rPr>
            </w:pPr>
            <w:r>
              <w:rPr>
                <w:rFonts w:ascii="Arial" w:cs="Arial" w:eastAsia="Arial" w:hAnsi="Arial"/>
                <w:sz w:val="14"/>
                <w:szCs w:val="14"/>
                <w:color w:val="424242"/>
              </w:rPr>
              <w:t>Slovakia</w:t>
            </w:r>
          </w:p>
        </w:tc>
        <w:tc>
          <w:tcPr>
            <w:tcW w:w="106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color w:val="auto"/>
              </w:rPr>
              <w:t>620,100</w:t>
            </w:r>
          </w:p>
        </w:tc>
        <w:tc>
          <w:tcPr>
            <w:tcW w:w="106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192,900</w:t>
            </w:r>
          </w:p>
        </w:tc>
        <w:tc>
          <w:tcPr>
            <w:tcW w:w="1000" w:type="dxa"/>
            <w:vAlign w:val="bottom"/>
            <w:tcBorders>
              <w:bottom w:val="single" w:sz="8" w:color="auto"/>
            </w:tcBorders>
          </w:tcPr>
          <w:p>
            <w:pPr>
              <w:jc w:val="right"/>
              <w:ind w:right="90"/>
              <w:spacing w:after="0"/>
              <w:rPr>
                <w:sz w:val="20"/>
                <w:szCs w:val="20"/>
                <w:color w:val="auto"/>
              </w:rPr>
            </w:pPr>
            <w:r>
              <w:rPr>
                <w:rFonts w:ascii="Arial" w:cs="Arial" w:eastAsia="Arial" w:hAnsi="Arial"/>
                <w:sz w:val="14"/>
                <w:szCs w:val="14"/>
                <w:color w:val="auto"/>
              </w:rPr>
              <w:t>401,300</w:t>
            </w:r>
          </w:p>
        </w:tc>
        <w:tc>
          <w:tcPr>
            <w:tcW w:w="98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141,800</w:t>
            </w:r>
          </w:p>
        </w:tc>
        <w:tc>
          <w:tcPr>
            <w:tcW w:w="100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29,500</w:t>
            </w:r>
          </w:p>
        </w:tc>
        <w:tc>
          <w:tcPr>
            <w:tcW w:w="110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color w:val="auto"/>
              </w:rPr>
              <w:t>142,100</w:t>
            </w:r>
          </w:p>
        </w:tc>
        <w:tc>
          <w:tcPr>
            <w:tcW w:w="90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171,600</w:t>
            </w:r>
          </w:p>
        </w:tc>
        <w:tc>
          <w:tcPr>
            <w:tcW w:w="100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87,900</w:t>
            </w:r>
          </w:p>
        </w:tc>
        <w:tc>
          <w:tcPr>
            <w:tcW w:w="1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40" w:type="dxa"/>
            <w:vAlign w:val="bottom"/>
            <w:shd w:val="clear" w:color="auto" w:fill="CCEEFF"/>
          </w:tcPr>
          <w:p>
            <w:pPr>
              <w:spacing w:after="0"/>
              <w:rPr>
                <w:sz w:val="15"/>
                <w:szCs w:val="15"/>
                <w:color w:val="auto"/>
              </w:rPr>
            </w:pPr>
          </w:p>
        </w:tc>
        <w:tc>
          <w:tcPr>
            <w:tcW w:w="2000" w:type="dxa"/>
            <w:vAlign w:val="bottom"/>
            <w:gridSpan w:val="5"/>
            <w:shd w:val="clear" w:color="auto" w:fill="CCEEFF"/>
          </w:tcPr>
          <w:p>
            <w:pPr>
              <w:ind w:left="160"/>
              <w:spacing w:after="0"/>
              <w:rPr>
                <w:sz w:val="20"/>
                <w:szCs w:val="20"/>
                <w:color w:val="auto"/>
              </w:rPr>
            </w:pPr>
            <w:r>
              <w:rPr>
                <w:rFonts w:ascii="Arial" w:cs="Arial" w:eastAsia="Arial" w:hAnsi="Arial"/>
                <w:sz w:val="14"/>
                <w:szCs w:val="14"/>
                <w:color w:val="424242"/>
              </w:rPr>
              <w:t>Total UPC Holding</w:t>
            </w:r>
          </w:p>
        </w:tc>
        <w:tc>
          <w:tcPr>
            <w:tcW w:w="1060" w:type="dxa"/>
            <w:vAlign w:val="bottom"/>
            <w:vMerge w:val="restart"/>
            <w:shd w:val="clear" w:color="auto" w:fill="CCEEFF"/>
          </w:tcPr>
          <w:p>
            <w:pPr>
              <w:jc w:val="right"/>
              <w:ind w:right="70"/>
              <w:spacing w:after="0"/>
              <w:rPr>
                <w:sz w:val="20"/>
                <w:szCs w:val="20"/>
                <w:color w:val="auto"/>
              </w:rPr>
            </w:pPr>
            <w:r>
              <w:rPr>
                <w:rFonts w:ascii="Arial" w:cs="Arial" w:eastAsia="Arial" w:hAnsi="Arial"/>
                <w:sz w:val="14"/>
                <w:szCs w:val="14"/>
                <w:color w:val="auto"/>
              </w:rPr>
              <w:t>6,564,800</w:t>
            </w:r>
          </w:p>
        </w:tc>
        <w:tc>
          <w:tcPr>
            <w:tcW w:w="1060" w:type="dxa"/>
            <w:vAlign w:val="bottom"/>
            <w:vMerge w:val="restart"/>
            <w:shd w:val="clear" w:color="auto" w:fill="CCEEFF"/>
          </w:tcPr>
          <w:p>
            <w:pPr>
              <w:jc w:val="right"/>
              <w:ind w:right="111"/>
              <w:spacing w:after="0"/>
              <w:rPr>
                <w:sz w:val="20"/>
                <w:szCs w:val="20"/>
                <w:color w:val="auto"/>
              </w:rPr>
            </w:pPr>
            <w:r>
              <w:rPr>
                <w:rFonts w:ascii="Arial" w:cs="Arial" w:eastAsia="Arial" w:hAnsi="Arial"/>
                <w:sz w:val="14"/>
                <w:szCs w:val="14"/>
                <w:color w:val="auto"/>
              </w:rPr>
              <w:t>2,694,800</w:t>
            </w:r>
          </w:p>
        </w:tc>
        <w:tc>
          <w:tcPr>
            <w:tcW w:w="1000" w:type="dxa"/>
            <w:vAlign w:val="bottom"/>
            <w:vMerge w:val="restart"/>
            <w:shd w:val="clear" w:color="auto" w:fill="CCEEFF"/>
          </w:tcPr>
          <w:p>
            <w:pPr>
              <w:jc w:val="right"/>
              <w:ind w:right="90"/>
              <w:spacing w:after="0"/>
              <w:rPr>
                <w:sz w:val="20"/>
                <w:szCs w:val="20"/>
                <w:color w:val="auto"/>
              </w:rPr>
            </w:pPr>
            <w:r>
              <w:rPr>
                <w:rFonts w:ascii="Arial" w:cs="Arial" w:eastAsia="Arial" w:hAnsi="Arial"/>
                <w:sz w:val="14"/>
                <w:szCs w:val="14"/>
                <w:color w:val="auto"/>
              </w:rPr>
              <w:t>5,726,100</w:t>
            </w:r>
          </w:p>
        </w:tc>
        <w:tc>
          <w:tcPr>
            <w:tcW w:w="980" w:type="dxa"/>
            <w:vAlign w:val="bottom"/>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2,035,000</w:t>
            </w:r>
          </w:p>
        </w:tc>
        <w:tc>
          <w:tcPr>
            <w:tcW w:w="1000" w:type="dxa"/>
            <w:vAlign w:val="bottom"/>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636,100</w:t>
            </w:r>
          </w:p>
        </w:tc>
        <w:tc>
          <w:tcPr>
            <w:tcW w:w="1100" w:type="dxa"/>
            <w:vAlign w:val="bottom"/>
            <w:vMerge w:val="restart"/>
            <w:shd w:val="clear" w:color="auto" w:fill="CCEEFF"/>
          </w:tcPr>
          <w:p>
            <w:pPr>
              <w:jc w:val="right"/>
              <w:ind w:right="151"/>
              <w:spacing w:after="0"/>
              <w:rPr>
                <w:sz w:val="20"/>
                <w:szCs w:val="20"/>
                <w:color w:val="auto"/>
              </w:rPr>
            </w:pPr>
            <w:r>
              <w:rPr>
                <w:rFonts w:ascii="Arial" w:cs="Arial" w:eastAsia="Arial" w:hAnsi="Arial"/>
                <w:sz w:val="14"/>
                <w:szCs w:val="14"/>
                <w:color w:val="auto"/>
              </w:rPr>
              <w:t>1,797,600</w:t>
            </w:r>
          </w:p>
        </w:tc>
        <w:tc>
          <w:tcPr>
            <w:tcW w:w="900" w:type="dxa"/>
            <w:vAlign w:val="bottom"/>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2,433,700</w:t>
            </w:r>
          </w:p>
        </w:tc>
        <w:tc>
          <w:tcPr>
            <w:tcW w:w="1000" w:type="dxa"/>
            <w:vAlign w:val="bottom"/>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1,257,400</w:t>
            </w:r>
          </w:p>
        </w:tc>
        <w:tc>
          <w:tcPr>
            <w:tcW w:w="10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229,400</w:t>
            </w:r>
          </w:p>
        </w:tc>
        <w:tc>
          <w:tcPr>
            <w:tcW w:w="0" w:type="dxa"/>
            <w:vAlign w:val="bottom"/>
          </w:tcPr>
          <w:p>
            <w:pPr>
              <w:spacing w:after="0"/>
              <w:rPr>
                <w:sz w:val="1"/>
                <w:szCs w:val="1"/>
                <w:color w:val="auto"/>
              </w:rPr>
            </w:pPr>
          </w:p>
        </w:tc>
      </w:tr>
      <w:tr>
        <w:trPr>
          <w:trHeight w:val="171"/>
        </w:trPr>
        <w:tc>
          <w:tcPr>
            <w:tcW w:w="40" w:type="dxa"/>
            <w:vAlign w:val="bottom"/>
            <w:tcBorders>
              <w:bottom w:val="single" w:sz="8" w:color="CCEEFF"/>
            </w:tcBorders>
            <w:shd w:val="clear" w:color="auto" w:fill="CCEEFF"/>
          </w:tcPr>
          <w:p>
            <w:pPr>
              <w:spacing w:after="0"/>
              <w:rPr>
                <w:sz w:val="14"/>
                <w:szCs w:val="14"/>
                <w:color w:val="auto"/>
              </w:rPr>
            </w:pPr>
          </w:p>
        </w:tc>
        <w:tc>
          <w:tcPr>
            <w:tcW w:w="2000" w:type="dxa"/>
            <w:vAlign w:val="bottom"/>
            <w:tcBorders>
              <w:bottom w:val="single" w:sz="8" w:color="CCEEFF"/>
            </w:tcBorders>
            <w:gridSpan w:val="5"/>
            <w:shd w:val="clear" w:color="auto" w:fill="CCEEFF"/>
          </w:tcPr>
          <w:p>
            <w:pPr>
              <w:ind w:left="240"/>
              <w:spacing w:after="0"/>
              <w:rPr>
                <w:sz w:val="20"/>
                <w:szCs w:val="20"/>
                <w:color w:val="auto"/>
              </w:rPr>
            </w:pPr>
            <w:r>
              <w:rPr>
                <w:rFonts w:ascii="Arial" w:cs="Arial" w:eastAsia="Arial" w:hAnsi="Arial"/>
                <w:sz w:val="14"/>
                <w:szCs w:val="14"/>
                <w:color w:val="424242"/>
              </w:rPr>
              <w:t>continuing ops</w:t>
            </w:r>
          </w:p>
        </w:tc>
        <w:tc>
          <w:tcPr>
            <w:tcW w:w="1060" w:type="dxa"/>
            <w:vAlign w:val="bottom"/>
            <w:tcBorders>
              <w:bottom w:val="single" w:sz="8" w:color="auto"/>
            </w:tcBorders>
            <w:vMerge w:val="continue"/>
            <w:shd w:val="clear" w:color="auto" w:fill="CCEEFF"/>
          </w:tcPr>
          <w:p>
            <w:pPr>
              <w:spacing w:after="0"/>
              <w:rPr>
                <w:sz w:val="14"/>
                <w:szCs w:val="14"/>
                <w:color w:val="auto"/>
              </w:rPr>
            </w:pPr>
          </w:p>
        </w:tc>
        <w:tc>
          <w:tcPr>
            <w:tcW w:w="1060" w:type="dxa"/>
            <w:vAlign w:val="bottom"/>
            <w:tcBorders>
              <w:bottom w:val="single" w:sz="8" w:color="auto"/>
            </w:tcBorders>
            <w:vMerge w:val="continue"/>
            <w:shd w:val="clear" w:color="auto" w:fill="CCEEFF"/>
          </w:tcPr>
          <w:p>
            <w:pPr>
              <w:spacing w:after="0"/>
              <w:rPr>
                <w:sz w:val="14"/>
                <w:szCs w:val="14"/>
                <w:color w:val="auto"/>
              </w:rPr>
            </w:pPr>
          </w:p>
        </w:tc>
        <w:tc>
          <w:tcPr>
            <w:tcW w:w="1000" w:type="dxa"/>
            <w:vAlign w:val="bottom"/>
            <w:tcBorders>
              <w:bottom w:val="single" w:sz="8" w:color="auto"/>
            </w:tcBorders>
            <w:vMerge w:val="continue"/>
            <w:shd w:val="clear" w:color="auto" w:fill="CCEEFF"/>
          </w:tcPr>
          <w:p>
            <w:pPr>
              <w:spacing w:after="0"/>
              <w:rPr>
                <w:sz w:val="14"/>
                <w:szCs w:val="14"/>
                <w:color w:val="auto"/>
              </w:rPr>
            </w:pPr>
          </w:p>
        </w:tc>
        <w:tc>
          <w:tcPr>
            <w:tcW w:w="980" w:type="dxa"/>
            <w:vAlign w:val="bottom"/>
            <w:tcBorders>
              <w:bottom w:val="single" w:sz="8" w:color="auto"/>
            </w:tcBorders>
            <w:vMerge w:val="continue"/>
            <w:shd w:val="clear" w:color="auto" w:fill="CCEEFF"/>
          </w:tcPr>
          <w:p>
            <w:pPr>
              <w:spacing w:after="0"/>
              <w:rPr>
                <w:sz w:val="14"/>
                <w:szCs w:val="14"/>
                <w:color w:val="auto"/>
              </w:rPr>
            </w:pPr>
          </w:p>
        </w:tc>
        <w:tc>
          <w:tcPr>
            <w:tcW w:w="1000" w:type="dxa"/>
            <w:vAlign w:val="bottom"/>
            <w:tcBorders>
              <w:bottom w:val="single" w:sz="8" w:color="auto"/>
            </w:tcBorders>
            <w:vMerge w:val="continue"/>
            <w:shd w:val="clear" w:color="auto" w:fill="CCEEFF"/>
          </w:tcPr>
          <w:p>
            <w:pPr>
              <w:spacing w:after="0"/>
              <w:rPr>
                <w:sz w:val="14"/>
                <w:szCs w:val="14"/>
                <w:color w:val="auto"/>
              </w:rPr>
            </w:pPr>
          </w:p>
        </w:tc>
        <w:tc>
          <w:tcPr>
            <w:tcW w:w="1100" w:type="dxa"/>
            <w:vAlign w:val="bottom"/>
            <w:tcBorders>
              <w:bottom w:val="single" w:sz="8" w:color="auto"/>
            </w:tcBorders>
            <w:vMerge w:val="continue"/>
            <w:shd w:val="clear" w:color="auto" w:fill="CCEEFF"/>
          </w:tcPr>
          <w:p>
            <w:pPr>
              <w:spacing w:after="0"/>
              <w:rPr>
                <w:sz w:val="14"/>
                <w:szCs w:val="14"/>
                <w:color w:val="auto"/>
              </w:rPr>
            </w:pPr>
          </w:p>
        </w:tc>
        <w:tc>
          <w:tcPr>
            <w:tcW w:w="900" w:type="dxa"/>
            <w:vAlign w:val="bottom"/>
            <w:tcBorders>
              <w:bottom w:val="single" w:sz="8" w:color="auto"/>
            </w:tcBorders>
            <w:vMerge w:val="continue"/>
            <w:shd w:val="clear" w:color="auto" w:fill="CCEEFF"/>
          </w:tcPr>
          <w:p>
            <w:pPr>
              <w:spacing w:after="0"/>
              <w:rPr>
                <w:sz w:val="14"/>
                <w:szCs w:val="14"/>
                <w:color w:val="auto"/>
              </w:rPr>
            </w:pPr>
          </w:p>
        </w:tc>
        <w:tc>
          <w:tcPr>
            <w:tcW w:w="100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000" w:type="dxa"/>
            <w:vAlign w:val="bottom"/>
            <w:tcBorders>
              <w:bottom w:val="single" w:sz="8" w:color="auto"/>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70"/>
        </w:trPr>
        <w:tc>
          <w:tcPr>
            <w:tcW w:w="4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2000" w:type="dxa"/>
            <w:vAlign w:val="bottom"/>
            <w:gridSpan w:val="5"/>
          </w:tcPr>
          <w:p>
            <w:pPr>
              <w:ind w:left="80"/>
              <w:spacing w:after="0"/>
              <w:rPr>
                <w:sz w:val="20"/>
                <w:szCs w:val="20"/>
                <w:color w:val="auto"/>
              </w:rPr>
            </w:pPr>
            <w:r>
              <w:rPr>
                <w:rFonts w:ascii="Arial" w:cs="Arial" w:eastAsia="Arial" w:hAnsi="Arial"/>
                <w:sz w:val="14"/>
                <w:szCs w:val="14"/>
                <w:color w:val="424242"/>
              </w:rPr>
              <w:t>United Kingdom</w:t>
            </w:r>
          </w:p>
        </w:tc>
        <w:tc>
          <w:tcPr>
            <w:tcW w:w="1060" w:type="dxa"/>
            <w:vAlign w:val="bottom"/>
          </w:tcPr>
          <w:p>
            <w:pPr>
              <w:jc w:val="right"/>
              <w:ind w:right="70"/>
              <w:spacing w:after="0"/>
              <w:rPr>
                <w:sz w:val="20"/>
                <w:szCs w:val="20"/>
                <w:color w:val="auto"/>
              </w:rPr>
            </w:pPr>
            <w:r>
              <w:rPr>
                <w:rFonts w:ascii="Arial" w:cs="Arial" w:eastAsia="Arial" w:hAnsi="Arial"/>
                <w:sz w:val="14"/>
                <w:szCs w:val="14"/>
                <w:color w:val="auto"/>
              </w:rPr>
              <w:t>14,981,500</w:t>
            </w:r>
          </w:p>
        </w:tc>
        <w:tc>
          <w:tcPr>
            <w:tcW w:w="1060" w:type="dxa"/>
            <w:vAlign w:val="bottom"/>
          </w:tcPr>
          <w:p>
            <w:pPr>
              <w:jc w:val="right"/>
              <w:ind w:right="111"/>
              <w:spacing w:after="0"/>
              <w:rPr>
                <w:sz w:val="20"/>
                <w:szCs w:val="20"/>
                <w:color w:val="auto"/>
              </w:rPr>
            </w:pPr>
            <w:r>
              <w:rPr>
                <w:rFonts w:ascii="Arial" w:cs="Arial" w:eastAsia="Arial" w:hAnsi="Arial"/>
                <w:sz w:val="14"/>
                <w:szCs w:val="14"/>
                <w:color w:val="auto"/>
              </w:rPr>
              <w:t>5,516,500</w:t>
            </w:r>
          </w:p>
        </w:tc>
        <w:tc>
          <w:tcPr>
            <w:tcW w:w="1000" w:type="dxa"/>
            <w:vAlign w:val="bottom"/>
          </w:tcPr>
          <w:p>
            <w:pPr>
              <w:jc w:val="right"/>
              <w:ind w:right="90"/>
              <w:spacing w:after="0"/>
              <w:rPr>
                <w:sz w:val="20"/>
                <w:szCs w:val="20"/>
                <w:color w:val="auto"/>
              </w:rPr>
            </w:pPr>
            <w:r>
              <w:rPr>
                <w:rFonts w:ascii="Arial" w:cs="Arial" w:eastAsia="Arial" w:hAnsi="Arial"/>
                <w:sz w:val="14"/>
                <w:szCs w:val="14"/>
                <w:color w:val="auto"/>
              </w:rPr>
              <w:t>13,480,100</w:t>
            </w:r>
          </w:p>
        </w:tc>
        <w:tc>
          <w:tcPr>
            <w:tcW w:w="980" w:type="dxa"/>
            <w:vAlign w:val="bottom"/>
          </w:tcPr>
          <w:p>
            <w:pPr>
              <w:jc w:val="right"/>
              <w:ind w:right="50"/>
              <w:spacing w:after="0"/>
              <w:rPr>
                <w:sz w:val="20"/>
                <w:szCs w:val="20"/>
                <w:color w:val="auto"/>
              </w:rPr>
            </w:pPr>
            <w:r>
              <w:rPr>
                <w:rFonts w:ascii="Arial" w:cs="Arial" w:eastAsia="Arial" w:hAnsi="Arial"/>
                <w:sz w:val="14"/>
                <w:szCs w:val="14"/>
                <w:color w:val="auto"/>
              </w:rPr>
              <w:t>5,279,200</w:t>
            </w:r>
          </w:p>
        </w:tc>
        <w:tc>
          <w:tcPr>
            <w:tcW w:w="1000" w:type="dxa"/>
            <w:vAlign w:val="bottom"/>
          </w:tcPr>
          <w:p>
            <w:pPr>
              <w:jc w:val="right"/>
              <w:ind w:right="50"/>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151"/>
              <w:spacing w:after="0"/>
              <w:rPr>
                <w:sz w:val="20"/>
                <w:szCs w:val="20"/>
                <w:color w:val="auto"/>
              </w:rPr>
            </w:pPr>
            <w:r>
              <w:rPr>
                <w:rFonts w:ascii="Arial" w:cs="Arial" w:eastAsia="Arial" w:hAnsi="Arial"/>
                <w:sz w:val="14"/>
                <w:szCs w:val="14"/>
                <w:color w:val="auto"/>
              </w:rPr>
              <w:t>3,621,800</w:t>
            </w:r>
          </w:p>
        </w:tc>
        <w:tc>
          <w:tcPr>
            <w:tcW w:w="900" w:type="dxa"/>
            <w:vAlign w:val="bottom"/>
          </w:tcPr>
          <w:p>
            <w:pPr>
              <w:jc w:val="right"/>
              <w:ind w:right="50"/>
              <w:spacing w:after="0"/>
              <w:rPr>
                <w:sz w:val="20"/>
                <w:szCs w:val="20"/>
                <w:color w:val="auto"/>
              </w:rPr>
            </w:pPr>
            <w:r>
              <w:rPr>
                <w:rFonts w:ascii="Arial" w:cs="Arial" w:eastAsia="Arial" w:hAnsi="Arial"/>
                <w:sz w:val="14"/>
                <w:szCs w:val="14"/>
                <w:color w:val="auto"/>
              </w:rPr>
              <w:t>3,621,800</w:t>
            </w:r>
          </w:p>
        </w:tc>
        <w:tc>
          <w:tcPr>
            <w:tcW w:w="1000" w:type="dxa"/>
            <w:vAlign w:val="bottom"/>
          </w:tcPr>
          <w:p>
            <w:pPr>
              <w:jc w:val="right"/>
              <w:ind w:right="50"/>
              <w:spacing w:after="0"/>
              <w:rPr>
                <w:sz w:val="20"/>
                <w:szCs w:val="20"/>
                <w:color w:val="auto"/>
              </w:rPr>
            </w:pPr>
            <w:r>
              <w:rPr>
                <w:rFonts w:ascii="Arial" w:cs="Arial" w:eastAsia="Arial" w:hAnsi="Arial"/>
                <w:sz w:val="14"/>
                <w:szCs w:val="14"/>
                <w:color w:val="auto"/>
              </w:rPr>
              <w:t>4,579,100</w:t>
            </w:r>
          </w:p>
        </w:tc>
        <w:tc>
          <w:tcPr>
            <w:tcW w:w="100" w:type="dxa"/>
            <w:vAlign w:val="bottom"/>
          </w:tcPr>
          <w:p>
            <w:pPr>
              <w:spacing w:after="0"/>
              <w:rPr>
                <w:sz w:val="22"/>
                <w:szCs w:val="22"/>
                <w:color w:val="auto"/>
              </w:rPr>
            </w:pPr>
          </w:p>
        </w:tc>
        <w:tc>
          <w:tcPr>
            <w:tcW w:w="1000" w:type="dxa"/>
            <w:vAlign w:val="bottom"/>
          </w:tcPr>
          <w:p>
            <w:pPr>
              <w:jc w:val="right"/>
              <w:ind w:right="30"/>
              <w:spacing w:after="0"/>
              <w:rPr>
                <w:sz w:val="20"/>
                <w:szCs w:val="20"/>
                <w:color w:val="auto"/>
              </w:rPr>
            </w:pPr>
            <w:r>
              <w:rPr>
                <w:rFonts w:ascii="Arial" w:cs="Arial" w:eastAsia="Arial" w:hAnsi="Arial"/>
                <w:sz w:val="14"/>
                <w:szCs w:val="14"/>
                <w:color w:val="auto"/>
              </w:rPr>
              <w:t>3,220,400</w:t>
            </w:r>
          </w:p>
        </w:tc>
        <w:tc>
          <w:tcPr>
            <w:tcW w:w="0" w:type="dxa"/>
            <w:vAlign w:val="bottom"/>
          </w:tcPr>
          <w:p>
            <w:pPr>
              <w:spacing w:after="0"/>
              <w:rPr>
                <w:sz w:val="1"/>
                <w:szCs w:val="1"/>
                <w:color w:val="auto"/>
              </w:rPr>
            </w:pPr>
          </w:p>
        </w:tc>
      </w:tr>
      <w:tr>
        <w:trPr>
          <w:trHeight w:val="270"/>
        </w:trPr>
        <w:tc>
          <w:tcPr>
            <w:tcW w:w="40" w:type="dxa"/>
            <w:vAlign w:val="bottom"/>
            <w:shd w:val="clear" w:color="auto" w:fill="CCEEFF"/>
          </w:tcPr>
          <w:p>
            <w:pPr>
              <w:spacing w:after="0"/>
              <w:rPr>
                <w:sz w:val="23"/>
                <w:szCs w:val="23"/>
                <w:color w:val="auto"/>
              </w:rPr>
            </w:pPr>
          </w:p>
        </w:tc>
        <w:tc>
          <w:tcPr>
            <w:tcW w:w="2000" w:type="dxa"/>
            <w:vAlign w:val="bottom"/>
            <w:gridSpan w:val="5"/>
            <w:shd w:val="clear" w:color="auto" w:fill="CCEEFF"/>
          </w:tcPr>
          <w:p>
            <w:pPr>
              <w:ind w:left="80"/>
              <w:spacing w:after="0"/>
              <w:rPr>
                <w:sz w:val="20"/>
                <w:szCs w:val="20"/>
                <w:color w:val="auto"/>
              </w:rPr>
            </w:pPr>
            <w:r>
              <w:rPr>
                <w:rFonts w:ascii="Arial" w:cs="Arial" w:eastAsia="Arial" w:hAnsi="Arial"/>
                <w:sz w:val="14"/>
                <w:szCs w:val="14"/>
                <w:color w:val="424242"/>
              </w:rPr>
              <w:t>Ireland</w:t>
            </w:r>
          </w:p>
        </w:tc>
        <w:tc>
          <w:tcPr>
            <w:tcW w:w="10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color w:val="auto"/>
              </w:rPr>
              <w:t>938,600</w:t>
            </w:r>
          </w:p>
        </w:tc>
        <w:tc>
          <w:tcPr>
            <w:tcW w:w="106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4"/>
                <w:szCs w:val="14"/>
                <w:color w:val="auto"/>
              </w:rPr>
              <w:t>435,900</w:t>
            </w:r>
          </w:p>
        </w:tc>
        <w:tc>
          <w:tcPr>
            <w:tcW w:w="10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4"/>
                <w:szCs w:val="14"/>
                <w:color w:val="auto"/>
              </w:rPr>
              <w:t>995,300</w:t>
            </w:r>
          </w:p>
        </w:tc>
        <w:tc>
          <w:tcPr>
            <w:tcW w:w="9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380,500</w:t>
            </w:r>
          </w:p>
        </w:tc>
        <w:tc>
          <w:tcPr>
            <w:tcW w:w="10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4"/>
                <w:szCs w:val="14"/>
                <w:color w:val="auto"/>
              </w:rPr>
              <w:t>289,300</w:t>
            </w:r>
          </w:p>
        </w:tc>
        <w:tc>
          <w:tcPr>
            <w:tcW w:w="9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289,300</w:t>
            </w:r>
          </w:p>
        </w:tc>
        <w:tc>
          <w:tcPr>
            <w:tcW w:w="10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325,500</w:t>
            </w:r>
          </w:p>
        </w:tc>
        <w:tc>
          <w:tcPr>
            <w:tcW w:w="100" w:type="dxa"/>
            <w:vAlign w:val="bottom"/>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98,000</w:t>
            </w:r>
          </w:p>
        </w:tc>
        <w:tc>
          <w:tcPr>
            <w:tcW w:w="0" w:type="dxa"/>
            <w:vAlign w:val="bottom"/>
          </w:tcPr>
          <w:p>
            <w:pPr>
              <w:spacing w:after="0"/>
              <w:rPr>
                <w:sz w:val="1"/>
                <w:szCs w:val="1"/>
                <w:color w:val="auto"/>
              </w:rPr>
            </w:pPr>
          </w:p>
        </w:tc>
      </w:tr>
      <w:tr>
        <w:trPr>
          <w:trHeight w:val="283"/>
        </w:trPr>
        <w:tc>
          <w:tcPr>
            <w:tcW w:w="40" w:type="dxa"/>
            <w:vAlign w:val="bottom"/>
            <w:tcBorders>
              <w:bottom w:val="single" w:sz="8" w:color="CCEEFF"/>
            </w:tcBorders>
          </w:tcPr>
          <w:p>
            <w:pPr>
              <w:spacing w:after="0"/>
              <w:rPr>
                <w:sz w:val="24"/>
                <w:szCs w:val="24"/>
                <w:color w:val="auto"/>
              </w:rPr>
            </w:pPr>
          </w:p>
        </w:tc>
        <w:tc>
          <w:tcPr>
            <w:tcW w:w="2000" w:type="dxa"/>
            <w:vAlign w:val="bottom"/>
            <w:tcBorders>
              <w:bottom w:val="single" w:sz="8" w:color="CCEEFF"/>
            </w:tcBorders>
            <w:gridSpan w:val="5"/>
          </w:tcPr>
          <w:p>
            <w:pPr>
              <w:ind w:left="160"/>
              <w:spacing w:after="0"/>
              <w:rPr>
                <w:sz w:val="20"/>
                <w:szCs w:val="20"/>
                <w:color w:val="auto"/>
              </w:rPr>
            </w:pPr>
            <w:r>
              <w:rPr>
                <w:rFonts w:ascii="Arial" w:cs="Arial" w:eastAsia="Arial" w:hAnsi="Arial"/>
                <w:sz w:val="14"/>
                <w:szCs w:val="14"/>
                <w:color w:val="424242"/>
              </w:rPr>
              <w:t>Total Virgin Media</w:t>
            </w:r>
          </w:p>
        </w:tc>
        <w:tc>
          <w:tcPr>
            <w:tcW w:w="106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color w:val="auto"/>
              </w:rPr>
              <w:t>15,920,100</w:t>
            </w:r>
          </w:p>
        </w:tc>
        <w:tc>
          <w:tcPr>
            <w:tcW w:w="106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5,952,400</w:t>
            </w:r>
          </w:p>
        </w:tc>
        <w:tc>
          <w:tcPr>
            <w:tcW w:w="1000" w:type="dxa"/>
            <w:vAlign w:val="bottom"/>
            <w:tcBorders>
              <w:bottom w:val="single" w:sz="8" w:color="auto"/>
            </w:tcBorders>
          </w:tcPr>
          <w:p>
            <w:pPr>
              <w:jc w:val="right"/>
              <w:ind w:right="90"/>
              <w:spacing w:after="0"/>
              <w:rPr>
                <w:sz w:val="20"/>
                <w:szCs w:val="20"/>
                <w:color w:val="auto"/>
              </w:rPr>
            </w:pPr>
            <w:r>
              <w:rPr>
                <w:rFonts w:ascii="Arial" w:cs="Arial" w:eastAsia="Arial" w:hAnsi="Arial"/>
                <w:sz w:val="14"/>
                <w:szCs w:val="14"/>
                <w:color w:val="auto"/>
              </w:rPr>
              <w:t>14,475,400</w:t>
            </w:r>
          </w:p>
        </w:tc>
        <w:tc>
          <w:tcPr>
            <w:tcW w:w="98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5,659,700</w:t>
            </w:r>
          </w:p>
        </w:tc>
        <w:tc>
          <w:tcPr>
            <w:tcW w:w="100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color w:val="auto"/>
              </w:rPr>
              <w:t>3,911,100</w:t>
            </w:r>
          </w:p>
        </w:tc>
        <w:tc>
          <w:tcPr>
            <w:tcW w:w="90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3,911,100</w:t>
            </w:r>
          </w:p>
        </w:tc>
        <w:tc>
          <w:tcPr>
            <w:tcW w:w="100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4,904,600</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3,318,400</w:t>
            </w:r>
          </w:p>
        </w:tc>
        <w:tc>
          <w:tcPr>
            <w:tcW w:w="0" w:type="dxa"/>
            <w:vAlign w:val="bottom"/>
          </w:tcPr>
          <w:p>
            <w:pPr>
              <w:spacing w:after="0"/>
              <w:rPr>
                <w:sz w:val="1"/>
                <w:szCs w:val="1"/>
                <w:color w:val="auto"/>
              </w:rPr>
            </w:pPr>
          </w:p>
        </w:tc>
      </w:tr>
      <w:tr>
        <w:trPr>
          <w:trHeight w:val="115"/>
        </w:trPr>
        <w:tc>
          <w:tcPr>
            <w:tcW w:w="4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110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40" w:type="dxa"/>
            <w:vAlign w:val="bottom"/>
            <w:shd w:val="clear" w:color="auto" w:fill="CCEEFF"/>
          </w:tcPr>
          <w:p>
            <w:pPr>
              <w:spacing w:after="0"/>
              <w:rPr>
                <w:sz w:val="19"/>
                <w:szCs w:val="19"/>
                <w:color w:val="auto"/>
              </w:rPr>
            </w:pPr>
          </w:p>
        </w:tc>
        <w:tc>
          <w:tcPr>
            <w:tcW w:w="2000" w:type="dxa"/>
            <w:vAlign w:val="bottom"/>
            <w:gridSpan w:val="5"/>
            <w:shd w:val="clear" w:color="auto" w:fill="CCEEFF"/>
          </w:tcPr>
          <w:p>
            <w:pPr>
              <w:spacing w:after="0"/>
              <w:rPr>
                <w:sz w:val="20"/>
                <w:szCs w:val="20"/>
                <w:color w:val="auto"/>
              </w:rPr>
            </w:pPr>
            <w:r>
              <w:rPr>
                <w:rFonts w:ascii="Arial" w:cs="Arial" w:eastAsia="Arial" w:hAnsi="Arial"/>
                <w:sz w:val="14"/>
                <w:szCs w:val="14"/>
                <w:b w:val="1"/>
                <w:bCs w:val="1"/>
                <w:color w:val="auto"/>
              </w:rPr>
              <w:t>Q1 Organic</w:t>
            </w:r>
            <w:r>
              <w:rPr>
                <w:rFonts w:ascii="Arial" w:cs="Arial" w:eastAsia="Arial" w:hAnsi="Arial"/>
                <w:sz w:val="17"/>
                <w:szCs w:val="17"/>
                <w:b w:val="1"/>
                <w:bCs w:val="1"/>
                <w:color w:val="auto"/>
                <w:vertAlign w:val="superscript"/>
              </w:rPr>
              <w:t>3</w:t>
            </w:r>
            <w:r>
              <w:rPr>
                <w:rFonts w:ascii="Arial" w:cs="Arial" w:eastAsia="Arial" w:hAnsi="Arial"/>
                <w:sz w:val="14"/>
                <w:szCs w:val="14"/>
                <w:b w:val="1"/>
                <w:bCs w:val="1"/>
                <w:color w:val="auto"/>
              </w:rPr>
              <w:t xml:space="preserve"> Variance</w:t>
            </w:r>
          </w:p>
        </w:tc>
        <w:tc>
          <w:tcPr>
            <w:tcW w:w="10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CCEEFF"/>
          </w:tcPr>
          <w:p>
            <w:pPr>
              <w:spacing w:after="0" w:line="20" w:lineRule="exact"/>
              <w:rPr>
                <w:sz w:val="1"/>
                <w:szCs w:val="1"/>
                <w:color w:val="auto"/>
              </w:rPr>
            </w:pPr>
          </w:p>
        </w:tc>
        <w:tc>
          <w:tcPr>
            <w:tcW w:w="440" w:type="dxa"/>
            <w:vAlign w:val="bottom"/>
            <w:tcBorders>
              <w:top w:val="single" w:sz="8" w:color="auto"/>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40" w:type="dxa"/>
            <w:vAlign w:val="bottom"/>
          </w:tcPr>
          <w:p>
            <w:pPr>
              <w:spacing w:after="0"/>
              <w:rPr>
                <w:sz w:val="22"/>
                <w:szCs w:val="22"/>
                <w:color w:val="auto"/>
              </w:rPr>
            </w:pPr>
          </w:p>
        </w:tc>
        <w:tc>
          <w:tcPr>
            <w:tcW w:w="2000" w:type="dxa"/>
            <w:vAlign w:val="bottom"/>
            <w:gridSpan w:val="5"/>
          </w:tcPr>
          <w:p>
            <w:pPr>
              <w:ind w:left="80"/>
              <w:spacing w:after="0"/>
              <w:rPr>
                <w:sz w:val="20"/>
                <w:szCs w:val="20"/>
                <w:color w:val="auto"/>
              </w:rPr>
            </w:pPr>
            <w:r>
              <w:rPr>
                <w:rFonts w:ascii="Arial" w:cs="Arial" w:eastAsia="Arial" w:hAnsi="Arial"/>
                <w:sz w:val="14"/>
                <w:szCs w:val="14"/>
                <w:color w:val="424242"/>
              </w:rPr>
              <w:t>Switzerland</w:t>
            </w:r>
          </w:p>
        </w:tc>
        <w:tc>
          <w:tcPr>
            <w:tcW w:w="1060" w:type="dxa"/>
            <w:vAlign w:val="bottom"/>
          </w:tcPr>
          <w:p>
            <w:pPr>
              <w:jc w:val="right"/>
              <w:ind w:right="70"/>
              <w:spacing w:after="0"/>
              <w:rPr>
                <w:sz w:val="20"/>
                <w:szCs w:val="20"/>
                <w:color w:val="auto"/>
              </w:rPr>
            </w:pPr>
            <w:r>
              <w:rPr>
                <w:rFonts w:ascii="Arial" w:cs="Arial" w:eastAsia="Arial" w:hAnsi="Arial"/>
                <w:sz w:val="14"/>
                <w:szCs w:val="14"/>
                <w:color w:val="auto"/>
              </w:rPr>
              <w:t>9,400</w:t>
            </w:r>
          </w:p>
        </w:tc>
        <w:tc>
          <w:tcPr>
            <w:tcW w:w="1060" w:type="dxa"/>
            <w:vAlign w:val="bottom"/>
          </w:tcPr>
          <w:p>
            <w:pPr>
              <w:jc w:val="right"/>
              <w:ind w:right="71"/>
              <w:spacing w:after="0"/>
              <w:rPr>
                <w:sz w:val="20"/>
                <w:szCs w:val="20"/>
                <w:color w:val="auto"/>
              </w:rPr>
            </w:pPr>
            <w:r>
              <w:rPr>
                <w:rFonts w:ascii="Arial" w:cs="Arial" w:eastAsia="Arial" w:hAnsi="Arial"/>
                <w:sz w:val="14"/>
                <w:szCs w:val="14"/>
                <w:color w:val="auto"/>
              </w:rPr>
              <w:t>(16,400)</w:t>
            </w:r>
          </w:p>
        </w:tc>
        <w:tc>
          <w:tcPr>
            <w:tcW w:w="1000" w:type="dxa"/>
            <w:vAlign w:val="bottom"/>
          </w:tcPr>
          <w:p>
            <w:pPr>
              <w:jc w:val="right"/>
              <w:ind w:right="30"/>
              <w:spacing w:after="0"/>
              <w:rPr>
                <w:sz w:val="20"/>
                <w:szCs w:val="20"/>
                <w:color w:val="auto"/>
              </w:rPr>
            </w:pPr>
            <w:r>
              <w:rPr>
                <w:rFonts w:ascii="Arial" w:cs="Arial" w:eastAsia="Arial" w:hAnsi="Arial"/>
                <w:sz w:val="14"/>
                <w:szCs w:val="14"/>
                <w:color w:val="auto"/>
              </w:rPr>
              <w:t>(29,100)</w:t>
            </w:r>
          </w:p>
        </w:tc>
        <w:tc>
          <w:tcPr>
            <w:tcW w:w="980" w:type="dxa"/>
            <w:vAlign w:val="bottom"/>
          </w:tcPr>
          <w:p>
            <w:pPr>
              <w:jc w:val="right"/>
              <w:spacing w:after="0"/>
              <w:rPr>
                <w:sz w:val="20"/>
                <w:szCs w:val="20"/>
                <w:color w:val="auto"/>
              </w:rPr>
            </w:pPr>
            <w:r>
              <w:rPr>
                <w:rFonts w:ascii="Arial" w:cs="Arial" w:eastAsia="Arial" w:hAnsi="Arial"/>
                <w:sz w:val="14"/>
                <w:szCs w:val="14"/>
                <w:color w:val="auto"/>
              </w:rPr>
              <w:t>(9,500)</w:t>
            </w:r>
          </w:p>
        </w:tc>
        <w:tc>
          <w:tcPr>
            <w:tcW w:w="1000" w:type="dxa"/>
            <w:vAlign w:val="bottom"/>
          </w:tcPr>
          <w:p>
            <w:pPr>
              <w:jc w:val="right"/>
              <w:spacing w:after="0"/>
              <w:rPr>
                <w:sz w:val="20"/>
                <w:szCs w:val="20"/>
                <w:color w:val="auto"/>
              </w:rPr>
            </w:pPr>
            <w:r>
              <w:rPr>
                <w:rFonts w:ascii="Arial" w:cs="Arial" w:eastAsia="Arial" w:hAnsi="Arial"/>
                <w:sz w:val="14"/>
                <w:szCs w:val="14"/>
                <w:color w:val="auto"/>
              </w:rPr>
              <w:t>(8,900)</w:t>
            </w:r>
          </w:p>
        </w:tc>
        <w:tc>
          <w:tcPr>
            <w:tcW w:w="1100" w:type="dxa"/>
            <w:vAlign w:val="bottom"/>
          </w:tcPr>
          <w:p>
            <w:pPr>
              <w:jc w:val="right"/>
              <w:ind w:right="91"/>
              <w:spacing w:after="0"/>
              <w:rPr>
                <w:sz w:val="20"/>
                <w:szCs w:val="20"/>
                <w:color w:val="auto"/>
              </w:rPr>
            </w:pPr>
            <w:r>
              <w:rPr>
                <w:rFonts w:ascii="Arial" w:cs="Arial" w:eastAsia="Arial" w:hAnsi="Arial"/>
                <w:sz w:val="14"/>
                <w:szCs w:val="14"/>
                <w:color w:val="auto"/>
              </w:rPr>
              <w:t>(6,500)</w:t>
            </w:r>
          </w:p>
        </w:tc>
        <w:tc>
          <w:tcPr>
            <w:tcW w:w="900" w:type="dxa"/>
            <w:vAlign w:val="bottom"/>
          </w:tcPr>
          <w:p>
            <w:pPr>
              <w:jc w:val="right"/>
              <w:spacing w:after="0"/>
              <w:rPr>
                <w:sz w:val="20"/>
                <w:szCs w:val="20"/>
                <w:color w:val="auto"/>
              </w:rPr>
            </w:pPr>
            <w:r>
              <w:rPr>
                <w:rFonts w:ascii="Arial" w:cs="Arial" w:eastAsia="Arial" w:hAnsi="Arial"/>
                <w:sz w:val="14"/>
                <w:szCs w:val="14"/>
                <w:color w:val="auto"/>
              </w:rPr>
              <w:t>(15,400)</w:t>
            </w:r>
          </w:p>
        </w:tc>
        <w:tc>
          <w:tcPr>
            <w:tcW w:w="1000" w:type="dxa"/>
            <w:vAlign w:val="bottom"/>
          </w:tcPr>
          <w:p>
            <w:pPr>
              <w:jc w:val="right"/>
              <w:spacing w:after="0"/>
              <w:rPr>
                <w:sz w:val="20"/>
                <w:szCs w:val="20"/>
                <w:color w:val="auto"/>
              </w:rPr>
            </w:pPr>
            <w:r>
              <w:rPr>
                <w:rFonts w:ascii="Arial" w:cs="Arial" w:eastAsia="Arial" w:hAnsi="Arial"/>
                <w:sz w:val="14"/>
                <w:szCs w:val="14"/>
                <w:color w:val="auto"/>
              </w:rPr>
              <w:t>(4,200)</w:t>
            </w:r>
          </w:p>
        </w:tc>
        <w:tc>
          <w:tcPr>
            <w:tcW w:w="100" w:type="dxa"/>
            <w:vAlign w:val="bottom"/>
          </w:tcPr>
          <w:p>
            <w:pPr>
              <w:spacing w:after="0"/>
              <w:rPr>
                <w:sz w:val="22"/>
                <w:szCs w:val="22"/>
                <w:color w:val="auto"/>
              </w:rPr>
            </w:pPr>
          </w:p>
        </w:tc>
        <w:tc>
          <w:tcPr>
            <w:tcW w:w="1000" w:type="dxa"/>
            <w:vAlign w:val="bottom"/>
          </w:tcPr>
          <w:p>
            <w:pPr>
              <w:jc w:val="right"/>
              <w:ind w:right="30"/>
              <w:spacing w:after="0"/>
              <w:rPr>
                <w:sz w:val="20"/>
                <w:szCs w:val="20"/>
                <w:color w:val="auto"/>
              </w:rPr>
            </w:pPr>
            <w:r>
              <w:rPr>
                <w:rFonts w:ascii="Arial" w:cs="Arial" w:eastAsia="Arial" w:hAnsi="Arial"/>
                <w:sz w:val="14"/>
                <w:szCs w:val="14"/>
                <w:color w:val="auto"/>
              </w:rPr>
              <w:t>12,500</w:t>
            </w:r>
          </w:p>
        </w:tc>
        <w:tc>
          <w:tcPr>
            <w:tcW w:w="0" w:type="dxa"/>
            <w:vAlign w:val="bottom"/>
          </w:tcPr>
          <w:p>
            <w:pPr>
              <w:spacing w:after="0"/>
              <w:rPr>
                <w:sz w:val="1"/>
                <w:szCs w:val="1"/>
                <w:color w:val="auto"/>
              </w:rPr>
            </w:pPr>
          </w:p>
        </w:tc>
      </w:tr>
      <w:tr>
        <w:trPr>
          <w:trHeight w:val="276"/>
        </w:trPr>
        <w:tc>
          <w:tcPr>
            <w:tcW w:w="40" w:type="dxa"/>
            <w:vAlign w:val="bottom"/>
            <w:shd w:val="clear" w:color="auto" w:fill="CCEEFF"/>
          </w:tcPr>
          <w:p>
            <w:pPr>
              <w:spacing w:after="0"/>
              <w:rPr>
                <w:sz w:val="24"/>
                <w:szCs w:val="24"/>
                <w:color w:val="auto"/>
              </w:rPr>
            </w:pPr>
          </w:p>
        </w:tc>
        <w:tc>
          <w:tcPr>
            <w:tcW w:w="2000" w:type="dxa"/>
            <w:vAlign w:val="bottom"/>
            <w:gridSpan w:val="5"/>
            <w:shd w:val="clear" w:color="auto" w:fill="CCEEFF"/>
          </w:tcPr>
          <w:p>
            <w:pPr>
              <w:ind w:left="80"/>
              <w:spacing w:after="0"/>
              <w:rPr>
                <w:sz w:val="20"/>
                <w:szCs w:val="20"/>
                <w:color w:val="auto"/>
              </w:rPr>
            </w:pPr>
            <w:r>
              <w:rPr>
                <w:rFonts w:ascii="Arial" w:cs="Arial" w:eastAsia="Arial" w:hAnsi="Arial"/>
                <w:sz w:val="14"/>
                <w:szCs w:val="14"/>
                <w:color w:val="424242"/>
              </w:rPr>
              <w:t>Poland</w:t>
            </w:r>
          </w:p>
        </w:tc>
        <w:tc>
          <w:tcPr>
            <w:tcW w:w="106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14,700</w:t>
            </w:r>
          </w:p>
        </w:tc>
        <w:tc>
          <w:tcPr>
            <w:tcW w:w="1060" w:type="dxa"/>
            <w:vAlign w:val="bottom"/>
            <w:shd w:val="clear" w:color="auto" w:fill="CCEEFF"/>
          </w:tcPr>
          <w:p>
            <w:pPr>
              <w:jc w:val="right"/>
              <w:ind w:right="111"/>
              <w:spacing w:after="0"/>
              <w:rPr>
                <w:sz w:val="20"/>
                <w:szCs w:val="20"/>
                <w:color w:val="auto"/>
              </w:rPr>
            </w:pPr>
            <w:r>
              <w:rPr>
                <w:rFonts w:ascii="Arial" w:cs="Arial" w:eastAsia="Arial" w:hAnsi="Arial"/>
                <w:sz w:val="14"/>
                <w:szCs w:val="14"/>
                <w:color w:val="auto"/>
              </w:rPr>
              <w:t>6,200</w:t>
            </w:r>
          </w:p>
        </w:tc>
        <w:tc>
          <w:tcPr>
            <w:tcW w:w="100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17,000</w:t>
            </w:r>
          </w:p>
        </w:tc>
        <w:tc>
          <w:tcPr>
            <w:tcW w:w="98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11,700</w:t>
            </w:r>
          </w:p>
        </w:tc>
        <w:tc>
          <w:tcPr>
            <w:tcW w:w="100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10,700</w:t>
            </w:r>
          </w:p>
        </w:tc>
        <w:tc>
          <w:tcPr>
            <w:tcW w:w="1100" w:type="dxa"/>
            <w:vAlign w:val="bottom"/>
            <w:shd w:val="clear" w:color="auto" w:fill="CCEEFF"/>
          </w:tcPr>
          <w:p>
            <w:pPr>
              <w:jc w:val="right"/>
              <w:ind w:right="151"/>
              <w:spacing w:after="0"/>
              <w:rPr>
                <w:sz w:val="20"/>
                <w:szCs w:val="20"/>
                <w:color w:val="auto"/>
              </w:rPr>
            </w:pPr>
            <w:r>
              <w:rPr>
                <w:rFonts w:ascii="Arial" w:cs="Arial" w:eastAsia="Arial" w:hAnsi="Arial"/>
                <w:sz w:val="14"/>
                <w:szCs w:val="14"/>
                <w:color w:val="auto"/>
              </w:rPr>
              <w:t>1,800</w:t>
            </w:r>
          </w:p>
        </w:tc>
        <w:tc>
          <w:tcPr>
            <w:tcW w:w="90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12,500</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(7,200)</w:t>
            </w:r>
          </w:p>
        </w:tc>
        <w:tc>
          <w:tcPr>
            <w:tcW w:w="10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7,200</w:t>
            </w: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tcPr>
          <w:p>
            <w:pPr>
              <w:spacing w:after="0"/>
              <w:rPr>
                <w:sz w:val="22"/>
                <w:szCs w:val="22"/>
                <w:color w:val="auto"/>
              </w:rPr>
            </w:pPr>
          </w:p>
        </w:tc>
        <w:tc>
          <w:tcPr>
            <w:tcW w:w="2000" w:type="dxa"/>
            <w:vAlign w:val="bottom"/>
            <w:tcBorders>
              <w:bottom w:val="single" w:sz="8" w:color="CCEEFF"/>
            </w:tcBorders>
            <w:gridSpan w:val="5"/>
          </w:tcPr>
          <w:p>
            <w:pPr>
              <w:ind w:left="80"/>
              <w:spacing w:after="0"/>
              <w:rPr>
                <w:sz w:val="20"/>
                <w:szCs w:val="20"/>
                <w:color w:val="auto"/>
              </w:rPr>
            </w:pPr>
            <w:r>
              <w:rPr>
                <w:rFonts w:ascii="Arial" w:cs="Arial" w:eastAsia="Arial" w:hAnsi="Arial"/>
                <w:sz w:val="14"/>
                <w:szCs w:val="14"/>
                <w:color w:val="424242"/>
              </w:rPr>
              <w:t>Slovakia</w:t>
            </w:r>
          </w:p>
        </w:tc>
        <w:tc>
          <w:tcPr>
            <w:tcW w:w="106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color w:val="auto"/>
              </w:rPr>
              <w:t>1,100</w:t>
            </w:r>
          </w:p>
        </w:tc>
        <w:tc>
          <w:tcPr>
            <w:tcW w:w="106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color w:val="auto"/>
              </w:rPr>
              <w:t>(100)</w:t>
            </w:r>
          </w:p>
        </w:tc>
        <w:tc>
          <w:tcPr>
            <w:tcW w:w="1000" w:type="dxa"/>
            <w:vAlign w:val="bottom"/>
            <w:tcBorders>
              <w:bottom w:val="single" w:sz="8" w:color="auto"/>
            </w:tcBorders>
          </w:tcPr>
          <w:p>
            <w:pPr>
              <w:jc w:val="right"/>
              <w:ind w:right="90"/>
              <w:spacing w:after="0"/>
              <w:rPr>
                <w:sz w:val="20"/>
                <w:szCs w:val="20"/>
                <w:color w:val="auto"/>
              </w:rPr>
            </w:pPr>
            <w:r>
              <w:rPr>
                <w:rFonts w:ascii="Arial" w:cs="Arial" w:eastAsia="Arial" w:hAnsi="Arial"/>
                <w:sz w:val="14"/>
                <w:szCs w:val="14"/>
                <w:color w:val="auto"/>
              </w:rPr>
              <w:t>2,300</w:t>
            </w:r>
          </w:p>
        </w:tc>
        <w:tc>
          <w:tcPr>
            <w:tcW w:w="98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1,200</w:t>
            </w:r>
          </w:p>
        </w:tc>
        <w:tc>
          <w:tcPr>
            <w:tcW w:w="100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700</w:t>
            </w:r>
          </w:p>
        </w:tc>
        <w:tc>
          <w:tcPr>
            <w:tcW w:w="110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color w:val="auto"/>
              </w:rPr>
              <w:t>(400)</w:t>
            </w:r>
          </w:p>
        </w:tc>
        <w:tc>
          <w:tcPr>
            <w:tcW w:w="90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300</w:t>
            </w:r>
          </w:p>
        </w:tc>
        <w:tc>
          <w:tcPr>
            <w:tcW w:w="100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800</w:t>
            </w:r>
          </w:p>
        </w:tc>
        <w:tc>
          <w:tcPr>
            <w:tcW w:w="1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40" w:type="dxa"/>
            <w:vAlign w:val="bottom"/>
            <w:shd w:val="clear" w:color="auto" w:fill="CCEEFF"/>
          </w:tcPr>
          <w:p>
            <w:pPr>
              <w:spacing w:after="0"/>
              <w:rPr>
                <w:sz w:val="15"/>
                <w:szCs w:val="15"/>
                <w:color w:val="auto"/>
              </w:rPr>
            </w:pPr>
          </w:p>
        </w:tc>
        <w:tc>
          <w:tcPr>
            <w:tcW w:w="2000" w:type="dxa"/>
            <w:vAlign w:val="bottom"/>
            <w:gridSpan w:val="5"/>
            <w:shd w:val="clear" w:color="auto" w:fill="CCEEFF"/>
          </w:tcPr>
          <w:p>
            <w:pPr>
              <w:ind w:left="160"/>
              <w:spacing w:after="0"/>
              <w:rPr>
                <w:sz w:val="20"/>
                <w:szCs w:val="20"/>
                <w:color w:val="auto"/>
              </w:rPr>
            </w:pPr>
            <w:r>
              <w:rPr>
                <w:rFonts w:ascii="Arial" w:cs="Arial" w:eastAsia="Arial" w:hAnsi="Arial"/>
                <w:sz w:val="14"/>
                <w:szCs w:val="14"/>
                <w:color w:val="424242"/>
              </w:rPr>
              <w:t>Total UPC Holding</w:t>
            </w:r>
          </w:p>
        </w:tc>
        <w:tc>
          <w:tcPr>
            <w:tcW w:w="1060" w:type="dxa"/>
            <w:vAlign w:val="bottom"/>
            <w:vMerge w:val="restart"/>
            <w:shd w:val="clear" w:color="auto" w:fill="CCEEFF"/>
          </w:tcPr>
          <w:p>
            <w:pPr>
              <w:jc w:val="right"/>
              <w:ind w:right="70"/>
              <w:spacing w:after="0"/>
              <w:rPr>
                <w:sz w:val="20"/>
                <w:szCs w:val="20"/>
                <w:color w:val="auto"/>
              </w:rPr>
            </w:pPr>
            <w:r>
              <w:rPr>
                <w:rFonts w:ascii="Arial" w:cs="Arial" w:eastAsia="Arial" w:hAnsi="Arial"/>
                <w:sz w:val="14"/>
                <w:szCs w:val="14"/>
                <w:color w:val="auto"/>
              </w:rPr>
              <w:t>25,200</w:t>
            </w:r>
          </w:p>
        </w:tc>
        <w:tc>
          <w:tcPr>
            <w:tcW w:w="1060" w:type="dxa"/>
            <w:vAlign w:val="bottom"/>
            <w:vMerge w:val="restart"/>
            <w:shd w:val="clear" w:color="auto" w:fill="CCEEFF"/>
          </w:tcPr>
          <w:p>
            <w:pPr>
              <w:jc w:val="right"/>
              <w:ind w:right="71"/>
              <w:spacing w:after="0"/>
              <w:rPr>
                <w:sz w:val="20"/>
                <w:szCs w:val="20"/>
                <w:color w:val="auto"/>
              </w:rPr>
            </w:pPr>
            <w:r>
              <w:rPr>
                <w:rFonts w:ascii="Arial" w:cs="Arial" w:eastAsia="Arial" w:hAnsi="Arial"/>
                <w:sz w:val="14"/>
                <w:szCs w:val="14"/>
                <w:color w:val="auto"/>
              </w:rPr>
              <w:t>(10,300)</w:t>
            </w:r>
          </w:p>
        </w:tc>
        <w:tc>
          <w:tcPr>
            <w:tcW w:w="100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(9,800)</w:t>
            </w:r>
          </w:p>
        </w:tc>
        <w:tc>
          <w:tcPr>
            <w:tcW w:w="980" w:type="dxa"/>
            <w:vAlign w:val="bottom"/>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3,400</w:t>
            </w:r>
          </w:p>
        </w:tc>
        <w:tc>
          <w:tcPr>
            <w:tcW w:w="1000" w:type="dxa"/>
            <w:vAlign w:val="bottom"/>
            <w:vMerge w:val="restart"/>
            <w:shd w:val="clear" w:color="auto" w:fill="CCEEFF"/>
          </w:tcPr>
          <w:p>
            <w:pPr>
              <w:jc w:val="right"/>
              <w:ind w:right="50"/>
              <w:spacing w:after="0"/>
              <w:rPr>
                <w:sz w:val="20"/>
                <w:szCs w:val="20"/>
                <w:color w:val="auto"/>
              </w:rPr>
            </w:pPr>
            <w:r>
              <w:rPr>
                <w:rFonts w:ascii="Arial" w:cs="Arial" w:eastAsia="Arial" w:hAnsi="Arial"/>
                <w:sz w:val="14"/>
                <w:szCs w:val="14"/>
                <w:color w:val="auto"/>
              </w:rPr>
              <w:t>2,500</w:t>
            </w:r>
          </w:p>
        </w:tc>
        <w:tc>
          <w:tcPr>
            <w:tcW w:w="1100" w:type="dxa"/>
            <w:vAlign w:val="bottom"/>
            <w:vMerge w:val="restart"/>
            <w:shd w:val="clear" w:color="auto" w:fill="CCEEFF"/>
          </w:tcPr>
          <w:p>
            <w:pPr>
              <w:jc w:val="right"/>
              <w:ind w:right="91"/>
              <w:spacing w:after="0"/>
              <w:rPr>
                <w:sz w:val="20"/>
                <w:szCs w:val="20"/>
                <w:color w:val="auto"/>
              </w:rPr>
            </w:pPr>
            <w:r>
              <w:rPr>
                <w:rFonts w:ascii="Arial" w:cs="Arial" w:eastAsia="Arial" w:hAnsi="Arial"/>
                <w:sz w:val="14"/>
                <w:szCs w:val="14"/>
                <w:color w:val="auto"/>
              </w:rPr>
              <w:t>(5,100)</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(2,600)</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(10,600)</w:t>
            </w:r>
          </w:p>
        </w:tc>
        <w:tc>
          <w:tcPr>
            <w:tcW w:w="10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color w:val="auto"/>
              </w:rPr>
              <w:t>19,700</w:t>
            </w:r>
          </w:p>
        </w:tc>
        <w:tc>
          <w:tcPr>
            <w:tcW w:w="0" w:type="dxa"/>
            <w:vAlign w:val="bottom"/>
          </w:tcPr>
          <w:p>
            <w:pPr>
              <w:spacing w:after="0"/>
              <w:rPr>
                <w:sz w:val="1"/>
                <w:szCs w:val="1"/>
                <w:color w:val="auto"/>
              </w:rPr>
            </w:pPr>
          </w:p>
        </w:tc>
      </w:tr>
      <w:tr>
        <w:trPr>
          <w:trHeight w:val="171"/>
        </w:trPr>
        <w:tc>
          <w:tcPr>
            <w:tcW w:w="40" w:type="dxa"/>
            <w:vAlign w:val="bottom"/>
            <w:tcBorders>
              <w:bottom w:val="single" w:sz="8" w:color="CCEEFF"/>
            </w:tcBorders>
            <w:shd w:val="clear" w:color="auto" w:fill="CCEEFF"/>
          </w:tcPr>
          <w:p>
            <w:pPr>
              <w:spacing w:after="0"/>
              <w:rPr>
                <w:sz w:val="14"/>
                <w:szCs w:val="14"/>
                <w:color w:val="auto"/>
              </w:rPr>
            </w:pPr>
          </w:p>
        </w:tc>
        <w:tc>
          <w:tcPr>
            <w:tcW w:w="2000" w:type="dxa"/>
            <w:vAlign w:val="bottom"/>
            <w:tcBorders>
              <w:bottom w:val="single" w:sz="8" w:color="CCEEFF"/>
            </w:tcBorders>
            <w:gridSpan w:val="5"/>
            <w:shd w:val="clear" w:color="auto" w:fill="CCEEFF"/>
          </w:tcPr>
          <w:p>
            <w:pPr>
              <w:ind w:left="240"/>
              <w:spacing w:after="0"/>
              <w:rPr>
                <w:sz w:val="20"/>
                <w:szCs w:val="20"/>
                <w:color w:val="auto"/>
              </w:rPr>
            </w:pPr>
            <w:r>
              <w:rPr>
                <w:rFonts w:ascii="Arial" w:cs="Arial" w:eastAsia="Arial" w:hAnsi="Arial"/>
                <w:sz w:val="14"/>
                <w:szCs w:val="14"/>
                <w:color w:val="424242"/>
              </w:rPr>
              <w:t>continuing ops</w:t>
            </w:r>
          </w:p>
        </w:tc>
        <w:tc>
          <w:tcPr>
            <w:tcW w:w="1060" w:type="dxa"/>
            <w:vAlign w:val="bottom"/>
            <w:tcBorders>
              <w:bottom w:val="single" w:sz="8" w:color="auto"/>
            </w:tcBorders>
            <w:vMerge w:val="continue"/>
            <w:shd w:val="clear" w:color="auto" w:fill="CCEEFF"/>
          </w:tcPr>
          <w:p>
            <w:pPr>
              <w:spacing w:after="0"/>
              <w:rPr>
                <w:sz w:val="14"/>
                <w:szCs w:val="14"/>
                <w:color w:val="auto"/>
              </w:rPr>
            </w:pPr>
          </w:p>
        </w:tc>
        <w:tc>
          <w:tcPr>
            <w:tcW w:w="1060" w:type="dxa"/>
            <w:vAlign w:val="bottom"/>
            <w:tcBorders>
              <w:bottom w:val="single" w:sz="8" w:color="auto"/>
            </w:tcBorders>
            <w:vMerge w:val="continue"/>
            <w:shd w:val="clear" w:color="auto" w:fill="CCEEFF"/>
          </w:tcPr>
          <w:p>
            <w:pPr>
              <w:spacing w:after="0"/>
              <w:rPr>
                <w:sz w:val="14"/>
                <w:szCs w:val="14"/>
                <w:color w:val="auto"/>
              </w:rPr>
            </w:pPr>
          </w:p>
        </w:tc>
        <w:tc>
          <w:tcPr>
            <w:tcW w:w="1000" w:type="dxa"/>
            <w:vAlign w:val="bottom"/>
            <w:tcBorders>
              <w:bottom w:val="single" w:sz="8" w:color="auto"/>
            </w:tcBorders>
            <w:vMerge w:val="continue"/>
            <w:shd w:val="clear" w:color="auto" w:fill="CCEEFF"/>
          </w:tcPr>
          <w:p>
            <w:pPr>
              <w:spacing w:after="0"/>
              <w:rPr>
                <w:sz w:val="14"/>
                <w:szCs w:val="14"/>
                <w:color w:val="auto"/>
              </w:rPr>
            </w:pPr>
          </w:p>
        </w:tc>
        <w:tc>
          <w:tcPr>
            <w:tcW w:w="980" w:type="dxa"/>
            <w:vAlign w:val="bottom"/>
            <w:tcBorders>
              <w:bottom w:val="single" w:sz="8" w:color="auto"/>
            </w:tcBorders>
            <w:vMerge w:val="continue"/>
            <w:shd w:val="clear" w:color="auto" w:fill="CCEEFF"/>
          </w:tcPr>
          <w:p>
            <w:pPr>
              <w:spacing w:after="0"/>
              <w:rPr>
                <w:sz w:val="14"/>
                <w:szCs w:val="14"/>
                <w:color w:val="auto"/>
              </w:rPr>
            </w:pPr>
          </w:p>
        </w:tc>
        <w:tc>
          <w:tcPr>
            <w:tcW w:w="1000" w:type="dxa"/>
            <w:vAlign w:val="bottom"/>
            <w:tcBorders>
              <w:bottom w:val="single" w:sz="8" w:color="auto"/>
            </w:tcBorders>
            <w:vMerge w:val="continue"/>
            <w:shd w:val="clear" w:color="auto" w:fill="CCEEFF"/>
          </w:tcPr>
          <w:p>
            <w:pPr>
              <w:spacing w:after="0"/>
              <w:rPr>
                <w:sz w:val="14"/>
                <w:szCs w:val="14"/>
                <w:color w:val="auto"/>
              </w:rPr>
            </w:pPr>
          </w:p>
        </w:tc>
        <w:tc>
          <w:tcPr>
            <w:tcW w:w="1100" w:type="dxa"/>
            <w:vAlign w:val="bottom"/>
            <w:tcBorders>
              <w:bottom w:val="single" w:sz="8" w:color="auto"/>
            </w:tcBorders>
            <w:vMerge w:val="continue"/>
            <w:shd w:val="clear" w:color="auto" w:fill="CCEEFF"/>
          </w:tcPr>
          <w:p>
            <w:pPr>
              <w:spacing w:after="0"/>
              <w:rPr>
                <w:sz w:val="14"/>
                <w:szCs w:val="14"/>
                <w:color w:val="auto"/>
              </w:rPr>
            </w:pPr>
          </w:p>
        </w:tc>
        <w:tc>
          <w:tcPr>
            <w:tcW w:w="900" w:type="dxa"/>
            <w:vAlign w:val="bottom"/>
            <w:tcBorders>
              <w:bottom w:val="single" w:sz="8" w:color="auto"/>
            </w:tcBorders>
            <w:vMerge w:val="continue"/>
            <w:shd w:val="clear" w:color="auto" w:fill="CCEEFF"/>
          </w:tcPr>
          <w:p>
            <w:pPr>
              <w:spacing w:after="0"/>
              <w:rPr>
                <w:sz w:val="14"/>
                <w:szCs w:val="14"/>
                <w:color w:val="auto"/>
              </w:rPr>
            </w:pPr>
          </w:p>
        </w:tc>
        <w:tc>
          <w:tcPr>
            <w:tcW w:w="100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000" w:type="dxa"/>
            <w:vAlign w:val="bottom"/>
            <w:tcBorders>
              <w:bottom w:val="single" w:sz="8" w:color="auto"/>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2000" w:type="dxa"/>
            <w:vAlign w:val="bottom"/>
            <w:gridSpan w:val="5"/>
          </w:tcPr>
          <w:p>
            <w:pPr>
              <w:ind w:left="80"/>
              <w:spacing w:after="0"/>
              <w:rPr>
                <w:sz w:val="20"/>
                <w:szCs w:val="20"/>
                <w:color w:val="auto"/>
              </w:rPr>
            </w:pPr>
            <w:r>
              <w:rPr>
                <w:rFonts w:ascii="Arial" w:cs="Arial" w:eastAsia="Arial" w:hAnsi="Arial"/>
                <w:sz w:val="14"/>
                <w:szCs w:val="14"/>
                <w:color w:val="424242"/>
              </w:rPr>
              <w:t>United Kingdom</w:t>
            </w:r>
          </w:p>
        </w:tc>
        <w:tc>
          <w:tcPr>
            <w:tcW w:w="1060" w:type="dxa"/>
            <w:vAlign w:val="bottom"/>
          </w:tcPr>
          <w:p>
            <w:pPr>
              <w:jc w:val="right"/>
              <w:ind w:right="70"/>
              <w:spacing w:after="0"/>
              <w:rPr>
                <w:sz w:val="20"/>
                <w:szCs w:val="20"/>
                <w:color w:val="auto"/>
              </w:rPr>
            </w:pPr>
            <w:r>
              <w:rPr>
                <w:rFonts w:ascii="Arial" w:cs="Arial" w:eastAsia="Arial" w:hAnsi="Arial"/>
                <w:sz w:val="14"/>
                <w:szCs w:val="14"/>
                <w:color w:val="auto"/>
              </w:rPr>
              <w:t>87,100</w:t>
            </w:r>
          </w:p>
        </w:tc>
        <w:tc>
          <w:tcPr>
            <w:tcW w:w="1060" w:type="dxa"/>
            <w:vAlign w:val="bottom"/>
          </w:tcPr>
          <w:p>
            <w:pPr>
              <w:jc w:val="right"/>
              <w:ind w:right="71"/>
              <w:spacing w:after="0"/>
              <w:rPr>
                <w:sz w:val="20"/>
                <w:szCs w:val="20"/>
                <w:color w:val="auto"/>
              </w:rPr>
            </w:pPr>
            <w:r>
              <w:rPr>
                <w:rFonts w:ascii="Arial" w:cs="Arial" w:eastAsia="Arial" w:hAnsi="Arial"/>
                <w:sz w:val="14"/>
                <w:szCs w:val="14"/>
                <w:color w:val="auto"/>
              </w:rPr>
              <w:t>(1,600)</w:t>
            </w:r>
          </w:p>
        </w:tc>
        <w:tc>
          <w:tcPr>
            <w:tcW w:w="1000" w:type="dxa"/>
            <w:vAlign w:val="bottom"/>
          </w:tcPr>
          <w:p>
            <w:pPr>
              <w:jc w:val="right"/>
              <w:ind w:right="30"/>
              <w:spacing w:after="0"/>
              <w:rPr>
                <w:sz w:val="20"/>
                <w:szCs w:val="20"/>
                <w:color w:val="auto"/>
              </w:rPr>
            </w:pPr>
            <w:r>
              <w:rPr>
                <w:rFonts w:ascii="Arial" w:cs="Arial" w:eastAsia="Arial" w:hAnsi="Arial"/>
                <w:sz w:val="14"/>
                <w:szCs w:val="14"/>
                <w:color w:val="auto"/>
              </w:rPr>
              <w:t>(83,800)</w:t>
            </w:r>
          </w:p>
        </w:tc>
        <w:tc>
          <w:tcPr>
            <w:tcW w:w="980" w:type="dxa"/>
            <w:vAlign w:val="bottom"/>
          </w:tcPr>
          <w:p>
            <w:pPr>
              <w:jc w:val="right"/>
              <w:ind w:right="50"/>
              <w:spacing w:after="0"/>
              <w:rPr>
                <w:sz w:val="20"/>
                <w:szCs w:val="20"/>
                <w:color w:val="auto"/>
              </w:rPr>
            </w:pPr>
            <w:r>
              <w:rPr>
                <w:rFonts w:ascii="Arial" w:cs="Arial" w:eastAsia="Arial" w:hAnsi="Arial"/>
                <w:sz w:val="14"/>
                <w:szCs w:val="14"/>
                <w:color w:val="auto"/>
              </w:rPr>
              <w:t>8,200</w:t>
            </w:r>
          </w:p>
        </w:tc>
        <w:tc>
          <w:tcPr>
            <w:tcW w:w="1000" w:type="dxa"/>
            <w:vAlign w:val="bottom"/>
          </w:tcPr>
          <w:p>
            <w:pPr>
              <w:jc w:val="right"/>
              <w:ind w:right="50"/>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91"/>
              <w:spacing w:after="0"/>
              <w:rPr>
                <w:sz w:val="20"/>
                <w:szCs w:val="20"/>
                <w:color w:val="auto"/>
              </w:rPr>
            </w:pPr>
            <w:r>
              <w:rPr>
                <w:rFonts w:ascii="Arial" w:cs="Arial" w:eastAsia="Arial" w:hAnsi="Arial"/>
                <w:sz w:val="14"/>
                <w:szCs w:val="14"/>
                <w:color w:val="auto"/>
              </w:rPr>
              <w:t>(65,600)</w:t>
            </w:r>
          </w:p>
        </w:tc>
        <w:tc>
          <w:tcPr>
            <w:tcW w:w="900" w:type="dxa"/>
            <w:vAlign w:val="bottom"/>
          </w:tcPr>
          <w:p>
            <w:pPr>
              <w:jc w:val="right"/>
              <w:spacing w:after="0"/>
              <w:rPr>
                <w:sz w:val="20"/>
                <w:szCs w:val="20"/>
                <w:color w:val="auto"/>
              </w:rPr>
            </w:pPr>
            <w:r>
              <w:rPr>
                <w:rFonts w:ascii="Arial" w:cs="Arial" w:eastAsia="Arial" w:hAnsi="Arial"/>
                <w:sz w:val="14"/>
                <w:szCs w:val="14"/>
                <w:color w:val="auto"/>
              </w:rPr>
              <w:t>(65,600)</w:t>
            </w:r>
          </w:p>
        </w:tc>
        <w:tc>
          <w:tcPr>
            <w:tcW w:w="1000" w:type="dxa"/>
            <w:vAlign w:val="bottom"/>
          </w:tcPr>
          <w:p>
            <w:pPr>
              <w:jc w:val="right"/>
              <w:spacing w:after="0"/>
              <w:rPr>
                <w:sz w:val="20"/>
                <w:szCs w:val="20"/>
                <w:color w:val="auto"/>
              </w:rPr>
            </w:pPr>
            <w:r>
              <w:rPr>
                <w:rFonts w:ascii="Arial" w:cs="Arial" w:eastAsia="Arial" w:hAnsi="Arial"/>
                <w:sz w:val="14"/>
                <w:szCs w:val="14"/>
                <w:color w:val="auto"/>
              </w:rPr>
              <w:t>(26,400)</w:t>
            </w:r>
          </w:p>
        </w:tc>
        <w:tc>
          <w:tcPr>
            <w:tcW w:w="100" w:type="dxa"/>
            <w:vAlign w:val="bottom"/>
          </w:tcPr>
          <w:p>
            <w:pPr>
              <w:spacing w:after="0"/>
              <w:rPr>
                <w:sz w:val="22"/>
                <w:szCs w:val="22"/>
                <w:color w:val="auto"/>
              </w:rPr>
            </w:pPr>
          </w:p>
        </w:tc>
        <w:tc>
          <w:tcPr>
            <w:tcW w:w="1000" w:type="dxa"/>
            <w:vAlign w:val="bottom"/>
          </w:tcPr>
          <w:p>
            <w:pPr>
              <w:jc w:val="right"/>
              <w:ind w:right="30"/>
              <w:spacing w:after="0"/>
              <w:rPr>
                <w:sz w:val="20"/>
                <w:szCs w:val="20"/>
                <w:color w:val="auto"/>
              </w:rPr>
            </w:pPr>
            <w:r>
              <w:rPr>
                <w:rFonts w:ascii="Arial" w:cs="Arial" w:eastAsia="Arial" w:hAnsi="Arial"/>
                <w:sz w:val="14"/>
                <w:szCs w:val="14"/>
                <w:color w:val="auto"/>
              </w:rPr>
              <w:t>40,900</w:t>
            </w:r>
          </w:p>
        </w:tc>
        <w:tc>
          <w:tcPr>
            <w:tcW w:w="0" w:type="dxa"/>
            <w:vAlign w:val="bottom"/>
          </w:tcPr>
          <w:p>
            <w:pPr>
              <w:spacing w:after="0"/>
              <w:rPr>
                <w:sz w:val="1"/>
                <w:szCs w:val="1"/>
                <w:color w:val="auto"/>
              </w:rPr>
            </w:pPr>
          </w:p>
        </w:tc>
      </w:tr>
      <w:tr>
        <w:trPr>
          <w:trHeight w:val="270"/>
        </w:trPr>
        <w:tc>
          <w:tcPr>
            <w:tcW w:w="40" w:type="dxa"/>
            <w:vAlign w:val="bottom"/>
            <w:shd w:val="clear" w:color="auto" w:fill="CCEEFF"/>
          </w:tcPr>
          <w:p>
            <w:pPr>
              <w:spacing w:after="0"/>
              <w:rPr>
                <w:sz w:val="23"/>
                <w:szCs w:val="23"/>
                <w:color w:val="auto"/>
              </w:rPr>
            </w:pPr>
          </w:p>
        </w:tc>
        <w:tc>
          <w:tcPr>
            <w:tcW w:w="2000" w:type="dxa"/>
            <w:vAlign w:val="bottom"/>
            <w:gridSpan w:val="5"/>
            <w:shd w:val="clear" w:color="auto" w:fill="CCEEFF"/>
          </w:tcPr>
          <w:p>
            <w:pPr>
              <w:ind w:left="80"/>
              <w:spacing w:after="0"/>
              <w:rPr>
                <w:sz w:val="20"/>
                <w:szCs w:val="20"/>
                <w:color w:val="auto"/>
              </w:rPr>
            </w:pPr>
            <w:r>
              <w:rPr>
                <w:rFonts w:ascii="Arial" w:cs="Arial" w:eastAsia="Arial" w:hAnsi="Arial"/>
                <w:sz w:val="14"/>
                <w:szCs w:val="14"/>
                <w:color w:val="424242"/>
              </w:rPr>
              <w:t>Ireland</w:t>
            </w:r>
          </w:p>
        </w:tc>
        <w:tc>
          <w:tcPr>
            <w:tcW w:w="10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color w:val="auto"/>
              </w:rPr>
              <w:t>3,600</w:t>
            </w:r>
          </w:p>
        </w:tc>
        <w:tc>
          <w:tcPr>
            <w:tcW w:w="106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4"/>
                <w:szCs w:val="14"/>
                <w:color w:val="auto"/>
              </w:rPr>
              <w:t>500</w:t>
            </w:r>
          </w:p>
        </w:tc>
        <w:tc>
          <w:tcPr>
            <w:tcW w:w="10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4"/>
                <w:szCs w:val="14"/>
                <w:color w:val="auto"/>
              </w:rPr>
              <w:t>1,600</w:t>
            </w:r>
          </w:p>
        </w:tc>
        <w:tc>
          <w:tcPr>
            <w:tcW w:w="9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2,300</w:t>
            </w:r>
          </w:p>
        </w:tc>
        <w:tc>
          <w:tcPr>
            <w:tcW w:w="10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4"/>
                <w:szCs w:val="14"/>
                <w:color w:val="auto"/>
              </w:rPr>
              <w:t>8,900</w:t>
            </w:r>
          </w:p>
        </w:tc>
        <w:tc>
          <w:tcPr>
            <w:tcW w:w="9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8,900</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(9,600)</w:t>
            </w:r>
          </w:p>
        </w:tc>
        <w:tc>
          <w:tcPr>
            <w:tcW w:w="100" w:type="dxa"/>
            <w:vAlign w:val="bottom"/>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400</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2000" w:type="dxa"/>
            <w:vAlign w:val="bottom"/>
            <w:gridSpan w:val="5"/>
          </w:tcPr>
          <w:p>
            <w:pPr>
              <w:ind w:left="160"/>
              <w:spacing w:after="0"/>
              <w:rPr>
                <w:sz w:val="20"/>
                <w:szCs w:val="20"/>
                <w:color w:val="auto"/>
              </w:rPr>
            </w:pPr>
            <w:r>
              <w:rPr>
                <w:rFonts w:ascii="Arial" w:cs="Arial" w:eastAsia="Arial" w:hAnsi="Arial"/>
                <w:sz w:val="14"/>
                <w:szCs w:val="14"/>
                <w:color w:val="424242"/>
              </w:rPr>
              <w:t>Total Virgin Media</w:t>
            </w:r>
          </w:p>
        </w:tc>
        <w:tc>
          <w:tcPr>
            <w:tcW w:w="106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color w:val="auto"/>
              </w:rPr>
              <w:t>90,700</w:t>
            </w:r>
          </w:p>
        </w:tc>
        <w:tc>
          <w:tcPr>
            <w:tcW w:w="106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color w:val="auto"/>
              </w:rPr>
              <w:t>(1,100)</w:t>
            </w: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(82,200)</w:t>
            </w:r>
          </w:p>
        </w:tc>
        <w:tc>
          <w:tcPr>
            <w:tcW w:w="98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10,500</w:t>
            </w:r>
          </w:p>
        </w:tc>
        <w:tc>
          <w:tcPr>
            <w:tcW w:w="100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color w:val="auto"/>
              </w:rPr>
              <w:t>(56,700)</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(56,700)</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(36,000)</w:t>
            </w:r>
          </w:p>
        </w:tc>
        <w:tc>
          <w:tcPr>
            <w:tcW w:w="100" w:type="dxa"/>
            <w:vAlign w:val="bottom"/>
          </w:tcPr>
          <w:p>
            <w:pPr>
              <w:spacing w:after="0"/>
              <w:rPr>
                <w:sz w:val="21"/>
                <w:szCs w:val="21"/>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41,300</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8" w:lineRule="exact"/>
        <w:rPr>
          <w:sz w:val="20"/>
          <w:szCs w:val="20"/>
          <w:color w:val="auto"/>
        </w:rPr>
      </w:pPr>
    </w:p>
    <w:p>
      <w:pPr>
        <w:jc w:val="right"/>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240"/>
          </w:cols>
          <w:pgMar w:left="320" w:top="1440" w:right="339" w:bottom="1440" w:gutter="0" w:footer="0" w:header="0"/>
        </w:sectPr>
      </w:pPr>
    </w:p>
    <w:bookmarkStart w:id="23" w:name="page24"/>
    <w:bookmarkEnd w:id="23"/>
    <w:p>
      <w:pPr>
        <w:spacing w:after="0" w:line="11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6809105</wp:posOffset>
            </wp:positionH>
            <wp:positionV relativeFrom="page">
              <wp:posOffset>88900</wp:posOffset>
            </wp:positionV>
            <wp:extent cx="531495" cy="53149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clrChange>
                        <a:clrFrom>
                          <a:srgbClr val="FFFFFF"/>
                        </a:clrFrom>
                        <a:clrTo>
                          <a:srgbClr val="FFFFFF">
                            <a:alpha val="0"/>
                          </a:srgbClr>
                        </a:clrTo>
                      </a:clrChange>
                      <a:extLst>
                        <a:ext uri="{28A0092B-C50C-407E-A947-70E740481C1C}"/>
                      </a:extLst>
                    </a:blip>
                    <a:srcRect/>
                    <a:stretch>
                      <a:fillRect/>
                    </a:stretch>
                  </pic:blipFill>
                  <pic:spPr bwMode="auto">
                    <a:xfrm>
                      <a:off x="0" y="0"/>
                      <a:ext cx="531495" cy="53149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0"/>
        </w:trPr>
        <w:tc>
          <w:tcPr>
            <w:tcW w:w="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340" w:type="dxa"/>
            <w:vAlign w:val="bottom"/>
          </w:tcPr>
          <w:p>
            <w:pPr>
              <w:spacing w:after="0"/>
              <w:rPr>
                <w:sz w:val="19"/>
                <w:szCs w:val="19"/>
                <w:color w:val="auto"/>
              </w:rPr>
            </w:pPr>
          </w:p>
        </w:tc>
        <w:tc>
          <w:tcPr>
            <w:tcW w:w="4360" w:type="dxa"/>
            <w:vAlign w:val="bottom"/>
            <w:gridSpan w:val="3"/>
          </w:tcPr>
          <w:p>
            <w:pPr>
              <w:jc w:val="center"/>
              <w:spacing w:after="0"/>
              <w:rPr>
                <w:sz w:val="20"/>
                <w:szCs w:val="20"/>
                <w:color w:val="auto"/>
              </w:rPr>
            </w:pPr>
            <w:r>
              <w:rPr>
                <w:rFonts w:ascii="Arial" w:cs="Arial" w:eastAsia="Arial" w:hAnsi="Arial"/>
                <w:sz w:val="20"/>
                <w:szCs w:val="20"/>
                <w:color w:val="004F9F"/>
                <w:w w:val="98"/>
              </w:rPr>
              <w:t>Selected Operating Data — As of March 31,</w:t>
            </w:r>
          </w:p>
        </w:tc>
      </w:tr>
      <w:tr>
        <w:trPr>
          <w:trHeight w:val="242"/>
        </w:trPr>
        <w:tc>
          <w:tcPr>
            <w:tcW w:w="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340" w:type="dxa"/>
            <w:vAlign w:val="bottom"/>
          </w:tcPr>
          <w:p>
            <w:pPr>
              <w:spacing w:after="0"/>
              <w:rPr>
                <w:sz w:val="21"/>
                <w:szCs w:val="21"/>
                <w:color w:val="auto"/>
              </w:rPr>
            </w:pPr>
          </w:p>
        </w:tc>
        <w:tc>
          <w:tcPr>
            <w:tcW w:w="152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center"/>
              <w:ind w:right="66"/>
              <w:spacing w:after="0"/>
              <w:rPr>
                <w:sz w:val="20"/>
                <w:szCs w:val="20"/>
                <w:color w:val="auto"/>
              </w:rPr>
            </w:pPr>
            <w:r>
              <w:rPr>
                <w:rFonts w:ascii="Arial" w:cs="Arial" w:eastAsia="Arial" w:hAnsi="Arial"/>
                <w:sz w:val="20"/>
                <w:szCs w:val="20"/>
                <w:color w:val="004F9F"/>
                <w:w w:val="98"/>
              </w:rPr>
              <w:t>2020</w:t>
            </w:r>
          </w:p>
        </w:tc>
        <w:tc>
          <w:tcPr>
            <w:tcW w:w="1340" w:type="dxa"/>
            <w:vAlign w:val="bottom"/>
            <w:tcBorders>
              <w:bottom w:val="single" w:sz="8" w:color="auto"/>
            </w:tcBorders>
          </w:tcPr>
          <w:p>
            <w:pPr>
              <w:spacing w:after="0"/>
              <w:rPr>
                <w:sz w:val="21"/>
                <w:szCs w:val="21"/>
                <w:color w:val="auto"/>
              </w:rPr>
            </w:pPr>
          </w:p>
        </w:tc>
      </w:tr>
      <w:tr>
        <w:trPr>
          <w:trHeight w:val="431"/>
        </w:trPr>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1520" w:type="dxa"/>
            <w:vAlign w:val="bottom"/>
          </w:tcPr>
          <w:p>
            <w:pPr>
              <w:jc w:val="right"/>
              <w:ind w:right="205"/>
              <w:spacing w:after="0"/>
              <w:rPr>
                <w:sz w:val="20"/>
                <w:szCs w:val="20"/>
                <w:color w:val="auto"/>
              </w:rPr>
            </w:pPr>
            <w:r>
              <w:rPr>
                <w:rFonts w:ascii="Arial" w:cs="Arial" w:eastAsia="Arial" w:hAnsi="Arial"/>
                <w:sz w:val="14"/>
                <w:szCs w:val="14"/>
                <w:b w:val="1"/>
                <w:bCs w:val="1"/>
                <w:color w:val="auto"/>
              </w:rPr>
              <w:t>Prepaid Mobile</w:t>
            </w:r>
          </w:p>
        </w:tc>
        <w:tc>
          <w:tcPr>
            <w:tcW w:w="1500" w:type="dxa"/>
            <w:vAlign w:val="bottom"/>
          </w:tcPr>
          <w:p>
            <w:pPr>
              <w:jc w:val="center"/>
              <w:ind w:right="86"/>
              <w:spacing w:after="0"/>
              <w:rPr>
                <w:sz w:val="20"/>
                <w:szCs w:val="20"/>
                <w:color w:val="auto"/>
              </w:rPr>
            </w:pPr>
            <w:r>
              <w:rPr>
                <w:rFonts w:ascii="Arial" w:cs="Arial" w:eastAsia="Arial" w:hAnsi="Arial"/>
                <w:sz w:val="14"/>
                <w:szCs w:val="14"/>
                <w:b w:val="1"/>
                <w:bCs w:val="1"/>
                <w:color w:val="auto"/>
              </w:rPr>
              <w:t>Postpaid Mobile</w:t>
            </w:r>
          </w:p>
        </w:tc>
        <w:tc>
          <w:tcPr>
            <w:tcW w:w="1340" w:type="dxa"/>
            <w:vAlign w:val="bottom"/>
          </w:tcPr>
          <w:p>
            <w:pPr>
              <w:jc w:val="right"/>
              <w:ind w:right="228"/>
              <w:spacing w:after="0"/>
              <w:rPr>
                <w:sz w:val="20"/>
                <w:szCs w:val="20"/>
                <w:color w:val="auto"/>
              </w:rPr>
            </w:pPr>
            <w:r>
              <w:rPr>
                <w:rFonts w:ascii="Arial" w:cs="Arial" w:eastAsia="Arial" w:hAnsi="Arial"/>
                <w:sz w:val="14"/>
                <w:szCs w:val="14"/>
                <w:b w:val="1"/>
                <w:bCs w:val="1"/>
                <w:color w:val="auto"/>
              </w:rPr>
              <w:t>Total Mobile</w:t>
            </w:r>
          </w:p>
        </w:tc>
      </w:tr>
      <w:tr>
        <w:trPr>
          <w:trHeight w:val="196"/>
        </w:trPr>
        <w:tc>
          <w:tcPr>
            <w:tcW w:w="40" w:type="dxa"/>
            <w:vAlign w:val="bottom"/>
            <w:tcBorders>
              <w:bottom w:val="single" w:sz="8" w:color="CCEEFF"/>
            </w:tcBorders>
          </w:tcPr>
          <w:p>
            <w:pPr>
              <w:spacing w:after="0"/>
              <w:rPr>
                <w:sz w:val="17"/>
                <w:szCs w:val="17"/>
                <w:color w:val="auto"/>
              </w:rPr>
            </w:pPr>
          </w:p>
        </w:tc>
        <w:tc>
          <w:tcPr>
            <w:tcW w:w="54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080" w:type="dxa"/>
            <w:vAlign w:val="bottom"/>
            <w:tcBorders>
              <w:bottom w:val="single" w:sz="8" w:color="CCEEFF"/>
            </w:tcBorders>
          </w:tcPr>
          <w:p>
            <w:pPr>
              <w:spacing w:after="0"/>
              <w:rPr>
                <w:sz w:val="17"/>
                <w:szCs w:val="17"/>
                <w:color w:val="auto"/>
              </w:rPr>
            </w:pPr>
          </w:p>
        </w:tc>
        <w:tc>
          <w:tcPr>
            <w:tcW w:w="800" w:type="dxa"/>
            <w:vAlign w:val="bottom"/>
            <w:tcBorders>
              <w:bottom w:val="single" w:sz="8" w:color="CCEEFF"/>
            </w:tcBorders>
          </w:tcPr>
          <w:p>
            <w:pPr>
              <w:spacing w:after="0"/>
              <w:rPr>
                <w:sz w:val="17"/>
                <w:szCs w:val="17"/>
                <w:color w:val="auto"/>
              </w:rPr>
            </w:pPr>
          </w:p>
        </w:tc>
        <w:tc>
          <w:tcPr>
            <w:tcW w:w="4340" w:type="dxa"/>
            <w:vAlign w:val="bottom"/>
            <w:tcBorders>
              <w:bottom w:val="single" w:sz="8" w:color="CCEEFF"/>
            </w:tcBorders>
          </w:tcPr>
          <w:p>
            <w:pPr>
              <w:spacing w:after="0"/>
              <w:rPr>
                <w:sz w:val="17"/>
                <w:szCs w:val="17"/>
                <w:color w:val="auto"/>
              </w:rPr>
            </w:pPr>
          </w:p>
        </w:tc>
        <w:tc>
          <w:tcPr>
            <w:tcW w:w="1520" w:type="dxa"/>
            <w:vAlign w:val="bottom"/>
            <w:tcBorders>
              <w:bottom w:val="single" w:sz="8" w:color="auto"/>
            </w:tcBorders>
          </w:tcPr>
          <w:p>
            <w:pPr>
              <w:jc w:val="right"/>
              <w:ind w:right="285"/>
              <w:spacing w:after="0"/>
              <w:rPr>
                <w:sz w:val="20"/>
                <w:szCs w:val="20"/>
                <w:color w:val="auto"/>
              </w:rPr>
            </w:pPr>
            <w:r>
              <w:rPr>
                <w:rFonts w:ascii="Arial" w:cs="Arial" w:eastAsia="Arial" w:hAnsi="Arial"/>
                <w:sz w:val="14"/>
                <w:szCs w:val="14"/>
                <w:b w:val="1"/>
                <w:bCs w:val="1"/>
                <w:color w:val="auto"/>
              </w:rPr>
              <w:t>Subscribers</w:t>
            </w:r>
          </w:p>
        </w:tc>
        <w:tc>
          <w:tcPr>
            <w:tcW w:w="1500" w:type="dxa"/>
            <w:vAlign w:val="bottom"/>
            <w:tcBorders>
              <w:bottom w:val="single" w:sz="8" w:color="auto"/>
            </w:tcBorders>
          </w:tcPr>
          <w:p>
            <w:pPr>
              <w:jc w:val="center"/>
              <w:ind w:right="86"/>
              <w:spacing w:after="0"/>
              <w:rPr>
                <w:sz w:val="20"/>
                <w:szCs w:val="20"/>
                <w:color w:val="auto"/>
              </w:rPr>
            </w:pPr>
            <w:r>
              <w:rPr>
                <w:rFonts w:ascii="Arial" w:cs="Arial" w:eastAsia="Arial" w:hAnsi="Arial"/>
                <w:sz w:val="14"/>
                <w:szCs w:val="14"/>
                <w:b w:val="1"/>
                <w:bCs w:val="1"/>
                <w:color w:val="auto"/>
              </w:rPr>
              <w:t>Subscribers</w:t>
            </w:r>
          </w:p>
        </w:tc>
        <w:tc>
          <w:tcPr>
            <w:tcW w:w="134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Subscribers</w:t>
            </w:r>
          </w:p>
        </w:tc>
      </w:tr>
      <w:tr>
        <w:trPr>
          <w:trHeight w:val="249"/>
        </w:trPr>
        <w:tc>
          <w:tcPr>
            <w:tcW w:w="4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auto"/>
            </w:tcBorders>
            <w:gridSpan w:val="3"/>
            <w:shd w:val="clear" w:color="auto" w:fill="CCEEFF"/>
          </w:tcPr>
          <w:p>
            <w:pPr>
              <w:spacing w:after="0"/>
              <w:rPr>
                <w:sz w:val="20"/>
                <w:szCs w:val="20"/>
                <w:color w:val="auto"/>
              </w:rPr>
            </w:pPr>
            <w:r>
              <w:rPr>
                <w:rFonts w:ascii="Arial" w:cs="Arial" w:eastAsia="Arial" w:hAnsi="Arial"/>
                <w:sz w:val="14"/>
                <w:szCs w:val="14"/>
                <w:b w:val="1"/>
                <w:bCs w:val="1"/>
                <w:color w:val="auto"/>
              </w:rPr>
              <w:t>Total Mobile Subscribers</w:t>
            </w:r>
          </w:p>
        </w:tc>
        <w:tc>
          <w:tcPr>
            <w:tcW w:w="5140" w:type="dxa"/>
            <w:vAlign w:val="bottom"/>
            <w:tcBorders>
              <w:bottom w:val="single" w:sz="8" w:color="CCEEFF"/>
            </w:tcBorders>
            <w:gridSpan w:val="2"/>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64"/>
        </w:trPr>
        <w:tc>
          <w:tcPr>
            <w:tcW w:w="40" w:type="dxa"/>
            <w:vAlign w:val="bottom"/>
          </w:tcPr>
          <w:p>
            <w:pPr>
              <w:spacing w:after="0"/>
              <w:rPr>
                <w:sz w:val="22"/>
                <w:szCs w:val="22"/>
                <w:color w:val="auto"/>
              </w:rPr>
            </w:pPr>
          </w:p>
        </w:tc>
        <w:tc>
          <w:tcPr>
            <w:tcW w:w="6840" w:type="dxa"/>
            <w:vAlign w:val="bottom"/>
            <w:gridSpan w:val="5"/>
          </w:tcPr>
          <w:p>
            <w:pPr>
              <w:ind w:left="80"/>
              <w:spacing w:after="0"/>
              <w:rPr>
                <w:sz w:val="20"/>
                <w:szCs w:val="20"/>
                <w:color w:val="auto"/>
              </w:rPr>
            </w:pPr>
            <w:r>
              <w:rPr>
                <w:rFonts w:ascii="Arial" w:cs="Arial" w:eastAsia="Arial" w:hAnsi="Arial"/>
                <w:sz w:val="14"/>
                <w:szCs w:val="14"/>
                <w:color w:val="auto"/>
              </w:rPr>
              <w:t>Switzerland</w:t>
            </w:r>
          </w:p>
        </w:tc>
        <w:tc>
          <w:tcPr>
            <w:tcW w:w="1520" w:type="dxa"/>
            <w:vAlign w:val="bottom"/>
          </w:tcPr>
          <w:p>
            <w:pPr>
              <w:jc w:val="right"/>
              <w:ind w:right="105"/>
              <w:spacing w:after="0"/>
              <w:rPr>
                <w:sz w:val="20"/>
                <w:szCs w:val="20"/>
                <w:color w:val="auto"/>
              </w:rPr>
            </w:pPr>
            <w:r>
              <w:rPr>
                <w:rFonts w:ascii="Arial" w:cs="Arial" w:eastAsia="Arial" w:hAnsi="Arial"/>
                <w:sz w:val="14"/>
                <w:szCs w:val="14"/>
                <w:color w:val="auto"/>
              </w:rPr>
              <w:t>—</w:t>
            </w:r>
          </w:p>
        </w:tc>
        <w:tc>
          <w:tcPr>
            <w:tcW w:w="1500" w:type="dxa"/>
            <w:vAlign w:val="bottom"/>
          </w:tcPr>
          <w:p>
            <w:pPr>
              <w:jc w:val="right"/>
              <w:ind w:right="146"/>
              <w:spacing w:after="0"/>
              <w:rPr>
                <w:sz w:val="20"/>
                <w:szCs w:val="20"/>
                <w:color w:val="auto"/>
              </w:rPr>
            </w:pPr>
            <w:r>
              <w:rPr>
                <w:rFonts w:ascii="Arial" w:cs="Arial" w:eastAsia="Arial" w:hAnsi="Arial"/>
                <w:sz w:val="14"/>
                <w:szCs w:val="14"/>
                <w:color w:val="auto"/>
              </w:rPr>
              <w:t>213,200</w:t>
            </w:r>
          </w:p>
        </w:tc>
        <w:tc>
          <w:tcPr>
            <w:tcW w:w="1340" w:type="dxa"/>
            <w:vAlign w:val="bottom"/>
          </w:tcPr>
          <w:p>
            <w:pPr>
              <w:jc w:val="right"/>
              <w:ind w:right="28"/>
              <w:spacing w:after="0"/>
              <w:rPr>
                <w:sz w:val="20"/>
                <w:szCs w:val="20"/>
                <w:color w:val="auto"/>
              </w:rPr>
            </w:pPr>
            <w:r>
              <w:rPr>
                <w:rFonts w:ascii="Arial" w:cs="Arial" w:eastAsia="Arial" w:hAnsi="Arial"/>
                <w:sz w:val="14"/>
                <w:szCs w:val="14"/>
                <w:color w:val="auto"/>
              </w:rPr>
              <w:t>213,200</w:t>
            </w:r>
          </w:p>
        </w:tc>
      </w:tr>
      <w:tr>
        <w:trPr>
          <w:trHeight w:val="276"/>
        </w:trPr>
        <w:tc>
          <w:tcPr>
            <w:tcW w:w="40" w:type="dxa"/>
            <w:vAlign w:val="bottom"/>
            <w:shd w:val="clear" w:color="auto" w:fill="CCEEFF"/>
          </w:tcPr>
          <w:p>
            <w:pPr>
              <w:spacing w:after="0"/>
              <w:rPr>
                <w:sz w:val="24"/>
                <w:szCs w:val="24"/>
                <w:color w:val="auto"/>
              </w:rPr>
            </w:pPr>
          </w:p>
        </w:tc>
        <w:tc>
          <w:tcPr>
            <w:tcW w:w="6840" w:type="dxa"/>
            <w:vAlign w:val="bottom"/>
            <w:gridSpan w:val="5"/>
            <w:shd w:val="clear" w:color="auto" w:fill="CCEEFF"/>
          </w:tcPr>
          <w:p>
            <w:pPr>
              <w:ind w:left="80"/>
              <w:spacing w:after="0"/>
              <w:rPr>
                <w:sz w:val="20"/>
                <w:szCs w:val="20"/>
                <w:color w:val="auto"/>
              </w:rPr>
            </w:pPr>
            <w:r>
              <w:rPr>
                <w:rFonts w:ascii="Arial" w:cs="Arial" w:eastAsia="Arial" w:hAnsi="Arial"/>
                <w:sz w:val="14"/>
                <w:szCs w:val="14"/>
                <w:color w:val="auto"/>
              </w:rPr>
              <w:t>Poland</w:t>
            </w:r>
          </w:p>
        </w:tc>
        <w:tc>
          <w:tcPr>
            <w:tcW w:w="1520" w:type="dxa"/>
            <w:vAlign w:val="bottom"/>
            <w:shd w:val="clear" w:color="auto" w:fill="CCEEFF"/>
          </w:tcPr>
          <w:p>
            <w:pPr>
              <w:jc w:val="right"/>
              <w:ind w:right="105"/>
              <w:spacing w:after="0"/>
              <w:rPr>
                <w:sz w:val="20"/>
                <w:szCs w:val="20"/>
                <w:color w:val="auto"/>
              </w:rPr>
            </w:pPr>
            <w:r>
              <w:rPr>
                <w:rFonts w:ascii="Arial" w:cs="Arial" w:eastAsia="Arial" w:hAnsi="Arial"/>
                <w:sz w:val="14"/>
                <w:szCs w:val="14"/>
                <w:color w:val="auto"/>
              </w:rPr>
              <w:t>—</w:t>
            </w:r>
          </w:p>
        </w:tc>
        <w:tc>
          <w:tcPr>
            <w:tcW w:w="1500" w:type="dxa"/>
            <w:vAlign w:val="bottom"/>
            <w:shd w:val="clear" w:color="auto" w:fill="CCEEFF"/>
          </w:tcPr>
          <w:p>
            <w:pPr>
              <w:jc w:val="right"/>
              <w:ind w:right="146"/>
              <w:spacing w:after="0"/>
              <w:rPr>
                <w:sz w:val="20"/>
                <w:szCs w:val="20"/>
                <w:color w:val="auto"/>
              </w:rPr>
            </w:pPr>
            <w:r>
              <w:rPr>
                <w:rFonts w:ascii="Arial" w:cs="Arial" w:eastAsia="Arial" w:hAnsi="Arial"/>
                <w:sz w:val="14"/>
                <w:szCs w:val="14"/>
                <w:color w:val="auto"/>
              </w:rPr>
              <w:t>16,200</w:t>
            </w:r>
          </w:p>
        </w:tc>
        <w:tc>
          <w:tcPr>
            <w:tcW w:w="13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16,200</w:t>
            </w:r>
          </w:p>
        </w:tc>
      </w:tr>
      <w:tr>
        <w:trPr>
          <w:trHeight w:val="264"/>
        </w:trPr>
        <w:tc>
          <w:tcPr>
            <w:tcW w:w="40" w:type="dxa"/>
            <w:vAlign w:val="bottom"/>
            <w:tcBorders>
              <w:bottom w:val="single" w:sz="8" w:color="CCEEFF"/>
            </w:tcBorders>
          </w:tcPr>
          <w:p>
            <w:pPr>
              <w:spacing w:after="0"/>
              <w:rPr>
                <w:sz w:val="22"/>
                <w:szCs w:val="22"/>
                <w:color w:val="auto"/>
              </w:rPr>
            </w:pPr>
          </w:p>
        </w:tc>
        <w:tc>
          <w:tcPr>
            <w:tcW w:w="6840" w:type="dxa"/>
            <w:vAlign w:val="bottom"/>
            <w:tcBorders>
              <w:bottom w:val="single" w:sz="8" w:color="CCEEFF"/>
            </w:tcBorders>
            <w:gridSpan w:val="5"/>
          </w:tcPr>
          <w:p>
            <w:pPr>
              <w:ind w:left="80"/>
              <w:spacing w:after="0"/>
              <w:rPr>
                <w:sz w:val="20"/>
                <w:szCs w:val="20"/>
                <w:color w:val="auto"/>
              </w:rPr>
            </w:pPr>
            <w:r>
              <w:rPr>
                <w:rFonts w:ascii="Arial" w:cs="Arial" w:eastAsia="Arial" w:hAnsi="Arial"/>
                <w:sz w:val="14"/>
                <w:szCs w:val="14"/>
                <w:color w:val="auto"/>
              </w:rPr>
              <w:t>Slovakia</w:t>
            </w:r>
          </w:p>
        </w:tc>
        <w:tc>
          <w:tcPr>
            <w:tcW w:w="1520" w:type="dxa"/>
            <w:vAlign w:val="bottom"/>
            <w:tcBorders>
              <w:bottom w:val="single" w:sz="8" w:color="auto"/>
            </w:tcBorders>
          </w:tcPr>
          <w:p>
            <w:pPr>
              <w:jc w:val="right"/>
              <w:ind w:right="105"/>
              <w:spacing w:after="0"/>
              <w:rPr>
                <w:sz w:val="20"/>
                <w:szCs w:val="20"/>
                <w:color w:val="auto"/>
              </w:rPr>
            </w:pPr>
            <w:r>
              <w:rPr>
                <w:rFonts w:ascii="Arial" w:cs="Arial" w:eastAsia="Arial" w:hAnsi="Arial"/>
                <w:sz w:val="14"/>
                <w:szCs w:val="14"/>
                <w:color w:val="auto"/>
              </w:rPr>
              <w:t>—</w:t>
            </w:r>
          </w:p>
        </w:tc>
        <w:tc>
          <w:tcPr>
            <w:tcW w:w="1500" w:type="dxa"/>
            <w:vAlign w:val="bottom"/>
            <w:tcBorders>
              <w:bottom w:val="single" w:sz="8" w:color="auto"/>
            </w:tcBorders>
          </w:tcPr>
          <w:p>
            <w:pPr>
              <w:jc w:val="right"/>
              <w:ind w:right="146"/>
              <w:spacing w:after="0"/>
              <w:rPr>
                <w:sz w:val="20"/>
                <w:szCs w:val="20"/>
                <w:color w:val="auto"/>
              </w:rPr>
            </w:pPr>
            <w:r>
              <w:rPr>
                <w:rFonts w:ascii="Arial" w:cs="Arial" w:eastAsia="Arial" w:hAnsi="Arial"/>
                <w:sz w:val="14"/>
                <w:szCs w:val="14"/>
                <w:color w:val="auto"/>
              </w:rPr>
              <w:t>—</w:t>
            </w:r>
          </w:p>
        </w:tc>
        <w:tc>
          <w:tcPr>
            <w:tcW w:w="13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r>
      <w:tr>
        <w:trPr>
          <w:trHeight w:val="243"/>
        </w:trPr>
        <w:tc>
          <w:tcPr>
            <w:tcW w:w="40" w:type="dxa"/>
            <w:vAlign w:val="bottom"/>
            <w:tcBorders>
              <w:bottom w:val="single" w:sz="8" w:color="CCEEFF"/>
            </w:tcBorders>
            <w:shd w:val="clear" w:color="auto" w:fill="CCEEFF"/>
          </w:tcPr>
          <w:p>
            <w:pPr>
              <w:spacing w:after="0"/>
              <w:rPr>
                <w:sz w:val="21"/>
                <w:szCs w:val="21"/>
                <w:color w:val="auto"/>
              </w:rPr>
            </w:pPr>
          </w:p>
        </w:tc>
        <w:tc>
          <w:tcPr>
            <w:tcW w:w="6840" w:type="dxa"/>
            <w:vAlign w:val="bottom"/>
            <w:tcBorders>
              <w:bottom w:val="single" w:sz="8" w:color="CCEEFF"/>
            </w:tcBorders>
            <w:gridSpan w:val="5"/>
            <w:shd w:val="clear" w:color="auto" w:fill="CCEEFF"/>
          </w:tcPr>
          <w:p>
            <w:pPr>
              <w:ind w:left="160"/>
              <w:spacing w:after="0"/>
              <w:rPr>
                <w:sz w:val="20"/>
                <w:szCs w:val="20"/>
                <w:color w:val="auto"/>
              </w:rPr>
            </w:pPr>
            <w:r>
              <w:rPr>
                <w:rFonts w:ascii="Arial" w:cs="Arial" w:eastAsia="Arial" w:hAnsi="Arial"/>
                <w:sz w:val="14"/>
                <w:szCs w:val="14"/>
                <w:color w:val="auto"/>
              </w:rPr>
              <w:t>Total UPC Holding</w:t>
            </w:r>
          </w:p>
        </w:tc>
        <w:tc>
          <w:tcPr>
            <w:tcW w:w="1520" w:type="dxa"/>
            <w:vAlign w:val="bottom"/>
            <w:tcBorders>
              <w:bottom w:val="single" w:sz="8" w:color="auto"/>
            </w:tcBorders>
            <w:shd w:val="clear" w:color="auto" w:fill="CCEEFF"/>
          </w:tcPr>
          <w:p>
            <w:pPr>
              <w:jc w:val="right"/>
              <w:ind w:right="105"/>
              <w:spacing w:after="0"/>
              <w:rPr>
                <w:sz w:val="20"/>
                <w:szCs w:val="20"/>
                <w:color w:val="auto"/>
              </w:rPr>
            </w:pPr>
            <w:r>
              <w:rPr>
                <w:rFonts w:ascii="Arial" w:cs="Arial" w:eastAsia="Arial" w:hAnsi="Arial"/>
                <w:sz w:val="14"/>
                <w:szCs w:val="14"/>
                <w:color w:val="auto"/>
              </w:rPr>
              <w:t>—</w:t>
            </w:r>
          </w:p>
        </w:tc>
        <w:tc>
          <w:tcPr>
            <w:tcW w:w="1500" w:type="dxa"/>
            <w:vAlign w:val="bottom"/>
            <w:tcBorders>
              <w:bottom w:val="single" w:sz="8" w:color="auto"/>
            </w:tcBorders>
            <w:shd w:val="clear" w:color="auto" w:fill="CCEEFF"/>
          </w:tcPr>
          <w:p>
            <w:pPr>
              <w:jc w:val="right"/>
              <w:ind w:right="146"/>
              <w:spacing w:after="0"/>
              <w:rPr>
                <w:sz w:val="20"/>
                <w:szCs w:val="20"/>
                <w:color w:val="auto"/>
              </w:rPr>
            </w:pPr>
            <w:r>
              <w:rPr>
                <w:rFonts w:ascii="Arial" w:cs="Arial" w:eastAsia="Arial" w:hAnsi="Arial"/>
                <w:sz w:val="14"/>
                <w:szCs w:val="14"/>
                <w:color w:val="auto"/>
              </w:rPr>
              <w:t>229,400</w:t>
            </w:r>
          </w:p>
        </w:tc>
        <w:tc>
          <w:tcPr>
            <w:tcW w:w="13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229,400</w:t>
            </w:r>
          </w:p>
        </w:tc>
      </w:tr>
      <w:tr>
        <w:trPr>
          <w:trHeight w:val="20"/>
        </w:trPr>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169"/>
        </w:trPr>
        <w:tc>
          <w:tcPr>
            <w:tcW w:w="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270"/>
        </w:trPr>
        <w:tc>
          <w:tcPr>
            <w:tcW w:w="40" w:type="dxa"/>
            <w:vAlign w:val="bottom"/>
            <w:shd w:val="clear" w:color="auto" w:fill="CCEEFF"/>
          </w:tcPr>
          <w:p>
            <w:pPr>
              <w:spacing w:after="0"/>
              <w:rPr>
                <w:sz w:val="23"/>
                <w:szCs w:val="23"/>
                <w:color w:val="auto"/>
              </w:rPr>
            </w:pPr>
          </w:p>
        </w:tc>
        <w:tc>
          <w:tcPr>
            <w:tcW w:w="6840" w:type="dxa"/>
            <w:vAlign w:val="bottom"/>
            <w:gridSpan w:val="5"/>
            <w:shd w:val="clear" w:color="auto" w:fill="CCEEFF"/>
          </w:tcPr>
          <w:p>
            <w:pPr>
              <w:ind w:left="80"/>
              <w:spacing w:after="0"/>
              <w:rPr>
                <w:sz w:val="20"/>
                <w:szCs w:val="20"/>
                <w:color w:val="auto"/>
              </w:rPr>
            </w:pPr>
            <w:r>
              <w:rPr>
                <w:rFonts w:ascii="Arial" w:cs="Arial" w:eastAsia="Arial" w:hAnsi="Arial"/>
                <w:sz w:val="14"/>
                <w:szCs w:val="14"/>
                <w:color w:val="auto"/>
              </w:rPr>
              <w:t>United Kingdom</w:t>
            </w:r>
          </w:p>
        </w:tc>
        <w:tc>
          <w:tcPr>
            <w:tcW w:w="1520" w:type="dxa"/>
            <w:vAlign w:val="bottom"/>
            <w:shd w:val="clear" w:color="auto" w:fill="CCEEFF"/>
          </w:tcPr>
          <w:p>
            <w:pPr>
              <w:jc w:val="right"/>
              <w:ind w:right="105"/>
              <w:spacing w:after="0"/>
              <w:rPr>
                <w:sz w:val="20"/>
                <w:szCs w:val="20"/>
                <w:color w:val="auto"/>
              </w:rPr>
            </w:pPr>
            <w:r>
              <w:rPr>
                <w:rFonts w:ascii="Arial" w:cs="Arial" w:eastAsia="Arial" w:hAnsi="Arial"/>
                <w:sz w:val="14"/>
                <w:szCs w:val="14"/>
                <w:color w:val="auto"/>
              </w:rPr>
              <w:t>233,400</w:t>
            </w:r>
          </w:p>
        </w:tc>
        <w:tc>
          <w:tcPr>
            <w:tcW w:w="1500" w:type="dxa"/>
            <w:vAlign w:val="bottom"/>
            <w:shd w:val="clear" w:color="auto" w:fill="CCEEFF"/>
          </w:tcPr>
          <w:p>
            <w:pPr>
              <w:jc w:val="right"/>
              <w:ind w:right="146"/>
              <w:spacing w:after="0"/>
              <w:rPr>
                <w:sz w:val="20"/>
                <w:szCs w:val="20"/>
                <w:color w:val="auto"/>
              </w:rPr>
            </w:pPr>
            <w:r>
              <w:rPr>
                <w:rFonts w:ascii="Arial" w:cs="Arial" w:eastAsia="Arial" w:hAnsi="Arial"/>
                <w:sz w:val="14"/>
                <w:szCs w:val="14"/>
                <w:color w:val="auto"/>
              </w:rPr>
              <w:t>2,987,000</w:t>
            </w:r>
          </w:p>
        </w:tc>
        <w:tc>
          <w:tcPr>
            <w:tcW w:w="13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3,220,400</w:t>
            </w:r>
          </w:p>
        </w:tc>
      </w:tr>
      <w:tr>
        <w:trPr>
          <w:trHeight w:val="264"/>
        </w:trPr>
        <w:tc>
          <w:tcPr>
            <w:tcW w:w="40" w:type="dxa"/>
            <w:vAlign w:val="bottom"/>
            <w:tcBorders>
              <w:bottom w:val="single" w:sz="8" w:color="CCEEFF"/>
            </w:tcBorders>
          </w:tcPr>
          <w:p>
            <w:pPr>
              <w:spacing w:after="0"/>
              <w:rPr>
                <w:sz w:val="22"/>
                <w:szCs w:val="22"/>
                <w:color w:val="auto"/>
              </w:rPr>
            </w:pPr>
          </w:p>
        </w:tc>
        <w:tc>
          <w:tcPr>
            <w:tcW w:w="6840" w:type="dxa"/>
            <w:vAlign w:val="bottom"/>
            <w:tcBorders>
              <w:bottom w:val="single" w:sz="8" w:color="CCEEFF"/>
            </w:tcBorders>
            <w:gridSpan w:val="5"/>
          </w:tcPr>
          <w:p>
            <w:pPr>
              <w:ind w:left="80"/>
              <w:spacing w:after="0"/>
              <w:rPr>
                <w:sz w:val="20"/>
                <w:szCs w:val="20"/>
                <w:color w:val="auto"/>
              </w:rPr>
            </w:pPr>
            <w:r>
              <w:rPr>
                <w:rFonts w:ascii="Arial" w:cs="Arial" w:eastAsia="Arial" w:hAnsi="Arial"/>
                <w:sz w:val="14"/>
                <w:szCs w:val="14"/>
                <w:color w:val="auto"/>
              </w:rPr>
              <w:t>Ireland</w:t>
            </w:r>
          </w:p>
        </w:tc>
        <w:tc>
          <w:tcPr>
            <w:tcW w:w="1520" w:type="dxa"/>
            <w:vAlign w:val="bottom"/>
            <w:tcBorders>
              <w:bottom w:val="single" w:sz="8" w:color="auto"/>
            </w:tcBorders>
          </w:tcPr>
          <w:p>
            <w:pPr>
              <w:jc w:val="right"/>
              <w:ind w:right="105"/>
              <w:spacing w:after="0"/>
              <w:rPr>
                <w:sz w:val="20"/>
                <w:szCs w:val="20"/>
                <w:color w:val="auto"/>
              </w:rPr>
            </w:pPr>
            <w:r>
              <w:rPr>
                <w:rFonts w:ascii="Arial" w:cs="Arial" w:eastAsia="Arial" w:hAnsi="Arial"/>
                <w:sz w:val="14"/>
                <w:szCs w:val="14"/>
                <w:color w:val="auto"/>
              </w:rPr>
              <w:t>—</w:t>
            </w:r>
          </w:p>
        </w:tc>
        <w:tc>
          <w:tcPr>
            <w:tcW w:w="1500" w:type="dxa"/>
            <w:vAlign w:val="bottom"/>
            <w:tcBorders>
              <w:bottom w:val="single" w:sz="8" w:color="auto"/>
            </w:tcBorders>
          </w:tcPr>
          <w:p>
            <w:pPr>
              <w:jc w:val="right"/>
              <w:ind w:right="146"/>
              <w:spacing w:after="0"/>
              <w:rPr>
                <w:sz w:val="20"/>
                <w:szCs w:val="20"/>
                <w:color w:val="auto"/>
              </w:rPr>
            </w:pPr>
            <w:r>
              <w:rPr>
                <w:rFonts w:ascii="Arial" w:cs="Arial" w:eastAsia="Arial" w:hAnsi="Arial"/>
                <w:sz w:val="14"/>
                <w:szCs w:val="14"/>
                <w:color w:val="auto"/>
              </w:rPr>
              <w:t>98,000</w:t>
            </w:r>
          </w:p>
        </w:tc>
        <w:tc>
          <w:tcPr>
            <w:tcW w:w="13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98,000</w:t>
            </w:r>
          </w:p>
        </w:tc>
      </w:tr>
      <w:tr>
        <w:trPr>
          <w:trHeight w:val="243"/>
        </w:trPr>
        <w:tc>
          <w:tcPr>
            <w:tcW w:w="40" w:type="dxa"/>
            <w:vAlign w:val="bottom"/>
            <w:tcBorders>
              <w:bottom w:val="single" w:sz="8" w:color="CCEEFF"/>
            </w:tcBorders>
            <w:shd w:val="clear" w:color="auto" w:fill="CCEEFF"/>
          </w:tcPr>
          <w:p>
            <w:pPr>
              <w:spacing w:after="0"/>
              <w:rPr>
                <w:sz w:val="21"/>
                <w:szCs w:val="21"/>
                <w:color w:val="auto"/>
              </w:rPr>
            </w:pPr>
          </w:p>
        </w:tc>
        <w:tc>
          <w:tcPr>
            <w:tcW w:w="6840" w:type="dxa"/>
            <w:vAlign w:val="bottom"/>
            <w:tcBorders>
              <w:bottom w:val="single" w:sz="8" w:color="CCEEFF"/>
            </w:tcBorders>
            <w:gridSpan w:val="5"/>
            <w:shd w:val="clear" w:color="auto" w:fill="CCEEFF"/>
          </w:tcPr>
          <w:p>
            <w:pPr>
              <w:ind w:left="160"/>
              <w:spacing w:after="0"/>
              <w:rPr>
                <w:sz w:val="20"/>
                <w:szCs w:val="20"/>
                <w:color w:val="auto"/>
              </w:rPr>
            </w:pPr>
            <w:r>
              <w:rPr>
                <w:rFonts w:ascii="Arial" w:cs="Arial" w:eastAsia="Arial" w:hAnsi="Arial"/>
                <w:sz w:val="14"/>
                <w:szCs w:val="14"/>
                <w:color w:val="auto"/>
              </w:rPr>
              <w:t>Total Virgin Media</w:t>
            </w:r>
          </w:p>
        </w:tc>
        <w:tc>
          <w:tcPr>
            <w:tcW w:w="1520" w:type="dxa"/>
            <w:vAlign w:val="bottom"/>
            <w:tcBorders>
              <w:bottom w:val="single" w:sz="8" w:color="auto"/>
            </w:tcBorders>
            <w:shd w:val="clear" w:color="auto" w:fill="CCEEFF"/>
          </w:tcPr>
          <w:p>
            <w:pPr>
              <w:jc w:val="right"/>
              <w:ind w:right="105"/>
              <w:spacing w:after="0"/>
              <w:rPr>
                <w:sz w:val="20"/>
                <w:szCs w:val="20"/>
                <w:color w:val="auto"/>
              </w:rPr>
            </w:pPr>
            <w:r>
              <w:rPr>
                <w:rFonts w:ascii="Arial" w:cs="Arial" w:eastAsia="Arial" w:hAnsi="Arial"/>
                <w:sz w:val="14"/>
                <w:szCs w:val="14"/>
                <w:color w:val="auto"/>
              </w:rPr>
              <w:t>233,400</w:t>
            </w:r>
          </w:p>
        </w:tc>
        <w:tc>
          <w:tcPr>
            <w:tcW w:w="1500" w:type="dxa"/>
            <w:vAlign w:val="bottom"/>
            <w:tcBorders>
              <w:bottom w:val="single" w:sz="8" w:color="auto"/>
            </w:tcBorders>
            <w:shd w:val="clear" w:color="auto" w:fill="CCEEFF"/>
          </w:tcPr>
          <w:p>
            <w:pPr>
              <w:jc w:val="right"/>
              <w:ind w:right="146"/>
              <w:spacing w:after="0"/>
              <w:rPr>
                <w:sz w:val="20"/>
                <w:szCs w:val="20"/>
                <w:color w:val="auto"/>
              </w:rPr>
            </w:pPr>
            <w:r>
              <w:rPr>
                <w:rFonts w:ascii="Arial" w:cs="Arial" w:eastAsia="Arial" w:hAnsi="Arial"/>
                <w:sz w:val="14"/>
                <w:szCs w:val="14"/>
                <w:color w:val="auto"/>
              </w:rPr>
              <w:t>3,085,000</w:t>
            </w:r>
          </w:p>
        </w:tc>
        <w:tc>
          <w:tcPr>
            <w:tcW w:w="13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3,318,400</w:t>
            </w:r>
          </w:p>
        </w:tc>
      </w:tr>
      <w:tr>
        <w:trPr>
          <w:trHeight w:val="20"/>
        </w:trPr>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4360" w:type="dxa"/>
            <w:vAlign w:val="bottom"/>
            <w:tcBorders>
              <w:bottom w:val="single" w:sz="8" w:color="auto"/>
            </w:tcBorders>
            <w:gridSpan w:val="3"/>
          </w:tcPr>
          <w:p>
            <w:pPr>
              <w:spacing w:after="0" w:line="20" w:lineRule="exact"/>
              <w:rPr>
                <w:sz w:val="1"/>
                <w:szCs w:val="1"/>
                <w:color w:val="auto"/>
              </w:rPr>
            </w:pPr>
          </w:p>
        </w:tc>
      </w:tr>
      <w:tr>
        <w:trPr>
          <w:trHeight w:val="223"/>
        </w:trPr>
        <w:tc>
          <w:tcPr>
            <w:tcW w:w="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3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70"/>
        </w:trPr>
        <w:tc>
          <w:tcPr>
            <w:tcW w:w="4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4340" w:type="dxa"/>
            <w:vAlign w:val="bottom"/>
            <w:shd w:val="clear" w:color="auto" w:fill="CCEEFF"/>
          </w:tcPr>
          <w:p>
            <w:pPr>
              <w:spacing w:after="0"/>
              <w:rPr>
                <w:sz w:val="23"/>
                <w:szCs w:val="23"/>
                <w:color w:val="auto"/>
              </w:rPr>
            </w:pPr>
          </w:p>
        </w:tc>
        <w:tc>
          <w:tcPr>
            <w:tcW w:w="4360" w:type="dxa"/>
            <w:vAlign w:val="bottom"/>
            <w:tcBorders>
              <w:bottom w:val="single" w:sz="8" w:color="auto"/>
            </w:tcBorders>
            <w:gridSpan w:val="3"/>
            <w:shd w:val="clear" w:color="auto" w:fill="CCEEFF"/>
          </w:tcPr>
          <w:p>
            <w:pPr>
              <w:jc w:val="center"/>
              <w:spacing w:after="0"/>
              <w:rPr>
                <w:sz w:val="20"/>
                <w:szCs w:val="20"/>
                <w:color w:val="auto"/>
              </w:rPr>
            </w:pPr>
            <w:r>
              <w:rPr>
                <w:rFonts w:ascii="Arial" w:cs="Arial" w:eastAsia="Arial" w:hAnsi="Arial"/>
                <w:sz w:val="20"/>
                <w:szCs w:val="20"/>
                <w:color w:val="004F9F"/>
                <w:w w:val="99"/>
              </w:rPr>
              <w:t>March 31, 2020 vs. December 31, 2019</w:t>
            </w:r>
          </w:p>
        </w:tc>
      </w:tr>
      <w:tr>
        <w:trPr>
          <w:trHeight w:val="223"/>
        </w:trPr>
        <w:tc>
          <w:tcPr>
            <w:tcW w:w="40" w:type="dxa"/>
            <w:vAlign w:val="bottom"/>
          </w:tcPr>
          <w:p>
            <w:pPr>
              <w:spacing w:after="0"/>
              <w:rPr>
                <w:sz w:val="19"/>
                <w:szCs w:val="19"/>
                <w:color w:val="auto"/>
              </w:rPr>
            </w:pPr>
          </w:p>
        </w:tc>
        <w:tc>
          <w:tcPr>
            <w:tcW w:w="6840" w:type="dxa"/>
            <w:vAlign w:val="bottom"/>
            <w:gridSpan w:val="5"/>
          </w:tcPr>
          <w:p>
            <w:pPr>
              <w:spacing w:after="0"/>
              <w:rPr>
                <w:sz w:val="20"/>
                <w:szCs w:val="20"/>
                <w:color w:val="auto"/>
              </w:rPr>
            </w:pPr>
            <w:r>
              <w:rPr>
                <w:rFonts w:ascii="Arial" w:cs="Arial" w:eastAsia="Arial" w:hAnsi="Arial"/>
                <w:sz w:val="14"/>
                <w:szCs w:val="14"/>
                <w:b w:val="1"/>
                <w:bCs w:val="1"/>
                <w:color w:val="auto"/>
              </w:rPr>
              <w:t>Organic</w:t>
            </w:r>
            <w:r>
              <w:rPr>
                <w:rFonts w:ascii="Arial" w:cs="Arial" w:eastAsia="Arial" w:hAnsi="Arial"/>
                <w:sz w:val="17"/>
                <w:szCs w:val="17"/>
                <w:b w:val="1"/>
                <w:bCs w:val="1"/>
                <w:color w:val="auto"/>
                <w:vertAlign w:val="superscript"/>
              </w:rPr>
              <w:t>3</w:t>
            </w:r>
            <w:r>
              <w:rPr>
                <w:rFonts w:ascii="Arial" w:cs="Arial" w:eastAsia="Arial" w:hAnsi="Arial"/>
                <w:sz w:val="14"/>
                <w:szCs w:val="14"/>
                <w:b w:val="1"/>
                <w:bCs w:val="1"/>
                <w:color w:val="auto"/>
              </w:rPr>
              <w:t xml:space="preserve"> Mobile Subscriber Variance</w:t>
            </w:r>
          </w:p>
        </w:tc>
        <w:tc>
          <w:tcPr>
            <w:tcW w:w="15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0"/>
        </w:trPr>
        <w:tc>
          <w:tcPr>
            <w:tcW w:w="40" w:type="dxa"/>
            <w:vAlign w:val="bottom"/>
          </w:tcPr>
          <w:p>
            <w:pPr>
              <w:spacing w:after="0" w:line="20" w:lineRule="exact"/>
              <w:rPr>
                <w:sz w:val="1"/>
                <w:szCs w:val="1"/>
                <w:color w:val="auto"/>
              </w:rPr>
            </w:pPr>
          </w:p>
        </w:tc>
        <w:tc>
          <w:tcPr>
            <w:tcW w:w="54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Borders>
              <w:top w:val="single" w:sz="8" w:color="auto"/>
            </w:tcBorders>
          </w:tcPr>
          <w:p>
            <w:pPr>
              <w:spacing w:after="0" w:line="20" w:lineRule="exact"/>
              <w:rPr>
                <w:sz w:val="1"/>
                <w:szCs w:val="1"/>
                <w:color w:val="auto"/>
              </w:rPr>
            </w:pPr>
          </w:p>
        </w:tc>
        <w:tc>
          <w:tcPr>
            <w:tcW w:w="800" w:type="dxa"/>
            <w:vAlign w:val="bottom"/>
            <w:tcBorders>
              <w:top w:val="single" w:sz="8" w:color="auto"/>
            </w:tcBorders>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270"/>
        </w:trPr>
        <w:tc>
          <w:tcPr>
            <w:tcW w:w="40" w:type="dxa"/>
            <w:vAlign w:val="bottom"/>
            <w:shd w:val="clear" w:color="auto" w:fill="CCEEFF"/>
          </w:tcPr>
          <w:p>
            <w:pPr>
              <w:spacing w:after="0"/>
              <w:rPr>
                <w:sz w:val="23"/>
                <w:szCs w:val="23"/>
                <w:color w:val="auto"/>
              </w:rPr>
            </w:pPr>
          </w:p>
        </w:tc>
        <w:tc>
          <w:tcPr>
            <w:tcW w:w="6840" w:type="dxa"/>
            <w:vAlign w:val="bottom"/>
            <w:gridSpan w:val="5"/>
            <w:shd w:val="clear" w:color="auto" w:fill="CCEEFF"/>
          </w:tcPr>
          <w:p>
            <w:pPr>
              <w:ind w:left="80"/>
              <w:spacing w:after="0"/>
              <w:rPr>
                <w:sz w:val="20"/>
                <w:szCs w:val="20"/>
                <w:color w:val="auto"/>
              </w:rPr>
            </w:pPr>
            <w:r>
              <w:rPr>
                <w:rFonts w:ascii="Arial" w:cs="Arial" w:eastAsia="Arial" w:hAnsi="Arial"/>
                <w:sz w:val="14"/>
                <w:szCs w:val="14"/>
                <w:color w:val="auto"/>
              </w:rPr>
              <w:t>Switzerland</w:t>
            </w:r>
          </w:p>
        </w:tc>
        <w:tc>
          <w:tcPr>
            <w:tcW w:w="1520" w:type="dxa"/>
            <w:vAlign w:val="bottom"/>
            <w:shd w:val="clear" w:color="auto" w:fill="CCEEFF"/>
          </w:tcPr>
          <w:p>
            <w:pPr>
              <w:jc w:val="right"/>
              <w:ind w:right="105"/>
              <w:spacing w:after="0"/>
              <w:rPr>
                <w:sz w:val="20"/>
                <w:szCs w:val="20"/>
                <w:color w:val="auto"/>
              </w:rPr>
            </w:pPr>
            <w:r>
              <w:rPr>
                <w:rFonts w:ascii="Arial" w:cs="Arial" w:eastAsia="Arial" w:hAnsi="Arial"/>
                <w:sz w:val="14"/>
                <w:szCs w:val="14"/>
                <w:color w:val="auto"/>
              </w:rPr>
              <w:t>—</w:t>
            </w:r>
          </w:p>
        </w:tc>
        <w:tc>
          <w:tcPr>
            <w:tcW w:w="1500" w:type="dxa"/>
            <w:vAlign w:val="bottom"/>
            <w:shd w:val="clear" w:color="auto" w:fill="CCEEFF"/>
          </w:tcPr>
          <w:p>
            <w:pPr>
              <w:jc w:val="right"/>
              <w:ind w:right="146"/>
              <w:spacing w:after="0"/>
              <w:rPr>
                <w:sz w:val="20"/>
                <w:szCs w:val="20"/>
                <w:color w:val="auto"/>
              </w:rPr>
            </w:pPr>
            <w:r>
              <w:rPr>
                <w:rFonts w:ascii="Arial" w:cs="Arial" w:eastAsia="Arial" w:hAnsi="Arial"/>
                <w:sz w:val="14"/>
                <w:szCs w:val="14"/>
                <w:color w:val="auto"/>
              </w:rPr>
              <w:t>12,500</w:t>
            </w:r>
          </w:p>
        </w:tc>
        <w:tc>
          <w:tcPr>
            <w:tcW w:w="13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12,500</w:t>
            </w:r>
          </w:p>
        </w:tc>
      </w:tr>
      <w:tr>
        <w:trPr>
          <w:trHeight w:val="264"/>
        </w:trPr>
        <w:tc>
          <w:tcPr>
            <w:tcW w:w="40" w:type="dxa"/>
            <w:vAlign w:val="bottom"/>
          </w:tcPr>
          <w:p>
            <w:pPr>
              <w:spacing w:after="0"/>
              <w:rPr>
                <w:sz w:val="22"/>
                <w:szCs w:val="22"/>
                <w:color w:val="auto"/>
              </w:rPr>
            </w:pPr>
          </w:p>
        </w:tc>
        <w:tc>
          <w:tcPr>
            <w:tcW w:w="6840" w:type="dxa"/>
            <w:vAlign w:val="bottom"/>
            <w:gridSpan w:val="5"/>
          </w:tcPr>
          <w:p>
            <w:pPr>
              <w:ind w:left="80"/>
              <w:spacing w:after="0"/>
              <w:rPr>
                <w:sz w:val="20"/>
                <w:szCs w:val="20"/>
                <w:color w:val="auto"/>
              </w:rPr>
            </w:pPr>
            <w:r>
              <w:rPr>
                <w:rFonts w:ascii="Arial" w:cs="Arial" w:eastAsia="Arial" w:hAnsi="Arial"/>
                <w:sz w:val="14"/>
                <w:szCs w:val="14"/>
                <w:color w:val="auto"/>
              </w:rPr>
              <w:t>Poland</w:t>
            </w:r>
          </w:p>
        </w:tc>
        <w:tc>
          <w:tcPr>
            <w:tcW w:w="1520" w:type="dxa"/>
            <w:vAlign w:val="bottom"/>
          </w:tcPr>
          <w:p>
            <w:pPr>
              <w:jc w:val="right"/>
              <w:ind w:right="105"/>
              <w:spacing w:after="0"/>
              <w:rPr>
                <w:sz w:val="20"/>
                <w:szCs w:val="20"/>
                <w:color w:val="auto"/>
              </w:rPr>
            </w:pPr>
            <w:r>
              <w:rPr>
                <w:rFonts w:ascii="Arial" w:cs="Arial" w:eastAsia="Arial" w:hAnsi="Arial"/>
                <w:sz w:val="14"/>
                <w:szCs w:val="14"/>
                <w:color w:val="auto"/>
              </w:rPr>
              <w:t>—</w:t>
            </w:r>
          </w:p>
        </w:tc>
        <w:tc>
          <w:tcPr>
            <w:tcW w:w="1500" w:type="dxa"/>
            <w:vAlign w:val="bottom"/>
          </w:tcPr>
          <w:p>
            <w:pPr>
              <w:jc w:val="right"/>
              <w:ind w:right="146"/>
              <w:spacing w:after="0"/>
              <w:rPr>
                <w:sz w:val="20"/>
                <w:szCs w:val="20"/>
                <w:color w:val="auto"/>
              </w:rPr>
            </w:pPr>
            <w:r>
              <w:rPr>
                <w:rFonts w:ascii="Arial" w:cs="Arial" w:eastAsia="Arial" w:hAnsi="Arial"/>
                <w:sz w:val="14"/>
                <w:szCs w:val="14"/>
                <w:color w:val="auto"/>
              </w:rPr>
              <w:t>7,200</w:t>
            </w:r>
          </w:p>
        </w:tc>
        <w:tc>
          <w:tcPr>
            <w:tcW w:w="1340" w:type="dxa"/>
            <w:vAlign w:val="bottom"/>
          </w:tcPr>
          <w:p>
            <w:pPr>
              <w:jc w:val="right"/>
              <w:ind w:right="28"/>
              <w:spacing w:after="0"/>
              <w:rPr>
                <w:sz w:val="20"/>
                <w:szCs w:val="20"/>
                <w:color w:val="auto"/>
              </w:rPr>
            </w:pPr>
            <w:r>
              <w:rPr>
                <w:rFonts w:ascii="Arial" w:cs="Arial" w:eastAsia="Arial" w:hAnsi="Arial"/>
                <w:sz w:val="14"/>
                <w:szCs w:val="14"/>
                <w:color w:val="auto"/>
              </w:rPr>
              <w:t>7,200</w:t>
            </w:r>
          </w:p>
        </w:tc>
      </w:tr>
      <w:tr>
        <w:trPr>
          <w:trHeight w:val="270"/>
        </w:trPr>
        <w:tc>
          <w:tcPr>
            <w:tcW w:w="40" w:type="dxa"/>
            <w:vAlign w:val="bottom"/>
            <w:shd w:val="clear" w:color="auto" w:fill="CCEEFF"/>
          </w:tcPr>
          <w:p>
            <w:pPr>
              <w:spacing w:after="0"/>
              <w:rPr>
                <w:sz w:val="23"/>
                <w:szCs w:val="23"/>
                <w:color w:val="auto"/>
              </w:rPr>
            </w:pPr>
          </w:p>
        </w:tc>
        <w:tc>
          <w:tcPr>
            <w:tcW w:w="6840" w:type="dxa"/>
            <w:vAlign w:val="bottom"/>
            <w:gridSpan w:val="5"/>
            <w:shd w:val="clear" w:color="auto" w:fill="CCEEFF"/>
          </w:tcPr>
          <w:p>
            <w:pPr>
              <w:ind w:left="80"/>
              <w:spacing w:after="0"/>
              <w:rPr>
                <w:sz w:val="20"/>
                <w:szCs w:val="20"/>
                <w:color w:val="auto"/>
              </w:rPr>
            </w:pPr>
            <w:r>
              <w:rPr>
                <w:rFonts w:ascii="Arial" w:cs="Arial" w:eastAsia="Arial" w:hAnsi="Arial"/>
                <w:sz w:val="14"/>
                <w:szCs w:val="14"/>
                <w:color w:val="auto"/>
              </w:rPr>
              <w:t>Slovakia</w:t>
            </w:r>
          </w:p>
        </w:tc>
        <w:tc>
          <w:tcPr>
            <w:tcW w:w="1520" w:type="dxa"/>
            <w:vAlign w:val="bottom"/>
            <w:tcBorders>
              <w:bottom w:val="single" w:sz="8" w:color="auto"/>
            </w:tcBorders>
            <w:shd w:val="clear" w:color="auto" w:fill="CCEEFF"/>
          </w:tcPr>
          <w:p>
            <w:pPr>
              <w:jc w:val="right"/>
              <w:ind w:right="105"/>
              <w:spacing w:after="0"/>
              <w:rPr>
                <w:sz w:val="20"/>
                <w:szCs w:val="20"/>
                <w:color w:val="auto"/>
              </w:rPr>
            </w:pPr>
            <w:r>
              <w:rPr>
                <w:rFonts w:ascii="Arial" w:cs="Arial" w:eastAsia="Arial" w:hAnsi="Arial"/>
                <w:sz w:val="14"/>
                <w:szCs w:val="14"/>
                <w:color w:val="auto"/>
              </w:rPr>
              <w:t>—</w:t>
            </w:r>
          </w:p>
        </w:tc>
        <w:tc>
          <w:tcPr>
            <w:tcW w:w="1500" w:type="dxa"/>
            <w:vAlign w:val="bottom"/>
            <w:tcBorders>
              <w:bottom w:val="single" w:sz="8" w:color="auto"/>
            </w:tcBorders>
            <w:shd w:val="clear" w:color="auto" w:fill="CCEEFF"/>
          </w:tcPr>
          <w:p>
            <w:pPr>
              <w:jc w:val="right"/>
              <w:ind w:right="146"/>
              <w:spacing w:after="0"/>
              <w:rPr>
                <w:sz w:val="20"/>
                <w:szCs w:val="20"/>
                <w:color w:val="auto"/>
              </w:rPr>
            </w:pPr>
            <w:r>
              <w:rPr>
                <w:rFonts w:ascii="Arial" w:cs="Arial" w:eastAsia="Arial" w:hAnsi="Arial"/>
                <w:sz w:val="14"/>
                <w:szCs w:val="14"/>
                <w:color w:val="auto"/>
              </w:rPr>
              <w:t>—</w:t>
            </w:r>
          </w:p>
        </w:tc>
        <w:tc>
          <w:tcPr>
            <w:tcW w:w="13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83"/>
        </w:trPr>
        <w:tc>
          <w:tcPr>
            <w:tcW w:w="40" w:type="dxa"/>
            <w:vAlign w:val="bottom"/>
            <w:tcBorders>
              <w:bottom w:val="single" w:sz="8" w:color="CCEEFF"/>
            </w:tcBorders>
          </w:tcPr>
          <w:p>
            <w:pPr>
              <w:spacing w:after="0"/>
              <w:rPr>
                <w:sz w:val="24"/>
                <w:szCs w:val="24"/>
                <w:color w:val="auto"/>
              </w:rPr>
            </w:pPr>
          </w:p>
        </w:tc>
        <w:tc>
          <w:tcPr>
            <w:tcW w:w="6840" w:type="dxa"/>
            <w:vAlign w:val="bottom"/>
            <w:tcBorders>
              <w:bottom w:val="single" w:sz="8" w:color="CCEEFF"/>
            </w:tcBorders>
            <w:gridSpan w:val="5"/>
          </w:tcPr>
          <w:p>
            <w:pPr>
              <w:ind w:left="160"/>
              <w:spacing w:after="0"/>
              <w:rPr>
                <w:sz w:val="20"/>
                <w:szCs w:val="20"/>
                <w:color w:val="auto"/>
              </w:rPr>
            </w:pPr>
            <w:r>
              <w:rPr>
                <w:rFonts w:ascii="Arial" w:cs="Arial" w:eastAsia="Arial" w:hAnsi="Arial"/>
                <w:sz w:val="14"/>
                <w:szCs w:val="14"/>
                <w:color w:val="auto"/>
              </w:rPr>
              <w:t>Total UPC Holding</w:t>
            </w:r>
          </w:p>
        </w:tc>
        <w:tc>
          <w:tcPr>
            <w:tcW w:w="1520" w:type="dxa"/>
            <w:vAlign w:val="bottom"/>
            <w:tcBorders>
              <w:bottom w:val="single" w:sz="8" w:color="auto"/>
            </w:tcBorders>
          </w:tcPr>
          <w:p>
            <w:pPr>
              <w:jc w:val="right"/>
              <w:ind w:right="105"/>
              <w:spacing w:after="0"/>
              <w:rPr>
                <w:sz w:val="20"/>
                <w:szCs w:val="20"/>
                <w:color w:val="auto"/>
              </w:rPr>
            </w:pPr>
            <w:r>
              <w:rPr>
                <w:rFonts w:ascii="Arial" w:cs="Arial" w:eastAsia="Arial" w:hAnsi="Arial"/>
                <w:sz w:val="14"/>
                <w:szCs w:val="14"/>
                <w:color w:val="auto"/>
              </w:rPr>
              <w:t>—</w:t>
            </w:r>
          </w:p>
        </w:tc>
        <w:tc>
          <w:tcPr>
            <w:tcW w:w="1500" w:type="dxa"/>
            <w:vAlign w:val="bottom"/>
            <w:tcBorders>
              <w:bottom w:val="single" w:sz="8" w:color="auto"/>
            </w:tcBorders>
          </w:tcPr>
          <w:p>
            <w:pPr>
              <w:jc w:val="right"/>
              <w:ind w:right="146"/>
              <w:spacing w:after="0"/>
              <w:rPr>
                <w:sz w:val="20"/>
                <w:szCs w:val="20"/>
                <w:color w:val="auto"/>
              </w:rPr>
            </w:pPr>
            <w:r>
              <w:rPr>
                <w:rFonts w:ascii="Arial" w:cs="Arial" w:eastAsia="Arial" w:hAnsi="Arial"/>
                <w:sz w:val="14"/>
                <w:szCs w:val="14"/>
                <w:color w:val="auto"/>
              </w:rPr>
              <w:t>19,700</w:t>
            </w:r>
          </w:p>
        </w:tc>
        <w:tc>
          <w:tcPr>
            <w:tcW w:w="13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19,700</w:t>
            </w:r>
          </w:p>
        </w:tc>
      </w:tr>
      <w:tr>
        <w:trPr>
          <w:trHeight w:val="197"/>
        </w:trPr>
        <w:tc>
          <w:tcPr>
            <w:tcW w:w="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34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r>
      <w:tr>
        <w:trPr>
          <w:trHeight w:val="264"/>
        </w:trPr>
        <w:tc>
          <w:tcPr>
            <w:tcW w:w="40" w:type="dxa"/>
            <w:vAlign w:val="bottom"/>
          </w:tcPr>
          <w:p>
            <w:pPr>
              <w:spacing w:after="0"/>
              <w:rPr>
                <w:sz w:val="22"/>
                <w:szCs w:val="22"/>
                <w:color w:val="auto"/>
              </w:rPr>
            </w:pPr>
          </w:p>
        </w:tc>
        <w:tc>
          <w:tcPr>
            <w:tcW w:w="6840" w:type="dxa"/>
            <w:vAlign w:val="bottom"/>
            <w:gridSpan w:val="5"/>
          </w:tcPr>
          <w:p>
            <w:pPr>
              <w:ind w:left="80"/>
              <w:spacing w:after="0"/>
              <w:rPr>
                <w:sz w:val="20"/>
                <w:szCs w:val="20"/>
                <w:color w:val="auto"/>
              </w:rPr>
            </w:pPr>
            <w:r>
              <w:rPr>
                <w:rFonts w:ascii="Arial" w:cs="Arial" w:eastAsia="Arial" w:hAnsi="Arial"/>
                <w:sz w:val="14"/>
                <w:szCs w:val="14"/>
                <w:color w:val="auto"/>
              </w:rPr>
              <w:t>United Kingdom</w:t>
            </w:r>
          </w:p>
        </w:tc>
        <w:tc>
          <w:tcPr>
            <w:tcW w:w="1520" w:type="dxa"/>
            <w:vAlign w:val="bottom"/>
          </w:tcPr>
          <w:p>
            <w:pPr>
              <w:jc w:val="right"/>
              <w:ind w:right="45"/>
              <w:spacing w:after="0"/>
              <w:rPr>
                <w:sz w:val="20"/>
                <w:szCs w:val="20"/>
                <w:color w:val="auto"/>
              </w:rPr>
            </w:pPr>
            <w:r>
              <w:rPr>
                <w:rFonts w:ascii="Arial" w:cs="Arial" w:eastAsia="Arial" w:hAnsi="Arial"/>
                <w:sz w:val="14"/>
                <w:szCs w:val="14"/>
                <w:color w:val="auto"/>
              </w:rPr>
              <w:t>(30,500)</w:t>
            </w:r>
          </w:p>
        </w:tc>
        <w:tc>
          <w:tcPr>
            <w:tcW w:w="1500" w:type="dxa"/>
            <w:vAlign w:val="bottom"/>
          </w:tcPr>
          <w:p>
            <w:pPr>
              <w:jc w:val="right"/>
              <w:ind w:right="146"/>
              <w:spacing w:after="0"/>
              <w:rPr>
                <w:sz w:val="20"/>
                <w:szCs w:val="20"/>
                <w:color w:val="auto"/>
              </w:rPr>
            </w:pPr>
            <w:r>
              <w:rPr>
                <w:rFonts w:ascii="Arial" w:cs="Arial" w:eastAsia="Arial" w:hAnsi="Arial"/>
                <w:sz w:val="14"/>
                <w:szCs w:val="14"/>
                <w:color w:val="auto"/>
              </w:rPr>
              <w:t>71,400</w:t>
            </w:r>
          </w:p>
        </w:tc>
        <w:tc>
          <w:tcPr>
            <w:tcW w:w="1340" w:type="dxa"/>
            <w:vAlign w:val="bottom"/>
          </w:tcPr>
          <w:p>
            <w:pPr>
              <w:jc w:val="right"/>
              <w:ind w:right="28"/>
              <w:spacing w:after="0"/>
              <w:rPr>
                <w:sz w:val="20"/>
                <w:szCs w:val="20"/>
                <w:color w:val="auto"/>
              </w:rPr>
            </w:pPr>
            <w:r>
              <w:rPr>
                <w:rFonts w:ascii="Arial" w:cs="Arial" w:eastAsia="Arial" w:hAnsi="Arial"/>
                <w:sz w:val="14"/>
                <w:szCs w:val="14"/>
                <w:color w:val="auto"/>
              </w:rPr>
              <w:t>40,900</w:t>
            </w:r>
          </w:p>
        </w:tc>
      </w:tr>
      <w:tr>
        <w:trPr>
          <w:trHeight w:val="270"/>
        </w:trPr>
        <w:tc>
          <w:tcPr>
            <w:tcW w:w="40" w:type="dxa"/>
            <w:vAlign w:val="bottom"/>
            <w:shd w:val="clear" w:color="auto" w:fill="CCEEFF"/>
          </w:tcPr>
          <w:p>
            <w:pPr>
              <w:spacing w:after="0"/>
              <w:rPr>
                <w:sz w:val="23"/>
                <w:szCs w:val="23"/>
                <w:color w:val="auto"/>
              </w:rPr>
            </w:pPr>
          </w:p>
        </w:tc>
        <w:tc>
          <w:tcPr>
            <w:tcW w:w="6840" w:type="dxa"/>
            <w:vAlign w:val="bottom"/>
            <w:gridSpan w:val="5"/>
            <w:shd w:val="clear" w:color="auto" w:fill="CCEEFF"/>
          </w:tcPr>
          <w:p>
            <w:pPr>
              <w:ind w:left="80"/>
              <w:spacing w:after="0"/>
              <w:rPr>
                <w:sz w:val="20"/>
                <w:szCs w:val="20"/>
                <w:color w:val="auto"/>
              </w:rPr>
            </w:pPr>
            <w:r>
              <w:rPr>
                <w:rFonts w:ascii="Arial" w:cs="Arial" w:eastAsia="Arial" w:hAnsi="Arial"/>
                <w:sz w:val="14"/>
                <w:szCs w:val="14"/>
                <w:color w:val="auto"/>
              </w:rPr>
              <w:t>Ireland</w:t>
            </w:r>
          </w:p>
        </w:tc>
        <w:tc>
          <w:tcPr>
            <w:tcW w:w="1520" w:type="dxa"/>
            <w:vAlign w:val="bottom"/>
            <w:tcBorders>
              <w:bottom w:val="single" w:sz="8" w:color="auto"/>
            </w:tcBorders>
            <w:shd w:val="clear" w:color="auto" w:fill="CCEEFF"/>
          </w:tcPr>
          <w:p>
            <w:pPr>
              <w:jc w:val="right"/>
              <w:ind w:right="105"/>
              <w:spacing w:after="0"/>
              <w:rPr>
                <w:sz w:val="20"/>
                <w:szCs w:val="20"/>
                <w:color w:val="auto"/>
              </w:rPr>
            </w:pPr>
            <w:r>
              <w:rPr>
                <w:rFonts w:ascii="Arial" w:cs="Arial" w:eastAsia="Arial" w:hAnsi="Arial"/>
                <w:sz w:val="14"/>
                <w:szCs w:val="14"/>
                <w:color w:val="auto"/>
              </w:rPr>
              <w:t>—</w:t>
            </w:r>
          </w:p>
        </w:tc>
        <w:tc>
          <w:tcPr>
            <w:tcW w:w="1500" w:type="dxa"/>
            <w:vAlign w:val="bottom"/>
            <w:tcBorders>
              <w:bottom w:val="single" w:sz="8" w:color="auto"/>
            </w:tcBorders>
            <w:shd w:val="clear" w:color="auto" w:fill="CCEEFF"/>
          </w:tcPr>
          <w:p>
            <w:pPr>
              <w:jc w:val="right"/>
              <w:ind w:right="146"/>
              <w:spacing w:after="0"/>
              <w:rPr>
                <w:sz w:val="20"/>
                <w:szCs w:val="20"/>
                <w:color w:val="auto"/>
              </w:rPr>
            </w:pPr>
            <w:r>
              <w:rPr>
                <w:rFonts w:ascii="Arial" w:cs="Arial" w:eastAsia="Arial" w:hAnsi="Arial"/>
                <w:sz w:val="14"/>
                <w:szCs w:val="14"/>
                <w:color w:val="auto"/>
              </w:rPr>
              <w:t>400</w:t>
            </w:r>
          </w:p>
        </w:tc>
        <w:tc>
          <w:tcPr>
            <w:tcW w:w="13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400</w:t>
            </w:r>
          </w:p>
        </w:tc>
      </w:tr>
      <w:tr>
        <w:trPr>
          <w:trHeight w:val="242"/>
        </w:trPr>
        <w:tc>
          <w:tcPr>
            <w:tcW w:w="40" w:type="dxa"/>
            <w:vAlign w:val="bottom"/>
          </w:tcPr>
          <w:p>
            <w:pPr>
              <w:spacing w:after="0"/>
              <w:rPr>
                <w:sz w:val="21"/>
                <w:szCs w:val="21"/>
                <w:color w:val="auto"/>
              </w:rPr>
            </w:pPr>
          </w:p>
        </w:tc>
        <w:tc>
          <w:tcPr>
            <w:tcW w:w="6840" w:type="dxa"/>
            <w:vAlign w:val="bottom"/>
            <w:gridSpan w:val="5"/>
          </w:tcPr>
          <w:p>
            <w:pPr>
              <w:ind w:left="160"/>
              <w:spacing w:after="0"/>
              <w:rPr>
                <w:sz w:val="20"/>
                <w:szCs w:val="20"/>
                <w:color w:val="auto"/>
              </w:rPr>
            </w:pPr>
            <w:r>
              <w:rPr>
                <w:rFonts w:ascii="Arial" w:cs="Arial" w:eastAsia="Arial" w:hAnsi="Arial"/>
                <w:sz w:val="14"/>
                <w:szCs w:val="14"/>
                <w:color w:val="auto"/>
              </w:rPr>
              <w:t>Total Virgin Media</w:t>
            </w:r>
          </w:p>
        </w:tc>
        <w:tc>
          <w:tcPr>
            <w:tcW w:w="1520" w:type="dxa"/>
            <w:vAlign w:val="bottom"/>
            <w:tcBorders>
              <w:bottom w:val="single" w:sz="8" w:color="auto"/>
            </w:tcBorders>
          </w:tcPr>
          <w:p>
            <w:pPr>
              <w:jc w:val="right"/>
              <w:ind w:right="45"/>
              <w:spacing w:after="0"/>
              <w:rPr>
                <w:sz w:val="20"/>
                <w:szCs w:val="20"/>
                <w:color w:val="auto"/>
              </w:rPr>
            </w:pPr>
            <w:r>
              <w:rPr>
                <w:rFonts w:ascii="Arial" w:cs="Arial" w:eastAsia="Arial" w:hAnsi="Arial"/>
                <w:sz w:val="14"/>
                <w:szCs w:val="14"/>
                <w:color w:val="auto"/>
              </w:rPr>
              <w:t>(30,500)</w:t>
            </w:r>
          </w:p>
        </w:tc>
        <w:tc>
          <w:tcPr>
            <w:tcW w:w="1500" w:type="dxa"/>
            <w:vAlign w:val="bottom"/>
            <w:tcBorders>
              <w:bottom w:val="single" w:sz="8" w:color="auto"/>
            </w:tcBorders>
          </w:tcPr>
          <w:p>
            <w:pPr>
              <w:jc w:val="right"/>
              <w:ind w:right="146"/>
              <w:spacing w:after="0"/>
              <w:rPr>
                <w:sz w:val="20"/>
                <w:szCs w:val="20"/>
                <w:color w:val="auto"/>
              </w:rPr>
            </w:pPr>
            <w:r>
              <w:rPr>
                <w:rFonts w:ascii="Arial" w:cs="Arial" w:eastAsia="Arial" w:hAnsi="Arial"/>
                <w:sz w:val="14"/>
                <w:szCs w:val="14"/>
                <w:color w:val="auto"/>
              </w:rPr>
              <w:t>71,800</w:t>
            </w:r>
          </w:p>
        </w:tc>
        <w:tc>
          <w:tcPr>
            <w:tcW w:w="13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41,300</w:t>
            </w:r>
          </w:p>
        </w:tc>
      </w:tr>
      <w:tr>
        <w:trPr>
          <w:trHeight w:val="20"/>
        </w:trPr>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149" w:lineRule="exact"/>
        <w:rPr>
          <w:sz w:val="20"/>
          <w:szCs w:val="20"/>
          <w:color w:val="auto"/>
        </w:rPr>
      </w:pPr>
    </w:p>
    <w:p>
      <w:pPr>
        <w:spacing w:after="0"/>
        <w:rPr>
          <w:sz w:val="20"/>
          <w:szCs w:val="20"/>
          <w:color w:val="auto"/>
        </w:rPr>
      </w:pPr>
      <w:r>
        <w:rPr>
          <w:rFonts w:ascii="Arial" w:cs="Arial" w:eastAsia="Arial" w:hAnsi="Arial"/>
          <w:sz w:val="14"/>
          <w:szCs w:val="14"/>
          <w:b w:val="1"/>
          <w:bCs w:val="1"/>
          <w:color w:val="424242"/>
        </w:rPr>
        <w:t>Footnotes for Selected Operating Data and Subscriber Variance Tables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69215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64" w:lineRule="exact"/>
        <w:rPr>
          <w:sz w:val="20"/>
          <w:szCs w:val="20"/>
          <w:color w:val="auto"/>
        </w:rPr>
      </w:pPr>
    </w:p>
    <w:p>
      <w:pPr>
        <w:ind w:left="660" w:hanging="517"/>
        <w:spacing w:after="0" w:line="241" w:lineRule="auto"/>
        <w:tabs>
          <w:tab w:leader="none" w:pos="660" w:val="left"/>
        </w:tabs>
        <w:numPr>
          <w:ilvl w:val="0"/>
          <w:numId w:val="18"/>
        </w:numPr>
        <w:rPr>
          <w:rFonts w:ascii="Arial" w:cs="Arial" w:eastAsia="Arial" w:hAnsi="Arial"/>
          <w:sz w:val="14"/>
          <w:szCs w:val="14"/>
          <w:color w:val="auto"/>
        </w:rPr>
      </w:pPr>
      <w:r>
        <w:rPr>
          <w:rFonts w:ascii="Arial" w:cs="Arial" w:eastAsia="Arial" w:hAnsi="Arial"/>
          <w:sz w:val="14"/>
          <w:szCs w:val="14"/>
          <w:color w:val="auto"/>
        </w:rPr>
        <w:t>In Switzerland, we offer a 2 Mbps internet service to our Basic and Enhanced Video Subscribers without an incremental recurring fee. Our Internet Subscribers in Switzerland include 68,900 subscribers who have requested and received this service.</w:t>
      </w:r>
    </w:p>
    <w:p>
      <w:pPr>
        <w:ind w:left="660" w:hanging="517"/>
        <w:spacing w:after="0" w:line="241" w:lineRule="auto"/>
        <w:tabs>
          <w:tab w:leader="none" w:pos="660" w:val="left"/>
        </w:tabs>
        <w:numPr>
          <w:ilvl w:val="0"/>
          <w:numId w:val="18"/>
        </w:numPr>
        <w:rPr>
          <w:rFonts w:ascii="Arial" w:cs="Arial" w:eastAsia="Arial" w:hAnsi="Arial"/>
          <w:sz w:val="14"/>
          <w:szCs w:val="14"/>
          <w:color w:val="auto"/>
        </w:rPr>
      </w:pPr>
      <w:r>
        <w:rPr>
          <w:rFonts w:ascii="Arial" w:cs="Arial" w:eastAsia="Arial" w:hAnsi="Arial"/>
          <w:sz w:val="14"/>
          <w:szCs w:val="14"/>
          <w:color w:val="auto"/>
        </w:rPr>
        <w:t>UPC Holding has approximately 28,600 “lifeline” customers that are counted on a per connection basis, representing the least expensive regulated tier of video cable service, with only a few channels.</w:t>
      </w:r>
    </w:p>
    <w:p>
      <w:pPr>
        <w:ind w:left="660" w:hanging="517"/>
        <w:spacing w:after="0" w:line="241" w:lineRule="auto"/>
        <w:tabs>
          <w:tab w:leader="none" w:pos="660" w:val="left"/>
        </w:tabs>
        <w:numPr>
          <w:ilvl w:val="0"/>
          <w:numId w:val="18"/>
        </w:numPr>
        <w:rPr>
          <w:rFonts w:ascii="Arial" w:cs="Arial" w:eastAsia="Arial" w:hAnsi="Arial"/>
          <w:sz w:val="14"/>
          <w:szCs w:val="14"/>
          <w:color w:val="auto"/>
        </w:rPr>
      </w:pPr>
      <w:r>
        <w:rPr>
          <w:rFonts w:ascii="Arial" w:cs="Arial" w:eastAsia="Arial" w:hAnsi="Arial"/>
          <w:sz w:val="14"/>
          <w:szCs w:val="14"/>
          <w:color w:val="auto"/>
        </w:rPr>
        <w:t>In Switzerland, we offer a basic phone service to our Basic and Enhanced Video Subscribers without an incremental recurring fee. Our Telephony Subscribers in Switzerland include 189,300 subscribers who have requested and received this service.</w:t>
      </w:r>
    </w:p>
    <w:p>
      <w:pPr>
        <w:jc w:val="both"/>
        <w:ind w:left="660" w:hanging="517"/>
        <w:spacing w:after="0" w:line="245" w:lineRule="auto"/>
        <w:tabs>
          <w:tab w:leader="none" w:pos="660" w:val="left"/>
        </w:tabs>
        <w:numPr>
          <w:ilvl w:val="0"/>
          <w:numId w:val="18"/>
        </w:numPr>
        <w:rPr>
          <w:rFonts w:ascii="Arial" w:cs="Arial" w:eastAsia="Arial" w:hAnsi="Arial"/>
          <w:sz w:val="14"/>
          <w:szCs w:val="14"/>
          <w:color w:val="auto"/>
        </w:rPr>
      </w:pPr>
      <w:r>
        <w:rPr>
          <w:rFonts w:ascii="Arial" w:cs="Arial" w:eastAsia="Arial" w:hAnsi="Arial"/>
          <w:sz w:val="14"/>
          <w:szCs w:val="14"/>
          <w:color w:val="auto"/>
        </w:rPr>
        <w:t>Pursuant to service agreements, Switzerland offers enhanced video, broadband internet and telephony services over networks owned by third-party cable operators (“partner networks”). A partner network RGU is only recognized if there is a direct billing relationship with the customer. At March 31, 2020, Switzerland’s partner networks account for 116,000 Fixed-Line Customer Relationships, 295,300 RGUs, which include 107,800 Internet Subscribers, 102,800 Enhanced Video Subscribers and 84,700 Telephony Subscribers. Subscribers to our enhanced video services provided over partner networks receive basic video services from the partner networks as opposed to our operations. Due to the fact that Switzerland does not own these partner networks, we do not report homes passed for Switzerland’s partner networks.</w:t>
      </w:r>
    </w:p>
    <w:p>
      <w:pPr>
        <w:spacing w:after="0" w:line="363" w:lineRule="exact"/>
        <w:rPr>
          <w:sz w:val="20"/>
          <w:szCs w:val="20"/>
          <w:color w:val="auto"/>
        </w:rPr>
      </w:pPr>
    </w:p>
    <w:p>
      <w:pPr>
        <w:jc w:val="right"/>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240"/>
          </w:cols>
          <w:pgMar w:left="320" w:top="1440" w:right="339" w:bottom="1440" w:gutter="0" w:footer="0" w:header="0"/>
        </w:sectPr>
      </w:pPr>
    </w:p>
    <w:bookmarkStart w:id="24" w:name="page25"/>
    <w:bookmarkEnd w:id="24"/>
    <w:p>
      <w:pPr>
        <w:spacing w:after="0"/>
        <w:rPr>
          <w:sz w:val="20"/>
          <w:szCs w:val="20"/>
          <w:color w:val="auto"/>
        </w:rPr>
      </w:pPr>
      <w:r>
        <w:rPr>
          <w:rFonts w:ascii="Arial" w:cs="Arial" w:eastAsia="Arial" w:hAnsi="Arial"/>
          <w:sz w:val="14"/>
          <w:szCs w:val="14"/>
          <w:u w:val="single" w:color="auto"/>
          <w:color w:val="424242"/>
        </w:rPr>
        <w:drawing>
          <wp:anchor simplePos="0" relativeHeight="251657728" behindDoc="1" locked="0" layoutInCell="0" allowOverlap="1">
            <wp:simplePos x="0" y="0"/>
            <wp:positionH relativeFrom="page">
              <wp:posOffset>6809105</wp:posOffset>
            </wp:positionH>
            <wp:positionV relativeFrom="page">
              <wp:posOffset>88900</wp:posOffset>
            </wp:positionV>
            <wp:extent cx="531495" cy="53149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clrChange>
                        <a:clrFrom>
                          <a:srgbClr val="FFFFFF"/>
                        </a:clrFrom>
                        <a:clrTo>
                          <a:srgbClr val="FFFFFF">
                            <a:alpha val="0"/>
                          </a:srgbClr>
                        </a:clrTo>
                      </a:clrChange>
                      <a:extLst>
                        <a:ext uri="{28A0092B-C50C-407E-A947-70E740481C1C}"/>
                      </a:extLst>
                    </a:blip>
                    <a:srcRect/>
                    <a:stretch>
                      <a:fillRect/>
                    </a:stretch>
                  </pic:blipFill>
                  <pic:spPr bwMode="auto">
                    <a:xfrm>
                      <a:off x="0" y="0"/>
                      <a:ext cx="531495" cy="531495"/>
                    </a:xfrm>
                    <a:prstGeom prst="rect">
                      <a:avLst/>
                    </a:prstGeom>
                    <a:noFill/>
                  </pic:spPr>
                </pic:pic>
              </a:graphicData>
            </a:graphic>
          </wp:anchor>
        </w:drawing>
        <w:t>General Notes to Tables:</w:t>
      </w:r>
    </w:p>
    <w:p>
      <w:pPr>
        <w:spacing w:after="0" w:line="177" w:lineRule="exact"/>
        <w:rPr>
          <w:sz w:val="20"/>
          <w:szCs w:val="20"/>
          <w:color w:val="auto"/>
        </w:rPr>
      </w:pPr>
    </w:p>
    <w:p>
      <w:pPr>
        <w:jc w:val="both"/>
        <w:spacing w:after="0" w:line="244" w:lineRule="auto"/>
        <w:rPr>
          <w:sz w:val="20"/>
          <w:szCs w:val="20"/>
          <w:color w:val="auto"/>
        </w:rPr>
      </w:pPr>
      <w:r>
        <w:rPr>
          <w:rFonts w:ascii="Arial" w:cs="Arial" w:eastAsia="Arial" w:hAnsi="Arial"/>
          <w:sz w:val="14"/>
          <w:szCs w:val="14"/>
          <w:color w:val="424242"/>
        </w:rPr>
        <w:t>Most of our broadband communications subsidiaries provide telephony, broadband internet, data, video or other B2B services. Certain of our B2B revenue is derived from SOHO subscribers that pay a premium price to receive enhanced service levels along with video, internet or telephony services that are the same or similar to the mass marketed products offered to our residential subscribers. All mass marketed products provided to SOHOs, whether or not accompanied by enhanced service levels and/or premium prices, are included in the respective RGU and customer counts of our broadband communications operations, with only those services provided at premium prices considered to be “SOHO RGUs” or “SOHO customers”. To the extent our existing customers upgrade from a residential product offering to a SOHO product offering, the number of SOHO RGUs or SOHO customers will increase, but there is no impact to our total RGU or customer counts. With the exception of our B2B SOHO subscribers, we generally do not count customers of B2B services as customers or RGUs for external reporting purposes.</w:t>
      </w:r>
    </w:p>
    <w:p>
      <w:pPr>
        <w:spacing w:after="0" w:line="363" w:lineRule="exact"/>
        <w:rPr>
          <w:sz w:val="20"/>
          <w:szCs w:val="20"/>
          <w:color w:val="auto"/>
        </w:rPr>
      </w:pPr>
    </w:p>
    <w:p>
      <w:pPr>
        <w:jc w:val="right"/>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240"/>
          </w:cols>
          <w:pgMar w:left="320" w:top="1427" w:right="339" w:bottom="1440" w:gutter="0" w:footer="0" w:header="0"/>
        </w:sectPr>
      </w:pPr>
    </w:p>
    <w:bookmarkStart w:id="25" w:name="page26"/>
    <w:bookmarkEnd w:id="25"/>
    <w:p>
      <w:pPr>
        <w:spacing w:after="0"/>
        <w:rPr>
          <w:sz w:val="20"/>
          <w:szCs w:val="20"/>
          <w:color w:val="auto"/>
        </w:rPr>
      </w:pPr>
      <w:r>
        <w:rPr>
          <w:rFonts w:ascii="Arial" w:cs="Arial" w:eastAsia="Arial" w:hAnsi="Arial"/>
          <w:sz w:val="25"/>
          <w:szCs w:val="25"/>
          <w:b w:val="1"/>
          <w:bCs w:val="1"/>
          <w:color w:val="48BFC2"/>
        </w:rPr>
        <w:drawing>
          <wp:anchor simplePos="0" relativeHeight="251657728" behindDoc="1" locked="0" layoutInCell="0" allowOverlap="1">
            <wp:simplePos x="0" y="0"/>
            <wp:positionH relativeFrom="page">
              <wp:posOffset>6809105</wp:posOffset>
            </wp:positionH>
            <wp:positionV relativeFrom="page">
              <wp:posOffset>88900</wp:posOffset>
            </wp:positionV>
            <wp:extent cx="531495" cy="53149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clrChange>
                        <a:clrFrom>
                          <a:srgbClr val="FFFFFF"/>
                        </a:clrFrom>
                        <a:clrTo>
                          <a:srgbClr val="FFFFFF">
                            <a:alpha val="0"/>
                          </a:srgbClr>
                        </a:clrTo>
                      </a:clrChange>
                      <a:extLst>
                        <a:ext uri="{28A0092B-C50C-407E-A947-70E740481C1C}"/>
                      </a:extLst>
                    </a:blip>
                    <a:srcRect/>
                    <a:stretch>
                      <a:fillRect/>
                    </a:stretch>
                  </pic:blipFill>
                  <pic:spPr bwMode="auto">
                    <a:xfrm>
                      <a:off x="0" y="0"/>
                      <a:ext cx="531495" cy="531495"/>
                    </a:xfrm>
                    <a:prstGeom prst="rect">
                      <a:avLst/>
                    </a:prstGeom>
                    <a:noFill/>
                  </pic:spPr>
                </pic:pic>
              </a:graphicData>
            </a:graphic>
          </wp:anchor>
        </w:drawing>
        <w:t>Footnotes</w:t>
      </w:r>
    </w:p>
    <w:p>
      <w:pPr>
        <w:spacing w:after="0" w:line="220" w:lineRule="exact"/>
        <w:rPr>
          <w:sz w:val="20"/>
          <w:szCs w:val="20"/>
          <w:color w:val="auto"/>
        </w:rPr>
      </w:pPr>
    </w:p>
    <w:p>
      <w:pPr>
        <w:jc w:val="both"/>
        <w:ind w:left="340" w:hanging="332"/>
        <w:spacing w:after="0" w:line="245" w:lineRule="auto"/>
        <w:tabs>
          <w:tab w:leader="none" w:pos="340" w:val="left"/>
        </w:tabs>
        <w:numPr>
          <w:ilvl w:val="0"/>
          <w:numId w:val="19"/>
        </w:numPr>
        <w:rPr>
          <w:rFonts w:ascii="Arial" w:cs="Arial" w:eastAsia="Arial" w:hAnsi="Arial"/>
          <w:sz w:val="14"/>
          <w:szCs w:val="14"/>
          <w:color w:val="auto"/>
        </w:rPr>
      </w:pPr>
      <w:r>
        <w:rPr>
          <w:rFonts w:ascii="Arial" w:cs="Arial" w:eastAsia="Arial" w:hAnsi="Arial"/>
          <w:sz w:val="14"/>
          <w:szCs w:val="14"/>
          <w:color w:val="auto"/>
        </w:rPr>
        <w:t xml:space="preserve">For purposes of calculating rebased growth rates on a comparable basis, we have adjusted the historical revenue, Segment OCF and OFCF for the three months ended March 31, 2019 to reflect the translation of our rebased amounts for the three months ended March 31, 2019 at the applicable average foreign currency exchange rates that were used to translate our results for the three months ended March 31, 2020. For further information on the calculation of rebased growth rates, see the discussion in Revenue and Operating Cash Flow in Liberty Global’s press release dated May 6, 2020, </w:t>
      </w:r>
      <w:r>
        <w:rPr>
          <w:rFonts w:ascii="Arial" w:cs="Arial" w:eastAsia="Arial" w:hAnsi="Arial"/>
          <w:sz w:val="14"/>
          <w:szCs w:val="14"/>
          <w:i w:val="1"/>
          <w:iCs w:val="1"/>
          <w:color w:val="auto"/>
        </w:rPr>
        <w:t>Liberty Global Reports Q1 2020 Results.</w:t>
      </w:r>
      <w:r>
        <w:rPr>
          <w:rFonts w:ascii="Arial" w:cs="Arial" w:eastAsia="Arial" w:hAnsi="Arial"/>
          <w:sz w:val="14"/>
          <w:szCs w:val="14"/>
          <w:color w:val="auto"/>
        </w:rPr>
        <w:t xml:space="preserve"> The following table provides adjustments made to the 2019 amounts to derive our rebased growth rates for Virgin Media and UPC Holding:</w:t>
      </w:r>
    </w:p>
    <w:p>
      <w:pPr>
        <w:spacing w:after="0" w:line="205" w:lineRule="exact"/>
        <w:rPr>
          <w:sz w:val="20"/>
          <w:szCs w:val="20"/>
          <w:color w:val="auto"/>
        </w:rPr>
      </w:pPr>
    </w:p>
    <w:p>
      <w:pPr>
        <w:jc w:val="center"/>
        <w:ind w:left="7180"/>
        <w:spacing w:after="0"/>
        <w:rPr>
          <w:sz w:val="20"/>
          <w:szCs w:val="20"/>
          <w:color w:val="auto"/>
        </w:rPr>
      </w:pPr>
      <w:r>
        <w:rPr>
          <w:rFonts w:ascii="Arial" w:cs="Arial" w:eastAsia="Arial" w:hAnsi="Arial"/>
          <w:sz w:val="13"/>
          <w:szCs w:val="13"/>
          <w:b w:val="1"/>
          <w:bCs w:val="1"/>
          <w:color w:val="auto"/>
        </w:rPr>
        <w:t>Three months ended</w:t>
      </w:r>
    </w:p>
    <w:p>
      <w:pPr>
        <w:spacing w:after="0" w:line="121" w:lineRule="exact"/>
        <w:rPr>
          <w:sz w:val="20"/>
          <w:szCs w:val="20"/>
          <w:color w:val="auto"/>
        </w:rPr>
      </w:pPr>
    </w:p>
    <w:p>
      <w:pPr>
        <w:jc w:val="center"/>
        <w:ind w:left="7180"/>
        <w:spacing w:after="0"/>
        <w:rPr>
          <w:sz w:val="20"/>
          <w:szCs w:val="20"/>
          <w:color w:val="auto"/>
        </w:rPr>
      </w:pPr>
      <w:r>
        <w:rPr>
          <w:rFonts w:ascii="Arial" w:cs="Arial" w:eastAsia="Arial" w:hAnsi="Arial"/>
          <w:sz w:val="13"/>
          <w:szCs w:val="13"/>
          <w:b w:val="1"/>
          <w:bCs w:val="1"/>
          <w:color w:val="auto"/>
        </w:rPr>
        <w:t>March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4685665</wp:posOffset>
            </wp:positionH>
            <wp:positionV relativeFrom="paragraph">
              <wp:posOffset>21590</wp:posOffset>
            </wp:positionV>
            <wp:extent cx="23317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331720" cy="8890"/>
                    </a:xfrm>
                    <a:prstGeom prst="rect">
                      <a:avLst/>
                    </a:prstGeom>
                    <a:noFill/>
                  </pic:spPr>
                </pic:pic>
              </a:graphicData>
            </a:graphic>
          </wp:anchor>
        </w:drawing>
      </w:r>
    </w:p>
    <w:p>
      <w:pPr>
        <w:spacing w:after="0" w:line="114" w:lineRule="exact"/>
        <w:rPr>
          <w:sz w:val="20"/>
          <w:szCs w:val="20"/>
          <w:color w:val="auto"/>
        </w:rPr>
      </w:pPr>
    </w:p>
    <w:p>
      <w:pPr>
        <w:ind w:left="7700"/>
        <w:spacing w:after="0"/>
        <w:tabs>
          <w:tab w:leader="none" w:pos="8780" w:val="left"/>
          <w:tab w:leader="none" w:pos="10280" w:val="left"/>
        </w:tabs>
        <w:rPr>
          <w:sz w:val="20"/>
          <w:szCs w:val="20"/>
          <w:color w:val="auto"/>
        </w:rPr>
      </w:pPr>
      <w:r>
        <w:rPr>
          <w:rFonts w:ascii="Arial" w:cs="Arial" w:eastAsia="Arial" w:hAnsi="Arial"/>
          <w:sz w:val="13"/>
          <w:szCs w:val="13"/>
          <w:b w:val="1"/>
          <w:bCs w:val="1"/>
          <w:color w:val="auto"/>
        </w:rPr>
        <w:t>Revenue</w:t>
      </w:r>
      <w:r>
        <w:rPr>
          <w:sz w:val="20"/>
          <w:szCs w:val="20"/>
          <w:color w:val="auto"/>
        </w:rPr>
        <w:tab/>
      </w:r>
      <w:r>
        <w:rPr>
          <w:rFonts w:ascii="Arial" w:cs="Arial" w:eastAsia="Arial" w:hAnsi="Arial"/>
          <w:sz w:val="13"/>
          <w:szCs w:val="13"/>
          <w:b w:val="1"/>
          <w:bCs w:val="1"/>
          <w:color w:val="auto"/>
        </w:rPr>
        <w:t>Segment OCF</w:t>
      </w:r>
      <w:r>
        <w:rPr>
          <w:sz w:val="20"/>
          <w:szCs w:val="20"/>
          <w:color w:val="auto"/>
        </w:rPr>
        <w:tab/>
      </w:r>
      <w:r>
        <w:rPr>
          <w:rFonts w:ascii="Arial" w:cs="Arial" w:eastAsia="Arial" w:hAnsi="Arial"/>
          <w:sz w:val="12"/>
          <w:szCs w:val="12"/>
          <w:b w:val="1"/>
          <w:bCs w:val="1"/>
          <w:color w:val="auto"/>
        </w:rPr>
        <w:t>OFCF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4685665</wp:posOffset>
            </wp:positionH>
            <wp:positionV relativeFrom="paragraph">
              <wp:posOffset>21590</wp:posOffset>
            </wp:positionV>
            <wp:extent cx="233172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331720" cy="8255"/>
                    </a:xfrm>
                    <a:prstGeom prst="rect">
                      <a:avLst/>
                    </a:prstGeom>
                    <a:noFill/>
                  </pic:spPr>
                </pic:pic>
              </a:graphicData>
            </a:graphic>
          </wp:anchor>
        </w:drawing>
      </w:r>
    </w:p>
    <w:p>
      <w:pPr>
        <w:spacing w:after="0" w:line="101" w:lineRule="exact"/>
        <w:rPr>
          <w:sz w:val="20"/>
          <w:szCs w:val="20"/>
          <w:color w:val="auto"/>
        </w:rPr>
      </w:pPr>
    </w:p>
    <w:p>
      <w:pPr>
        <w:ind w:left="8920"/>
        <w:spacing w:after="0"/>
        <w:rPr>
          <w:sz w:val="20"/>
          <w:szCs w:val="20"/>
          <w:color w:val="auto"/>
        </w:rPr>
      </w:pPr>
      <w:r>
        <w:rPr>
          <w:rFonts w:ascii="Arial" w:cs="Arial" w:eastAsia="Arial" w:hAnsi="Arial"/>
          <w:sz w:val="13"/>
          <w:szCs w:val="13"/>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21590</wp:posOffset>
            </wp:positionV>
            <wp:extent cx="6677660" cy="1714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677660" cy="171450"/>
                    </a:xfrm>
                    <a:prstGeom prst="rect">
                      <a:avLst/>
                    </a:prstGeom>
                    <a:noFill/>
                  </pic:spPr>
                </pic:pic>
              </a:graphicData>
            </a:graphic>
          </wp:anchor>
        </w:drawing>
      </w:r>
    </w:p>
    <w:p>
      <w:pPr>
        <w:spacing w:after="0" w:line="82" w:lineRule="exact"/>
        <w:rPr>
          <w:sz w:val="20"/>
          <w:szCs w:val="20"/>
          <w:color w:val="auto"/>
        </w:rPr>
      </w:pPr>
    </w:p>
    <w:p>
      <w:pPr>
        <w:ind w:left="560"/>
        <w:spacing w:after="0"/>
        <w:rPr>
          <w:sz w:val="20"/>
          <w:szCs w:val="20"/>
          <w:color w:val="auto"/>
        </w:rPr>
      </w:pPr>
      <w:r>
        <w:rPr>
          <w:rFonts w:ascii="Arial" w:cs="Arial" w:eastAsia="Arial" w:hAnsi="Arial"/>
          <w:sz w:val="14"/>
          <w:szCs w:val="14"/>
          <w:b w:val="1"/>
          <w:bCs w:val="1"/>
          <w:color w:val="auto"/>
        </w:rPr>
        <w:t>Virgin Media</w:t>
      </w:r>
    </w:p>
    <w:p>
      <w:pPr>
        <w:spacing w:after="0" w:line="127" w:lineRule="exact"/>
        <w:rPr>
          <w:sz w:val="20"/>
          <w:szCs w:val="20"/>
          <w:color w:val="auto"/>
        </w:rPr>
      </w:pPr>
    </w:p>
    <w:p>
      <w:pPr>
        <w:ind w:left="680"/>
        <w:spacing w:after="0"/>
        <w:tabs>
          <w:tab w:leader="none" w:pos="7380" w:val="left"/>
          <w:tab w:leader="none" w:pos="8180" w:val="left"/>
          <w:tab w:leader="none" w:pos="8640" w:val="left"/>
          <w:tab w:leader="none" w:pos="9420" w:val="left"/>
          <w:tab w:leader="none" w:pos="9900" w:val="left"/>
          <w:tab w:leader="none" w:pos="10680" w:val="left"/>
        </w:tabs>
        <w:rPr>
          <w:sz w:val="20"/>
          <w:szCs w:val="20"/>
          <w:color w:val="auto"/>
        </w:rPr>
      </w:pPr>
      <w:r>
        <w:rPr>
          <w:rFonts w:ascii="Arial" w:cs="Arial" w:eastAsia="Arial" w:hAnsi="Arial"/>
          <w:sz w:val="14"/>
          <w:szCs w:val="14"/>
          <w:color w:val="auto"/>
        </w:rPr>
        <w:t>Foreign Currency</w:t>
      </w:r>
      <w:r>
        <w:rPr>
          <w:sz w:val="20"/>
          <w:szCs w:val="20"/>
          <w:color w:val="auto"/>
        </w:rPr>
        <w:tab/>
      </w:r>
      <w:r>
        <w:rPr>
          <w:rFonts w:ascii="Arial" w:cs="Arial" w:eastAsia="Arial" w:hAnsi="Arial"/>
          <w:sz w:val="14"/>
          <w:szCs w:val="14"/>
          <w:color w:val="auto"/>
        </w:rPr>
        <w:t>£</w:t>
      </w:r>
      <w:r>
        <w:rPr>
          <w:sz w:val="20"/>
          <w:szCs w:val="20"/>
          <w:color w:val="auto"/>
        </w:rPr>
        <w:tab/>
      </w:r>
      <w:r>
        <w:rPr>
          <w:rFonts w:ascii="Arial" w:cs="Arial" w:eastAsia="Arial" w:hAnsi="Arial"/>
          <w:sz w:val="14"/>
          <w:szCs w:val="14"/>
          <w:color w:val="auto"/>
        </w:rPr>
        <w:t>(1.0)</w:t>
        <w:tab/>
        <w:t>£</w:t>
      </w:r>
      <w:r>
        <w:rPr>
          <w:sz w:val="20"/>
          <w:szCs w:val="20"/>
          <w:color w:val="auto"/>
        </w:rPr>
        <w:tab/>
      </w:r>
      <w:r>
        <w:rPr>
          <w:rFonts w:ascii="Arial" w:cs="Arial" w:eastAsia="Arial" w:hAnsi="Arial"/>
          <w:sz w:val="14"/>
          <w:szCs w:val="14"/>
          <w:color w:val="auto"/>
        </w:rPr>
        <w:t>(0.6)</w:t>
        <w:tab/>
        <w:t>£</w:t>
      </w:r>
      <w:r>
        <w:rPr>
          <w:sz w:val="20"/>
          <w:szCs w:val="20"/>
          <w:color w:val="auto"/>
        </w:rPr>
        <w:tab/>
      </w:r>
      <w:r>
        <w:rPr>
          <w:rFonts w:ascii="Arial" w:cs="Arial" w:eastAsia="Arial" w:hAnsi="Arial"/>
          <w:sz w:val="14"/>
          <w:szCs w:val="14"/>
          <w:color w:val="auto"/>
        </w:rPr>
        <w:t>(0.3)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14605</wp:posOffset>
            </wp:positionV>
            <wp:extent cx="6677660" cy="18034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677660" cy="180340"/>
                    </a:xfrm>
                    <a:prstGeom prst="rect">
                      <a:avLst/>
                    </a:prstGeom>
                    <a:noFill/>
                  </pic:spPr>
                </pic:pic>
              </a:graphicData>
            </a:graphic>
          </wp:anchor>
        </w:drawing>
      </w:r>
    </w:p>
    <w:p>
      <w:pPr>
        <w:spacing w:after="0" w:line="355" w:lineRule="exact"/>
        <w:rPr>
          <w:sz w:val="20"/>
          <w:szCs w:val="20"/>
          <w:color w:val="auto"/>
        </w:rPr>
      </w:pPr>
    </w:p>
    <w:p>
      <w:pPr>
        <w:ind w:left="560"/>
        <w:spacing w:after="0"/>
        <w:rPr>
          <w:sz w:val="20"/>
          <w:szCs w:val="20"/>
          <w:color w:val="auto"/>
        </w:rPr>
      </w:pPr>
      <w:r>
        <w:rPr>
          <w:rFonts w:ascii="Arial" w:cs="Arial" w:eastAsia="Arial" w:hAnsi="Arial"/>
          <w:sz w:val="14"/>
          <w:szCs w:val="14"/>
          <w:b w:val="1"/>
          <w:bCs w:val="1"/>
          <w:color w:val="auto"/>
        </w:rPr>
        <w:t>UPC Holding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26035</wp:posOffset>
            </wp:positionV>
            <wp:extent cx="6677660" cy="1714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677660" cy="171450"/>
                    </a:xfrm>
                    <a:prstGeom prst="rect">
                      <a:avLst/>
                    </a:prstGeom>
                    <a:noFill/>
                  </pic:spPr>
                </pic:pic>
              </a:graphicData>
            </a:graphic>
          </wp:anchor>
        </w:drawing>
      </w:r>
    </w:p>
    <w:p>
      <w:pPr>
        <w:spacing w:after="0" w:line="107" w:lineRule="exact"/>
        <w:rPr>
          <w:sz w:val="20"/>
          <w:szCs w:val="20"/>
          <w:color w:val="auto"/>
        </w:rPr>
      </w:pPr>
    </w:p>
    <w:p>
      <w:pPr>
        <w:ind w:left="680"/>
        <w:spacing w:after="0"/>
        <w:tabs>
          <w:tab w:leader="none" w:pos="7380" w:val="left"/>
          <w:tab w:leader="none" w:pos="8180" w:val="left"/>
          <w:tab w:leader="none" w:pos="8640" w:val="left"/>
          <w:tab w:leader="none" w:pos="9340" w:val="left"/>
        </w:tabs>
        <w:rPr>
          <w:sz w:val="20"/>
          <w:szCs w:val="20"/>
          <w:color w:val="auto"/>
        </w:rPr>
      </w:pPr>
      <w:r>
        <w:rPr>
          <w:rFonts w:ascii="Arial" w:cs="Arial" w:eastAsia="Arial" w:hAnsi="Arial"/>
          <w:sz w:val="14"/>
          <w:szCs w:val="14"/>
          <w:color w:val="auto"/>
        </w:rPr>
        <w:t>Foreign Currency</w:t>
      </w:r>
      <w:r>
        <w:rPr>
          <w:sz w:val="20"/>
          <w:szCs w:val="20"/>
          <w:color w:val="auto"/>
        </w:rPr>
        <w:tab/>
      </w:r>
      <w:r>
        <w:rPr>
          <w:rFonts w:ascii="Arial" w:cs="Arial" w:eastAsia="Arial" w:hAnsi="Arial"/>
          <w:sz w:val="14"/>
          <w:szCs w:val="14"/>
          <w:color w:val="auto"/>
        </w:rPr>
        <w:t>€</w:t>
      </w:r>
      <w:r>
        <w:rPr>
          <w:sz w:val="20"/>
          <w:szCs w:val="20"/>
          <w:color w:val="auto"/>
        </w:rPr>
        <w:tab/>
      </w:r>
      <w:r>
        <w:rPr>
          <w:rFonts w:ascii="Arial" w:cs="Arial" w:eastAsia="Arial" w:hAnsi="Arial"/>
          <w:sz w:val="14"/>
          <w:szCs w:val="14"/>
          <w:color w:val="auto"/>
        </w:rPr>
        <w:t>(3.7)</w:t>
        <w:tab/>
        <w:t>€</w:t>
      </w:r>
      <w:r>
        <w:rPr>
          <w:sz w:val="20"/>
          <w:szCs w:val="20"/>
          <w:color w:val="auto"/>
        </w:rPr>
        <w:tab/>
      </w:r>
      <w:r>
        <w:rPr>
          <w:rFonts w:ascii="Arial" w:cs="Arial" w:eastAsia="Arial" w:hAnsi="Arial"/>
          <w:sz w:val="14"/>
          <w:szCs w:val="14"/>
          <w:color w:val="auto"/>
        </w:rPr>
        <w:t>(20.1)</w:t>
      </w:r>
    </w:p>
    <w:p>
      <w:pPr>
        <w:spacing w:after="0" w:line="136" w:lineRule="exact"/>
        <w:rPr>
          <w:sz w:val="20"/>
          <w:szCs w:val="20"/>
          <w:color w:val="auto"/>
        </w:rPr>
      </w:pPr>
    </w:p>
    <w:p>
      <w:pPr>
        <w:jc w:val="both"/>
        <w:ind w:left="340" w:hanging="332"/>
        <w:spacing w:after="0" w:line="253" w:lineRule="auto"/>
        <w:tabs>
          <w:tab w:leader="none" w:pos="340" w:val="left"/>
        </w:tabs>
        <w:numPr>
          <w:ilvl w:val="0"/>
          <w:numId w:val="20"/>
        </w:numPr>
        <w:rPr>
          <w:rFonts w:ascii="Arial" w:cs="Arial" w:eastAsia="Arial" w:hAnsi="Arial"/>
          <w:sz w:val="14"/>
          <w:szCs w:val="14"/>
          <w:color w:val="auto"/>
        </w:rPr>
      </w:pPr>
      <w:r>
        <w:rPr>
          <w:rFonts w:ascii="Arial" w:cs="Arial" w:eastAsia="Arial" w:hAnsi="Arial"/>
          <w:sz w:val="14"/>
          <w:szCs w:val="14"/>
          <w:color w:val="auto"/>
        </w:rPr>
        <w:t>During the fourth quarter of 2019, Liberty Global changed the presentation of its consolidated reportable segments with respect to certain operating costs related to its centrally-managed technology and innovation function. For additional information and detail of the impact to the Virgin Media and UPC Holding borrowing groups, see the Appendix.</w:t>
      </w:r>
    </w:p>
    <w:p>
      <w:pPr>
        <w:spacing w:after="0" w:line="309" w:lineRule="exact"/>
        <w:rPr>
          <w:sz w:val="20"/>
          <w:szCs w:val="20"/>
          <w:color w:val="auto"/>
        </w:rPr>
      </w:pPr>
    </w:p>
    <w:p>
      <w:pPr>
        <w:ind w:left="340" w:hanging="332"/>
        <w:spacing w:after="0" w:line="258" w:lineRule="auto"/>
        <w:tabs>
          <w:tab w:leader="none" w:pos="340" w:val="left"/>
        </w:tabs>
        <w:numPr>
          <w:ilvl w:val="0"/>
          <w:numId w:val="21"/>
        </w:numPr>
        <w:rPr>
          <w:rFonts w:ascii="Arial" w:cs="Arial" w:eastAsia="Arial" w:hAnsi="Arial"/>
          <w:sz w:val="14"/>
          <w:szCs w:val="14"/>
          <w:color w:val="auto"/>
        </w:rPr>
      </w:pPr>
      <w:r>
        <w:rPr>
          <w:rFonts w:ascii="Arial" w:cs="Arial" w:eastAsia="Arial" w:hAnsi="Arial"/>
          <w:sz w:val="14"/>
          <w:szCs w:val="14"/>
          <w:color w:val="auto"/>
        </w:rPr>
        <w:t>Organic figures exclude RGUs of acquired entities at the date of acquisition and other nonorganic adjustments, but include the impact of changes in RGUs from the date of acquisition. All subscriber/RGU additions or losses refer to net organic changes, unless otherwise noted.</w:t>
      </w:r>
    </w:p>
    <w:p>
      <w:pPr>
        <w:spacing w:after="0" w:line="140" w:lineRule="exact"/>
        <w:rPr>
          <w:sz w:val="20"/>
          <w:szCs w:val="20"/>
          <w:color w:val="auto"/>
        </w:rPr>
      </w:pPr>
    </w:p>
    <w:p>
      <w:pPr>
        <w:jc w:val="both"/>
        <w:ind w:left="340" w:hanging="332"/>
        <w:spacing w:after="0" w:line="249" w:lineRule="auto"/>
        <w:tabs>
          <w:tab w:leader="none" w:pos="340" w:val="left"/>
        </w:tabs>
        <w:numPr>
          <w:ilvl w:val="0"/>
          <w:numId w:val="22"/>
        </w:numPr>
        <w:rPr>
          <w:rFonts w:ascii="Arial" w:cs="Arial" w:eastAsia="Arial" w:hAnsi="Arial"/>
          <w:sz w:val="14"/>
          <w:szCs w:val="14"/>
          <w:color w:val="auto"/>
        </w:rPr>
      </w:pPr>
      <w:r>
        <w:rPr>
          <w:rFonts w:ascii="Arial" w:cs="Arial" w:eastAsia="Arial" w:hAnsi="Arial"/>
          <w:sz w:val="14"/>
          <w:szCs w:val="14"/>
          <w:color w:val="auto"/>
        </w:rPr>
        <w:t>The capital expenditures that we report in our condensed consolidated statements of cash flows do not include amounts that are financed under vendor financing or finance lease arrangements. Instead, these expenditures are reflected as non-cash additions to our property and equipment when the underlying assets are delivered, and as repayments of debt when the related principal is repaid.</w:t>
      </w:r>
    </w:p>
    <w:p>
      <w:pPr>
        <w:spacing w:after="0" w:line="93" w:lineRule="exact"/>
        <w:rPr>
          <w:sz w:val="20"/>
          <w:szCs w:val="20"/>
          <w:color w:val="auto"/>
        </w:rPr>
      </w:pPr>
    </w:p>
    <w:p>
      <w:pPr>
        <w:ind w:left="340" w:hanging="332"/>
        <w:spacing w:after="0"/>
        <w:tabs>
          <w:tab w:leader="none" w:pos="340" w:val="left"/>
        </w:tabs>
        <w:numPr>
          <w:ilvl w:val="0"/>
          <w:numId w:val="23"/>
        </w:numPr>
        <w:rPr>
          <w:rFonts w:ascii="Arial" w:cs="Arial" w:eastAsia="Arial" w:hAnsi="Arial"/>
          <w:sz w:val="14"/>
          <w:szCs w:val="14"/>
          <w:color w:val="auto"/>
        </w:rPr>
      </w:pPr>
      <w:r>
        <w:rPr>
          <w:rFonts w:ascii="Arial" w:cs="Arial" w:eastAsia="Arial" w:hAnsi="Arial"/>
          <w:sz w:val="14"/>
          <w:szCs w:val="14"/>
          <w:color w:val="auto"/>
        </w:rPr>
        <w:t>Interest will initially accrue at a rate of 6.0% up to January 15, 2021 and at a rate of 11.0% thereafter.</w:t>
      </w:r>
    </w:p>
    <w:p>
      <w:pPr>
        <w:spacing w:after="0" w:line="109" w:lineRule="exact"/>
        <w:rPr>
          <w:sz w:val="20"/>
          <w:szCs w:val="20"/>
          <w:color w:val="auto"/>
        </w:rPr>
      </w:pPr>
    </w:p>
    <w:p>
      <w:pPr>
        <w:ind w:left="340" w:hanging="332"/>
        <w:spacing w:after="0" w:line="258" w:lineRule="auto"/>
        <w:tabs>
          <w:tab w:leader="none" w:pos="340" w:val="left"/>
        </w:tabs>
        <w:numPr>
          <w:ilvl w:val="0"/>
          <w:numId w:val="24"/>
        </w:numPr>
        <w:rPr>
          <w:rFonts w:ascii="Arial" w:cs="Arial" w:eastAsia="Arial" w:hAnsi="Arial"/>
          <w:sz w:val="14"/>
          <w:szCs w:val="14"/>
          <w:color w:val="auto"/>
        </w:rPr>
      </w:pPr>
      <w:r>
        <w:rPr>
          <w:rFonts w:ascii="Arial" w:cs="Arial" w:eastAsia="Arial" w:hAnsi="Arial"/>
          <w:sz w:val="14"/>
          <w:szCs w:val="14"/>
          <w:color w:val="auto"/>
        </w:rPr>
        <w:t>Net third-party debt including finance lease obligations is not a defined term under U.S. GAAP and may not therefore be comparable with other similarly titled measures reported by other companies.</w:t>
      </w:r>
    </w:p>
    <w:p>
      <w:pPr>
        <w:spacing w:after="0" w:line="200" w:lineRule="exact"/>
        <w:rPr>
          <w:sz w:val="20"/>
          <w:szCs w:val="20"/>
          <w:color w:val="auto"/>
        </w:rPr>
      </w:pPr>
    </w:p>
    <w:p>
      <w:pPr>
        <w:spacing w:after="0" w:line="369" w:lineRule="exact"/>
        <w:rPr>
          <w:sz w:val="20"/>
          <w:szCs w:val="20"/>
          <w:color w:val="auto"/>
        </w:rPr>
      </w:pPr>
    </w:p>
    <w:p>
      <w:pPr>
        <w:jc w:val="right"/>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1240"/>
          </w:cols>
          <w:pgMar w:left="320" w:top="1378" w:right="339" w:bottom="1440" w:gutter="0" w:footer="0" w:header="0"/>
        </w:sectPr>
      </w:pPr>
    </w:p>
    <w:bookmarkStart w:id="26" w:name="page27"/>
    <w:bookmarkEnd w:id="26"/>
    <w:p>
      <w:pPr>
        <w:spacing w:after="0"/>
        <w:rPr>
          <w:sz w:val="20"/>
          <w:szCs w:val="20"/>
          <w:color w:val="auto"/>
        </w:rPr>
      </w:pPr>
      <w:r>
        <w:rPr>
          <w:rFonts w:ascii="Arial" w:cs="Arial" w:eastAsia="Arial" w:hAnsi="Arial"/>
          <w:sz w:val="25"/>
          <w:szCs w:val="25"/>
          <w:b w:val="1"/>
          <w:bCs w:val="1"/>
          <w:color w:val="48BFC2"/>
        </w:rPr>
        <w:drawing>
          <wp:anchor simplePos="0" relativeHeight="251657728" behindDoc="1" locked="0" layoutInCell="0" allowOverlap="1">
            <wp:simplePos x="0" y="0"/>
            <wp:positionH relativeFrom="page">
              <wp:posOffset>6809105</wp:posOffset>
            </wp:positionH>
            <wp:positionV relativeFrom="page">
              <wp:posOffset>88900</wp:posOffset>
            </wp:positionV>
            <wp:extent cx="531495" cy="53149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clrChange>
                        <a:clrFrom>
                          <a:srgbClr val="FFFFFF"/>
                        </a:clrFrom>
                        <a:clrTo>
                          <a:srgbClr val="FFFFFF">
                            <a:alpha val="0"/>
                          </a:srgbClr>
                        </a:clrTo>
                      </a:clrChange>
                      <a:extLst>
                        <a:ext uri="{28A0092B-C50C-407E-A947-70E740481C1C}"/>
                      </a:extLst>
                    </a:blip>
                    <a:srcRect/>
                    <a:stretch>
                      <a:fillRect/>
                    </a:stretch>
                  </pic:blipFill>
                  <pic:spPr bwMode="auto">
                    <a:xfrm>
                      <a:off x="0" y="0"/>
                      <a:ext cx="531495" cy="531495"/>
                    </a:xfrm>
                    <a:prstGeom prst="rect">
                      <a:avLst/>
                    </a:prstGeom>
                    <a:noFill/>
                  </pic:spPr>
                </pic:pic>
              </a:graphicData>
            </a:graphic>
          </wp:anchor>
        </w:drawing>
        <w:t>Glossary</w:t>
      </w:r>
    </w:p>
    <w:p>
      <w:pPr>
        <w:spacing w:after="0" w:line="220" w:lineRule="exact"/>
        <w:rPr>
          <w:sz w:val="20"/>
          <w:szCs w:val="20"/>
          <w:color w:val="auto"/>
        </w:rPr>
      </w:pPr>
    </w:p>
    <w:p>
      <w:pPr>
        <w:jc w:val="both"/>
        <w:spacing w:after="0" w:line="243" w:lineRule="auto"/>
        <w:rPr>
          <w:sz w:val="20"/>
          <w:szCs w:val="20"/>
          <w:color w:val="auto"/>
        </w:rPr>
      </w:pPr>
      <w:r>
        <w:rPr>
          <w:rFonts w:ascii="Arial" w:cs="Arial" w:eastAsia="Arial" w:hAnsi="Arial"/>
          <w:sz w:val="14"/>
          <w:szCs w:val="14"/>
          <w:u w:val="single" w:color="auto"/>
          <w:color w:val="2C2C2C"/>
        </w:rPr>
        <w:t>ARPU:</w:t>
      </w:r>
      <w:r>
        <w:rPr>
          <w:rFonts w:ascii="Arial" w:cs="Arial" w:eastAsia="Arial" w:hAnsi="Arial"/>
          <w:sz w:val="14"/>
          <w:szCs w:val="14"/>
          <w:color w:val="2C2C2C"/>
        </w:rPr>
        <w:t xml:space="preserve"> Average Revenue Per Unit is the average monthly subscription revenue per average fixed-line customer relationship or mobile subscriber, as applicable. ARPU per average fixed-line customer relationship is calculated by dividing the average monthly subscription revenue from residential cable and SOHO services by the average number of fixed-line customer relationships for the period. ARPU per average mobile subscriber is calculated by dividing residential mobile and SOHO revenue for the indicated period by the average number of mobile subscribers for the period. Unless otherwise indicated, ARPU per fixed-line customer relationship or mobile subscriber is not adjusted for currency impacts. ARPU per RGU refers to average monthly revenue per average RGU, which is calculated by dividing the average monthly subscription revenue from residential and SOHO services for the indicated period, by the average number of the applicable RGUs for the period. Unless otherwise noted, ARPU in this release is considered to be ARPU per average fixed-line customer relationship or mobile subscriber, as applicable. Fixed-line customer relationships, mobile subscribers and RGUs of entities acquired during the period are normalized. In addition, for purposes of calculating the percentage change in ARPU on a rebased basis, we adjust the prior-year subscription revenue, fixed-line customer relationships, mobile subscribers and RGUs, as applicable, to reflect acquisitions, dispositions and FX on a comparable basis with the current year, consistent with how we calculate our rebased growth for revenue and OCF, as further described in footnote 1 above.</w:t>
      </w:r>
    </w:p>
    <w:p>
      <w:pPr>
        <w:spacing w:after="0" w:line="152" w:lineRule="exact"/>
        <w:rPr>
          <w:sz w:val="20"/>
          <w:szCs w:val="20"/>
          <w:color w:val="auto"/>
        </w:rPr>
      </w:pPr>
    </w:p>
    <w:p>
      <w:pPr>
        <w:jc w:val="both"/>
        <w:spacing w:after="0" w:line="247" w:lineRule="auto"/>
        <w:rPr>
          <w:sz w:val="20"/>
          <w:szCs w:val="20"/>
          <w:color w:val="auto"/>
        </w:rPr>
      </w:pPr>
      <w:r>
        <w:rPr>
          <w:rFonts w:ascii="Arial" w:cs="Arial" w:eastAsia="Arial" w:hAnsi="Arial"/>
          <w:sz w:val="14"/>
          <w:szCs w:val="14"/>
          <w:u w:val="single" w:color="auto"/>
          <w:color w:val="2C2C2C"/>
        </w:rPr>
        <w:t>ARPU per Mobile Subscriber:</w:t>
      </w:r>
      <w:r>
        <w:rPr>
          <w:rFonts w:ascii="Arial" w:cs="Arial" w:eastAsia="Arial" w:hAnsi="Arial"/>
          <w:sz w:val="14"/>
          <w:szCs w:val="14"/>
          <w:color w:val="2C2C2C"/>
        </w:rPr>
        <w:t xml:space="preserve"> Our ARPU per mobile subscriber calculation that excludes interconnect revenue refers to the average monthly mobile subscription revenue per average mobile subscriber and is calculated by dividing the average monthly mobile subscription revenue (excluding handset sales and late fees) for the indicated period, by the average of the opening and closing balances of mobile subscribers in service for the period. Our ARPU per mobile subscriber calculation that includes interconnect revenue increases the numerator in the above-described calculation by the amount of mobile interconnect revenue during the period.</w:t>
      </w:r>
    </w:p>
    <w:p>
      <w:pPr>
        <w:spacing w:after="0" w:line="147" w:lineRule="exact"/>
        <w:rPr>
          <w:sz w:val="20"/>
          <w:szCs w:val="20"/>
          <w:color w:val="auto"/>
        </w:rPr>
      </w:pPr>
    </w:p>
    <w:p>
      <w:pPr>
        <w:jc w:val="both"/>
        <w:spacing w:after="0" w:line="246" w:lineRule="auto"/>
        <w:rPr>
          <w:sz w:val="20"/>
          <w:szCs w:val="20"/>
          <w:color w:val="auto"/>
        </w:rPr>
      </w:pPr>
      <w:r>
        <w:rPr>
          <w:rFonts w:ascii="Arial" w:cs="Arial" w:eastAsia="Arial" w:hAnsi="Arial"/>
          <w:sz w:val="14"/>
          <w:szCs w:val="14"/>
          <w:u w:val="single" w:color="auto"/>
          <w:color w:val="2C2C2C"/>
        </w:rPr>
        <w:t>Basic Video Subscriber:</w:t>
      </w:r>
      <w:r>
        <w:rPr>
          <w:rFonts w:ascii="Arial" w:cs="Arial" w:eastAsia="Arial" w:hAnsi="Arial"/>
          <w:sz w:val="14"/>
          <w:szCs w:val="14"/>
          <w:color w:val="2C2C2C"/>
        </w:rPr>
        <w:t xml:space="preserve"> a home, residential multiple dwelling unit or commercial unit that receives our video service over our broadband network either via an analog video signal or via a digital video signal without subscribing to any recurring monthly service that requires the use of encryption-enabling technology. Encryption-enabling technology includes smart cards, or other integrated or virtual technologies that we use to provide our enhanced service offerings. We count RGUs on a unique premises basis. In other words, a subscriber with multiple outlets in one premises is counted as one RGU and a subscriber with two homes and a subscription to our video service at each home is counted as two RGUs.</w:t>
      </w:r>
    </w:p>
    <w:p>
      <w:pPr>
        <w:spacing w:after="0" w:line="312" w:lineRule="exact"/>
        <w:rPr>
          <w:sz w:val="20"/>
          <w:szCs w:val="20"/>
          <w:color w:val="auto"/>
        </w:rPr>
      </w:pPr>
    </w:p>
    <w:p>
      <w:pPr>
        <w:jc w:val="both"/>
        <w:spacing w:after="0" w:line="253" w:lineRule="auto"/>
        <w:rPr>
          <w:sz w:val="20"/>
          <w:szCs w:val="20"/>
          <w:color w:val="auto"/>
        </w:rPr>
      </w:pPr>
      <w:r>
        <w:rPr>
          <w:rFonts w:ascii="Arial" w:cs="Arial" w:eastAsia="Arial" w:hAnsi="Arial"/>
          <w:sz w:val="14"/>
          <w:szCs w:val="14"/>
          <w:u w:val="single" w:color="auto"/>
          <w:color w:val="2C2C2C"/>
        </w:rPr>
        <w:t>Blended fully-swapped debt borrowing cost:</w:t>
      </w:r>
      <w:r>
        <w:rPr>
          <w:rFonts w:ascii="Arial" w:cs="Arial" w:eastAsia="Arial" w:hAnsi="Arial"/>
          <w:sz w:val="14"/>
          <w:szCs w:val="14"/>
          <w:color w:val="2C2C2C"/>
        </w:rPr>
        <w:t xml:space="preserve"> the weighted average interest rate on our aggregate variable- and fixed-rate indebtedness (excluding finance leases and including vendor financing obligations), including the effects of derivative instruments, original issue premiums or discounts and commitment fees, but excluding the impact of financing costs.</w:t>
      </w:r>
    </w:p>
    <w:p>
      <w:pPr>
        <w:spacing w:after="0" w:line="309" w:lineRule="exact"/>
        <w:rPr>
          <w:sz w:val="20"/>
          <w:szCs w:val="20"/>
          <w:color w:val="auto"/>
        </w:rPr>
      </w:pPr>
    </w:p>
    <w:p>
      <w:pPr>
        <w:spacing w:after="0"/>
        <w:rPr>
          <w:sz w:val="20"/>
          <w:szCs w:val="20"/>
          <w:color w:val="auto"/>
        </w:rPr>
      </w:pPr>
      <w:r>
        <w:rPr>
          <w:rFonts w:ascii="Arial" w:cs="Arial" w:eastAsia="Arial" w:hAnsi="Arial"/>
          <w:sz w:val="14"/>
          <w:szCs w:val="14"/>
          <w:u w:val="single" w:color="auto"/>
          <w:color w:val="2C2C2C"/>
        </w:rPr>
        <w:t>B2B</w:t>
      </w:r>
      <w:r>
        <w:rPr>
          <w:rFonts w:ascii="Arial" w:cs="Arial" w:eastAsia="Arial" w:hAnsi="Arial"/>
          <w:sz w:val="14"/>
          <w:szCs w:val="14"/>
          <w:color w:val="2C2C2C"/>
        </w:rPr>
        <w:t>: Business-to-Business.</w:t>
      </w:r>
    </w:p>
    <w:p>
      <w:pPr>
        <w:spacing w:after="0" w:line="163" w:lineRule="exact"/>
        <w:rPr>
          <w:sz w:val="20"/>
          <w:szCs w:val="20"/>
          <w:color w:val="auto"/>
        </w:rPr>
      </w:pPr>
    </w:p>
    <w:p>
      <w:pPr>
        <w:jc w:val="both"/>
        <w:spacing w:after="0" w:line="245" w:lineRule="auto"/>
        <w:rPr>
          <w:sz w:val="20"/>
          <w:szCs w:val="20"/>
          <w:color w:val="auto"/>
        </w:rPr>
      </w:pPr>
      <w:r>
        <w:rPr>
          <w:rFonts w:ascii="Arial" w:cs="Arial" w:eastAsia="Arial" w:hAnsi="Arial"/>
          <w:sz w:val="14"/>
          <w:szCs w:val="14"/>
          <w:u w:val="single" w:color="auto"/>
          <w:color w:val="2C2C2C"/>
        </w:rPr>
        <w:t>Customer Churn:</w:t>
      </w:r>
      <w:r>
        <w:rPr>
          <w:rFonts w:ascii="Arial" w:cs="Arial" w:eastAsia="Arial" w:hAnsi="Arial"/>
          <w:sz w:val="14"/>
          <w:szCs w:val="14"/>
          <w:color w:val="2C2C2C"/>
        </w:rPr>
        <w:t xml:space="preserve"> the rate at which customers relinquish their subscriptions. The annual rolling average basis is calculated by dividing the number of disconnects during the preceding 12 months by the average number of customer relationships. For the purpose of computing churn, a disconnect is deemed to have occurred if the customer no longer receives any level of service from us and is required to return our equipment. A partial product downgrade, typically used to encourage customers to pay an outstanding bill and avoid complete service disconnection, is not considered to be disconnected for purposes of our churn calculations. Customers who move within our cable footprint and upgrades and downgrades between services are also excluded from the disconnect figures used in the churn calculation.</w:t>
      </w:r>
    </w:p>
    <w:p>
      <w:pPr>
        <w:spacing w:after="0" w:line="150" w:lineRule="exact"/>
        <w:rPr>
          <w:sz w:val="20"/>
          <w:szCs w:val="20"/>
          <w:color w:val="auto"/>
        </w:rPr>
      </w:pPr>
    </w:p>
    <w:p>
      <w:pPr>
        <w:jc w:val="both"/>
        <w:spacing w:after="0" w:line="245" w:lineRule="auto"/>
        <w:rPr>
          <w:sz w:val="20"/>
          <w:szCs w:val="20"/>
          <w:color w:val="auto"/>
        </w:rPr>
      </w:pPr>
      <w:r>
        <w:rPr>
          <w:rFonts w:ascii="Arial" w:cs="Arial" w:eastAsia="Arial" w:hAnsi="Arial"/>
          <w:sz w:val="14"/>
          <w:szCs w:val="14"/>
          <w:u w:val="single" w:color="auto"/>
          <w:color w:val="2C2C2C"/>
        </w:rPr>
        <w:t>Enhanced Video Subscriber:</w:t>
      </w:r>
      <w:r>
        <w:rPr>
          <w:rFonts w:ascii="Arial" w:cs="Arial" w:eastAsia="Arial" w:hAnsi="Arial"/>
          <w:sz w:val="14"/>
          <w:szCs w:val="14"/>
          <w:color w:val="2C2C2C"/>
        </w:rPr>
        <w:t xml:space="preserve"> a home, residential multiple dwelling unit or commercial unit that receives our video service over our broadband network or through a partner network via a digital video signal while subscribing to any recurring monthly service that requires the use of encryption-enabling technology. Enhanced Video Subscribers are counted on a unique premises basis. For example, a subscriber with one or more set-top boxes that receives our video service in one premises is generally counted as just one subscriber. An Enhanced Video Subscriber is not counted as a Basic Video Subscriber. As we migrate customers from basic to enhanced video services, we report a decrease in our Basic Video Subscribers equal to the increase in our Enhanced Video Subscribers.</w:t>
      </w:r>
    </w:p>
    <w:p>
      <w:pPr>
        <w:spacing w:after="0" w:line="150" w:lineRule="exact"/>
        <w:rPr>
          <w:sz w:val="20"/>
          <w:szCs w:val="20"/>
          <w:color w:val="auto"/>
        </w:rPr>
      </w:pPr>
    </w:p>
    <w:p>
      <w:pPr>
        <w:jc w:val="both"/>
        <w:spacing w:after="0" w:line="247" w:lineRule="auto"/>
        <w:rPr>
          <w:sz w:val="20"/>
          <w:szCs w:val="20"/>
          <w:color w:val="auto"/>
        </w:rPr>
      </w:pPr>
      <w:r>
        <w:rPr>
          <w:rFonts w:ascii="Arial" w:cs="Arial" w:eastAsia="Arial" w:hAnsi="Arial"/>
          <w:sz w:val="14"/>
          <w:szCs w:val="14"/>
          <w:u w:val="single" w:color="auto"/>
          <w:color w:val="2C2C2C"/>
        </w:rPr>
        <w:t>Fixed-Line Customer Relationships:</w:t>
      </w:r>
      <w:r>
        <w:rPr>
          <w:rFonts w:ascii="Arial" w:cs="Arial" w:eastAsia="Arial" w:hAnsi="Arial"/>
          <w:sz w:val="14"/>
          <w:szCs w:val="14"/>
          <w:color w:val="2C2C2C"/>
        </w:rPr>
        <w:t xml:space="preserve"> the number of customers who receive at least one of our internet, video or telephony services that we count as RGUs, without regard to which or to how many services they subscribe. Fixed-Line Customer Relationships generally are counted on a unique premises basis. Accordingly, if an individual receives our services in two premises (e.g., a primary home and a vacation home), that individual generally will count as two Fixed-Line Customer Relationships. We exclude mobile-only customers from Fixed-Line Customer Relationships.</w:t>
      </w:r>
    </w:p>
    <w:p>
      <w:pPr>
        <w:spacing w:after="0" w:line="147" w:lineRule="exact"/>
        <w:rPr>
          <w:sz w:val="20"/>
          <w:szCs w:val="20"/>
          <w:color w:val="auto"/>
        </w:rPr>
      </w:pPr>
    </w:p>
    <w:p>
      <w:pPr>
        <w:jc w:val="both"/>
        <w:spacing w:after="0" w:line="258" w:lineRule="auto"/>
        <w:rPr>
          <w:sz w:val="20"/>
          <w:szCs w:val="20"/>
          <w:color w:val="auto"/>
        </w:rPr>
      </w:pPr>
      <w:r>
        <w:rPr>
          <w:rFonts w:ascii="Arial" w:cs="Arial" w:eastAsia="Arial" w:hAnsi="Arial"/>
          <w:sz w:val="14"/>
          <w:szCs w:val="14"/>
          <w:u w:val="single" w:color="auto"/>
          <w:color w:val="2C2C2C"/>
        </w:rPr>
        <w:t>Fixed-Mobile Convergence (FMC):</w:t>
      </w:r>
      <w:r>
        <w:rPr>
          <w:rFonts w:ascii="Arial" w:cs="Arial" w:eastAsia="Arial" w:hAnsi="Arial"/>
          <w:sz w:val="14"/>
          <w:szCs w:val="14"/>
          <w:color w:val="2C2C2C"/>
        </w:rPr>
        <w:t xml:space="preserve"> Fixed-mobile convergence penetration represents the number of customers who subscribe to both a fixed broadband internet service and postpaid mobile telephony service, divided by the total number of customers who subscribe to our fixed broadband internet service.</w:t>
      </w:r>
    </w:p>
    <w:p>
      <w:pPr>
        <w:spacing w:after="0" w:line="140" w:lineRule="exact"/>
        <w:rPr>
          <w:sz w:val="20"/>
          <w:szCs w:val="20"/>
          <w:color w:val="auto"/>
        </w:rPr>
      </w:pPr>
    </w:p>
    <w:p>
      <w:pPr>
        <w:jc w:val="both"/>
        <w:spacing w:after="0" w:line="258" w:lineRule="auto"/>
        <w:rPr>
          <w:sz w:val="20"/>
          <w:szCs w:val="20"/>
          <w:color w:val="auto"/>
        </w:rPr>
      </w:pPr>
      <w:r>
        <w:rPr>
          <w:rFonts w:ascii="Arial" w:cs="Arial" w:eastAsia="Arial" w:hAnsi="Arial"/>
          <w:sz w:val="14"/>
          <w:szCs w:val="14"/>
          <w:u w:val="single" w:color="auto"/>
          <w:color w:val="2C2C2C"/>
        </w:rPr>
        <w:t>Homes Passed:</w:t>
      </w:r>
      <w:r>
        <w:rPr>
          <w:rFonts w:ascii="Arial" w:cs="Arial" w:eastAsia="Arial" w:hAnsi="Arial"/>
          <w:sz w:val="14"/>
          <w:szCs w:val="14"/>
          <w:color w:val="2C2C2C"/>
        </w:rPr>
        <w:t xml:space="preserve"> homes, residential multiple dwelling units or commercial units that can be connected to our networks without materially extending the distribution plant. Certain of our Homes Passed counts are based on census data that can change based on either revisions to the data or from new census results.</w:t>
      </w:r>
    </w:p>
    <w:p>
      <w:pPr>
        <w:spacing w:after="0" w:line="140" w:lineRule="exact"/>
        <w:rPr>
          <w:sz w:val="20"/>
          <w:szCs w:val="20"/>
          <w:color w:val="auto"/>
        </w:rPr>
      </w:pPr>
    </w:p>
    <w:p>
      <w:pPr>
        <w:spacing w:after="0"/>
        <w:rPr>
          <w:sz w:val="20"/>
          <w:szCs w:val="20"/>
          <w:color w:val="auto"/>
        </w:rPr>
      </w:pPr>
      <w:r>
        <w:rPr>
          <w:rFonts w:ascii="Arial" w:cs="Arial" w:eastAsia="Arial" w:hAnsi="Arial"/>
          <w:sz w:val="14"/>
          <w:szCs w:val="14"/>
          <w:u w:val="single" w:color="auto"/>
          <w:color w:val="2C2C2C"/>
        </w:rPr>
        <w:t>Internet Subscriber:</w:t>
      </w:r>
      <w:r>
        <w:rPr>
          <w:rFonts w:ascii="Arial" w:cs="Arial" w:eastAsia="Arial" w:hAnsi="Arial"/>
          <w:sz w:val="14"/>
          <w:szCs w:val="14"/>
          <w:color w:val="2C2C2C"/>
        </w:rPr>
        <w:t xml:space="preserve"> a home, residential multiple dwelling unit or commercial unit that receives internet services over our networks, or that we service through a partner network.</w:t>
      </w:r>
    </w:p>
    <w:p>
      <w:pPr>
        <w:spacing w:after="0" w:line="163" w:lineRule="exact"/>
        <w:rPr>
          <w:sz w:val="20"/>
          <w:szCs w:val="20"/>
          <w:color w:val="auto"/>
        </w:rPr>
      </w:pPr>
    </w:p>
    <w:p>
      <w:pPr>
        <w:jc w:val="both"/>
        <w:spacing w:after="0" w:line="249" w:lineRule="auto"/>
        <w:rPr>
          <w:sz w:val="20"/>
          <w:szCs w:val="20"/>
          <w:color w:val="auto"/>
        </w:rPr>
      </w:pPr>
      <w:r>
        <w:rPr>
          <w:rFonts w:ascii="Arial" w:cs="Arial" w:eastAsia="Arial" w:hAnsi="Arial"/>
          <w:sz w:val="14"/>
          <w:szCs w:val="14"/>
          <w:u w:val="single" w:color="auto"/>
          <w:color w:val="2C2C2C"/>
        </w:rPr>
        <w:t>Lightning premises:</w:t>
      </w:r>
      <w:r>
        <w:rPr>
          <w:rFonts w:ascii="Arial" w:cs="Arial" w:eastAsia="Arial" w:hAnsi="Arial"/>
          <w:sz w:val="14"/>
          <w:szCs w:val="14"/>
          <w:color w:val="2C2C2C"/>
        </w:rPr>
        <w:t xml:space="preserve"> includes homes, residential multiple dwelling units and commercial premises that potentially could subscribe to our residential or SOHO services, which have been connected to our networks as a part of our Project Lightning network extension program in the U.K. and Ireland. Project Lightning infill build relates to construction in areas adjacent to our existing network.</w:t>
      </w:r>
    </w:p>
    <w:p>
      <w:pPr>
        <w:spacing w:after="0" w:line="147" w:lineRule="exact"/>
        <w:rPr>
          <w:sz w:val="20"/>
          <w:szCs w:val="20"/>
          <w:color w:val="auto"/>
        </w:rPr>
      </w:pPr>
    </w:p>
    <w:p>
      <w:pPr>
        <w:jc w:val="both"/>
        <w:spacing w:after="0" w:line="247" w:lineRule="auto"/>
        <w:rPr>
          <w:sz w:val="20"/>
          <w:szCs w:val="20"/>
          <w:color w:val="auto"/>
        </w:rPr>
      </w:pPr>
      <w:r>
        <w:rPr>
          <w:rFonts w:ascii="Arial" w:cs="Arial" w:eastAsia="Arial" w:hAnsi="Arial"/>
          <w:sz w:val="14"/>
          <w:szCs w:val="14"/>
          <w:u w:val="single" w:color="auto"/>
          <w:color w:val="2C2C2C"/>
        </w:rPr>
        <w:t>Mobile Subscriber Count:</w:t>
      </w:r>
      <w:r>
        <w:rPr>
          <w:rFonts w:ascii="Arial" w:cs="Arial" w:eastAsia="Arial" w:hAnsi="Arial"/>
          <w:sz w:val="14"/>
          <w:szCs w:val="14"/>
          <w:color w:val="2C2C2C"/>
        </w:rPr>
        <w:t xml:space="preserve"> the number of active SIM cards in service rather than services provided. For example, if a mobile subscriber has both a data and voice plan on a smartphone this would equate to one mobile subscriber. Alternatively, a subscriber who has a voice and data plan for a mobile handset and a data plan for a laptop would be counted as two mobile subscribers. Customers who do not pay a recurring monthly fee are excluded from our mobile telephony subscriber counts after periods of inactivity ranging from 30 to 90 days, based on industry standards within the</w:t>
      </w:r>
    </w:p>
    <w:p>
      <w:pPr>
        <w:spacing w:after="0" w:line="198" w:lineRule="exact"/>
        <w:rPr>
          <w:sz w:val="20"/>
          <w:szCs w:val="20"/>
          <w:color w:val="auto"/>
        </w:rPr>
      </w:pPr>
    </w:p>
    <w:p>
      <w:pPr>
        <w:jc w:val="right"/>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1240"/>
          </w:cols>
          <w:pgMar w:left="320" w:top="1378" w:right="339" w:bottom="1440" w:gutter="0" w:footer="0" w:header="0"/>
        </w:sectPr>
      </w:pPr>
    </w:p>
    <w:bookmarkStart w:id="27" w:name="page28"/>
    <w:bookmarkEnd w:id="27"/>
    <w:p>
      <w:pPr>
        <w:spacing w:after="0"/>
        <w:rPr>
          <w:sz w:val="20"/>
          <w:szCs w:val="20"/>
          <w:color w:val="auto"/>
        </w:rPr>
      </w:pPr>
      <w:r>
        <w:rPr>
          <w:rFonts w:ascii="Arial" w:cs="Arial" w:eastAsia="Arial" w:hAnsi="Arial"/>
          <w:sz w:val="14"/>
          <w:szCs w:val="14"/>
          <w:color w:val="2C2C2C"/>
        </w:rPr>
        <w:drawing>
          <wp:anchor simplePos="0" relativeHeight="251657728" behindDoc="1" locked="0" layoutInCell="0" allowOverlap="1">
            <wp:simplePos x="0" y="0"/>
            <wp:positionH relativeFrom="page">
              <wp:posOffset>6809105</wp:posOffset>
            </wp:positionH>
            <wp:positionV relativeFrom="page">
              <wp:posOffset>88900</wp:posOffset>
            </wp:positionV>
            <wp:extent cx="531495" cy="53149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clrChange>
                        <a:clrFrom>
                          <a:srgbClr val="FFFFFF"/>
                        </a:clrFrom>
                        <a:clrTo>
                          <a:srgbClr val="FFFFFF">
                            <a:alpha val="0"/>
                          </a:srgbClr>
                        </a:clrTo>
                      </a:clrChange>
                      <a:extLst>
                        <a:ext uri="{28A0092B-C50C-407E-A947-70E740481C1C}"/>
                      </a:extLst>
                    </a:blip>
                    <a:srcRect/>
                    <a:stretch>
                      <a:fillRect/>
                    </a:stretch>
                  </pic:blipFill>
                  <pic:spPr bwMode="auto">
                    <a:xfrm>
                      <a:off x="0" y="0"/>
                      <a:ext cx="531495" cy="531495"/>
                    </a:xfrm>
                    <a:prstGeom prst="rect">
                      <a:avLst/>
                    </a:prstGeom>
                    <a:noFill/>
                  </pic:spPr>
                </pic:pic>
              </a:graphicData>
            </a:graphic>
          </wp:anchor>
        </w:drawing>
        <w:t>respective country. In a number of countries, our mobile subscribers receive mobile services pursuant to prepaid contracts.</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u w:val="single" w:color="auto"/>
          <w:color w:val="2C2C2C"/>
        </w:rPr>
        <w:t>MVNO:</w:t>
      </w:r>
      <w:r>
        <w:rPr>
          <w:rFonts w:ascii="Arial" w:cs="Arial" w:eastAsia="Arial" w:hAnsi="Arial"/>
          <w:sz w:val="14"/>
          <w:szCs w:val="14"/>
          <w:color w:val="2C2C2C"/>
        </w:rPr>
        <w:t xml:space="preserve"> Mobile Virtual Network Operator.</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u w:val="single" w:color="auto"/>
          <w:color w:val="2C2C2C"/>
        </w:rPr>
        <w:t>NPS:</w:t>
      </w:r>
      <w:r>
        <w:rPr>
          <w:rFonts w:ascii="Arial" w:cs="Arial" w:eastAsia="Arial" w:hAnsi="Arial"/>
          <w:sz w:val="14"/>
          <w:szCs w:val="14"/>
          <w:color w:val="2C2C2C"/>
        </w:rPr>
        <w:t xml:space="preserve"> Net Promoter Score.</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u w:val="single" w:color="auto"/>
          <w:color w:val="2C2C2C"/>
        </w:rPr>
        <w:t>Segment OCF margin:</w:t>
      </w:r>
      <w:r>
        <w:rPr>
          <w:rFonts w:ascii="Arial" w:cs="Arial" w:eastAsia="Arial" w:hAnsi="Arial"/>
          <w:sz w:val="14"/>
          <w:szCs w:val="14"/>
          <w:color w:val="2C2C2C"/>
        </w:rPr>
        <w:t xml:space="preserve"> calculated by dividing segment OCF by total revenue for the applicable period.</w:t>
      </w:r>
    </w:p>
    <w:p>
      <w:pPr>
        <w:spacing w:after="0" w:line="163" w:lineRule="exact"/>
        <w:rPr>
          <w:sz w:val="20"/>
          <w:szCs w:val="20"/>
          <w:color w:val="auto"/>
        </w:rPr>
      </w:pPr>
    </w:p>
    <w:p>
      <w:pPr>
        <w:jc w:val="both"/>
        <w:spacing w:after="0" w:line="249" w:lineRule="auto"/>
        <w:rPr>
          <w:sz w:val="20"/>
          <w:szCs w:val="20"/>
          <w:color w:val="auto"/>
        </w:rPr>
      </w:pPr>
      <w:r>
        <w:rPr>
          <w:rFonts w:ascii="Arial" w:cs="Arial" w:eastAsia="Arial" w:hAnsi="Arial"/>
          <w:sz w:val="14"/>
          <w:szCs w:val="14"/>
          <w:u w:val="single" w:color="auto"/>
          <w:color w:val="2C2C2C"/>
        </w:rPr>
        <w:t>OFCF:</w:t>
      </w:r>
      <w:r>
        <w:rPr>
          <w:rFonts w:ascii="Arial" w:cs="Arial" w:eastAsia="Arial" w:hAnsi="Arial"/>
          <w:sz w:val="14"/>
          <w:szCs w:val="14"/>
          <w:color w:val="2C2C2C"/>
        </w:rPr>
        <w:t xml:space="preserve"> As used herein, Operating Free Cash Flow or "OFCF" represents Segment OCF less property and equipment additions. OFCF is an additional metric that we use to measure the performance of our operations after considering the level of property and equipment additions incurred during the period. For limitations of OFCF, see the definition of Segment OCF.</w:t>
      </w:r>
    </w:p>
    <w:p>
      <w:pPr>
        <w:spacing w:after="0" w:line="147" w:lineRule="exact"/>
        <w:rPr>
          <w:sz w:val="20"/>
          <w:szCs w:val="20"/>
          <w:color w:val="auto"/>
        </w:rPr>
      </w:pPr>
    </w:p>
    <w:p>
      <w:pPr>
        <w:jc w:val="both"/>
        <w:ind w:right="20"/>
        <w:spacing w:after="0" w:line="258" w:lineRule="auto"/>
        <w:rPr>
          <w:sz w:val="20"/>
          <w:szCs w:val="20"/>
          <w:color w:val="auto"/>
        </w:rPr>
      </w:pPr>
      <w:r>
        <w:rPr>
          <w:rFonts w:ascii="Arial" w:cs="Arial" w:eastAsia="Arial" w:hAnsi="Arial"/>
          <w:sz w:val="14"/>
          <w:szCs w:val="14"/>
          <w:u w:val="single" w:color="auto"/>
          <w:color w:val="2C2C2C"/>
        </w:rPr>
        <w:t>Property and equipment additions (P&amp;E additions):</w:t>
      </w:r>
      <w:r>
        <w:rPr>
          <w:rFonts w:ascii="Arial" w:cs="Arial" w:eastAsia="Arial" w:hAnsi="Arial"/>
          <w:sz w:val="14"/>
          <w:szCs w:val="14"/>
          <w:color w:val="2C2C2C"/>
        </w:rPr>
        <w:t xml:space="preserve"> includes capital expenditures on an accrual basis, amounts financed under vendor financing or finance lease arrangements and other non-cash additions.</w:t>
      </w:r>
    </w:p>
    <w:p>
      <w:pPr>
        <w:spacing w:after="0" w:line="140" w:lineRule="exact"/>
        <w:rPr>
          <w:sz w:val="20"/>
          <w:szCs w:val="20"/>
          <w:color w:val="auto"/>
        </w:rPr>
      </w:pPr>
    </w:p>
    <w:p>
      <w:pPr>
        <w:jc w:val="both"/>
        <w:spacing w:after="0" w:line="243" w:lineRule="auto"/>
        <w:rPr>
          <w:sz w:val="20"/>
          <w:szCs w:val="20"/>
          <w:color w:val="auto"/>
        </w:rPr>
      </w:pPr>
      <w:r>
        <w:rPr>
          <w:rFonts w:ascii="Arial" w:cs="Arial" w:eastAsia="Arial" w:hAnsi="Arial"/>
          <w:sz w:val="14"/>
          <w:szCs w:val="14"/>
          <w:u w:val="single" w:color="auto"/>
          <w:color w:val="2C2C2C"/>
        </w:rPr>
        <w:t>RGU:</w:t>
      </w:r>
      <w:r>
        <w:rPr>
          <w:rFonts w:ascii="Arial" w:cs="Arial" w:eastAsia="Arial" w:hAnsi="Arial"/>
          <w:sz w:val="14"/>
          <w:szCs w:val="14"/>
          <w:color w:val="2C2C2C"/>
        </w:rPr>
        <w:t xml:space="preserve"> A Revenue Generating Unit is separately a Basic Video Subscriber, Enhanced Video Subscriber, Internet Subscriber or Telephony Subscriber. A home, residential multiple dwelling unit, or commercial unit may contain one or more RGUs. For example, if a residential customer in our U.K. market subscribed to our enhanced video service, fixed-line telephony service and broadband internet service, the customer would constitute three RGUs. Total RGUs is the sum of Basic Video, Enhanced Video, Internet and Telephony Subscribers. RGUs generally are counted on a unique premises basis such that a given premises does not count as more than one RGU for any given service. On the other hand, if an individual receives one of our services in two premises (e.g., a primary home and a vacation home), that individual will count as two RGUs for that service. Each bundled cable, internet or telephony service is counted as a separate RGU regardless of the nature of any bundling discount or promotion. Non-paying subscribers are counted as subscribers during their free promotional service period. Some of these subscribers may choose to disconnect after their free service period. Services offered without charge on a long-term basis (e.g., VIP subscribers or free service to employees) generally are not counted as RGUs. We do not include subscriptions to mobile services in our externally reported RGU counts. In this regard, our RGU counts exclude our separately reported postpaid and prepaid mobile subscribers.</w:t>
      </w:r>
    </w:p>
    <w:p>
      <w:pPr>
        <w:spacing w:after="0" w:line="153" w:lineRule="exact"/>
        <w:rPr>
          <w:sz w:val="20"/>
          <w:szCs w:val="20"/>
          <w:color w:val="auto"/>
        </w:rPr>
      </w:pPr>
    </w:p>
    <w:p>
      <w:pPr>
        <w:jc w:val="both"/>
        <w:spacing w:after="0" w:line="242" w:lineRule="auto"/>
        <w:rPr>
          <w:sz w:val="20"/>
          <w:szCs w:val="20"/>
          <w:color w:val="auto"/>
        </w:rPr>
      </w:pPr>
      <w:r>
        <w:rPr>
          <w:rFonts w:ascii="Arial" w:cs="Arial" w:eastAsia="Arial" w:hAnsi="Arial"/>
          <w:sz w:val="14"/>
          <w:szCs w:val="14"/>
          <w:u w:val="single" w:color="auto"/>
          <w:color w:val="2C2C2C"/>
        </w:rPr>
        <w:t>Segment OCF:</w:t>
      </w:r>
      <w:r>
        <w:rPr>
          <w:rFonts w:ascii="Arial" w:cs="Arial" w:eastAsia="Arial" w:hAnsi="Arial"/>
          <w:sz w:val="14"/>
          <w:szCs w:val="14"/>
          <w:color w:val="2C2C2C"/>
        </w:rPr>
        <w:t xml:space="preserve"> the primary measure used by our chief operating decision maker and management to evaluate the operating performance of our businesses. Segment OCF is also a key factor that is used by our internal decision makers to (i) determine how to allocate resources and (ii) evaluate the effectiveness of our management for purposes of annual and other incentive compensation plans. As we use the term, Segment OCF is defined as operating income before depreciation and amortization, share-based compensation, related-party fees and allocations, provisions and provision releases related to significant litigation and impairment, restructuring and other operating items. Other operating items include (a) gains and losses on the disposition of long-lived assets, (b) third-party costs directly associated with successful and unsuccessful acquisitions and dispositions, including legal, advisory and due diligence fees, as applicable, and (c) other acquisition-related items, such as gains and losses on the settlement of contingent consideration. Our internal decision makers believe Segment OCF is a meaningful measure because it represents a transparent view of our recurring operating performance that is unaffected by our capital structure and allows management to (1) readily view operating trends, (2) perform analytical comparisons and benchmarking between entities and (3) identify strategies to improve operating performance in the different countries in which we operate. We believe our Segment OCF measure is useful to investors because it is one of the bases for comparing our performance with the performance of other companies in the same or similar industries, although our measure may not be directly comparable to similar measures used by other public companies. Segment OCF should be viewed as a measure of operating performance that is a supplement to, and not a substitute for, operating income, net earnings or loss, cash flow from operating activities and other U.S. GAAP measures of income or cash flows. A reconciliation of operating income to Segment OCF is presented in the applicable sections of this release.</w:t>
      </w:r>
    </w:p>
    <w:p>
      <w:pPr>
        <w:spacing w:after="0" w:line="158" w:lineRule="exact"/>
        <w:rPr>
          <w:sz w:val="20"/>
          <w:szCs w:val="20"/>
          <w:color w:val="auto"/>
        </w:rPr>
      </w:pPr>
    </w:p>
    <w:p>
      <w:pPr>
        <w:spacing w:after="0"/>
        <w:rPr>
          <w:sz w:val="20"/>
          <w:szCs w:val="20"/>
          <w:color w:val="auto"/>
        </w:rPr>
      </w:pPr>
      <w:r>
        <w:rPr>
          <w:rFonts w:ascii="Arial" w:cs="Arial" w:eastAsia="Arial" w:hAnsi="Arial"/>
          <w:sz w:val="14"/>
          <w:szCs w:val="14"/>
          <w:u w:val="single" w:color="auto"/>
          <w:color w:val="2C2C2C"/>
        </w:rPr>
        <w:t>SIM:</w:t>
      </w:r>
      <w:r>
        <w:rPr>
          <w:rFonts w:ascii="Arial" w:cs="Arial" w:eastAsia="Arial" w:hAnsi="Arial"/>
          <w:sz w:val="14"/>
          <w:szCs w:val="14"/>
          <w:color w:val="2C2C2C"/>
        </w:rPr>
        <w:t xml:space="preserve"> Subscriber Identification Module.</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u w:val="single" w:color="auto"/>
          <w:color w:val="2C2C2C"/>
        </w:rPr>
        <w:t>SOHO:</w:t>
      </w:r>
      <w:r>
        <w:rPr>
          <w:rFonts w:ascii="Arial" w:cs="Arial" w:eastAsia="Arial" w:hAnsi="Arial"/>
          <w:sz w:val="14"/>
          <w:szCs w:val="14"/>
          <w:color w:val="2C2C2C"/>
        </w:rPr>
        <w:t xml:space="preserve"> Small or Home Office Subscribers.</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u w:val="single" w:color="auto"/>
          <w:color w:val="2C2C2C"/>
        </w:rPr>
        <w:t>Telephony Subscriber:</w:t>
      </w:r>
      <w:r>
        <w:rPr>
          <w:rFonts w:ascii="Arial" w:cs="Arial" w:eastAsia="Arial" w:hAnsi="Arial"/>
          <w:sz w:val="14"/>
          <w:szCs w:val="14"/>
          <w:color w:val="2C2C2C"/>
        </w:rPr>
        <w:t xml:space="preserve"> a home, residential multiple dwelling unit or commercial unit that receives voice services over our networks, or that we service through a partner network.</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2C2C2C"/>
        </w:rPr>
        <w:t>Telephony Subscribers exclude mobile telephony subscribers.</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u w:val="single" w:color="auto"/>
          <w:color w:val="2C2C2C"/>
        </w:rPr>
        <w:t>U.S. GAAP:</w:t>
      </w:r>
      <w:r>
        <w:rPr>
          <w:rFonts w:ascii="Arial" w:cs="Arial" w:eastAsia="Arial" w:hAnsi="Arial"/>
          <w:sz w:val="14"/>
          <w:szCs w:val="14"/>
          <w:color w:val="2C2C2C"/>
        </w:rPr>
        <w:t xml:space="preserve"> Accounting principles generally accepted in the United States.</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u w:val="single" w:color="auto"/>
          <w:color w:val="2C2C2C"/>
        </w:rPr>
        <w:t>YoY:</w:t>
      </w:r>
      <w:r>
        <w:rPr>
          <w:rFonts w:ascii="Arial" w:cs="Arial" w:eastAsia="Arial" w:hAnsi="Arial"/>
          <w:sz w:val="14"/>
          <w:szCs w:val="14"/>
          <w:color w:val="2C2C2C"/>
        </w:rPr>
        <w:t xml:space="preserve"> Year-over-year.</w:t>
      </w:r>
    </w:p>
    <w:p>
      <w:pPr>
        <w:spacing w:after="0" w:line="214" w:lineRule="exact"/>
        <w:rPr>
          <w:sz w:val="20"/>
          <w:szCs w:val="20"/>
          <w:color w:val="auto"/>
        </w:rPr>
      </w:pPr>
    </w:p>
    <w:p>
      <w:pPr>
        <w:ind w:left="11060"/>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11240"/>
          </w:cols>
          <w:pgMar w:left="320" w:top="1413" w:right="339" w:bottom="1440" w:gutter="0" w:footer="0" w:header="0"/>
        </w:sectPr>
      </w:pPr>
    </w:p>
    <w:bookmarkStart w:id="28" w:name="page29"/>
    <w:bookmarkEnd w:id="28"/>
    <w:p>
      <w:pPr>
        <w:spacing w:after="0"/>
        <w:rPr>
          <w:sz w:val="20"/>
          <w:szCs w:val="20"/>
          <w:color w:val="auto"/>
        </w:rPr>
      </w:pPr>
      <w:r>
        <w:rPr>
          <w:rFonts w:ascii="Arial" w:cs="Arial" w:eastAsia="Arial" w:hAnsi="Arial"/>
          <w:sz w:val="25"/>
          <w:szCs w:val="25"/>
          <w:b w:val="1"/>
          <w:bCs w:val="1"/>
          <w:color w:val="48BFC2"/>
        </w:rPr>
        <w:drawing>
          <wp:anchor simplePos="0" relativeHeight="251657728" behindDoc="1" locked="0" layoutInCell="0" allowOverlap="1">
            <wp:simplePos x="0" y="0"/>
            <wp:positionH relativeFrom="page">
              <wp:posOffset>6809105</wp:posOffset>
            </wp:positionH>
            <wp:positionV relativeFrom="page">
              <wp:posOffset>88900</wp:posOffset>
            </wp:positionV>
            <wp:extent cx="531495" cy="53149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clrChange>
                        <a:clrFrom>
                          <a:srgbClr val="FFFFFF"/>
                        </a:clrFrom>
                        <a:clrTo>
                          <a:srgbClr val="FFFFFF">
                            <a:alpha val="0"/>
                          </a:srgbClr>
                        </a:clrTo>
                      </a:clrChange>
                      <a:extLst>
                        <a:ext uri="{28A0092B-C50C-407E-A947-70E740481C1C}"/>
                      </a:extLst>
                    </a:blip>
                    <a:srcRect/>
                    <a:stretch>
                      <a:fillRect/>
                    </a:stretch>
                  </pic:blipFill>
                  <pic:spPr bwMode="auto">
                    <a:xfrm>
                      <a:off x="0" y="0"/>
                      <a:ext cx="531495" cy="531495"/>
                    </a:xfrm>
                    <a:prstGeom prst="rect">
                      <a:avLst/>
                    </a:prstGeom>
                    <a:noFill/>
                  </pic:spPr>
                </pic:pic>
              </a:graphicData>
            </a:graphic>
          </wp:anchor>
        </w:drawing>
        <w:t>Appendix - Supplemental Segment OCF information</w:t>
      </w:r>
    </w:p>
    <w:p>
      <w:pPr>
        <w:spacing w:after="0" w:line="231" w:lineRule="exact"/>
        <w:rPr>
          <w:sz w:val="20"/>
          <w:szCs w:val="20"/>
          <w:color w:val="auto"/>
        </w:rPr>
      </w:pPr>
    </w:p>
    <w:p>
      <w:pPr>
        <w:ind w:right="160"/>
        <w:spacing w:after="0" w:line="260" w:lineRule="auto"/>
        <w:rPr>
          <w:sz w:val="20"/>
          <w:szCs w:val="20"/>
          <w:color w:val="auto"/>
        </w:rPr>
      </w:pPr>
      <w:r>
        <w:rPr>
          <w:rFonts w:ascii="Arial" w:cs="Arial" w:eastAsia="Arial" w:hAnsi="Arial"/>
          <w:sz w:val="16"/>
          <w:szCs w:val="16"/>
          <w:color w:val="auto"/>
        </w:rPr>
        <w:t>The following table presents (i) reported Segment OCF and (ii) percentage change from period to period for Segment OCF on both a reported and rebased basis for our Virgin Media and UPC Holding borrowing groups: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520" w:type="dxa"/>
            <w:vAlign w:val="bottom"/>
          </w:tcPr>
          <w:p>
            <w:pPr>
              <w:spacing w:after="0"/>
              <w:rPr>
                <w:sz w:val="17"/>
                <w:szCs w:val="17"/>
                <w:color w:val="auto"/>
              </w:rPr>
            </w:pPr>
          </w:p>
        </w:tc>
        <w:tc>
          <w:tcPr>
            <w:tcW w:w="2940" w:type="dxa"/>
            <w:vAlign w:val="bottom"/>
            <w:gridSpan w:val="6"/>
          </w:tcPr>
          <w:p>
            <w:pPr>
              <w:ind w:left="360"/>
              <w:spacing w:after="0"/>
              <w:rPr>
                <w:sz w:val="20"/>
                <w:szCs w:val="20"/>
                <w:color w:val="auto"/>
              </w:rPr>
            </w:pPr>
            <w:r>
              <w:rPr>
                <w:rFonts w:ascii="Arial" w:cs="Arial" w:eastAsia="Arial" w:hAnsi="Arial"/>
                <w:sz w:val="14"/>
                <w:szCs w:val="14"/>
                <w:b w:val="1"/>
                <w:bCs w:val="1"/>
                <w:color w:val="auto"/>
              </w:rPr>
              <w:t>Three months ended March 31,</w:t>
            </w:r>
          </w:p>
        </w:tc>
        <w:tc>
          <w:tcPr>
            <w:tcW w:w="2780" w:type="dxa"/>
            <w:vAlign w:val="bottom"/>
            <w:gridSpan w:val="3"/>
          </w:tcPr>
          <w:p>
            <w:pPr>
              <w:jc w:val="right"/>
              <w:ind w:right="628"/>
              <w:spacing w:after="0"/>
              <w:rPr>
                <w:sz w:val="20"/>
                <w:szCs w:val="20"/>
                <w:color w:val="auto"/>
              </w:rPr>
            </w:pPr>
            <w:r>
              <w:rPr>
                <w:rFonts w:ascii="Arial" w:cs="Arial" w:eastAsia="Arial" w:hAnsi="Arial"/>
                <w:sz w:val="14"/>
                <w:szCs w:val="14"/>
                <w:b w:val="1"/>
                <w:bCs w:val="1"/>
                <w:color w:val="auto"/>
              </w:rPr>
              <w:t>Increase/(decrease)</w:t>
            </w:r>
          </w:p>
        </w:tc>
      </w:tr>
      <w:tr>
        <w:trPr>
          <w:trHeight w:val="263"/>
        </w:trPr>
        <w:tc>
          <w:tcPr>
            <w:tcW w:w="5520" w:type="dxa"/>
            <w:vAlign w:val="bottom"/>
          </w:tcPr>
          <w:p>
            <w:pPr>
              <w:spacing w:after="0"/>
              <w:rPr>
                <w:sz w:val="22"/>
                <w:szCs w:val="22"/>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0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22"/>
                <w:szCs w:val="22"/>
                <w:color w:val="auto"/>
              </w:rPr>
            </w:pPr>
          </w:p>
        </w:tc>
        <w:tc>
          <w:tcPr>
            <w:tcW w:w="1440" w:type="dxa"/>
            <w:vAlign w:val="bottom"/>
            <w:tcBorders>
              <w:top w:val="single" w:sz="8" w:color="auto"/>
              <w:bottom w:val="single" w:sz="8" w:color="auto"/>
            </w:tcBorders>
            <w:gridSpan w:val="2"/>
          </w:tcPr>
          <w:p>
            <w:pPr>
              <w:ind w:left="260"/>
              <w:spacing w:after="0"/>
              <w:rPr>
                <w:sz w:val="20"/>
                <w:szCs w:val="20"/>
                <w:color w:val="auto"/>
              </w:rPr>
            </w:pPr>
            <w:r>
              <w:rPr>
                <w:rFonts w:ascii="Arial" w:cs="Arial" w:eastAsia="Arial" w:hAnsi="Arial"/>
                <w:sz w:val="14"/>
                <w:szCs w:val="14"/>
                <w:b w:val="1"/>
                <w:bCs w:val="1"/>
                <w:color w:val="auto"/>
              </w:rPr>
              <w:t>Reported %</w:t>
            </w:r>
          </w:p>
        </w:tc>
        <w:tc>
          <w:tcPr>
            <w:tcW w:w="1340" w:type="dxa"/>
            <w:vAlign w:val="bottom"/>
            <w:tcBorders>
              <w:top w:val="single" w:sz="8" w:color="auto"/>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Rebased %</w:t>
            </w:r>
          </w:p>
        </w:tc>
      </w:tr>
      <w:tr>
        <w:trPr>
          <w:trHeight w:val="217"/>
        </w:trPr>
        <w:tc>
          <w:tcPr>
            <w:tcW w:w="55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60" w:type="dxa"/>
            <w:vAlign w:val="bottom"/>
            <w:gridSpan w:val="4"/>
          </w:tcPr>
          <w:p>
            <w:pPr>
              <w:ind w:left="120"/>
              <w:spacing w:after="0"/>
              <w:rPr>
                <w:sz w:val="20"/>
                <w:szCs w:val="20"/>
                <w:color w:val="auto"/>
              </w:rPr>
            </w:pPr>
            <w:r>
              <w:rPr>
                <w:rFonts w:ascii="Arial" w:cs="Arial" w:eastAsia="Arial" w:hAnsi="Arial"/>
                <w:sz w:val="14"/>
                <w:szCs w:val="14"/>
                <w:b w:val="1"/>
                <w:bCs w:val="1"/>
                <w:color w:val="auto"/>
              </w:rPr>
              <w:t>in millions, except % amounts</w:t>
            </w:r>
          </w:p>
        </w:tc>
        <w:tc>
          <w:tcPr>
            <w:tcW w:w="1340" w:type="dxa"/>
            <w:vAlign w:val="bottom"/>
          </w:tcPr>
          <w:p>
            <w:pPr>
              <w:spacing w:after="0"/>
              <w:rPr>
                <w:sz w:val="18"/>
                <w:szCs w:val="18"/>
                <w:color w:val="auto"/>
              </w:rPr>
            </w:pPr>
          </w:p>
        </w:tc>
      </w:tr>
      <w:tr>
        <w:trPr>
          <w:trHeight w:val="392"/>
        </w:trPr>
        <w:tc>
          <w:tcPr>
            <w:tcW w:w="5520" w:type="dxa"/>
            <w:vAlign w:val="bottom"/>
          </w:tcPr>
          <w:p>
            <w:pPr>
              <w:ind w:left="40"/>
              <w:spacing w:after="0"/>
              <w:rPr>
                <w:sz w:val="20"/>
                <w:szCs w:val="20"/>
                <w:color w:val="auto"/>
              </w:rPr>
            </w:pPr>
            <w:r>
              <w:rPr>
                <w:rFonts w:ascii="Arial" w:cs="Arial" w:eastAsia="Arial" w:hAnsi="Arial"/>
                <w:sz w:val="14"/>
                <w:szCs w:val="14"/>
                <w:color w:val="auto"/>
              </w:rPr>
              <w:t>Segment OCF:</w:t>
            </w:r>
          </w:p>
        </w:tc>
        <w:tc>
          <w:tcPr>
            <w:tcW w:w="8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39"/>
        </w:trPr>
        <w:tc>
          <w:tcPr>
            <w:tcW w:w="5520" w:type="dxa"/>
            <w:vAlign w:val="bottom"/>
          </w:tcPr>
          <w:p>
            <w:pPr>
              <w:spacing w:after="0"/>
              <w:rPr>
                <w:sz w:val="3"/>
                <w:szCs w:val="3"/>
                <w:color w:val="auto"/>
              </w:rPr>
            </w:pPr>
          </w:p>
        </w:tc>
        <w:tc>
          <w:tcPr>
            <w:tcW w:w="86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40" w:type="dxa"/>
            <w:vAlign w:val="bottom"/>
          </w:tcPr>
          <w:p>
            <w:pPr>
              <w:spacing w:after="0"/>
              <w:rPr>
                <w:sz w:val="3"/>
                <w:szCs w:val="3"/>
                <w:color w:val="auto"/>
              </w:rPr>
            </w:pPr>
          </w:p>
        </w:tc>
      </w:tr>
      <w:tr>
        <w:trPr>
          <w:trHeight w:val="270"/>
        </w:trPr>
        <w:tc>
          <w:tcPr>
            <w:tcW w:w="55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Virgin Media</w:t>
            </w:r>
          </w:p>
        </w:tc>
        <w:tc>
          <w:tcPr>
            <w:tcW w:w="860" w:type="dxa"/>
            <w:vAlign w:val="bottom"/>
            <w:shd w:val="clear" w:color="auto" w:fill="CCEEFF"/>
          </w:tcPr>
          <w:p>
            <w:pPr>
              <w:jc w:val="right"/>
              <w:ind w:right="688"/>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512.3</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531.5</w:t>
            </w:r>
          </w:p>
        </w:tc>
        <w:tc>
          <w:tcPr>
            <w:tcW w:w="100" w:type="dxa"/>
            <w:vAlign w:val="bottom"/>
            <w:shd w:val="clear" w:color="auto" w:fill="CCEEFF"/>
          </w:tcPr>
          <w:p>
            <w:pPr>
              <w:spacing w:after="0"/>
              <w:rPr>
                <w:sz w:val="23"/>
                <w:szCs w:val="23"/>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w:t>
            </w:r>
          </w:p>
        </w:tc>
        <w:tc>
          <w:tcPr>
            <w:tcW w:w="100" w:type="dxa"/>
            <w:vAlign w:val="bottom"/>
            <w:shd w:val="clear" w:color="auto" w:fill="CCEEFF"/>
          </w:tcPr>
          <w:p>
            <w:pPr>
              <w:spacing w:after="0"/>
              <w:rPr>
                <w:sz w:val="23"/>
                <w:szCs w:val="23"/>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w:t>
            </w:r>
          </w:p>
        </w:tc>
      </w:tr>
      <w:tr>
        <w:trPr>
          <w:trHeight w:val="283"/>
        </w:trPr>
        <w:tc>
          <w:tcPr>
            <w:tcW w:w="5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50"/>
        </w:trPr>
        <w:tc>
          <w:tcPr>
            <w:tcW w:w="5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UPC Holding:</w:t>
            </w:r>
          </w:p>
        </w:tc>
        <w:tc>
          <w:tcPr>
            <w:tcW w:w="8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64"/>
        </w:trPr>
        <w:tc>
          <w:tcPr>
            <w:tcW w:w="5520" w:type="dxa"/>
            <w:vAlign w:val="bottom"/>
          </w:tcPr>
          <w:p>
            <w:pPr>
              <w:ind w:left="280"/>
              <w:spacing w:after="0"/>
              <w:rPr>
                <w:sz w:val="20"/>
                <w:szCs w:val="20"/>
                <w:color w:val="auto"/>
              </w:rPr>
            </w:pPr>
            <w:r>
              <w:rPr>
                <w:rFonts w:ascii="Arial" w:cs="Arial" w:eastAsia="Arial" w:hAnsi="Arial"/>
                <w:sz w:val="14"/>
                <w:szCs w:val="14"/>
                <w:color w:val="auto"/>
              </w:rPr>
              <w:t>Switzerland</w:t>
            </w:r>
          </w:p>
        </w:tc>
        <w:tc>
          <w:tcPr>
            <w:tcW w:w="860" w:type="dxa"/>
            <w:vAlign w:val="bottom"/>
          </w:tcPr>
          <w:p>
            <w:pPr>
              <w:jc w:val="right"/>
              <w:ind w:right="648"/>
              <w:spacing w:after="0"/>
              <w:rPr>
                <w:sz w:val="20"/>
                <w:szCs w:val="20"/>
                <w:color w:val="auto"/>
              </w:rPr>
            </w:pPr>
            <w:r>
              <w:rPr>
                <w:rFonts w:ascii="Arial" w:cs="Arial" w:eastAsia="Arial" w:hAnsi="Arial"/>
                <w:sz w:val="14"/>
                <w:szCs w:val="14"/>
                <w:color w:val="auto"/>
              </w:rPr>
              <w:t>€</w:t>
            </w:r>
          </w:p>
        </w:tc>
        <w:tc>
          <w:tcPr>
            <w:tcW w:w="500" w:type="dxa"/>
            <w:vAlign w:val="bottom"/>
          </w:tcPr>
          <w:p>
            <w:pPr>
              <w:jc w:val="right"/>
              <w:ind w:right="28"/>
              <w:spacing w:after="0"/>
              <w:rPr>
                <w:sz w:val="20"/>
                <w:szCs w:val="20"/>
                <w:color w:val="auto"/>
              </w:rPr>
            </w:pPr>
            <w:r>
              <w:rPr>
                <w:rFonts w:ascii="Arial" w:cs="Arial" w:eastAsia="Arial" w:hAnsi="Arial"/>
                <w:sz w:val="14"/>
                <w:szCs w:val="14"/>
                <w:color w:val="auto"/>
              </w:rPr>
              <w:t>121.7</w:t>
            </w:r>
          </w:p>
        </w:tc>
        <w:tc>
          <w:tcPr>
            <w:tcW w:w="100" w:type="dxa"/>
            <w:vAlign w:val="bottom"/>
          </w:tcPr>
          <w:p>
            <w:pPr>
              <w:spacing w:after="0"/>
              <w:rPr>
                <w:sz w:val="22"/>
                <w:szCs w:val="22"/>
                <w:color w:val="auto"/>
              </w:rPr>
            </w:pPr>
          </w:p>
        </w:tc>
        <w:tc>
          <w:tcPr>
            <w:tcW w:w="2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137.7</w:t>
            </w:r>
          </w:p>
        </w:tc>
        <w:tc>
          <w:tcPr>
            <w:tcW w:w="10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(11.6)</w:t>
            </w:r>
          </w:p>
        </w:tc>
        <w:tc>
          <w:tcPr>
            <w:tcW w:w="10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(16.0)</w:t>
            </w:r>
          </w:p>
        </w:tc>
      </w:tr>
      <w:tr>
        <w:trPr>
          <w:trHeight w:val="276"/>
        </w:trPr>
        <w:tc>
          <w:tcPr>
            <w:tcW w:w="55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Central and Eastern Europe</w:t>
            </w:r>
          </w:p>
        </w:tc>
        <w:tc>
          <w:tcPr>
            <w:tcW w:w="860" w:type="dxa"/>
            <w:vAlign w:val="bottom"/>
            <w:shd w:val="clear" w:color="auto" w:fill="CCEEFF"/>
          </w:tcPr>
          <w:p>
            <w:pPr>
              <w:spacing w:after="0"/>
              <w:rPr>
                <w:sz w:val="24"/>
                <w:szCs w:val="24"/>
                <w:color w:val="auto"/>
              </w:rPr>
            </w:pPr>
          </w:p>
        </w:tc>
        <w:tc>
          <w:tcPr>
            <w:tcW w:w="5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49.3</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47.2</w:t>
            </w:r>
          </w:p>
        </w:tc>
        <w:tc>
          <w:tcPr>
            <w:tcW w:w="10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4.4</w:t>
            </w:r>
          </w:p>
        </w:tc>
        <w:tc>
          <w:tcPr>
            <w:tcW w:w="10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4.8</w:t>
            </w:r>
          </w:p>
        </w:tc>
      </w:tr>
      <w:tr>
        <w:trPr>
          <w:trHeight w:val="264"/>
        </w:trPr>
        <w:tc>
          <w:tcPr>
            <w:tcW w:w="5520" w:type="dxa"/>
            <w:vAlign w:val="bottom"/>
          </w:tcPr>
          <w:p>
            <w:pPr>
              <w:ind w:left="280"/>
              <w:spacing w:after="0"/>
              <w:rPr>
                <w:sz w:val="20"/>
                <w:szCs w:val="20"/>
                <w:color w:val="auto"/>
              </w:rPr>
            </w:pPr>
            <w:r>
              <w:rPr>
                <w:rFonts w:ascii="Arial" w:cs="Arial" w:eastAsia="Arial" w:hAnsi="Arial"/>
                <w:sz w:val="14"/>
                <w:szCs w:val="14"/>
                <w:color w:val="auto"/>
              </w:rPr>
              <w:t>Central and Corporate and intersegment eliminations</w:t>
            </w:r>
          </w:p>
        </w:tc>
        <w:tc>
          <w:tcPr>
            <w:tcW w:w="860" w:type="dxa"/>
            <w:vAlign w:val="bottom"/>
          </w:tcPr>
          <w:p>
            <w:pPr>
              <w:spacing w:after="0"/>
              <w:rPr>
                <w:sz w:val="22"/>
                <w:szCs w:val="22"/>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(0.6)</w:t>
            </w:r>
          </w:p>
        </w:tc>
        <w:tc>
          <w:tcPr>
            <w:tcW w:w="100" w:type="dxa"/>
            <w:vAlign w:val="bottom"/>
          </w:tcPr>
          <w:p>
            <w:pPr>
              <w:spacing w:after="0"/>
              <w:rPr>
                <w:sz w:val="22"/>
                <w:szCs w:val="22"/>
                <w:color w:val="auto"/>
              </w:rPr>
            </w:pPr>
          </w:p>
        </w:tc>
        <w:tc>
          <w:tcPr>
            <w:tcW w:w="1440" w:type="dxa"/>
            <w:vAlign w:val="bottom"/>
            <w:gridSpan w:val="2"/>
          </w:tcPr>
          <w:p>
            <w:pPr>
              <w:ind w:left="920"/>
              <w:spacing w:after="0"/>
              <w:rPr>
                <w:sz w:val="20"/>
                <w:szCs w:val="20"/>
                <w:color w:val="auto"/>
              </w:rPr>
            </w:pPr>
            <w:r>
              <w:rPr>
                <w:rFonts w:ascii="Arial" w:cs="Arial" w:eastAsia="Arial" w:hAnsi="Arial"/>
                <w:sz w:val="14"/>
                <w:szCs w:val="14"/>
                <w:color w:val="auto"/>
              </w:rPr>
              <w:t>N.M.</w:t>
            </w:r>
          </w:p>
        </w:tc>
        <w:tc>
          <w:tcPr>
            <w:tcW w:w="1340" w:type="dxa"/>
            <w:vAlign w:val="bottom"/>
          </w:tcPr>
          <w:p>
            <w:pPr>
              <w:jc w:val="right"/>
              <w:ind w:right="28"/>
              <w:spacing w:after="0"/>
              <w:rPr>
                <w:sz w:val="20"/>
                <w:szCs w:val="20"/>
                <w:color w:val="auto"/>
              </w:rPr>
            </w:pPr>
            <w:r>
              <w:rPr>
                <w:rFonts w:ascii="Arial" w:cs="Arial" w:eastAsia="Arial" w:hAnsi="Arial"/>
                <w:sz w:val="14"/>
                <w:szCs w:val="14"/>
                <w:color w:val="auto"/>
              </w:rPr>
              <w:t>N.M.</w:t>
            </w:r>
          </w:p>
        </w:tc>
      </w:tr>
      <w:tr>
        <w:trPr>
          <w:trHeight w:val="236"/>
        </w:trPr>
        <w:tc>
          <w:tcPr>
            <w:tcW w:w="5520" w:type="dxa"/>
            <w:vAlign w:val="bottom"/>
            <w:tcBorders>
              <w:top w:val="single" w:sz="8" w:color="CCEEFF"/>
              <w:bottom w:val="single" w:sz="8" w:color="CCEEFF"/>
            </w:tcBorders>
            <w:shd w:val="clear" w:color="auto" w:fill="CCEEFF"/>
          </w:tcPr>
          <w:p>
            <w:pPr>
              <w:ind w:left="380"/>
              <w:spacing w:after="0"/>
              <w:rPr>
                <w:sz w:val="20"/>
                <w:szCs w:val="20"/>
                <w:color w:val="auto"/>
              </w:rPr>
            </w:pPr>
            <w:r>
              <w:rPr>
                <w:rFonts w:ascii="Arial" w:cs="Arial" w:eastAsia="Arial" w:hAnsi="Arial"/>
                <w:sz w:val="14"/>
                <w:szCs w:val="14"/>
                <w:color w:val="auto"/>
              </w:rPr>
              <w:t>Total UPC Holding Segment OCF</w:t>
            </w:r>
          </w:p>
        </w:tc>
        <w:tc>
          <w:tcPr>
            <w:tcW w:w="860" w:type="dxa"/>
            <w:vAlign w:val="bottom"/>
            <w:tcBorders>
              <w:top w:val="single" w:sz="8" w:color="auto"/>
              <w:bottom w:val="single" w:sz="8" w:color="auto"/>
            </w:tcBorders>
            <w:shd w:val="clear" w:color="auto" w:fill="CCEEFF"/>
          </w:tcPr>
          <w:p>
            <w:pPr>
              <w:jc w:val="right"/>
              <w:ind w:right="688"/>
              <w:spacing w:after="0"/>
              <w:rPr>
                <w:sz w:val="20"/>
                <w:szCs w:val="20"/>
                <w:color w:val="auto"/>
              </w:rPr>
            </w:pPr>
            <w:r>
              <w:rPr>
                <w:rFonts w:ascii="Arial" w:cs="Arial" w:eastAsia="Arial" w:hAnsi="Arial"/>
                <w:sz w:val="14"/>
                <w:szCs w:val="14"/>
                <w:color w:val="auto"/>
              </w:rPr>
              <w:t>€</w:t>
            </w:r>
          </w:p>
        </w:tc>
        <w:tc>
          <w:tcPr>
            <w:tcW w:w="5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171.0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184.3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(10.9)</w:t>
            </w:r>
          </w:p>
        </w:tc>
      </w:tr>
      <w:tr>
        <w:trPr>
          <w:trHeight w:val="20"/>
        </w:trPr>
        <w:tc>
          <w:tcPr>
            <w:tcW w:w="55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12"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Centrally-held Operating Cost Allocations</w:t>
      </w:r>
    </w:p>
    <w:p>
      <w:pPr>
        <w:spacing w:after="0" w:line="181"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During the fourth quarter of 2019, we changed the presentation of certain operating costs related to our centrally-managed technology and innovation function. These costs, which were previously included in Central and Corporate , are now allocated to our consolidated reportable segments. This change, which we refer to as the “Centrally-held Operating Cost Allocation”, was made as a result of internal changes with respect to the way in which our chief operating decision maker evaluates the Segment OCF of our operating segments. Segment information of our borrowing groups for the three months ended March 31, 2019 has been revised to reflect this change. The following table provides a summary of the impact on the Segment OCF of our borrowing groups that resulted from the Centrally-held Operating Cost Allocation.</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440" w:type="dxa"/>
            <w:vAlign w:val="bottom"/>
          </w:tcPr>
          <w:p>
            <w:pPr>
              <w:spacing w:after="0"/>
              <w:rPr>
                <w:sz w:val="17"/>
                <w:szCs w:val="17"/>
                <w:color w:val="auto"/>
              </w:rPr>
            </w:pPr>
          </w:p>
        </w:tc>
        <w:tc>
          <w:tcPr>
            <w:tcW w:w="2800" w:type="dxa"/>
            <w:vAlign w:val="bottom"/>
            <w:tcBorders>
              <w:bottom w:val="single" w:sz="8" w:color="auto"/>
            </w:tcBorders>
            <w:gridSpan w:val="5"/>
          </w:tcPr>
          <w:p>
            <w:pPr>
              <w:jc w:val="right"/>
              <w:ind w:right="248"/>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8440" w:type="dxa"/>
            <w:vAlign w:val="bottom"/>
          </w:tcPr>
          <w:p>
            <w:pPr>
              <w:spacing w:after="0"/>
              <w:rPr>
                <w:sz w:val="22"/>
                <w:szCs w:val="22"/>
                <w:color w:val="auto"/>
              </w:rPr>
            </w:pP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2020</w:t>
            </w:r>
          </w:p>
        </w:tc>
        <w:tc>
          <w:tcPr>
            <w:tcW w:w="4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2019</w:t>
            </w:r>
          </w:p>
        </w:tc>
      </w:tr>
      <w:tr>
        <w:trPr>
          <w:trHeight w:val="209"/>
        </w:trPr>
        <w:tc>
          <w:tcPr>
            <w:tcW w:w="8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60" w:type="dxa"/>
            <w:vAlign w:val="bottom"/>
            <w:gridSpan w:val="3"/>
          </w:tcPr>
          <w:p>
            <w:pPr>
              <w:jc w:val="right"/>
              <w:ind w:right="28"/>
              <w:spacing w:after="0"/>
              <w:rPr>
                <w:sz w:val="20"/>
                <w:szCs w:val="20"/>
                <w:color w:val="auto"/>
              </w:rPr>
            </w:pPr>
            <w:r>
              <w:rPr>
                <w:rFonts w:ascii="Arial" w:cs="Arial" w:eastAsia="Arial" w:hAnsi="Arial"/>
                <w:sz w:val="14"/>
                <w:szCs w:val="14"/>
                <w:b w:val="1"/>
                <w:bCs w:val="1"/>
                <w:color w:val="auto"/>
              </w:rPr>
              <w:t>in millions</w:t>
            </w:r>
          </w:p>
        </w:tc>
        <w:tc>
          <w:tcPr>
            <w:tcW w:w="920" w:type="dxa"/>
            <w:vAlign w:val="bottom"/>
          </w:tcPr>
          <w:p>
            <w:pPr>
              <w:spacing w:after="0"/>
              <w:rPr>
                <w:sz w:val="18"/>
                <w:szCs w:val="18"/>
                <w:color w:val="auto"/>
              </w:rPr>
            </w:pPr>
          </w:p>
        </w:tc>
      </w:tr>
      <w:tr>
        <w:trPr>
          <w:trHeight w:val="256"/>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Decrease to reported Segment OCF:</w:t>
            </w:r>
          </w:p>
        </w:tc>
        <w:tc>
          <w:tcPr>
            <w:tcW w:w="9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r>
      <w:tr>
        <w:trPr>
          <w:trHeight w:val="264"/>
        </w:trPr>
        <w:tc>
          <w:tcPr>
            <w:tcW w:w="8440" w:type="dxa"/>
            <w:vAlign w:val="bottom"/>
          </w:tcPr>
          <w:p>
            <w:pPr>
              <w:ind w:left="180"/>
              <w:spacing w:after="0"/>
              <w:rPr>
                <w:sz w:val="20"/>
                <w:szCs w:val="20"/>
                <w:color w:val="auto"/>
              </w:rPr>
            </w:pPr>
            <w:r>
              <w:rPr>
                <w:rFonts w:ascii="Arial" w:cs="Arial" w:eastAsia="Arial" w:hAnsi="Arial"/>
                <w:sz w:val="14"/>
                <w:szCs w:val="14"/>
                <w:color w:val="auto"/>
              </w:rPr>
              <w:t>Virgin Media</w:t>
            </w:r>
          </w:p>
        </w:tc>
        <w:tc>
          <w:tcPr>
            <w:tcW w:w="920" w:type="dxa"/>
            <w:vAlign w:val="bottom"/>
          </w:tcPr>
          <w:p>
            <w:pPr>
              <w:jc w:val="right"/>
              <w:ind w:right="728"/>
              <w:spacing w:after="0"/>
              <w:rPr>
                <w:sz w:val="20"/>
                <w:szCs w:val="20"/>
                <w:color w:val="auto"/>
              </w:rPr>
            </w:pPr>
            <w:r>
              <w:rPr>
                <w:rFonts w:ascii="Arial" w:cs="Arial" w:eastAsia="Arial" w:hAnsi="Arial"/>
                <w:sz w:val="14"/>
                <w:szCs w:val="14"/>
                <w:color w:val="auto"/>
              </w:rPr>
              <w:t>£</w:t>
            </w:r>
          </w:p>
        </w:tc>
        <w:tc>
          <w:tcPr>
            <w:tcW w:w="440" w:type="dxa"/>
            <w:vAlign w:val="bottom"/>
          </w:tcPr>
          <w:p>
            <w:pPr>
              <w:jc w:val="right"/>
              <w:spacing w:after="0"/>
              <w:rPr>
                <w:sz w:val="20"/>
                <w:szCs w:val="20"/>
                <w:color w:val="auto"/>
              </w:rPr>
            </w:pPr>
            <w:r>
              <w:rPr>
                <w:rFonts w:ascii="Arial" w:cs="Arial" w:eastAsia="Arial" w:hAnsi="Arial"/>
                <w:sz w:val="14"/>
                <w:szCs w:val="14"/>
                <w:color w:val="auto"/>
              </w:rPr>
              <w:t>(9.4)</w:t>
            </w:r>
          </w:p>
        </w:tc>
        <w:tc>
          <w:tcPr>
            <w:tcW w:w="100" w:type="dxa"/>
            <w:vAlign w:val="bottom"/>
          </w:tcPr>
          <w:p>
            <w:pPr>
              <w:spacing w:after="0"/>
              <w:rPr>
                <w:sz w:val="22"/>
                <w:szCs w:val="22"/>
                <w:color w:val="auto"/>
              </w:rPr>
            </w:pPr>
          </w:p>
        </w:tc>
        <w:tc>
          <w:tcPr>
            <w:tcW w:w="42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(12.4)</w:t>
            </w:r>
          </w:p>
        </w:tc>
      </w:tr>
      <w:tr>
        <w:trPr>
          <w:trHeight w:val="290"/>
        </w:trPr>
        <w:tc>
          <w:tcPr>
            <w:tcW w:w="844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r>
      <w:tr>
        <w:trPr>
          <w:trHeight w:val="231"/>
        </w:trPr>
        <w:tc>
          <w:tcPr>
            <w:tcW w:w="8440" w:type="dxa"/>
            <w:vAlign w:val="bottom"/>
          </w:tcPr>
          <w:p>
            <w:pPr>
              <w:ind w:left="180"/>
              <w:spacing w:after="0"/>
              <w:rPr>
                <w:sz w:val="20"/>
                <w:szCs w:val="20"/>
                <w:color w:val="auto"/>
              </w:rPr>
            </w:pPr>
            <w:r>
              <w:rPr>
                <w:rFonts w:ascii="Arial" w:cs="Arial" w:eastAsia="Arial" w:hAnsi="Arial"/>
                <w:sz w:val="14"/>
                <w:szCs w:val="14"/>
                <w:color w:val="auto"/>
              </w:rPr>
              <w:t>UPC Holding:</w:t>
            </w:r>
          </w:p>
        </w:tc>
        <w:tc>
          <w:tcPr>
            <w:tcW w:w="9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39"/>
        </w:trPr>
        <w:tc>
          <w:tcPr>
            <w:tcW w:w="8440" w:type="dxa"/>
            <w:vAlign w:val="bottom"/>
          </w:tcPr>
          <w:p>
            <w:pPr>
              <w:spacing w:after="0"/>
              <w:rPr>
                <w:sz w:val="3"/>
                <w:szCs w:val="3"/>
                <w:color w:val="auto"/>
              </w:rPr>
            </w:pPr>
          </w:p>
        </w:tc>
        <w:tc>
          <w:tcPr>
            <w:tcW w:w="92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70"/>
        </w:trPr>
        <w:tc>
          <w:tcPr>
            <w:tcW w:w="84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Switzerland</w:t>
            </w:r>
          </w:p>
        </w:tc>
        <w:tc>
          <w:tcPr>
            <w:tcW w:w="920" w:type="dxa"/>
            <w:vAlign w:val="bottom"/>
            <w:shd w:val="clear" w:color="auto" w:fill="CCEEFF"/>
          </w:tcPr>
          <w:p>
            <w:pPr>
              <w:jc w:val="right"/>
              <w:ind w:right="728"/>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w:t>
            </w: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w:t>
            </w:r>
          </w:p>
        </w:tc>
      </w:tr>
      <w:tr>
        <w:trPr>
          <w:trHeight w:val="264"/>
        </w:trPr>
        <w:tc>
          <w:tcPr>
            <w:tcW w:w="844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Central and Eastern Europe</w:t>
            </w:r>
          </w:p>
        </w:tc>
        <w:tc>
          <w:tcPr>
            <w:tcW w:w="92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w:t>
            </w:r>
          </w:p>
        </w:tc>
      </w:tr>
      <w:tr>
        <w:trPr>
          <w:trHeight w:val="237"/>
        </w:trPr>
        <w:tc>
          <w:tcPr>
            <w:tcW w:w="8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4"/>
                <w:szCs w:val="14"/>
                <w:color w:val="auto"/>
              </w:rPr>
              <w:t>Total decrease to UPC Holding Segment OCF</w:t>
            </w:r>
          </w:p>
        </w:tc>
        <w:tc>
          <w:tcPr>
            <w:tcW w:w="920" w:type="dxa"/>
            <w:vAlign w:val="bottom"/>
            <w:tcBorders>
              <w:bottom w:val="single" w:sz="8" w:color="auto"/>
            </w:tcBorders>
            <w:shd w:val="clear" w:color="auto" w:fill="CCEEFF"/>
          </w:tcPr>
          <w:p>
            <w:pPr>
              <w:jc w:val="right"/>
              <w:ind w:right="728"/>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(6.6)</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(9.1)</w:t>
            </w:r>
          </w:p>
        </w:tc>
      </w:tr>
      <w:tr>
        <w:trPr>
          <w:trHeight w:val="20"/>
        </w:trPr>
        <w:tc>
          <w:tcPr>
            <w:tcW w:w="84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4" w:lineRule="exact"/>
        <w:rPr>
          <w:sz w:val="20"/>
          <w:szCs w:val="20"/>
          <w:color w:val="auto"/>
        </w:rPr>
      </w:pPr>
    </w:p>
    <w:p>
      <w:pPr>
        <w:jc w:val="right"/>
        <w:spacing w:after="0"/>
        <w:rPr>
          <w:sz w:val="20"/>
          <w:szCs w:val="20"/>
          <w:color w:val="auto"/>
        </w:rPr>
      </w:pPr>
      <w:r>
        <w:rPr>
          <w:rFonts w:ascii="Arial" w:cs="Arial" w:eastAsia="Arial" w:hAnsi="Arial"/>
          <w:sz w:val="16"/>
          <w:szCs w:val="16"/>
          <w:color w:val="auto"/>
        </w:rPr>
        <w:t>26</w:t>
      </w:r>
    </w:p>
    <w:sectPr>
      <w:pgSz w:w="11900" w:h="16838" w:orient="portrait"/>
      <w:cols w:equalWidth="0" w:num="1">
        <w:col w:w="11240"/>
      </w:cols>
      <w:pgMar w:left="320" w:top="137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40E0F76"/>
    <w:multiLevelType w:val="hybridMultilevel"/>
    <w:lvl w:ilvl="0">
      <w:lvlJc w:val="left"/>
      <w:lvlText w:val="☐"/>
      <w:numFmt w:val="bullet"/>
      <w:start w:val="1"/>
    </w:lvl>
  </w:abstractNum>
  <w:abstractNum w:abstractNumId="1">
    <w:nsid w:val="3352255A"/>
    <w:multiLevelType w:val="hybridMultilevel"/>
    <w:lvl w:ilvl="0">
      <w:lvlJc w:val="left"/>
      <w:lvlText w:val="•"/>
      <w:numFmt w:val="bullet"/>
      <w:start w:val="1"/>
    </w:lvl>
    <w:lvl w:ilvl="1">
      <w:lvlJc w:val="left"/>
      <w:lvlText w:val="◦"/>
      <w:numFmt w:val="bullet"/>
      <w:start w:val="1"/>
    </w:lvl>
  </w:abstractNum>
  <w:abstractNum w:abstractNumId="2">
    <w:nsid w:val="109CF92E"/>
    <w:multiLevelType w:val="hybridMultilevel"/>
    <w:lvl w:ilvl="0">
      <w:lvlJc w:val="left"/>
      <w:lvlText w:val="•"/>
      <w:numFmt w:val="bullet"/>
      <w:start w:val="1"/>
    </w:lvl>
    <w:lvl w:ilvl="1">
      <w:lvlJc w:val="left"/>
      <w:lvlText w:val="◦"/>
      <w:numFmt w:val="bullet"/>
      <w:start w:val="1"/>
    </w:lvl>
  </w:abstractNum>
  <w:abstractNum w:abstractNumId="3">
    <w:nsid w:val="DED7263"/>
    <w:multiLevelType w:val="hybridMultilevel"/>
    <w:lvl w:ilvl="0">
      <w:lvlJc w:val="left"/>
      <w:lvlText w:val="•"/>
      <w:numFmt w:val="bullet"/>
      <w:start w:val="1"/>
    </w:lvl>
    <w:lvl w:ilvl="1">
      <w:lvlJc w:val="left"/>
      <w:lvlText w:val="◦"/>
      <w:numFmt w:val="bullet"/>
      <w:start w:val="1"/>
    </w:lvl>
  </w:abstractNum>
  <w:abstractNum w:abstractNumId="4">
    <w:nsid w:val="7FDCC233"/>
    <w:multiLevelType w:val="hybridMultilevel"/>
    <w:lvl w:ilvl="0">
      <w:lvlJc w:val="left"/>
      <w:lvlText w:val="•"/>
      <w:numFmt w:val="bullet"/>
      <w:start w:val="1"/>
    </w:lvl>
    <w:lvl w:ilvl="1">
      <w:lvlJc w:val="left"/>
      <w:lvlText w:val="◦"/>
      <w:numFmt w:val="bullet"/>
      <w:start w:val="1"/>
    </w:lvl>
  </w:abstractNum>
  <w:abstractNum w:abstractNumId="5">
    <w:nsid w:val="1BEFD79F"/>
    <w:multiLevelType w:val="hybridMultilevel"/>
    <w:lvl w:ilvl="0">
      <w:lvlJc w:val="left"/>
      <w:lvlText w:val="£"/>
      <w:numFmt w:val="bullet"/>
      <w:start w:val="1"/>
    </w:lvl>
  </w:abstractNum>
  <w:abstractNum w:abstractNumId="6">
    <w:nsid w:val="41A7C4C9"/>
    <w:multiLevelType w:val="hybridMultilevel"/>
    <w:lvl w:ilvl="0">
      <w:lvlJc w:val="left"/>
      <w:lvlText w:val="£"/>
      <w:numFmt w:val="bullet"/>
      <w:start w:val="1"/>
    </w:lvl>
  </w:abstractNum>
  <w:abstractNum w:abstractNumId="7">
    <w:nsid w:val="6B68079A"/>
    <w:multiLevelType w:val="hybridMultilevel"/>
    <w:lvl w:ilvl="0">
      <w:lvlJc w:val="left"/>
      <w:lvlText w:val="•"/>
      <w:numFmt w:val="bullet"/>
      <w:start w:val="1"/>
    </w:lvl>
    <w:lvl w:ilvl="1">
      <w:lvlJc w:val="left"/>
      <w:lvlText w:val="◦"/>
      <w:numFmt w:val="bullet"/>
      <w:start w:val="1"/>
    </w:lvl>
  </w:abstractNum>
  <w:abstractNum w:abstractNumId="8">
    <w:nsid w:val="4E6AFB66"/>
    <w:multiLevelType w:val="hybridMultilevel"/>
    <w:lvl w:ilvl="0">
      <w:lvlJc w:val="left"/>
      <w:lvlText w:val="◦"/>
      <w:numFmt w:val="bullet"/>
      <w:start w:val="1"/>
    </w:lvl>
  </w:abstractNum>
  <w:abstractNum w:abstractNumId="9">
    <w:nsid w:val="25E45D32"/>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10">
    <w:nsid w:val="519B500D"/>
    <w:multiLevelType w:val="hybridMultilevel"/>
    <w:lvl w:ilvl="0">
      <w:lvlJc w:val="left"/>
      <w:lvlText w:val="•"/>
      <w:numFmt w:val="bullet"/>
      <w:start w:val="1"/>
    </w:lvl>
  </w:abstractNum>
  <w:abstractNum w:abstractNumId="11">
    <w:nsid w:val="431BD7B7"/>
    <w:multiLevelType w:val="hybridMultilevel"/>
    <w:lvl w:ilvl="0">
      <w:lvlJc w:val="left"/>
      <w:lvlText w:val="€"/>
      <w:numFmt w:val="bullet"/>
      <w:start w:val="1"/>
    </w:lvl>
  </w:abstractNum>
  <w:abstractNum w:abstractNumId="12">
    <w:nsid w:val="3F2DBA31"/>
    <w:multiLevelType w:val="hybridMultilevel"/>
    <w:lvl w:ilvl="0">
      <w:lvlJc w:val="left"/>
      <w:lvlText w:val="€"/>
      <w:numFmt w:val="bullet"/>
      <w:start w:val="1"/>
    </w:lvl>
  </w:abstractNum>
  <w:abstractNum w:abstractNumId="13">
    <w:nsid w:val="7C83E458"/>
    <w:multiLevelType w:val="hybridMultilevel"/>
    <w:lvl w:ilvl="0">
      <w:lvlJc w:val="left"/>
      <w:lvlText w:val="€"/>
      <w:numFmt w:val="bullet"/>
      <w:start w:val="1"/>
    </w:lvl>
  </w:abstractNum>
  <w:abstractNum w:abstractNumId="14">
    <w:nsid w:val="257130A3"/>
    <w:multiLevelType w:val="hybridMultilevel"/>
    <w:lvl w:ilvl="0">
      <w:lvlJc w:val="left"/>
      <w:lvlText w:val="€"/>
      <w:numFmt w:val="bullet"/>
      <w:start w:val="1"/>
    </w:lvl>
  </w:abstractNum>
  <w:abstractNum w:abstractNumId="15">
    <w:nsid w:val="62BBD95A"/>
    <w:multiLevelType w:val="hybridMultilevel"/>
    <w:lvl w:ilvl="0">
      <w:lvlJc w:val="left"/>
      <w:lvlText w:val="€"/>
      <w:numFmt w:val="bullet"/>
      <w:start w:val="1"/>
    </w:lvl>
  </w:abstractNum>
  <w:abstractNum w:abstractNumId="16">
    <w:nsid w:val="436C6125"/>
    <w:multiLevelType w:val="hybridMultilevel"/>
    <w:lvl w:ilvl="0">
      <w:lvlJc w:val="left"/>
      <w:lvlText w:val="€"/>
      <w:numFmt w:val="bullet"/>
      <w:start w:val="1"/>
    </w:lvl>
  </w:abstractNum>
  <w:abstractNum w:abstractNumId="17">
    <w:nsid w:val="628C895D"/>
    <w:multiLevelType w:val="hybridMultilevel"/>
    <w:lvl w:ilvl="0">
      <w:lvlJc w:val="left"/>
      <w:lvlText w:val="(%1)"/>
      <w:numFmt w:val="lowerRoman"/>
      <w:start w:val="1"/>
    </w:lvl>
  </w:abstractNum>
  <w:abstractNum w:abstractNumId="18">
    <w:nsid w:val="333AB105"/>
    <w:multiLevelType w:val="hybridMultilevel"/>
    <w:lvl w:ilvl="0">
      <w:lvlJc w:val="left"/>
      <w:lvlText w:val="1"/>
      <w:numFmt w:val="bullet"/>
      <w:start w:val="1"/>
    </w:lvl>
  </w:abstractNum>
  <w:abstractNum w:abstractNumId="19">
    <w:nsid w:val="721DA317"/>
    <w:multiLevelType w:val="hybridMultilevel"/>
    <w:lvl w:ilvl="0">
      <w:lvlJc w:val="left"/>
      <w:lvlText w:val="2"/>
      <w:numFmt w:val="bullet"/>
      <w:start w:val="1"/>
    </w:lvl>
  </w:abstractNum>
  <w:abstractNum w:abstractNumId="20">
    <w:nsid w:val="2443A858"/>
    <w:multiLevelType w:val="hybridMultilevel"/>
    <w:lvl w:ilvl="0">
      <w:lvlJc w:val="left"/>
      <w:lvlText w:val="3"/>
      <w:numFmt w:val="bullet"/>
      <w:start w:val="1"/>
    </w:lvl>
  </w:abstractNum>
  <w:abstractNum w:abstractNumId="21">
    <w:nsid w:val="2D1D5AE9"/>
    <w:multiLevelType w:val="hybridMultilevel"/>
    <w:lvl w:ilvl="0">
      <w:lvlJc w:val="left"/>
      <w:lvlText w:val="4"/>
      <w:numFmt w:val="bullet"/>
      <w:start w:val="1"/>
    </w:lvl>
  </w:abstractNum>
  <w:abstractNum w:abstractNumId="22">
    <w:nsid w:val="6763845E"/>
    <w:multiLevelType w:val="hybridMultilevel"/>
    <w:lvl w:ilvl="0">
      <w:lvlJc w:val="left"/>
      <w:lvlText w:val="5"/>
      <w:numFmt w:val="bullet"/>
      <w:start w:val="1"/>
    </w:lvl>
  </w:abstractNum>
  <w:abstractNum w:abstractNumId="23">
    <w:nsid w:val="75A2A8D4"/>
    <w:multiLevelType w:val="hybridMultilevel"/>
    <w:lvl w:ilvl="0">
      <w:lvlJc w:val="left"/>
      <w:lvlText w:val="6"/>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jpeg"/><Relationship Id="rId73" Type="http://schemas.openxmlformats.org/officeDocument/2006/relationships/image" Target="media/image66.jpeg"/><Relationship Id="rId74" Type="http://schemas.openxmlformats.org/officeDocument/2006/relationships/image" Target="media/image67.jpeg"/><Relationship Id="rId75" Type="http://schemas.openxmlformats.org/officeDocument/2006/relationships/image" Target="media/image68.jpeg"/><Relationship Id="rId76" Type="http://schemas.openxmlformats.org/officeDocument/2006/relationships/image" Target="media/image69.png"/><Relationship Id="rId77" Type="http://schemas.openxmlformats.org/officeDocument/2006/relationships/image" Target="media/image70.jpeg"/><Relationship Id="rId78" Type="http://schemas.openxmlformats.org/officeDocument/2006/relationships/image" Target="media/image71.png"/><Relationship Id="rId79" Type="http://schemas.openxmlformats.org/officeDocument/2006/relationships/image" Target="media/image72.jpeg"/><Relationship Id="rId80" Type="http://schemas.openxmlformats.org/officeDocument/2006/relationships/image" Target="media/image73.jpe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jpeg"/><Relationship Id="rId87" Type="http://schemas.openxmlformats.org/officeDocument/2006/relationships/image" Target="media/image80.jpeg"/><Relationship Id="rId88" Type="http://schemas.openxmlformats.org/officeDocument/2006/relationships/image" Target="media/image8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2020-05-06T15:35:02Z</dcterms:created>
  <dcterms:modified xsi:type="dcterms:W3CDTF">2020-05-06T15:35:02Z</dcterms:modified>
</cp:coreProperties>
</file>