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August 13,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Liberty Global Ltd.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962" w:type="dxa"/>
        <w:jc w:val="left"/>
        <w:tblInd w:w="0" w:type="dxa"/>
        <w:tblLayout w:type="fixed"/>
        <w:tblCellMar>
          <w:top w:w="28" w:type="dxa"/>
          <w:left w:w="28" w:type="dxa"/>
          <w:bottom w:w="28" w:type="dxa"/>
          <w:right w:w="28" w:type="dxa"/>
        </w:tblCellMar>
      </w:tblPr>
      <w:tblGrid>
        <w:gridCol w:w="710"/>
        <w:gridCol w:w="625"/>
        <w:gridCol w:w="630"/>
        <w:gridCol w:w="109"/>
        <w:gridCol w:w="109"/>
        <w:gridCol w:w="109"/>
        <w:gridCol w:w="687"/>
        <w:gridCol w:w="687"/>
        <w:gridCol w:w="695"/>
        <w:gridCol w:w="109"/>
        <w:gridCol w:w="109"/>
        <w:gridCol w:w="109"/>
        <w:gridCol w:w="371"/>
        <w:gridCol w:w="371"/>
        <w:gridCol w:w="532"/>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98-1750381</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Clarendon House, 2 Church Street, Hamilton HM 11, Bermuda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+1.303.220.6600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20" w:after="12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883" w:type="dxa"/>
        <w:jc w:val="center"/>
        <w:tblInd w:w="0" w:type="dxa"/>
        <w:tblLayout w:type="fixed"/>
        <w:tblCellMar>
          <w:top w:w="28" w:type="dxa"/>
          <w:left w:w="28" w:type="dxa"/>
          <w:bottom w:w="28" w:type="dxa"/>
          <w:right w:w="28" w:type="dxa"/>
        </w:tblCellMar>
      </w:tblPr>
      <w:tblGrid>
        <w:gridCol w:w="667"/>
        <w:gridCol w:w="587"/>
        <w:gridCol w:w="591"/>
        <w:gridCol w:w="519"/>
        <w:gridCol w:w="519"/>
        <w:gridCol w:w="521"/>
        <w:gridCol w:w="1019"/>
        <w:gridCol w:w="1019"/>
        <w:gridCol w:w="14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A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LBTYA</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B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LBTYB</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Class C common shares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LBTYK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120" w:after="12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VodafoneZiggo Group B.V. (</w:t>
      </w:r>
      <w:r>
        <w:rPr>
          <w:rFonts w:ascii="Times New Roman;serif" w:hAnsi="Times New Roman;serif"/>
          <w:b/>
          <w:color w:val="000000"/>
          <w:sz w:val="20"/>
        </w:rPr>
        <w:t>VodafoneZiggo</w:t>
      </w:r>
      <w:r>
        <w:rPr>
          <w:rFonts w:ascii="Times New Roman;serif" w:hAnsi="Times New Roman;serif"/>
          <w:b w:val="false"/>
          <w:color w:val="000000"/>
          <w:sz w:val="20"/>
        </w:rPr>
        <w:t>) is a wholly-owned subsidiary of Liberty Global Ltd. (</w:t>
      </w:r>
      <w:r>
        <w:rPr>
          <w:rFonts w:ascii="Times New Roman;serif" w:hAnsi="Times New Roman;serif"/>
          <w:b/>
          <w:color w:val="000000"/>
          <w:sz w:val="20"/>
        </w:rPr>
        <w:t>Liberty Global</w:t>
      </w:r>
      <w:r>
        <w:rPr>
          <w:rFonts w:ascii="Times New Roman;serif" w:hAnsi="Times New Roman;serif"/>
          <w:b w:val="false"/>
          <w:color w:val="000000"/>
          <w:sz w:val="20"/>
        </w:rPr>
        <w:t>). VodafoneZiggo is a leading Dutch company that provides fixed, mobile and integrated communication and entertainment services to consumers and businesses. On August 13, 2026, the financial report of VodafoneZiggo for the quarter ended June 30, 2026 was made available under the investor relations section of the Liberty Global website (www.libertyglobal.com). This Current Report on Form 8-K is being furnished pursuant to Item 7.01 and shall not be deemed to be “filed” for purposes of Section 18 of the Securities Exchange Act of 1934 or otherwise subject to liabilities of that Section.</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785" w:type="dxa"/>
        <w:jc w:val="left"/>
        <w:tblInd w:w="0" w:type="dxa"/>
        <w:tblLayout w:type="fixed"/>
        <w:tblCellMar>
          <w:top w:w="28" w:type="dxa"/>
          <w:left w:w="28" w:type="dxa"/>
          <w:bottom w:w="28" w:type="dxa"/>
          <w:right w:w="28" w:type="dxa"/>
        </w:tblCellMar>
      </w:tblPr>
      <w:tblGrid>
        <w:gridCol w:w="363"/>
        <w:gridCol w:w="320"/>
        <w:gridCol w:w="321"/>
        <w:gridCol w:w="109"/>
        <w:gridCol w:w="109"/>
        <w:gridCol w:w="109"/>
        <w:gridCol w:w="2179"/>
        <w:gridCol w:w="2179"/>
        <w:gridCol w:w="3096"/>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Name</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3572" w:type="dxa"/>
        <w:jc w:val="left"/>
        <w:tblInd w:w="0" w:type="dxa"/>
        <w:tblLayout w:type="fixed"/>
        <w:tblCellMar>
          <w:top w:w="28" w:type="dxa"/>
          <w:left w:w="28" w:type="dxa"/>
          <w:bottom w:w="28" w:type="dxa"/>
          <w:right w:w="28" w:type="dxa"/>
        </w:tblCellMar>
      </w:tblPr>
      <w:tblGrid>
        <w:gridCol w:w="124"/>
        <w:gridCol w:w="109"/>
        <w:gridCol w:w="109"/>
        <w:gridCol w:w="352"/>
        <w:gridCol w:w="352"/>
        <w:gridCol w:w="352"/>
        <w:gridCol w:w="635"/>
        <w:gridCol w:w="635"/>
        <w:gridCol w:w="9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LIBERTY GLOBAL LTD.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L. Lazzell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519</Words>
  <Characters>2930</Characters>
  <CharactersWithSpaces>3431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