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274320</wp:posOffset>
            </wp:positionH>
            <wp:positionV relativeFrom="page">
              <wp:posOffset>694690</wp:posOffset>
            </wp:positionV>
            <wp:extent cx="7000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0240" cy="8255"/>
                    </a:xfrm>
                    <a:prstGeom prst="rect">
                      <a:avLst/>
                    </a:prstGeom>
                    <a:noFill/>
                  </pic:spPr>
                </pic:pic>
              </a:graphicData>
            </a:graphic>
          </wp:anchor>
        </w:drawing>
        <w:drawing>
          <wp:anchor simplePos="0" relativeHeight="251657728" behindDoc="1" locked="0" layoutInCell="0" allowOverlap="1">
            <wp:simplePos x="0" y="0"/>
            <wp:positionH relativeFrom="page">
              <wp:posOffset>274320</wp:posOffset>
            </wp:positionH>
            <wp:positionV relativeFrom="page">
              <wp:posOffset>652780</wp:posOffset>
            </wp:positionV>
            <wp:extent cx="70002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0240" cy="17145"/>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104" w:lineRule="exact"/>
        <w:rPr>
          <w:sz w:val="24"/>
          <w:szCs w:val="24"/>
          <w:color w:val="auto"/>
        </w:rPr>
      </w:pPr>
    </w:p>
    <w:p>
      <w:pPr>
        <w:ind w:left="880" w:hanging="856"/>
        <w:spacing w:after="0"/>
        <w:tabs>
          <w:tab w:leader="none" w:pos="880" w:val="left"/>
        </w:tabs>
        <w:numPr>
          <w:ilvl w:val="0"/>
          <w:numId w:val="1"/>
        </w:numPr>
        <w:rPr>
          <w:rFonts w:ascii="MS PGothic" w:cs="MS PGothic" w:eastAsia="MS PGothic" w:hAnsi="MS PGothic"/>
          <w:sz w:val="25"/>
          <w:szCs w:val="25"/>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3" w:lineRule="exact"/>
        <w:rPr>
          <w:sz w:val="24"/>
          <w:szCs w:val="24"/>
          <w:color w:val="auto"/>
        </w:rPr>
      </w:pPr>
    </w:p>
    <w:p>
      <w:pPr>
        <w:ind w:left="880" w:hanging="856"/>
        <w:spacing w:after="0"/>
        <w:tabs>
          <w:tab w:leader="none" w:pos="880" w:val="left"/>
        </w:tabs>
        <w:numPr>
          <w:ilvl w:val="0"/>
          <w:numId w:val="2"/>
        </w:numPr>
        <w:rPr>
          <w:rFonts w:ascii="MS PGothic" w:cs="MS PGothic" w:eastAsia="MS PGothic" w:hAnsi="MS PGothic"/>
          <w:sz w:val="25"/>
          <w:szCs w:val="25"/>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40" w:lineRule="exact"/>
        <w:rPr>
          <w:sz w:val="24"/>
          <w:szCs w:val="24"/>
          <w:color w:val="auto"/>
        </w:rPr>
      </w:pPr>
    </w:p>
    <w:p>
      <w:pPr>
        <w:ind w:left="880"/>
        <w:spacing w:after="0"/>
        <w:tabs>
          <w:tab w:leader="none" w:pos="37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3234690</wp:posOffset>
            </wp:positionH>
            <wp:positionV relativeFrom="paragraph">
              <wp:posOffset>9525</wp:posOffset>
            </wp:positionV>
            <wp:extent cx="681355" cy="681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355" cy="681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Liberty Global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1225" w:right="339" w:bottom="1440" w:gutter="0" w:footer="0" w:header="0"/>
        </w:sectPr>
      </w:pPr>
    </w:p>
    <w:p>
      <w:pPr>
        <w:spacing w:after="0" w:line="127" w:lineRule="exact"/>
        <w:rPr>
          <w:sz w:val="24"/>
          <w:szCs w:val="24"/>
          <w:color w:val="auto"/>
        </w:rPr>
      </w:pPr>
    </w:p>
    <w:p>
      <w:pPr>
        <w:ind w:left="3260"/>
        <w:spacing w:after="0"/>
        <w:rPr>
          <w:sz w:val="20"/>
          <w:szCs w:val="20"/>
          <w:color w:val="auto"/>
        </w:rPr>
      </w:pPr>
      <w:r>
        <w:rPr>
          <w:rFonts w:ascii="Arial" w:cs="Arial" w:eastAsia="Arial" w:hAnsi="Arial"/>
          <w:sz w:val="12"/>
          <w:szCs w:val="12"/>
          <w:b w:val="1"/>
          <w:bCs w:val="1"/>
          <w:color w:val="auto"/>
        </w:rPr>
        <w:t>England and Wales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35" w:lineRule="exact"/>
        <w:rPr>
          <w:sz w:val="24"/>
          <w:szCs w:val="24"/>
          <w:color w:val="auto"/>
        </w:rPr>
      </w:pPr>
    </w:p>
    <w:p>
      <w:pPr>
        <w:sectPr>
          <w:pgSz w:w="11900" w:h="16838" w:orient="portrait"/>
          <w:cols w:equalWidth="0" w:num="2">
            <w:col w:w="6340" w:space="720"/>
            <w:col w:w="4180"/>
          </w:cols>
          <w:pgMar w:left="320" w:top="1225" w:right="339" w:bottom="1440" w:gutter="0" w:footer="0" w:header="0"/>
          <w:type w:val="continuous"/>
        </w:sectPr>
      </w:pPr>
    </w:p>
    <w:p>
      <w:pPr>
        <w:spacing w:after="0" w:line="12" w:lineRule="exact"/>
        <w:rPr>
          <w:sz w:val="24"/>
          <w:szCs w:val="24"/>
          <w:color w:val="auto"/>
        </w:rPr>
      </w:pPr>
    </w:p>
    <w:p>
      <w:pPr>
        <w:ind w:left="3020"/>
        <w:spacing w:after="0"/>
        <w:rPr>
          <w:sz w:val="20"/>
          <w:szCs w:val="20"/>
          <w:color w:val="auto"/>
        </w:rPr>
      </w:pPr>
      <w:r>
        <w:rPr>
          <w:rFonts w:ascii="Arial" w:cs="Arial" w:eastAsia="Arial" w:hAnsi="Arial"/>
          <w:sz w:val="13"/>
          <w:szCs w:val="13"/>
          <w:i w:val="1"/>
          <w:iCs w:val="1"/>
          <w:color w:val="auto"/>
        </w:rPr>
        <w:t>(State or other jurisdiction of</w:t>
      </w:r>
    </w:p>
    <w:p>
      <w:pPr>
        <w:ind w:left="29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40"/>
        <w:spacing w:after="0"/>
        <w:rPr>
          <w:sz w:val="20"/>
          <w:szCs w:val="20"/>
          <w:color w:val="auto"/>
        </w:rPr>
      </w:pPr>
      <w:r>
        <w:rPr>
          <w:rFonts w:ascii="Arial" w:cs="Arial" w:eastAsia="Arial" w:hAnsi="Arial"/>
          <w:sz w:val="14"/>
          <w:szCs w:val="14"/>
          <w:i w:val="1"/>
          <w:iCs w:val="1"/>
          <w:color w:val="auto"/>
        </w:rPr>
        <w:t>(I.R.S. Employer</w:t>
      </w:r>
    </w:p>
    <w:p>
      <w:pPr>
        <w:jc w:val="center"/>
        <w:ind w:right="3340"/>
        <w:spacing w:after="0"/>
        <w:rPr>
          <w:sz w:val="20"/>
          <w:szCs w:val="20"/>
          <w:color w:val="auto"/>
        </w:rPr>
      </w:pPr>
      <w:r>
        <w:rPr>
          <w:rFonts w:ascii="Arial" w:cs="Arial" w:eastAsia="Arial" w:hAnsi="Arial"/>
          <w:sz w:val="13"/>
          <w:szCs w:val="13"/>
          <w:i w:val="1"/>
          <w:iCs w:val="1"/>
          <w:color w:val="auto"/>
        </w:rPr>
        <w:t>Identification No.)</w:t>
      </w:r>
    </w:p>
    <w:p>
      <w:pPr>
        <w:spacing w:after="0" w:line="73" w:lineRule="exact"/>
        <w:rPr>
          <w:sz w:val="24"/>
          <w:szCs w:val="24"/>
          <w:color w:val="auto"/>
        </w:rPr>
      </w:pPr>
    </w:p>
    <w:p>
      <w:pPr>
        <w:sectPr>
          <w:pgSz w:w="11900" w:h="16838" w:orient="portrait"/>
          <w:cols w:equalWidth="0" w:num="2">
            <w:col w:w="6140" w:space="720"/>
            <w:col w:w="4380"/>
          </w:cols>
          <w:pgMar w:left="320" w:top="1225" w:right="339" w:bottom="1440" w:gutter="0" w:footer="0" w:header="0"/>
          <w:type w:val="continuous"/>
        </w:sectPr>
      </w:pPr>
    </w:p>
    <w:p>
      <w:pPr>
        <w:jc w:val="center"/>
        <w:ind w:left="1340"/>
        <w:spacing w:after="0"/>
        <w:rPr>
          <w:sz w:val="20"/>
          <w:szCs w:val="20"/>
          <w:color w:val="auto"/>
        </w:rPr>
      </w:pPr>
      <w:r>
        <w:rPr>
          <w:rFonts w:ascii="Arial" w:cs="Arial" w:eastAsia="Arial" w:hAnsi="Arial"/>
          <w:sz w:val="14"/>
          <w:szCs w:val="14"/>
          <w:b w:val="1"/>
          <w:bCs w:val="1"/>
          <w:color w:val="auto"/>
        </w:rPr>
        <w:t>Griffin House</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161 Hammersmith Rd</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London</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United Kingdom</w:t>
      </w:r>
    </w:p>
    <w:p>
      <w:pPr>
        <w:spacing w:after="0" w:line="29" w:lineRule="exact"/>
        <w:rPr>
          <w:sz w:val="24"/>
          <w:szCs w:val="24"/>
          <w:color w:val="auto"/>
        </w:rPr>
      </w:pPr>
    </w:p>
    <w:p>
      <w:pPr>
        <w:jc w:val="center"/>
        <w:ind w:left="134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7" w:lineRule="exact"/>
        <w:rPr>
          <w:sz w:val="24"/>
          <w:szCs w:val="24"/>
          <w:color w:val="auto"/>
        </w:rPr>
      </w:pPr>
    </w:p>
    <w:p>
      <w:pPr>
        <w:jc w:val="center"/>
        <w:ind w:right="3540"/>
        <w:spacing w:after="0"/>
        <w:rPr>
          <w:sz w:val="20"/>
          <w:szCs w:val="20"/>
          <w:color w:val="auto"/>
        </w:rPr>
      </w:pPr>
      <w:r>
        <w:rPr>
          <w:rFonts w:ascii="Arial" w:cs="Arial" w:eastAsia="Arial" w:hAnsi="Arial"/>
          <w:sz w:val="14"/>
          <w:szCs w:val="14"/>
          <w:b w:val="1"/>
          <w:bCs w:val="1"/>
          <w:color w:val="auto"/>
        </w:rPr>
        <w:t>W6 8BS</w:t>
      </w:r>
    </w:p>
    <w:p>
      <w:pPr>
        <w:spacing w:after="0" w:line="29" w:lineRule="exact"/>
        <w:rPr>
          <w:sz w:val="24"/>
          <w:szCs w:val="24"/>
          <w:color w:val="auto"/>
        </w:rPr>
      </w:pPr>
    </w:p>
    <w:p>
      <w:pPr>
        <w:jc w:val="center"/>
        <w:ind w:right="3540"/>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4"/>
          <w:szCs w:val="24"/>
          <w:color w:val="auto"/>
        </w:rPr>
      </w:pPr>
    </w:p>
    <w:p>
      <w:pPr>
        <w:sectPr>
          <w:pgSz w:w="11900" w:h="16838" w:orient="portrait"/>
          <w:cols w:equalWidth="0" w:num="2">
            <w:col w:w="6360" w:space="720"/>
            <w:col w:w="4160"/>
          </w:cols>
          <w:pgMar w:left="320" w:top="1225" w:right="339" w:bottom="1440" w:gutter="0" w:footer="0" w:header="0"/>
          <w:type w:val="continuous"/>
        </w:sectPr>
      </w:pP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225" w:right="339" w:bottom="1440" w:gutter="0" w:footer="0" w:header="0"/>
          <w:type w:val="continuous"/>
        </w:sectPr>
      </w:pPr>
    </w:p>
    <w:p>
      <w:pPr>
        <w:spacing w:after="0" w:line="166"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8" w:lineRule="exact"/>
        <w:rPr>
          <w:sz w:val="24"/>
          <w:szCs w:val="24"/>
          <w:color w:val="auto"/>
        </w:rPr>
      </w:pPr>
    </w:p>
    <w:p>
      <w:pPr>
        <w:sectPr>
          <w:pgSz w:w="11900" w:h="16838" w:orient="portrait"/>
          <w:cols w:equalWidth="0" w:num="3">
            <w:col w:w="3900" w:space="720"/>
            <w:col w:w="1540" w:space="720"/>
            <w:col w:w="4360"/>
          </w:cols>
          <w:pgMar w:left="320" w:top="1225"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spacing w:after="0" w:line="67" w:lineRule="exact"/>
        <w:rPr>
          <w:sz w:val="24"/>
          <w:szCs w:val="24"/>
          <w:color w:val="auto"/>
        </w:rPr>
      </w:pPr>
    </w:p>
    <w:p>
      <w:pPr>
        <w:ind w:right="160"/>
        <w:spacing w:after="0" w:line="28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2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ind w:right="600"/>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20"/>
        <w:spacing w:after="0" w:line="32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3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356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44" w:lineRule="exact"/>
        <w:rPr>
          <w:sz w:val="24"/>
          <w:szCs w:val="24"/>
          <w:color w:val="auto"/>
        </w:rPr>
      </w:pPr>
    </w:p>
    <w:p>
      <w:pPr>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line="267" w:lineRule="auto"/>
        <w:rPr>
          <w:sz w:val="20"/>
          <w:szCs w:val="20"/>
          <w:color w:val="auto"/>
        </w:rPr>
      </w:pPr>
      <w:r>
        <w:rPr>
          <w:rFonts w:ascii="Arial" w:cs="Arial" w:eastAsia="Arial" w:hAnsi="Arial"/>
          <w:sz w:val="16"/>
          <w:szCs w:val="16"/>
          <w:color w:val="auto"/>
        </w:rPr>
        <w:t>The number of outstanding ordinary shares of Liberty Global plc as of April 29, 2022 was: 175,141,206 class A ordinary shares, 12,994,000 class B ordinary shares and 316,682,119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768350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83185</wp:posOffset>
            </wp:positionV>
            <wp:extent cx="700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1714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57785</wp:posOffset>
            </wp:positionV>
            <wp:extent cx="700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type w:val="continuous"/>
        </w:sectPr>
      </w:pPr>
    </w:p>
    <w:bookmarkStart w:id="1" w:name="page2"/>
    <w:bookmarkEnd w:id="1"/>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6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ITEM 1.</w:t>
            </w:r>
          </w:p>
        </w:tc>
        <w:tc>
          <w:tcPr>
            <w:tcW w:w="940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9400" w:type="dxa"/>
            <w:vAlign w:val="bottom"/>
            <w:gridSpan w:val="15"/>
          </w:tcPr>
          <w:p>
            <w:pPr>
              <w:spacing w:after="0" w:line="187" w:lineRule="exact"/>
              <w:rPr>
                <w:rFonts w:ascii="Arial" w:cs="Arial" w:eastAsia="Arial" w:hAnsi="Arial"/>
                <w:sz w:val="18"/>
                <w:szCs w:val="18"/>
                <w:color w:val="0000FF"/>
              </w:rPr>
            </w:pPr>
            <w:hyperlink w:anchor="page2">
              <w:r>
                <w:rPr>
                  <w:rFonts w:ascii="Arial" w:cs="Arial" w:eastAsia="Arial" w:hAnsi="Arial"/>
                  <w:sz w:val="18"/>
                  <w:szCs w:val="18"/>
                  <w:color w:val="0000FF"/>
                </w:rPr>
                <w:t>Condensed Consolidated Balance Sheets as of March 31, 2022 and December 31, 2021 (unaudited)</w:t>
              </w:r>
            </w:hyperlink>
          </w:p>
        </w:tc>
        <w:tc>
          <w:tcPr>
            <w:tcW w:w="420" w:type="dxa"/>
            <w:vAlign w:val="bottom"/>
            <w:gridSpan w:val="2"/>
          </w:tcPr>
          <w:p>
            <w:pPr>
              <w:jc w:val="center"/>
              <w:ind w:left="255"/>
              <w:spacing w:after="0" w:line="187"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5"/>
          </w:tcPr>
          <w:p>
            <w:pPr>
              <w:spacing w:after="0" w:line="205"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Operations for the Three Months Ended March 31, 2022 and 2021 (unaudited)</w:t>
              </w:r>
            </w:hyperlink>
          </w:p>
        </w:tc>
        <w:tc>
          <w:tcPr>
            <w:tcW w:w="420" w:type="dxa"/>
            <w:vAlign w:val="bottom"/>
            <w:gridSpan w:val="2"/>
          </w:tcPr>
          <w:p>
            <w:pPr>
              <w:jc w:val="center"/>
              <w:ind w:left="255"/>
              <w:spacing w:after="0" w:line="205"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5"/>
          </w:tcPr>
          <w:p>
            <w:pPr>
              <w:spacing w:after="0" w:line="205" w:lineRule="exact"/>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Comprehensive Earnings (Loss) for the Three Months Ended March 31, 2022 and 2021</w:t>
              </w:r>
            </w:hyperlink>
          </w:p>
        </w:tc>
        <w:tc>
          <w:tcPr>
            <w:tcW w:w="420" w:type="dxa"/>
            <w:vAlign w:val="bottom"/>
            <w:gridSpan w:val="2"/>
            <w:vMerge w:val="restart"/>
          </w:tcPr>
          <w:p>
            <w:pPr>
              <w:jc w:val="center"/>
              <w:ind w:left="255"/>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84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w:anchor="page5">
              <w:r>
                <w:rPr>
                  <w:rFonts w:ascii="Arial" w:cs="Arial" w:eastAsia="Arial" w:hAnsi="Arial"/>
                  <w:sz w:val="17"/>
                  <w:szCs w:val="17"/>
                  <w:color w:val="0000FF"/>
                </w:rPr>
                <w:t>(unaudited)</w:t>
              </w:r>
            </w:hyperlink>
          </w:p>
        </w:tc>
        <w:tc>
          <w:tcPr>
            <w:tcW w:w="42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5"/>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Equity for the Three Months Ended March 31, 2022 and 2021 (unaudited)</w:t>
              </w:r>
            </w:hyperlink>
          </w:p>
        </w:tc>
        <w:tc>
          <w:tcPr>
            <w:tcW w:w="420" w:type="dxa"/>
            <w:vAlign w:val="bottom"/>
            <w:gridSpan w:val="2"/>
          </w:tcPr>
          <w:p>
            <w:pPr>
              <w:jc w:val="center"/>
              <w:ind w:left="255"/>
              <w:spacing w:after="0" w:line="205"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5"/>
          </w:tcPr>
          <w:p>
            <w:pPr>
              <w:spacing w:after="0" w:line="205" w:lineRule="exact"/>
              <w:rPr>
                <w:rFonts w:ascii="Arial" w:cs="Arial" w:eastAsia="Arial" w:hAnsi="Arial"/>
                <w:sz w:val="18"/>
                <w:szCs w:val="18"/>
                <w:color w:val="0000FF"/>
                <w:w w:val="98"/>
              </w:rPr>
            </w:pPr>
            <w:hyperlink w:anchor="page8">
              <w:r>
                <w:rPr>
                  <w:rFonts w:ascii="Arial" w:cs="Arial" w:eastAsia="Arial" w:hAnsi="Arial"/>
                  <w:sz w:val="18"/>
                  <w:szCs w:val="18"/>
                  <w:color w:val="0000FF"/>
                  <w:w w:val="98"/>
                </w:rPr>
                <w:t>Condensed Consolidated Statements of Cash Flows for the Three Months Ended March 31, 2022 and 2021 (unaudited)</w:t>
              </w:r>
            </w:hyperlink>
          </w:p>
        </w:tc>
        <w:tc>
          <w:tcPr>
            <w:tcW w:w="420" w:type="dxa"/>
            <w:vAlign w:val="bottom"/>
            <w:gridSpan w:val="2"/>
          </w:tcPr>
          <w:p>
            <w:pPr>
              <w:jc w:val="center"/>
              <w:ind w:left="255"/>
              <w:spacing w:after="0" w:line="205"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8400" w:type="dxa"/>
            <w:vAlign w:val="bottom"/>
            <w:gridSpan w:val="12"/>
          </w:tcPr>
          <w:p>
            <w:pPr>
              <w:spacing w:after="0" w:line="205" w:lineRule="exact"/>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 (unaudited)</w:t>
              </w:r>
            </w:hyperlink>
          </w:p>
        </w:tc>
        <w:tc>
          <w:tcPr>
            <w:tcW w:w="1000" w:type="dxa"/>
            <w:vAlign w:val="bottom"/>
            <w:gridSpan w:val="3"/>
          </w:tcPr>
          <w:p>
            <w:pPr>
              <w:spacing w:after="0"/>
              <w:rPr>
                <w:sz w:val="17"/>
                <w:szCs w:val="17"/>
                <w:color w:val="auto"/>
              </w:rPr>
            </w:pPr>
          </w:p>
        </w:tc>
        <w:tc>
          <w:tcPr>
            <w:tcW w:w="760" w:type="dxa"/>
            <w:vAlign w:val="bottom"/>
            <w:gridSpan w:val="3"/>
          </w:tcPr>
          <w:p>
            <w:pPr>
              <w:jc w:val="center"/>
              <w:ind w:right="20"/>
              <w:spacing w:after="0" w:line="205" w:lineRule="exact"/>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8740" w:type="dxa"/>
            <w:vAlign w:val="bottom"/>
            <w:gridSpan w:val="13"/>
          </w:tcPr>
          <w:p>
            <w:pPr>
              <w:spacing w:after="0" w:line="205"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MANAGEMENT’S DISCUSSION AND ANALYSIS OF FINANCIAL CONDITION AND RESULTS OF OPERATIONS</w:t>
              </w:r>
            </w:hyperlink>
          </w:p>
        </w:tc>
        <w:tc>
          <w:tcPr>
            <w:tcW w:w="6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rFonts w:ascii="Arial" w:cs="Arial" w:eastAsia="Arial" w:hAnsi="Arial"/>
                <w:sz w:val="15"/>
                <w:szCs w:val="15"/>
                <w:color w:val="0000FF"/>
                <w:w w:val="71"/>
              </w:rPr>
            </w:pPr>
            <w:hyperlink w:anchor="page48">
              <w:r>
                <w:rPr>
                  <w:rFonts w:ascii="Arial" w:cs="Arial" w:eastAsia="Arial" w:hAnsi="Arial"/>
                  <w:sz w:val="15"/>
                  <w:szCs w:val="15"/>
                  <w:color w:val="0000FF"/>
                  <w:w w:val="71"/>
                </w:rPr>
                <w:t>47</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3.</w:t>
            </w:r>
          </w:p>
        </w:tc>
        <w:tc>
          <w:tcPr>
            <w:tcW w:w="6020" w:type="dxa"/>
            <w:vAlign w:val="bottom"/>
            <w:gridSpan w:val="8"/>
          </w:tcPr>
          <w:p>
            <w:pPr>
              <w:spacing w:after="0" w:line="205" w:lineRule="exact"/>
              <w:rPr>
                <w:rFonts w:ascii="Arial" w:cs="Arial" w:eastAsia="Arial" w:hAnsi="Arial"/>
                <w:sz w:val="18"/>
                <w:szCs w:val="18"/>
                <w:color w:val="0000FF"/>
                <w:w w:val="96"/>
              </w:rPr>
            </w:pPr>
            <w:hyperlink w:anchor="page73">
              <w:r>
                <w:rPr>
                  <w:rFonts w:ascii="Arial" w:cs="Arial" w:eastAsia="Arial" w:hAnsi="Arial"/>
                  <w:sz w:val="18"/>
                  <w:szCs w:val="18"/>
                  <w:color w:val="0000FF"/>
                  <w:w w:val="96"/>
                </w:rPr>
                <w:t>QUANTITATIVE AND QUALITATIVE DISCLOSURES ABOUT MARKET RISK</w:t>
              </w:r>
            </w:hyperlink>
          </w:p>
        </w:tc>
        <w:tc>
          <w:tcPr>
            <w:tcW w:w="272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rFonts w:ascii="Arial" w:cs="Arial" w:eastAsia="Arial" w:hAnsi="Arial"/>
                <w:sz w:val="15"/>
                <w:szCs w:val="15"/>
                <w:color w:val="0000FF"/>
                <w:w w:val="71"/>
              </w:rPr>
            </w:pPr>
            <w:hyperlink w:anchor="page73">
              <w:r>
                <w:rPr>
                  <w:rFonts w:ascii="Arial" w:cs="Arial" w:eastAsia="Arial" w:hAnsi="Arial"/>
                  <w:sz w:val="15"/>
                  <w:szCs w:val="15"/>
                  <w:color w:val="0000FF"/>
                  <w:w w:val="71"/>
                </w:rPr>
                <w:t>72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4.</w:t>
            </w:r>
          </w:p>
        </w:tc>
        <w:tc>
          <w:tcPr>
            <w:tcW w:w="6020" w:type="dxa"/>
            <w:vAlign w:val="bottom"/>
            <w:gridSpan w:val="8"/>
          </w:tcPr>
          <w:p>
            <w:pPr>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CONTROLS AND PROCEDURES</w:t>
              </w:r>
            </w:hyperlink>
          </w:p>
        </w:tc>
        <w:tc>
          <w:tcPr>
            <w:tcW w:w="338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rFonts w:ascii="Arial" w:cs="Arial" w:eastAsia="Arial" w:hAnsi="Arial"/>
                <w:sz w:val="15"/>
                <w:szCs w:val="15"/>
                <w:color w:val="0000FF"/>
                <w:w w:val="71"/>
              </w:rPr>
            </w:pPr>
            <w:hyperlink w:anchor="page77">
              <w:r>
                <w:rPr>
                  <w:rFonts w:ascii="Arial" w:cs="Arial" w:eastAsia="Arial" w:hAnsi="Arial"/>
                  <w:sz w:val="15"/>
                  <w:szCs w:val="15"/>
                  <w:color w:val="0000FF"/>
                  <w:w w:val="71"/>
                </w:rPr>
                <w:t>75</w:t>
              </w:r>
            </w:hyperlink>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86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86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rPr>
              <w:t>PART II — OTHER INFORMATION</w:t>
            </w:r>
          </w:p>
        </w:tc>
        <w:tc>
          <w:tcPr>
            <w:tcW w:w="3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80" w:type="dxa"/>
            <w:vAlign w:val="bottom"/>
          </w:tcPr>
          <w:p>
            <w:pPr>
              <w:ind w:left="20"/>
              <w:spacing w:after="0" w:line="187" w:lineRule="exact"/>
              <w:rPr>
                <w:sz w:val="20"/>
                <w:szCs w:val="20"/>
                <w:color w:val="auto"/>
              </w:rPr>
            </w:pPr>
            <w:r>
              <w:rPr>
                <w:rFonts w:ascii="Arial" w:cs="Arial" w:eastAsia="Arial" w:hAnsi="Arial"/>
                <w:sz w:val="18"/>
                <w:szCs w:val="18"/>
                <w:color w:val="auto"/>
              </w:rPr>
              <w:t>ITEM 1.</w:t>
            </w:r>
          </w:p>
        </w:tc>
        <w:tc>
          <w:tcPr>
            <w:tcW w:w="9400" w:type="dxa"/>
            <w:vAlign w:val="bottom"/>
            <w:gridSpan w:val="15"/>
          </w:tcPr>
          <w:p>
            <w:pPr>
              <w:spacing w:after="0" w:line="187" w:lineRule="exact"/>
              <w:rPr>
                <w:rFonts w:ascii="Arial" w:cs="Arial" w:eastAsia="Arial" w:hAnsi="Arial"/>
                <w:sz w:val="18"/>
                <w:szCs w:val="18"/>
                <w:color w:val="0000FF"/>
              </w:rPr>
            </w:pPr>
            <w:hyperlink w:anchor="page78">
              <w:r>
                <w:rPr>
                  <w:rFonts w:ascii="Arial" w:cs="Arial" w:eastAsia="Arial" w:hAnsi="Arial"/>
                  <w:sz w:val="18"/>
                  <w:szCs w:val="18"/>
                  <w:color w:val="0000FF"/>
                </w:rPr>
                <w:t>LEGAL PROCEEDINGS</w:t>
              </w:r>
            </w:hyperlink>
          </w:p>
        </w:tc>
        <w:tc>
          <w:tcPr>
            <w:tcW w:w="760" w:type="dxa"/>
            <w:vAlign w:val="bottom"/>
            <w:gridSpan w:val="3"/>
          </w:tcPr>
          <w:p>
            <w:pPr>
              <w:jc w:val="center"/>
              <w:ind w:right="20"/>
              <w:spacing w:after="0" w:line="187"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9400" w:type="dxa"/>
            <w:vAlign w:val="bottom"/>
            <w:gridSpan w:val="15"/>
          </w:tcPr>
          <w:p>
            <w:pPr>
              <w:spacing w:after="0" w:line="205" w:lineRule="exact"/>
              <w:rPr>
                <w:rFonts w:ascii="Arial" w:cs="Arial" w:eastAsia="Arial" w:hAnsi="Arial"/>
                <w:sz w:val="18"/>
                <w:szCs w:val="18"/>
                <w:color w:val="0000FF"/>
              </w:rPr>
            </w:pPr>
            <w:hyperlink w:anchor="page78">
              <w:r>
                <w:rPr>
                  <w:rFonts w:ascii="Arial" w:cs="Arial" w:eastAsia="Arial" w:hAnsi="Arial"/>
                  <w:sz w:val="18"/>
                  <w:szCs w:val="18"/>
                  <w:color w:val="0000FF"/>
                </w:rPr>
                <w:t>UNREGISTERED SALES OF EQUITY SECURITIES AND USE OF PROCEEDS</w:t>
              </w:r>
            </w:hyperlink>
          </w:p>
        </w:tc>
        <w:tc>
          <w:tcPr>
            <w:tcW w:w="760" w:type="dxa"/>
            <w:vAlign w:val="bottom"/>
            <w:gridSpan w:val="3"/>
          </w:tcPr>
          <w:p>
            <w:pPr>
              <w:jc w:val="center"/>
              <w:ind w:right="20"/>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6.</w:t>
            </w:r>
          </w:p>
        </w:tc>
        <w:tc>
          <w:tcPr>
            <w:tcW w:w="5940" w:type="dxa"/>
            <w:vAlign w:val="bottom"/>
            <w:gridSpan w:val="7"/>
          </w:tcPr>
          <w:p>
            <w:pPr>
              <w:spacing w:after="0" w:line="205" w:lineRule="exact"/>
              <w:rPr>
                <w:rFonts w:ascii="Arial" w:cs="Arial" w:eastAsia="Arial" w:hAnsi="Arial"/>
                <w:sz w:val="18"/>
                <w:szCs w:val="18"/>
                <w:color w:val="0000FF"/>
              </w:rPr>
            </w:pPr>
            <w:hyperlink w:anchor="page78">
              <w:r>
                <w:rPr>
                  <w:rFonts w:ascii="Arial" w:cs="Arial" w:eastAsia="Arial" w:hAnsi="Arial"/>
                  <w:sz w:val="18"/>
                  <w:szCs w:val="18"/>
                  <w:color w:val="0000FF"/>
                </w:rPr>
                <w:t>EXHIBITS</w:t>
              </w:r>
            </w:hyperlink>
          </w:p>
        </w:tc>
        <w:tc>
          <w:tcPr>
            <w:tcW w:w="346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rFonts w:ascii="Arial" w:cs="Arial" w:eastAsia="Arial" w:hAnsi="Arial"/>
                <w:sz w:val="15"/>
                <w:szCs w:val="15"/>
                <w:color w:val="0000FF"/>
                <w:w w:val="71"/>
              </w:rPr>
            </w:pPr>
            <w:hyperlink w:anchor="page78">
              <w:r>
                <w:rPr>
                  <w:rFonts w:ascii="Arial" w:cs="Arial" w:eastAsia="Arial" w:hAnsi="Arial"/>
                  <w:sz w:val="15"/>
                  <w:szCs w:val="15"/>
                  <w:color w:val="0000FF"/>
                  <w:w w:val="71"/>
                </w:rPr>
                <w:t>77</w:t>
              </w:r>
            </w:hyperlink>
          </w:p>
        </w:tc>
        <w:tc>
          <w:tcPr>
            <w:tcW w:w="0" w:type="dxa"/>
            <w:vAlign w:val="bottom"/>
          </w:tcPr>
          <w:p>
            <w:pPr>
              <w:spacing w:after="0"/>
              <w:rPr>
                <w:sz w:val="1"/>
                <w:szCs w:val="1"/>
                <w:color w:val="auto"/>
              </w:rPr>
            </w:pPr>
          </w:p>
        </w:tc>
      </w:tr>
      <w:tr>
        <w:trPr>
          <w:trHeight w:val="1219"/>
        </w:trPr>
        <w:tc>
          <w:tcPr>
            <w:tcW w:w="10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180" w:type="dxa"/>
            <w:vAlign w:val="bottom"/>
          </w:tcPr>
          <w:p>
            <w:pPr>
              <w:jc w:val="right"/>
              <w:ind w:right="11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4"/>
          </w:tcPr>
          <w:p>
            <w:pPr>
              <w:jc w:val="right"/>
              <w:ind w:right="953"/>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4"/>
        </w:trPr>
        <w:tc>
          <w:tcPr>
            <w:tcW w:w="8460" w:type="dxa"/>
            <w:vAlign w:val="bottom"/>
          </w:tcPr>
          <w:p>
            <w:pPr>
              <w:ind w:left="39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2,269.6</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of discontinued operations (note 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 (notes 3, 4, 5 and 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928.0</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5,940.5</w:t>
            </w:r>
          </w:p>
        </w:tc>
        <w:tc>
          <w:tcPr>
            <w:tcW w:w="0" w:type="dxa"/>
            <w:vAlign w:val="bottom"/>
          </w:tcPr>
          <w:p>
            <w:pPr>
              <w:spacing w:after="0"/>
              <w:rPr>
                <w:sz w:val="1"/>
                <w:szCs w:val="1"/>
                <w:color w:val="auto"/>
              </w:rPr>
            </w:pPr>
          </w:p>
        </w:tc>
      </w:tr>
      <w:tr>
        <w:trPr>
          <w:trHeight w:val="173"/>
        </w:trPr>
        <w:tc>
          <w:tcPr>
            <w:tcW w:w="8460" w:type="dxa"/>
            <w:vAlign w:val="bottom"/>
          </w:tcPr>
          <w:p>
            <w:pPr>
              <w:ind w:left="20"/>
              <w:spacing w:after="0" w:line="173" w:lineRule="exact"/>
              <w:rPr>
                <w:sz w:val="20"/>
                <w:szCs w:val="20"/>
                <w:color w:val="auto"/>
              </w:rPr>
            </w:pPr>
            <w:r>
              <w:rPr>
                <w:rFonts w:ascii="Arial" w:cs="Arial" w:eastAsia="Arial" w:hAnsi="Arial"/>
                <w:sz w:val="18"/>
                <w:szCs w:val="18"/>
                <w:color w:val="auto"/>
                <w:w w:val="91"/>
              </w:rPr>
              <w:t>Investments and related notes receivable (including $2,526.6 million and $2,757.8 million, respectively, measured at</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19,160.3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19,703.0</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Arial" w:cs="Arial" w:eastAsia="Arial" w:hAnsi="Arial"/>
                <w:sz w:val="18"/>
                <w:szCs w:val="18"/>
                <w:color w:val="auto"/>
              </w:rPr>
              <w:t>fair value on a recurring basis) (note 5)</w:t>
            </w: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(notes 8 and 10)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6,981.5</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9,523.4</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 net (note 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 (notes 3, 4, 6 and 10)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2,426.1</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46,917.0</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4"/>
        </w:trPr>
        <w:tc>
          <w:tcPr>
            <w:tcW w:w="8460" w:type="dxa"/>
            <w:vAlign w:val="bottom"/>
          </w:tcPr>
          <w:p>
            <w:pPr>
              <w:ind w:left="32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Accrued income taxes (note 11)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6)</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 (note 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and current liabilities (notes 4 and 10)</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1,429.0</w:t>
            </w:r>
          </w:p>
        </w:tc>
        <w:tc>
          <w:tcPr>
            <w:tcW w:w="0" w:type="dxa"/>
            <w:vAlign w:val="bottom"/>
          </w:tcPr>
          <w:p>
            <w:pPr>
              <w:spacing w:after="0"/>
              <w:rPr>
                <w:sz w:val="1"/>
                <w:szCs w:val="1"/>
                <w:color w:val="auto"/>
              </w:rPr>
            </w:pPr>
          </w:p>
        </w:tc>
      </w:tr>
      <w:tr>
        <w:trPr>
          <w:trHeight w:val="218"/>
        </w:trPr>
        <w:tc>
          <w:tcPr>
            <w:tcW w:w="8460" w:type="dxa"/>
            <w:vAlign w:val="bottom"/>
          </w:tcPr>
          <w:p>
            <w:pPr>
              <w:ind w:left="340"/>
              <w:spacing w:after="0" w:line="204"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4,084.8</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(notes 9 and 10)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13,974.8</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Long-term operating lease liabilities (note 10)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(notes 3 and 6)</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18"/>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21,319.0</w:t>
            </w:r>
          </w:p>
        </w:tc>
        <w:tc>
          <w:tcPr>
            <w:tcW w:w="0" w:type="dxa"/>
            <w:vAlign w:val="bottom"/>
          </w:tcPr>
          <w:p>
            <w:pPr>
              <w:spacing w:after="0"/>
              <w:rPr>
                <w:sz w:val="1"/>
                <w:szCs w:val="1"/>
                <w:color w:val="auto"/>
              </w:rPr>
            </w:pPr>
          </w:p>
        </w:tc>
      </w:tr>
      <w:tr>
        <w:trPr>
          <w:trHeight w:val="179"/>
        </w:trPr>
        <w:tc>
          <w:tcPr>
            <w:tcW w:w="8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Commitments and contingencies (notes 6, 9, 10, 11 and 15)</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Equity (note 12):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Liberty Global shareholders: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60" w:type="dxa"/>
            <w:vAlign w:val="bottom"/>
          </w:tcPr>
          <w:p>
            <w:pPr>
              <w:ind w:left="220"/>
              <w:spacing w:after="0" w:line="173" w:lineRule="exact"/>
              <w:rPr>
                <w:sz w:val="20"/>
                <w:szCs w:val="20"/>
                <w:color w:val="auto"/>
              </w:rPr>
            </w:pPr>
            <w:r>
              <w:rPr>
                <w:rFonts w:ascii="Arial" w:cs="Arial" w:eastAsia="Arial" w:hAnsi="Arial"/>
                <w:sz w:val="18"/>
                <w:szCs w:val="18"/>
                <w:color w:val="auto"/>
                <w:w w:val="88"/>
              </w:rPr>
              <w:t>Class A ordinary shares, $0.01 nominal value. Issued and outstanding 175,131,403 shares and 174,310,558 shares,</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84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6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0"/>
              </w:rPr>
              <w:t>Class B ordinary shares, $0.01 nominal value. Issued and outstanding 12,994,000 shares and 12,930,839 shares,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60" w:type="dxa"/>
            <w:vAlign w:val="bottom"/>
          </w:tcPr>
          <w:p>
            <w:pPr>
              <w:ind w:left="220"/>
              <w:spacing w:after="0" w:line="173" w:lineRule="exact"/>
              <w:rPr>
                <w:sz w:val="20"/>
                <w:szCs w:val="20"/>
                <w:color w:val="auto"/>
              </w:rPr>
            </w:pPr>
            <w:r>
              <w:rPr>
                <w:rFonts w:ascii="Arial" w:cs="Arial" w:eastAsia="Arial" w:hAnsi="Arial"/>
                <w:sz w:val="18"/>
                <w:szCs w:val="18"/>
                <w:color w:val="auto"/>
                <w:w w:val="88"/>
              </w:rPr>
              <w:t>Class C ordinary shares, $0.01 nominal value. Issued and outstanding 323,091,916 shares and 340,114,729 shares,</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4"/>
        </w:trPr>
        <w:tc>
          <w:tcPr>
            <w:tcW w:w="84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0" w:type="dxa"/>
            <w:vAlign w:val="bottom"/>
          </w:tcPr>
          <w:p>
            <w:pPr>
              <w:spacing w:after="0"/>
              <w:rPr>
                <w:sz w:val="1"/>
                <w:szCs w:val="1"/>
                <w:color w:val="auto"/>
              </w:rPr>
            </w:pPr>
          </w:p>
        </w:tc>
      </w:tr>
      <w:tr>
        <w:trPr>
          <w:trHeight w:val="225"/>
        </w:trPr>
        <w:tc>
          <w:tcPr>
            <w:tcW w:w="8460" w:type="dxa"/>
            <w:vAlign w:val="bottom"/>
          </w:tcPr>
          <w:p>
            <w:pPr>
              <w:ind w:left="220"/>
              <w:spacing w:after="0"/>
              <w:rPr>
                <w:sz w:val="20"/>
                <w:szCs w:val="20"/>
                <w:color w:val="auto"/>
              </w:rPr>
            </w:pPr>
            <w:r>
              <w:rPr>
                <w:rFonts w:ascii="Arial" w:cs="Arial" w:eastAsia="Arial" w:hAnsi="Arial"/>
                <w:sz w:val="18"/>
                <w:szCs w:val="18"/>
                <w:color w:val="auto"/>
              </w:rPr>
              <w:t>Accumulated earnings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18,144.5</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earnings, net of taxes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shares, at cost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Liberty Global shareholders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25,934.9</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25,598.0</w:t>
            </w:r>
          </w:p>
        </w:tc>
        <w:tc>
          <w:tcPr>
            <w:tcW w:w="0" w:type="dxa"/>
            <w:vAlign w:val="bottom"/>
          </w:tcPr>
          <w:p>
            <w:pPr>
              <w:spacing w:after="0"/>
              <w:rPr>
                <w:sz w:val="1"/>
                <w:szCs w:val="1"/>
                <w:color w:val="auto"/>
              </w:rPr>
            </w:pPr>
          </w:p>
        </w:tc>
      </w:tr>
      <w:tr>
        <w:trPr>
          <w:trHeight w:val="218"/>
        </w:trPr>
        <w:tc>
          <w:tcPr>
            <w:tcW w:w="8460" w:type="dxa"/>
            <w:vAlign w:val="bottom"/>
          </w:tcPr>
          <w:p>
            <w:pPr>
              <w:ind w:left="540"/>
              <w:spacing w:after="0" w:line="204" w:lineRule="exact"/>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45,547.5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46,917.0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87"/>
              </w:rPr>
              <w:t>Three months ended</w:t>
            </w:r>
          </w:p>
        </w:tc>
        <w:tc>
          <w:tcPr>
            <w:tcW w:w="0" w:type="dxa"/>
            <w:vAlign w:val="bottom"/>
          </w:tcPr>
          <w:p>
            <w:pPr>
              <w:spacing w:after="0"/>
              <w:rPr>
                <w:sz w:val="1"/>
                <w:szCs w:val="1"/>
                <w:color w:val="auto"/>
              </w:rPr>
            </w:pPr>
          </w:p>
        </w:tc>
      </w:tr>
      <w:tr>
        <w:trPr>
          <w:trHeight w:val="215"/>
        </w:trPr>
        <w:tc>
          <w:tcPr>
            <w:tcW w:w="8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88"/>
              </w:rPr>
              <w:t>in millions, except per share amounts</w:t>
            </w:r>
          </w:p>
        </w:tc>
        <w:tc>
          <w:tcPr>
            <w:tcW w:w="0" w:type="dxa"/>
            <w:vAlign w:val="bottom"/>
          </w:tcPr>
          <w:p>
            <w:pPr>
              <w:spacing w:after="0"/>
              <w:rPr>
                <w:sz w:val="1"/>
                <w:szCs w:val="1"/>
                <w:color w:val="auto"/>
              </w:rPr>
            </w:pPr>
          </w:p>
        </w:tc>
      </w:tr>
      <w:tr>
        <w:trPr>
          <w:trHeight w:val="163"/>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3, 4, 5 and 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w:t>
            </w:r>
          </w:p>
        </w:tc>
        <w:tc>
          <w:tcPr>
            <w:tcW w:w="0" w:type="dxa"/>
            <w:vAlign w:val="bottom"/>
          </w:tcPr>
          <w:p>
            <w:pPr>
              <w:spacing w:after="0"/>
              <w:rPr>
                <w:sz w:val="1"/>
                <w:szCs w:val="1"/>
                <w:color w:val="auto"/>
              </w:rPr>
            </w:pPr>
          </w:p>
        </w:tc>
      </w:tr>
      <w:tr>
        <w:trPr>
          <w:trHeight w:val="205"/>
        </w:trPr>
        <w:tc>
          <w:tcPr>
            <w:tcW w:w="8460" w:type="dxa"/>
            <w:vAlign w:val="bottom"/>
          </w:tcPr>
          <w:p>
            <w:pPr>
              <w:ind w:left="40"/>
              <w:spacing w:after="0" w:line="204" w:lineRule="exact"/>
              <w:rPr>
                <w:sz w:val="20"/>
                <w:szCs w:val="20"/>
                <w:color w:val="auto"/>
              </w:rPr>
            </w:pPr>
            <w:r>
              <w:rPr>
                <w:rFonts w:ascii="Arial" w:cs="Arial" w:eastAsia="Arial" w:hAnsi="Arial"/>
                <w:sz w:val="18"/>
                <w:szCs w:val="18"/>
                <w:color w:val="auto"/>
              </w:rPr>
              <w:t>Operating costs and expenses (exclusive of depreciation and amortization, shown separately below):</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other direct costs of services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Other operating (note 13)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restructuring and other operating items, net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8"/>
        </w:trPr>
        <w:tc>
          <w:tcPr>
            <w:tcW w:w="8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2,898.7</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05"/>
        </w:trPr>
        <w:tc>
          <w:tcPr>
            <w:tcW w:w="8460" w:type="dxa"/>
            <w:vAlign w:val="bottom"/>
          </w:tcPr>
          <w:p>
            <w:pPr>
              <w:ind w:left="20"/>
              <w:spacing w:after="0" w:line="204" w:lineRule="exact"/>
              <w:rPr>
                <w:sz w:val="20"/>
                <w:szCs w:val="20"/>
                <w:color w:val="auto"/>
              </w:rPr>
            </w:pPr>
            <w:r>
              <w:rPr>
                <w:rFonts w:ascii="Arial" w:cs="Arial" w:eastAsia="Arial" w:hAnsi="Arial"/>
                <w:sz w:val="18"/>
                <w:szCs w:val="18"/>
                <w:color w:val="auto"/>
              </w:rPr>
              <w:t>Non-operating income (expense):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Realized and unrealized gains on derivative instruments, net (note 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811.2</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net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w w:val="93"/>
              </w:rPr>
              <w:t>Realized and unrealized gains (losses) due to changes in fair values of certain investments, net (notes 5 and 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of results of affiliates, net (note 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0" w:type="dxa"/>
            <w:vAlign w:val="bottom"/>
          </w:tcPr>
          <w:p>
            <w:pPr>
              <w:spacing w:after="0"/>
              <w:rPr>
                <w:sz w:val="1"/>
                <w:szCs w:val="1"/>
                <w:color w:val="auto"/>
              </w:rPr>
            </w:pPr>
          </w:p>
        </w:tc>
      </w:tr>
      <w:tr>
        <w:trPr>
          <w:trHeight w:val="218"/>
        </w:trPr>
        <w:tc>
          <w:tcPr>
            <w:tcW w:w="8460" w:type="dxa"/>
            <w:vAlign w:val="bottom"/>
          </w:tcPr>
          <w:p>
            <w:pPr>
              <w:ind w:left="260"/>
              <w:spacing w:after="0"/>
              <w:rPr>
                <w:sz w:val="20"/>
                <w:szCs w:val="20"/>
                <w:color w:val="auto"/>
              </w:rPr>
            </w:pPr>
            <w:r>
              <w:rPr>
                <w:rFonts w:ascii="Arial" w:cs="Arial" w:eastAsia="Arial" w:hAnsi="Arial"/>
                <w:sz w:val="18"/>
                <w:szCs w:val="18"/>
                <w:color w:val="auto"/>
              </w:rPr>
              <w:t>Earnings from continuing operations before income taxes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1,587.9</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(note 11)</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8"/>
        </w:trPr>
        <w:tc>
          <w:tcPr>
            <w:tcW w:w="8460" w:type="dxa"/>
            <w:vAlign w:val="bottom"/>
          </w:tcPr>
          <w:p>
            <w:pPr>
              <w:ind w:left="260"/>
              <w:spacing w:after="0"/>
              <w:rPr>
                <w:sz w:val="20"/>
                <w:szCs w:val="20"/>
                <w:color w:val="auto"/>
              </w:rPr>
            </w:pPr>
            <w:r>
              <w:rPr>
                <w:rFonts w:ascii="Arial" w:cs="Arial" w:eastAsia="Arial" w:hAnsi="Arial"/>
                <w:sz w:val="18"/>
                <w:szCs w:val="18"/>
                <w:color w:val="auto"/>
              </w:rPr>
              <w:t>Earnings from continuing operations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taxes (note 4)</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8"/>
        </w:trPr>
        <w:tc>
          <w:tcPr>
            <w:tcW w:w="8460" w:type="dxa"/>
            <w:vAlign w:val="bottom"/>
          </w:tcPr>
          <w:p>
            <w:pPr>
              <w:ind w:left="26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9"/>
        </w:trPr>
        <w:tc>
          <w:tcPr>
            <w:tcW w:w="8460" w:type="dxa"/>
            <w:vAlign w:val="bottom"/>
          </w:tcPr>
          <w:p>
            <w:pPr>
              <w:ind w:left="260"/>
              <w:spacing w:after="0"/>
              <w:rPr>
                <w:sz w:val="20"/>
                <w:szCs w:val="20"/>
                <w:color w:val="auto"/>
              </w:rPr>
            </w:pPr>
            <w:r>
              <w:rPr>
                <w:rFonts w:ascii="Arial" w:cs="Arial" w:eastAsia="Arial" w:hAnsi="Arial"/>
                <w:sz w:val="18"/>
                <w:szCs w:val="18"/>
                <w:color w:val="auto"/>
              </w:rPr>
              <w:t>Net earnings attributable to Liberty Global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Basic earnings attributable to Liberty Global shareholders per share (note 14):</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attributable to Liberty Global shareholders per share (note 14):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center"/>
              <w:ind w:right="212"/>
              <w:spacing w:after="0"/>
              <w:rPr>
                <w:sz w:val="20"/>
                <w:szCs w:val="20"/>
                <w:color w:val="auto"/>
              </w:rPr>
            </w:pPr>
            <w:r>
              <w:rPr>
                <w:rFonts w:ascii="Arial" w:cs="Arial" w:eastAsia="Arial" w:hAnsi="Arial"/>
                <w:sz w:val="16"/>
                <w:szCs w:val="16"/>
                <w:b w:val="1"/>
                <w:bCs w:val="1"/>
                <w:color w:val="auto"/>
                <w:w w:val="88"/>
              </w:rPr>
              <w:t>Three months ended</w:t>
            </w:r>
          </w:p>
        </w:tc>
      </w:tr>
      <w:tr>
        <w:trPr>
          <w:trHeight w:val="214"/>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6"/>
                <w:szCs w:val="16"/>
                <w:b w:val="1"/>
                <w:bCs w:val="1"/>
                <w:color w:val="auto"/>
                <w:w w:val="92"/>
              </w:rPr>
              <w:t>March 31,</w:t>
            </w:r>
          </w:p>
        </w:tc>
        <w:tc>
          <w:tcPr>
            <w:tcW w:w="920" w:type="dxa"/>
            <w:vAlign w:val="bottom"/>
            <w:tcBorders>
              <w:bottom w:val="single" w:sz="8" w:color="auto"/>
            </w:tcBorders>
          </w:tcPr>
          <w:p>
            <w:pPr>
              <w:spacing w:after="0"/>
              <w:rPr>
                <w:sz w:val="18"/>
                <w:szCs w:val="18"/>
                <w:color w:val="auto"/>
              </w:rPr>
            </w:pPr>
          </w:p>
        </w:tc>
      </w:tr>
      <w:tr>
        <w:trPr>
          <w:trHeight w:val="206"/>
        </w:trPr>
        <w:tc>
          <w:tcPr>
            <w:tcW w:w="8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03"/>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534"/>
              <w:spacing w:after="0"/>
              <w:rPr>
                <w:sz w:val="20"/>
                <w:szCs w:val="20"/>
                <w:color w:val="auto"/>
              </w:rPr>
            </w:pPr>
            <w:r>
              <w:rPr>
                <w:rFonts w:ascii="Arial" w:cs="Arial" w:eastAsia="Arial" w:hAnsi="Arial"/>
                <w:sz w:val="16"/>
                <w:szCs w:val="16"/>
                <w:b w:val="1"/>
                <w:bCs w:val="1"/>
                <w:color w:val="auto"/>
                <w:w w:val="90"/>
              </w:rPr>
              <w:t>in millions</w:t>
            </w:r>
          </w:p>
        </w:tc>
        <w:tc>
          <w:tcPr>
            <w:tcW w:w="920" w:type="dxa"/>
            <w:vAlign w:val="bottom"/>
          </w:tcPr>
          <w:p>
            <w:pPr>
              <w:spacing w:after="0"/>
              <w:rPr>
                <w:sz w:val="17"/>
                <w:szCs w:val="17"/>
                <w:color w:val="auto"/>
              </w:rPr>
            </w:pPr>
          </w:p>
        </w:tc>
      </w:tr>
      <w:tr>
        <w:trPr>
          <w:trHeight w:val="216"/>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w:t>
            </w:r>
          </w:p>
        </w:tc>
      </w:tr>
      <w:tr>
        <w:trPr>
          <w:trHeight w:val="205"/>
        </w:trPr>
        <w:tc>
          <w:tcPr>
            <w:tcW w:w="848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loss, net of taxes: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6"/>
        </w:trPr>
        <w:tc>
          <w:tcPr>
            <w:tcW w:w="8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4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(951.6)</w:t>
            </w:r>
          </w:p>
        </w:tc>
      </w:tr>
      <w:tr>
        <w:trPr>
          <w:trHeight w:val="22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 included in net earnings (note 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5"/>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Pension-related adjustments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from continuing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w:t>
            </w:r>
          </w:p>
        </w:tc>
      </w:tr>
      <w:tr>
        <w:trPr>
          <w:trHeight w:val="225"/>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from discontinued operations (note 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19"/>
        </w:trPr>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w:t>
            </w:r>
          </w:p>
        </w:tc>
      </w:tr>
      <w:tr>
        <w:trPr>
          <w:trHeight w:val="218"/>
        </w:trPr>
        <w:tc>
          <w:tcPr>
            <w:tcW w:w="8480" w:type="dxa"/>
            <w:vAlign w:val="bottom"/>
          </w:tcPr>
          <w:p>
            <w:pPr>
              <w:ind w:left="580"/>
              <w:spacing w:after="0"/>
              <w:rPr>
                <w:sz w:val="20"/>
                <w:szCs w:val="20"/>
                <w:color w:val="auto"/>
              </w:rPr>
            </w:pPr>
            <w:r>
              <w:rPr>
                <w:rFonts w:ascii="Arial" w:cs="Arial" w:eastAsia="Arial" w:hAnsi="Arial"/>
                <w:sz w:val="18"/>
                <w:szCs w:val="18"/>
                <w:color w:val="auto"/>
              </w:rPr>
              <w:t>Comprehensive earnings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443.5</w:t>
            </w:r>
          </w:p>
        </w:tc>
      </w:tr>
      <w:tr>
        <w:trPr>
          <w:trHeight w:val="225"/>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19"/>
        </w:trPr>
        <w:tc>
          <w:tcPr>
            <w:tcW w:w="8480" w:type="dxa"/>
            <w:vAlign w:val="bottom"/>
          </w:tcPr>
          <w:p>
            <w:pPr>
              <w:ind w:left="500"/>
              <w:spacing w:after="0"/>
              <w:rPr>
                <w:sz w:val="20"/>
                <w:szCs w:val="20"/>
                <w:color w:val="auto"/>
              </w:rPr>
            </w:pPr>
            <w:r>
              <w:rPr>
                <w:rFonts w:ascii="Arial" w:cs="Arial" w:eastAsia="Arial" w:hAnsi="Arial"/>
                <w:sz w:val="18"/>
                <w:szCs w:val="18"/>
                <w:color w:val="auto"/>
              </w:rPr>
              <w:t>Comprehensive earnings (loss) attributable to Liberty Global shareholders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36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6"/>
            <w:vMerge w:val="restart"/>
          </w:tcPr>
          <w:p>
            <w:pPr>
              <w:jc w:val="center"/>
              <w:ind w:left="93"/>
              <w:spacing w:after="0"/>
              <w:rPr>
                <w:sz w:val="20"/>
                <w:szCs w:val="20"/>
                <w:color w:val="auto"/>
              </w:rPr>
            </w:pPr>
            <w:r>
              <w:rPr>
                <w:rFonts w:ascii="Arial" w:cs="Arial" w:eastAsia="Arial" w:hAnsi="Arial"/>
                <w:sz w:val="16"/>
                <w:szCs w:val="16"/>
                <w:b w:val="1"/>
                <w:bCs w:val="1"/>
                <w:color w:val="auto"/>
                <w:w w:val="91"/>
              </w:rPr>
              <w:t>Ordinary shares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39" w:lineRule="exact"/>
              <w:rPr>
                <w:sz w:val="20"/>
                <w:szCs w:val="20"/>
                <w:color w:val="auto"/>
              </w:rPr>
            </w:pPr>
            <w:r>
              <w:rPr>
                <w:rFonts w:ascii="Arial" w:cs="Arial" w:eastAsia="Arial" w:hAnsi="Arial"/>
                <w:sz w:val="16"/>
                <w:szCs w:val="16"/>
                <w:b w:val="1"/>
                <w:bCs w:val="1"/>
                <w:color w:val="auto"/>
                <w:w w:val="91"/>
              </w:rPr>
              <w:t>paid-in</w:t>
            </w:r>
          </w:p>
        </w:tc>
        <w:tc>
          <w:tcPr>
            <w:tcW w:w="940" w:type="dxa"/>
            <w:vAlign w:val="bottom"/>
            <w:gridSpan w:val="2"/>
          </w:tcPr>
          <w:p>
            <w:pPr>
              <w:ind w:left="20"/>
              <w:spacing w:after="0" w:line="139" w:lineRule="exact"/>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2"/>
                <w:szCs w:val="12"/>
                <w:color w:val="auto"/>
              </w:rPr>
            </w:pP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net</w:t>
            </w:r>
          </w:p>
        </w:tc>
        <w:tc>
          <w:tcPr>
            <w:tcW w:w="760" w:type="dxa"/>
            <w:vAlign w:val="bottom"/>
            <w:gridSpan w:val="3"/>
          </w:tcPr>
          <w:p>
            <w:pPr>
              <w:ind w:left="100"/>
              <w:spacing w:after="0" w:line="13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840" w:type="dxa"/>
            <w:vAlign w:val="bottom"/>
          </w:tcPr>
          <w:p>
            <w:pPr>
              <w:jc w:val="right"/>
              <w:ind w:right="154"/>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8"/>
              </w:rPr>
              <w:t>Class B</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C</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89"/>
              </w:rPr>
              <w:t>earnings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3"/>
              </w:rPr>
              <w:t>interests</w:t>
            </w: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4"/>
          </w:tcPr>
          <w:p>
            <w:pPr>
              <w:ind w:left="6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$ 5,271.7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13,662.6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$ 13,298.4</w:t>
            </w:r>
          </w:p>
        </w:tc>
        <w:tc>
          <w:tcPr>
            <w:tcW w:w="0" w:type="dxa"/>
            <w:vAlign w:val="bottom"/>
          </w:tcPr>
          <w:p>
            <w:pPr>
              <w:spacing w:after="0"/>
              <w:rPr>
                <w:sz w:val="1"/>
                <w:szCs w:val="1"/>
                <w:color w:val="auto"/>
              </w:rPr>
            </w:pPr>
          </w:p>
        </w:tc>
      </w:tr>
      <w:tr>
        <w:trPr>
          <w:trHeight w:val="225"/>
        </w:trPr>
        <w:tc>
          <w:tcPr>
            <w:tcW w:w="27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7"/>
              </w:rPr>
              <w:t>Other comprehensive loss, net of</w:t>
            </w:r>
          </w:p>
        </w:tc>
        <w:tc>
          <w:tcPr>
            <w:tcW w:w="2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140"/>
              <w:spacing w:after="0" w:line="173" w:lineRule="exact"/>
              <w:rPr>
                <w:sz w:val="20"/>
                <w:szCs w:val="20"/>
                <w:color w:val="auto"/>
              </w:rPr>
            </w:pPr>
            <w:r>
              <w:rPr>
                <w:rFonts w:ascii="Arial" w:cs="Arial" w:eastAsia="Arial" w:hAnsi="Arial"/>
                <w:sz w:val="18"/>
                <w:szCs w:val="18"/>
                <w:color w:val="auto"/>
                <w:w w:val="95"/>
              </w:rPr>
              <w:t>Repurchases and cancellations of</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4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24"/>
        </w:trPr>
        <w:tc>
          <w:tcPr>
            <w:tcW w:w="2740" w:type="dxa"/>
            <w:vAlign w:val="bottom"/>
          </w:tcPr>
          <w:p>
            <w:pPr>
              <w:ind w:left="300"/>
              <w:spacing w:after="0"/>
              <w:rPr>
                <w:sz w:val="20"/>
                <w:szCs w:val="20"/>
                <w:color w:val="auto"/>
              </w:rPr>
            </w:pPr>
            <w:r>
              <w:rPr>
                <w:rFonts w:ascii="Arial" w:cs="Arial" w:eastAsia="Arial" w:hAnsi="Arial"/>
                <w:sz w:val="18"/>
                <w:szCs w:val="18"/>
                <w:color w:val="auto"/>
              </w:rPr>
              <w:t>(note 12)</w:t>
            </w:r>
          </w:p>
        </w:tc>
        <w:tc>
          <w:tcPr>
            <w:tcW w:w="22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Share-based compensation (note 13)</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173"/>
        </w:trPr>
        <w:tc>
          <w:tcPr>
            <w:tcW w:w="2740" w:type="dxa"/>
            <w:vAlign w:val="bottom"/>
          </w:tcPr>
          <w:p>
            <w:pPr>
              <w:ind w:left="140"/>
              <w:spacing w:after="0" w:line="173" w:lineRule="exact"/>
              <w:rPr>
                <w:sz w:val="20"/>
                <w:szCs w:val="20"/>
                <w:color w:val="auto"/>
              </w:rPr>
            </w:pPr>
            <w:r>
              <w:rPr>
                <w:rFonts w:ascii="Arial" w:cs="Arial" w:eastAsia="Arial" w:hAnsi="Arial"/>
                <w:sz w:val="18"/>
                <w:szCs w:val="18"/>
                <w:color w:val="auto"/>
              </w:rPr>
              <w:t>Adjustments due to changes in</w:t>
            </w:r>
          </w:p>
        </w:tc>
        <w:tc>
          <w:tcPr>
            <w:tcW w:w="22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4"/>
        </w:trPr>
        <w:tc>
          <w:tcPr>
            <w:tcW w:w="27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w w:val="90"/>
              </w:rPr>
              <w:t>subsidiaries’ equity and other, net</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March 31, 2021</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$ 5,016.7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6,077.5</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13,796.0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$ 13,488.1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0"/>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6"/>
            <w:vMerge w:val="restart"/>
          </w:tcPr>
          <w:p>
            <w:pPr>
              <w:ind w:left="200"/>
              <w:spacing w:after="0"/>
              <w:rPr>
                <w:sz w:val="20"/>
                <w:szCs w:val="20"/>
                <w:color w:val="auto"/>
              </w:rPr>
            </w:pPr>
            <w:r>
              <w:rPr>
                <w:rFonts w:ascii="Arial" w:cs="Arial" w:eastAsia="Arial" w:hAnsi="Arial"/>
                <w:sz w:val="16"/>
                <w:szCs w:val="16"/>
                <w:b w:val="1"/>
                <w:bCs w:val="1"/>
                <w:color w:val="auto"/>
                <w:w w:val="91"/>
              </w:rPr>
              <w:t>Ordinary shares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39" w:lineRule="exact"/>
              <w:rPr>
                <w:sz w:val="20"/>
                <w:szCs w:val="20"/>
                <w:color w:val="auto"/>
              </w:rPr>
            </w:pPr>
            <w:r>
              <w:rPr>
                <w:rFonts w:ascii="Arial" w:cs="Arial" w:eastAsia="Arial" w:hAnsi="Arial"/>
                <w:sz w:val="16"/>
                <w:szCs w:val="16"/>
                <w:b w:val="1"/>
                <w:bCs w:val="1"/>
                <w:color w:val="auto"/>
                <w:w w:val="91"/>
              </w:rPr>
              <w:t>paid-in</w:t>
            </w:r>
          </w:p>
        </w:tc>
        <w:tc>
          <w:tcPr>
            <w:tcW w:w="102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7"/>
              </w:rPr>
              <w:t>Accumulated</w:t>
            </w: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net</w:t>
            </w:r>
          </w:p>
        </w:tc>
        <w:tc>
          <w:tcPr>
            <w:tcW w:w="760" w:type="dxa"/>
            <w:vAlign w:val="bottom"/>
            <w:gridSpan w:val="3"/>
          </w:tcPr>
          <w:p>
            <w:pPr>
              <w:ind w:left="100"/>
              <w:spacing w:after="0" w:line="13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840" w:type="dxa"/>
            <w:vAlign w:val="bottom"/>
          </w:tcPr>
          <w:p>
            <w:pPr>
              <w:jc w:val="right"/>
              <w:ind w:right="153"/>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B</w:t>
            </w: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C</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6"/>
              </w:rPr>
              <w:t>earnings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3"/>
              </w:rPr>
              <w:t>interests</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$ 3,893.0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18,144.5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25,934.9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$ 25,598.0</w:t>
            </w:r>
          </w:p>
        </w:tc>
        <w:tc>
          <w:tcPr>
            <w:tcW w:w="0" w:type="dxa"/>
            <w:vAlign w:val="bottom"/>
          </w:tcPr>
          <w:p>
            <w:pPr>
              <w:spacing w:after="0"/>
              <w:rPr>
                <w:sz w:val="1"/>
                <w:szCs w:val="1"/>
                <w:color w:val="auto"/>
              </w:rPr>
            </w:pPr>
          </w:p>
        </w:tc>
      </w:tr>
      <w:tr>
        <w:trPr>
          <w:trHeight w:val="225"/>
        </w:trPr>
        <w:tc>
          <w:tcPr>
            <w:tcW w:w="27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1,110.3</w:t>
            </w: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9"/>
              </w:rPr>
              <w:t>Other comprehensive loss, net of</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(1,218.3)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1"/>
              </w:rPr>
              <w:t>(0.2)</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(496.1)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Share-based compensation (note 13)</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rPr>
              <w:t>Repurchases by Telenet of its</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outstanding shares</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Adjustments due to changes in</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subsidiaries’ equity and other, net</w:t>
            </w: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80" w:type="dxa"/>
            <w:vAlign w:val="bottom"/>
          </w:tcPr>
          <w:p>
            <w:pPr>
              <w:ind w:left="20"/>
              <w:spacing w:after="0" w:line="204" w:lineRule="exact"/>
              <w:rPr>
                <w:sz w:val="20"/>
                <w:szCs w:val="20"/>
                <w:color w:val="auto"/>
              </w:rPr>
            </w:pPr>
            <w:r>
              <w:rPr>
                <w:rFonts w:ascii="Arial" w:cs="Arial" w:eastAsia="Arial" w:hAnsi="Arial"/>
                <w:sz w:val="18"/>
                <w:szCs w:val="18"/>
                <w:color w:val="auto"/>
              </w:rPr>
              <w:t>Balance at March 31, 2022</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$ 3,406.1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19,182.8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2,673.9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25,267.8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$ 25,007.1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center"/>
              <w:ind w:right="152"/>
              <w:spacing w:after="0"/>
              <w:rPr>
                <w:sz w:val="20"/>
                <w:szCs w:val="20"/>
                <w:color w:val="auto"/>
              </w:rPr>
            </w:pPr>
            <w:r>
              <w:rPr>
                <w:rFonts w:ascii="Arial" w:cs="Arial" w:eastAsia="Arial" w:hAnsi="Arial"/>
                <w:sz w:val="16"/>
                <w:szCs w:val="16"/>
                <w:b w:val="1"/>
                <w:bCs w:val="1"/>
                <w:color w:val="auto"/>
                <w:w w:val="88"/>
              </w:rPr>
              <w:t>Three months ended</w:t>
            </w:r>
          </w:p>
        </w:tc>
      </w:tr>
      <w:tr>
        <w:trPr>
          <w:trHeight w:val="214"/>
        </w:trPr>
        <w:tc>
          <w:tcPr>
            <w:tcW w:w="8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6"/>
                <w:szCs w:val="16"/>
                <w:b w:val="1"/>
                <w:bCs w:val="1"/>
                <w:color w:val="auto"/>
                <w:w w:val="94"/>
              </w:rPr>
              <w:t>March 31,</w:t>
            </w:r>
          </w:p>
        </w:tc>
        <w:tc>
          <w:tcPr>
            <w:tcW w:w="780" w:type="dxa"/>
            <w:vAlign w:val="bottom"/>
            <w:tcBorders>
              <w:bottom w:val="single" w:sz="8" w:color="auto"/>
            </w:tcBorders>
          </w:tcPr>
          <w:p>
            <w:pPr>
              <w:spacing w:after="0"/>
              <w:rPr>
                <w:sz w:val="18"/>
                <w:szCs w:val="18"/>
                <w:color w:val="auto"/>
              </w:rPr>
            </w:pPr>
          </w:p>
        </w:tc>
      </w:tr>
      <w:tr>
        <w:trPr>
          <w:trHeight w:val="206"/>
        </w:trPr>
        <w:tc>
          <w:tcPr>
            <w:tcW w:w="8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r>
      <w:tr>
        <w:trPr>
          <w:trHeight w:val="203"/>
        </w:trPr>
        <w:tc>
          <w:tcPr>
            <w:tcW w:w="8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left="453"/>
              <w:spacing w:after="0"/>
              <w:rPr>
                <w:sz w:val="20"/>
                <w:szCs w:val="20"/>
                <w:color w:val="auto"/>
              </w:rPr>
            </w:pPr>
            <w:r>
              <w:rPr>
                <w:rFonts w:ascii="Arial" w:cs="Arial" w:eastAsia="Arial" w:hAnsi="Arial"/>
                <w:sz w:val="16"/>
                <w:szCs w:val="16"/>
                <w:b w:val="1"/>
                <w:bCs w:val="1"/>
                <w:color w:val="auto"/>
                <w:w w:val="90"/>
              </w:rPr>
              <w:t>in millions</w:t>
            </w:r>
          </w:p>
        </w:tc>
        <w:tc>
          <w:tcPr>
            <w:tcW w:w="780" w:type="dxa"/>
            <w:vAlign w:val="bottom"/>
          </w:tcPr>
          <w:p>
            <w:pPr>
              <w:spacing w:after="0"/>
              <w:rPr>
                <w:sz w:val="17"/>
                <w:szCs w:val="17"/>
                <w:color w:val="auto"/>
              </w:rPr>
            </w:pPr>
          </w:p>
        </w:tc>
      </w:tr>
      <w:tr>
        <w:trPr>
          <w:trHeight w:val="163"/>
        </w:trPr>
        <w:tc>
          <w:tcPr>
            <w:tcW w:w="8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5"/>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88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1,110.3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1,440.3</w:t>
            </w:r>
          </w:p>
        </w:tc>
      </w:tr>
      <w:tr>
        <w:trPr>
          <w:trHeight w:val="226"/>
        </w:trPr>
        <w:tc>
          <w:tcPr>
            <w:tcW w:w="8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from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8"/>
        </w:trPr>
        <w:tc>
          <w:tcPr>
            <w:tcW w:w="8880" w:type="dxa"/>
            <w:vAlign w:val="bottom"/>
          </w:tcPr>
          <w:p>
            <w:pPr>
              <w:ind w:left="240"/>
              <w:spacing w:after="0" w:line="204" w:lineRule="exact"/>
              <w:rPr>
                <w:sz w:val="20"/>
                <w:szCs w:val="20"/>
                <w:color w:val="auto"/>
              </w:rPr>
            </w:pPr>
            <w:r>
              <w:rPr>
                <w:rFonts w:ascii="Arial" w:cs="Arial" w:eastAsia="Arial" w:hAnsi="Arial"/>
                <w:sz w:val="18"/>
                <w:szCs w:val="18"/>
                <w:color w:val="auto"/>
              </w:rPr>
              <w:t>Earnings from continuing 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1,422.7</w:t>
            </w:r>
          </w:p>
        </w:tc>
      </w:tr>
      <w:tr>
        <w:trPr>
          <w:trHeight w:val="174"/>
        </w:trPr>
        <w:tc>
          <w:tcPr>
            <w:tcW w:w="888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w w:val="91"/>
              </w:rPr>
              <w:t>Adjustments to reconcile earnings from continuing operations to net cash provided by operating activities of continuing</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4"/>
        </w:trPr>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888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2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r>
      <w:tr>
        <w:trPr>
          <w:trHeight w:val="225"/>
        </w:trPr>
        <w:tc>
          <w:tcPr>
            <w:tcW w:w="8880" w:type="dxa"/>
            <w:vAlign w:val="bottom"/>
          </w:tcPr>
          <w:p>
            <w:pPr>
              <w:ind w:left="360"/>
              <w:spacing w:after="0"/>
              <w:rPr>
                <w:sz w:val="20"/>
                <w:szCs w:val="20"/>
                <w:color w:val="auto"/>
              </w:rPr>
            </w:pPr>
            <w:r>
              <w:rPr>
                <w:rFonts w:ascii="Arial" w:cs="Arial" w:eastAsia="Arial" w:hAnsi="Arial"/>
                <w:sz w:val="18"/>
                <w:szCs w:val="18"/>
                <w:color w:val="auto"/>
              </w:rPr>
              <w:t>Impairment, restructuring and other operating items,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2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 and non-cash interest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5"/>
        </w:trPr>
        <w:tc>
          <w:tcPr>
            <w:tcW w:w="8880" w:type="dxa"/>
            <w:vAlign w:val="bottom"/>
          </w:tcPr>
          <w:p>
            <w:pPr>
              <w:ind w:left="360"/>
              <w:spacing w:after="0"/>
              <w:rPr>
                <w:sz w:val="20"/>
                <w:szCs w:val="20"/>
                <w:color w:val="auto"/>
              </w:rPr>
            </w:pPr>
            <w:r>
              <w:rPr>
                <w:rFonts w:ascii="Arial" w:cs="Arial" w:eastAsia="Arial" w:hAnsi="Arial"/>
                <w:sz w:val="18"/>
                <w:szCs w:val="18"/>
                <w:color w:val="auto"/>
              </w:rPr>
              <w:t>Realized and unrealized gains on derivative instruments,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(811.2)</w:t>
            </w:r>
          </w:p>
        </w:tc>
      </w:tr>
      <w:tr>
        <w:trPr>
          <w:trHeight w:val="22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r>
      <w:tr>
        <w:trPr>
          <w:trHeight w:val="225"/>
        </w:trPr>
        <w:tc>
          <w:tcPr>
            <w:tcW w:w="8880" w:type="dxa"/>
            <w:vAlign w:val="bottom"/>
          </w:tcPr>
          <w:p>
            <w:pPr>
              <w:ind w:left="360"/>
              <w:spacing w:after="0"/>
              <w:rPr>
                <w:sz w:val="20"/>
                <w:szCs w:val="20"/>
                <w:color w:val="auto"/>
              </w:rPr>
            </w:pPr>
            <w:r>
              <w:rPr>
                <w:rFonts w:ascii="Arial" w:cs="Arial" w:eastAsia="Arial" w:hAnsi="Arial"/>
                <w:sz w:val="18"/>
                <w:szCs w:val="18"/>
                <w:color w:val="auto"/>
              </w:rPr>
              <w:t>Realized and unrealized losses (gains) due to changes in fair values of certain investments,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2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results of affiliates,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8880" w:type="dxa"/>
            <w:vAlign w:val="bottom"/>
          </w:tcPr>
          <w:p>
            <w:pPr>
              <w:ind w:left="360"/>
              <w:spacing w:after="0"/>
              <w:rPr>
                <w:sz w:val="20"/>
                <w:szCs w:val="20"/>
                <w:color w:val="auto"/>
              </w:rPr>
            </w:pPr>
            <w:r>
              <w:rPr>
                <w:rFonts w:ascii="Arial" w:cs="Arial" w:eastAsia="Arial" w:hAnsi="Arial"/>
                <w:sz w:val="18"/>
                <w:szCs w:val="18"/>
                <w:color w:val="auto"/>
              </w:rPr>
              <w:t>Deferred income tax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r>
      <w:tr>
        <w:trPr>
          <w:trHeight w:val="225"/>
        </w:trPr>
        <w:tc>
          <w:tcPr>
            <w:tcW w:w="8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received from the VodafoneZiggo JV</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880" w:type="dxa"/>
            <w:vAlign w:val="bottom"/>
            <w:shd w:val="clear" w:color="auto" w:fill="CCEEFF"/>
          </w:tcPr>
          <w:p>
            <w:pPr>
              <w:ind w:left="500"/>
              <w:spacing w:after="0" w:line="205" w:lineRule="exact"/>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w:t>
            </w:r>
          </w:p>
        </w:tc>
      </w:tr>
      <w:tr>
        <w:trPr>
          <w:trHeight w:val="225"/>
        </w:trPr>
        <w:tc>
          <w:tcPr>
            <w:tcW w:w="88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18"/>
        </w:trPr>
        <w:tc>
          <w:tcPr>
            <w:tcW w:w="888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jc w:val="center"/>
              <w:ind w:right="172"/>
              <w:spacing w:after="0"/>
              <w:rPr>
                <w:sz w:val="20"/>
                <w:szCs w:val="20"/>
                <w:color w:val="auto"/>
              </w:rPr>
            </w:pPr>
            <w:r>
              <w:rPr>
                <w:rFonts w:ascii="Arial" w:cs="Arial" w:eastAsia="Arial" w:hAnsi="Arial"/>
                <w:sz w:val="16"/>
                <w:szCs w:val="16"/>
                <w:b w:val="1"/>
                <w:bCs w:val="1"/>
                <w:color w:val="auto"/>
                <w:w w:val="87"/>
              </w:rPr>
              <w:t>Three months ended</w:t>
            </w:r>
          </w:p>
        </w:tc>
      </w:tr>
      <w:tr>
        <w:trPr>
          <w:trHeight w:val="214"/>
        </w:trPr>
        <w:tc>
          <w:tcPr>
            <w:tcW w:w="8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6"/>
                <w:szCs w:val="16"/>
                <w:b w:val="1"/>
                <w:bCs w:val="1"/>
                <w:color w:val="auto"/>
                <w:w w:val="94"/>
              </w:rPr>
              <w:t>March 31,</w:t>
            </w:r>
          </w:p>
        </w:tc>
        <w:tc>
          <w:tcPr>
            <w:tcW w:w="820" w:type="dxa"/>
            <w:vAlign w:val="bottom"/>
            <w:tcBorders>
              <w:bottom w:val="single" w:sz="8" w:color="auto"/>
            </w:tcBorders>
          </w:tcPr>
          <w:p>
            <w:pPr>
              <w:spacing w:after="0"/>
              <w:rPr>
                <w:sz w:val="18"/>
                <w:szCs w:val="18"/>
                <w:color w:val="auto"/>
              </w:rPr>
            </w:pPr>
          </w:p>
        </w:tc>
      </w:tr>
      <w:tr>
        <w:trPr>
          <w:trHeight w:val="206"/>
        </w:trPr>
        <w:tc>
          <w:tcPr>
            <w:tcW w:w="8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r>
      <w:tr>
        <w:trPr>
          <w:trHeight w:val="203"/>
        </w:trPr>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center"/>
              <w:ind w:left="473"/>
              <w:spacing w:after="0"/>
              <w:rPr>
                <w:sz w:val="20"/>
                <w:szCs w:val="20"/>
                <w:color w:val="auto"/>
              </w:rPr>
            </w:pPr>
            <w:r>
              <w:rPr>
                <w:rFonts w:ascii="Arial" w:cs="Arial" w:eastAsia="Arial" w:hAnsi="Arial"/>
                <w:sz w:val="16"/>
                <w:szCs w:val="16"/>
                <w:b w:val="1"/>
                <w:bCs w:val="1"/>
                <w:color w:val="auto"/>
                <w:w w:val="88"/>
              </w:rPr>
              <w:t>in millions</w:t>
            </w:r>
          </w:p>
        </w:tc>
        <w:tc>
          <w:tcPr>
            <w:tcW w:w="820" w:type="dxa"/>
            <w:vAlign w:val="bottom"/>
          </w:tcPr>
          <w:p>
            <w:pPr>
              <w:spacing w:after="0"/>
              <w:rPr>
                <w:sz w:val="17"/>
                <w:szCs w:val="17"/>
                <w:color w:val="auto"/>
              </w:rPr>
            </w:pPr>
          </w:p>
        </w:tc>
      </w:tr>
      <w:tr>
        <w:trPr>
          <w:trHeight w:val="163"/>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received from the sale of investments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2,592.5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1,540.3</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(1,551.0)</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Capital expenditures,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(462.5)</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8"/>
        </w:trPr>
        <w:tc>
          <w:tcPr>
            <w:tcW w:w="8780" w:type="dxa"/>
            <w:vAlign w:val="bottom"/>
          </w:tcPr>
          <w:p>
            <w:pPr>
              <w:ind w:left="260"/>
              <w:spacing w:after="0" w:line="204" w:lineRule="exact"/>
              <w:rPr>
                <w:sz w:val="20"/>
                <w:szCs w:val="20"/>
                <w:color w:val="auto"/>
              </w:rPr>
            </w:pPr>
            <w:r>
              <w:rPr>
                <w:rFonts w:ascii="Arial" w:cs="Arial" w:eastAsia="Arial" w:hAnsi="Arial"/>
                <w:sz w:val="18"/>
                <w:szCs w:val="18"/>
                <w:color w:val="auto"/>
              </w:rPr>
              <w:t>Net cash used by investing activities of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(496.2)</w:t>
            </w:r>
          </w:p>
        </w:tc>
      </w:tr>
      <w:tr>
        <w:trPr>
          <w:trHeight w:val="226"/>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8"/>
        </w:trPr>
        <w:tc>
          <w:tcPr>
            <w:tcW w:w="8780" w:type="dxa"/>
            <w:vAlign w:val="bottom"/>
            <w:tcBorders>
              <w:bottom w:val="single" w:sz="8" w:color="CCEEFF"/>
            </w:tcBorders>
          </w:tcPr>
          <w:p>
            <w:pPr>
              <w:ind w:left="420"/>
              <w:spacing w:after="0" w:line="204" w:lineRule="exact"/>
              <w:rPr>
                <w:sz w:val="20"/>
                <w:szCs w:val="20"/>
                <w:color w:val="auto"/>
              </w:rPr>
            </w:pPr>
            <w:r>
              <w:rPr>
                <w:rFonts w:ascii="Arial" w:cs="Arial" w:eastAsia="Arial" w:hAnsi="Arial"/>
                <w:sz w:val="18"/>
                <w:szCs w:val="18"/>
                <w:color w:val="auto"/>
              </w:rPr>
              <w:t>Net cash used by investing activities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w:t>
            </w:r>
          </w:p>
        </w:tc>
      </w:tr>
      <w:tr>
        <w:trPr>
          <w:trHeight w:val="245"/>
        </w:trPr>
        <w:tc>
          <w:tcPr>
            <w:tcW w:w="8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5"/>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debt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Operating-related vendor financing additions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849.0</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8780" w:type="dxa"/>
            <w:vAlign w:val="bottom"/>
          </w:tcPr>
          <w:p>
            <w:pPr>
              <w:ind w:left="260"/>
              <w:spacing w:after="0"/>
              <w:rPr>
                <w:sz w:val="20"/>
                <w:szCs w:val="20"/>
                <w:color w:val="auto"/>
              </w:rPr>
            </w:pPr>
            <w:r>
              <w:rPr>
                <w:rFonts w:ascii="Arial" w:cs="Arial" w:eastAsia="Arial" w:hAnsi="Arial"/>
                <w:sz w:val="18"/>
                <w:szCs w:val="18"/>
                <w:color w:val="auto"/>
              </w:rPr>
              <w:t>Debt (excluding vendor financing)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(243.6)</w:t>
            </w:r>
          </w:p>
        </w:tc>
      </w:tr>
      <w:tr>
        <w:trPr>
          <w:trHeight w:val="226"/>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operating-related vendor financing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r>
      <w:tr>
        <w:trPr>
          <w:trHeight w:val="225"/>
        </w:trPr>
        <w:tc>
          <w:tcPr>
            <w:tcW w:w="8780" w:type="dxa"/>
            <w:vAlign w:val="bottom"/>
          </w:tcPr>
          <w:p>
            <w:pPr>
              <w:ind w:left="260"/>
              <w:spacing w:after="0"/>
              <w:rPr>
                <w:sz w:val="20"/>
                <w:szCs w:val="20"/>
                <w:color w:val="auto"/>
              </w:rPr>
            </w:pPr>
            <w:r>
              <w:rPr>
                <w:rFonts w:ascii="Arial" w:cs="Arial" w:eastAsia="Arial" w:hAnsi="Arial"/>
                <w:sz w:val="18"/>
                <w:szCs w:val="18"/>
                <w:color w:val="auto"/>
              </w:rPr>
              <w:t>Principal payments on capital-related vendor financing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(434.6)</w:t>
            </w:r>
          </w:p>
        </w:tc>
      </w:tr>
      <w:tr>
        <w:trPr>
          <w:trHeight w:val="226"/>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finance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(311.2)</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by Telenet of its outstanding shares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Net cash paid related to derivative instruments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5"/>
        </w:trPr>
        <w:tc>
          <w:tcPr>
            <w:tcW w:w="8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19"/>
        </w:trPr>
        <w:tc>
          <w:tcPr>
            <w:tcW w:w="878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Net cash used by financing activities of continuing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r>
      <w:tr>
        <w:trPr>
          <w:trHeight w:val="225"/>
        </w:trPr>
        <w:tc>
          <w:tcPr>
            <w:tcW w:w="8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used by financing activities of discontinued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8"/>
        </w:trPr>
        <w:tc>
          <w:tcPr>
            <w:tcW w:w="878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Net cash used by financing activities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jc w:val="center"/>
              <w:ind w:right="172"/>
              <w:spacing w:after="0"/>
              <w:rPr>
                <w:sz w:val="20"/>
                <w:szCs w:val="20"/>
                <w:color w:val="auto"/>
              </w:rPr>
            </w:pPr>
            <w:r>
              <w:rPr>
                <w:rFonts w:ascii="Arial" w:cs="Arial" w:eastAsia="Arial" w:hAnsi="Arial"/>
                <w:sz w:val="16"/>
                <w:szCs w:val="16"/>
                <w:b w:val="1"/>
                <w:bCs w:val="1"/>
                <w:color w:val="auto"/>
                <w:w w:val="87"/>
              </w:rPr>
              <w:t>Three months ended</w:t>
            </w:r>
          </w:p>
        </w:tc>
        <w:tc>
          <w:tcPr>
            <w:tcW w:w="0" w:type="dxa"/>
            <w:vAlign w:val="bottom"/>
          </w:tcPr>
          <w:p>
            <w:pPr>
              <w:spacing w:after="0"/>
              <w:rPr>
                <w:sz w:val="1"/>
                <w:szCs w:val="1"/>
                <w:color w:val="auto"/>
              </w:rPr>
            </w:pPr>
          </w:p>
        </w:tc>
      </w:tr>
      <w:tr>
        <w:trPr>
          <w:trHeight w:val="215"/>
        </w:trPr>
        <w:tc>
          <w:tcPr>
            <w:tcW w:w="8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6"/>
                <w:szCs w:val="16"/>
                <w:b w:val="1"/>
                <w:bCs w:val="1"/>
                <w:color w:val="auto"/>
                <w:w w:val="94"/>
              </w:rPr>
              <w:t>March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center"/>
              <w:ind w:left="473"/>
              <w:spacing w:after="0"/>
              <w:rPr>
                <w:sz w:val="20"/>
                <w:szCs w:val="20"/>
                <w:color w:val="auto"/>
              </w:rPr>
            </w:pPr>
            <w:r>
              <w:rPr>
                <w:rFonts w:ascii="Arial" w:cs="Arial" w:eastAsia="Arial" w:hAnsi="Arial"/>
                <w:sz w:val="16"/>
                <w:szCs w:val="16"/>
                <w:b w:val="1"/>
                <w:bCs w:val="1"/>
                <w:color w:val="auto"/>
                <w:w w:val="88"/>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78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8"/>
        </w:trPr>
        <w:tc>
          <w:tcPr>
            <w:tcW w:w="878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32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4,717.3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18"/>
        </w:trPr>
        <w:tc>
          <w:tcPr>
            <w:tcW w:w="8780" w:type="dxa"/>
            <w:vAlign w:val="bottom"/>
          </w:tcPr>
          <w:p>
            <w:pPr>
              <w:ind w:left="500"/>
              <w:spacing w:after="0"/>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4,283.1</w:t>
            </w:r>
          </w:p>
        </w:tc>
        <w:tc>
          <w:tcPr>
            <w:tcW w:w="0" w:type="dxa"/>
            <w:vAlign w:val="bottom"/>
          </w:tcPr>
          <w:p>
            <w:pPr>
              <w:spacing w:after="0"/>
              <w:rPr>
                <w:sz w:val="1"/>
                <w:szCs w:val="1"/>
                <w:color w:val="auto"/>
              </w:rPr>
            </w:pP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shd w:val="clear" w:color="auto" w:fill="CCEEFF"/>
          </w:tcPr>
          <w:p>
            <w:pPr>
              <w:ind w:left="340"/>
              <w:spacing w:after="0" w:line="193"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line="19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2"/>
              <w:spacing w:after="0" w:line="19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cash paid (received) for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and cash equivalents and restricted cash included in assets held for sale</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3,348.0</w:t>
            </w:r>
          </w:p>
        </w:tc>
        <w:tc>
          <w:tcPr>
            <w:tcW w:w="0" w:type="dxa"/>
            <w:vAlign w:val="bottom"/>
          </w:tcPr>
          <w:p>
            <w:pPr>
              <w:spacing w:after="0"/>
              <w:rPr>
                <w:sz w:val="1"/>
                <w:szCs w:val="1"/>
                <w:color w:val="auto"/>
              </w:rPr>
            </w:pPr>
          </w:p>
        </w:tc>
      </w:tr>
      <w:tr>
        <w:trPr>
          <w:trHeight w:val="244"/>
        </w:trPr>
        <w:tc>
          <w:tcPr>
            <w:tcW w:w="87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 and restricted cash</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4,283.1</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hanging="334"/>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44"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Liberty Global plc (</w:t>
      </w:r>
      <w:r>
        <w:rPr>
          <w:rFonts w:ascii="Arial" w:cs="Arial" w:eastAsia="Arial" w:hAnsi="Arial"/>
          <w:sz w:val="15"/>
          <w:szCs w:val="15"/>
          <w:b w:val="1"/>
          <w:bCs w:val="1"/>
          <w:color w:val="auto"/>
        </w:rPr>
        <w:t>Liberty Global</w:t>
      </w:r>
      <w:r>
        <w:rPr>
          <w:rFonts w:ascii="Arial" w:cs="Arial" w:eastAsia="Arial" w:hAnsi="Arial"/>
          <w:sz w:val="15"/>
          <w:szCs w:val="15"/>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continuing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Switzerland and Slovakia through certain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61.2%-owned subsidiary, and (iii) Ireland through another wholly-owned subsidiary (</w:t>
      </w:r>
      <w:r>
        <w:rPr>
          <w:rFonts w:ascii="Arial" w:cs="Arial" w:eastAsia="Arial" w:hAnsi="Arial"/>
          <w:sz w:val="18"/>
          <w:szCs w:val="18"/>
          <w:b w:val="1"/>
          <w:bCs w:val="1"/>
          <w:color w:val="auto"/>
        </w:rPr>
        <w:t>VM Ireland</w:t>
      </w:r>
      <w:r>
        <w:rPr>
          <w:rFonts w:ascii="Arial" w:cs="Arial" w:eastAsia="Arial" w:hAnsi="Arial"/>
          <w:sz w:val="18"/>
          <w:szCs w:val="18"/>
          <w:color w:val="auto"/>
        </w:rPr>
        <w:t xml:space="preserve">). In addition, we own 50% noncontrolling interests in (a) a 50:50 joint venture (the </w:t>
      </w:r>
      <w:r>
        <w:rPr>
          <w:rFonts w:ascii="Arial" w:cs="Arial" w:eastAsia="Arial" w:hAnsi="Arial"/>
          <w:sz w:val="18"/>
          <w:szCs w:val="18"/>
          <w:b w:val="1"/>
          <w:bCs w:val="1"/>
          <w:color w:val="auto"/>
        </w:rPr>
        <w:t>VMO2 JV</w:t>
      </w:r>
      <w:r>
        <w:rPr>
          <w:rFonts w:ascii="Arial" w:cs="Arial" w:eastAsia="Arial" w:hAnsi="Arial"/>
          <w:sz w:val="18"/>
          <w:szCs w:val="18"/>
          <w:color w:val="auto"/>
        </w:rPr>
        <w:t>) with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which provides residential and B2B communications services in the United Kingdom (</w:t>
      </w:r>
      <w:r>
        <w:rPr>
          <w:rFonts w:ascii="Arial" w:cs="Arial" w:eastAsia="Arial" w:hAnsi="Arial"/>
          <w:sz w:val="18"/>
          <w:szCs w:val="18"/>
          <w:b w:val="1"/>
          <w:bCs w:val="1"/>
          <w:color w:val="auto"/>
        </w:rPr>
        <w:t>U.K.</w:t>
      </w:r>
      <w:r>
        <w:rPr>
          <w:rFonts w:ascii="Arial" w:cs="Arial" w:eastAsia="Arial" w:hAnsi="Arial"/>
          <w:sz w:val="18"/>
          <w:szCs w:val="18"/>
          <w:color w:val="auto"/>
        </w:rPr>
        <w:t xml:space="preserve">), and (b) a 50:50 joint venture (the </w:t>
      </w:r>
      <w:r>
        <w:rPr>
          <w:rFonts w:ascii="Arial" w:cs="Arial" w:eastAsia="Arial" w:hAnsi="Arial"/>
          <w:sz w:val="18"/>
          <w:szCs w:val="18"/>
          <w:b w:val="1"/>
          <w:bCs w:val="1"/>
          <w:color w:val="auto"/>
        </w:rPr>
        <w:t>VodafoneZiggo JV</w:t>
      </w:r>
      <w:r>
        <w:rPr>
          <w:rFonts w:ascii="Arial" w:cs="Arial" w:eastAsia="Arial" w:hAnsi="Arial"/>
          <w:sz w:val="18"/>
          <w:szCs w:val="18"/>
          <w:color w:val="auto"/>
        </w:rPr>
        <w:t>) with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which provides residential and B2B communications services in the Netherlands.</w:t>
      </w:r>
    </w:p>
    <w:p>
      <w:pPr>
        <w:spacing w:after="0" w:line="21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Through March 31, 2022, we provided residential and B2B communications services in Poland through UPC Holding. On September 22, 2021, we entered into an agreement to sell our operations in Poland and completed the sale on April 1, 2022. Accordingly, in these condensed consolidated financial statements, our operations in Poland are reflected as discontinued operations for all periods presented. For additional information, see note 4.</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May 31, 2021, our consolidated operations also included residential and B2B communications services provided to customers in the U.K.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On June 1, 2021, we contributed the U.K. JV Entities (as defined in note 4) to the VMO2 JV and began accounting for our 50% interest in the VMO2 JV as an equity method investment. For additional information, see note 4.</w:t>
      </w:r>
    </w:p>
    <w:p>
      <w:pPr>
        <w:spacing w:after="0" w:line="2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unaudited condensed consolidated financial statements have been prepared in accordance with accounting principles generally accepted in the United States (</w:t>
      </w:r>
      <w:r>
        <w:rPr>
          <w:rFonts w:ascii="Arial" w:cs="Arial" w:eastAsia="Arial" w:hAnsi="Arial"/>
          <w:sz w:val="15"/>
          <w:szCs w:val="15"/>
          <w:b w:val="1"/>
          <w:bCs w:val="1"/>
          <w:color w:val="auto"/>
        </w:rPr>
        <w:t>GAAP</w:t>
      </w:r>
      <w:r>
        <w:rPr>
          <w:rFonts w:ascii="Arial" w:cs="Arial" w:eastAsia="Arial" w:hAnsi="Arial"/>
          <w:sz w:val="15"/>
          <w:szCs w:val="15"/>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2021 consolidated financial statements and notes thereto included in our 2021 Annual Report on Form 10-K, as amended (our </w:t>
      </w:r>
      <w:r>
        <w:rPr>
          <w:rFonts w:ascii="Arial" w:cs="Arial" w:eastAsia="Arial" w:hAnsi="Arial"/>
          <w:sz w:val="15"/>
          <w:szCs w:val="15"/>
          <w:b w:val="1"/>
          <w:bCs w:val="1"/>
          <w:color w:val="auto"/>
        </w:rPr>
        <w:t>10-K</w:t>
      </w:r>
      <w:r>
        <w:rPr>
          <w:rFonts w:ascii="Arial" w:cs="Arial" w:eastAsia="Arial" w:hAnsi="Arial"/>
          <w:sz w:val="15"/>
          <w:szCs w:val="15"/>
          <w:color w:val="auto"/>
        </w:rPr>
        <w:t>).</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20" w:right="8160" w:hanging="314"/>
        <w:spacing w:after="0" w:line="514"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Recent Accounting Pronouncements </w:t>
      </w:r>
      <w:r>
        <w:rPr>
          <w:rFonts w:ascii="Arial" w:cs="Arial" w:eastAsia="Arial" w:hAnsi="Arial"/>
          <w:sz w:val="18"/>
          <w:szCs w:val="18"/>
          <w:i w:val="1"/>
          <w:iCs w:val="1"/>
          <w:color w:val="auto"/>
        </w:rPr>
        <w:t>ASU 2021-08</w:t>
      </w:r>
    </w:p>
    <w:p>
      <w:pPr>
        <w:spacing w:after="0" w:line="1"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color w:val="auto"/>
        </w:rPr>
        <w:t>In October 2021, the Financial Accounting Standards Board (</w:t>
      </w:r>
      <w:r>
        <w:rPr>
          <w:rFonts w:ascii="Arial" w:cs="Arial" w:eastAsia="Arial" w:hAnsi="Arial"/>
          <w:sz w:val="15"/>
          <w:szCs w:val="15"/>
          <w:b w:val="1"/>
          <w:bCs w:val="1"/>
          <w:color w:val="auto"/>
        </w:rPr>
        <w:t>FASB</w:t>
      </w:r>
      <w:r>
        <w:rPr>
          <w:rFonts w:ascii="Arial" w:cs="Arial" w:eastAsia="Arial" w:hAnsi="Arial"/>
          <w:sz w:val="15"/>
          <w:szCs w:val="15"/>
          <w:color w:val="auto"/>
        </w:rPr>
        <w:t>) issued Accounting Standards Update (</w:t>
      </w:r>
      <w:r>
        <w:rPr>
          <w:rFonts w:ascii="Arial" w:cs="Arial" w:eastAsia="Arial" w:hAnsi="Arial"/>
          <w:sz w:val="15"/>
          <w:szCs w:val="15"/>
          <w:b w:val="1"/>
          <w:bCs w:val="1"/>
          <w:color w:val="auto"/>
        </w:rPr>
        <w:t>ASU</w:t>
      </w:r>
      <w:r>
        <w:rPr>
          <w:rFonts w:ascii="Arial" w:cs="Arial" w:eastAsia="Arial" w:hAnsi="Arial"/>
          <w:sz w:val="15"/>
          <w:szCs w:val="15"/>
          <w:color w:val="auto"/>
        </w:rPr>
        <w:t xml:space="preserve">) No. 2021-08, </w:t>
      </w:r>
      <w:r>
        <w:rPr>
          <w:rFonts w:ascii="Arial" w:cs="Arial" w:eastAsia="Arial" w:hAnsi="Arial"/>
          <w:sz w:val="15"/>
          <w:szCs w:val="15"/>
          <w:i w:val="1"/>
          <w:iCs w:val="1"/>
          <w:color w:val="auto"/>
        </w:rPr>
        <w:t>Accounting for Contract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Assets and Contract Liabilities from Contracts with Customers </w:t>
      </w:r>
      <w:r>
        <w:rPr>
          <w:rFonts w:ascii="Arial" w:cs="Arial" w:eastAsia="Arial" w:hAnsi="Arial"/>
          <w:sz w:val="15"/>
          <w:szCs w:val="15"/>
          <w:color w:val="auto"/>
        </w:rPr>
        <w:t>(</w:t>
      </w:r>
      <w:r>
        <w:rPr>
          <w:rFonts w:ascii="Arial" w:cs="Arial" w:eastAsia="Arial" w:hAnsi="Arial"/>
          <w:sz w:val="15"/>
          <w:szCs w:val="15"/>
          <w:b w:val="1"/>
          <w:bCs w:val="1"/>
          <w:color w:val="auto"/>
        </w:rPr>
        <w:t>ASU 2021-08</w:t>
      </w:r>
      <w:r>
        <w:rPr>
          <w:rFonts w:ascii="Arial" w:cs="Arial" w:eastAsia="Arial" w:hAnsi="Arial"/>
          <w:sz w:val="15"/>
          <w:szCs w:val="15"/>
          <w:color w:val="auto"/>
        </w:rPr>
        <w:t>), which requires contract assets and contract liabilities acquired in a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combination to be recognized and measured in accordance with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 if the acquirer had originated the contracts. ASU 2021-08 is effective for annual reporting periods beginning after December 15, 2022, including interim periods within those fiscal years, with early adoption permitted. The main impact of the adoption of ASU 2021-08 will be the recognition of contract assets and contract liabilities in future business combinations at amounts generally consistent with the carrying value of such assets and liabilities of the acquiree immediately before the acquisition date.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2020-04</w:t>
      </w:r>
    </w:p>
    <w:p>
      <w:pPr>
        <w:spacing w:after="0" w:line="2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April 2020, the FASB issued ASU No.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w:t>
      </w:r>
      <w:r>
        <w:rPr>
          <w:rFonts w:ascii="Arial" w:cs="Arial" w:eastAsia="Arial" w:hAnsi="Arial"/>
          <w:sz w:val="17"/>
          <w:szCs w:val="17"/>
          <w:b w:val="1"/>
          <w:bCs w:val="1"/>
          <w:color w:val="auto"/>
        </w:rPr>
        <w:t>ASU 2020-04</w:t>
      </w:r>
      <w:r>
        <w:rPr>
          <w:rFonts w:ascii="Arial" w:cs="Arial" w:eastAsia="Arial" w:hAnsi="Arial"/>
          <w:sz w:val="17"/>
          <w:szCs w:val="17"/>
          <w:color w:val="auto"/>
        </w:rPr>
        <w:t>), which provides optional expedients and exceptions for contract modifications, subject to meeting certain criteria, that reference the London Interbank Offered Rate (</w:t>
      </w:r>
      <w:r>
        <w:rPr>
          <w:rFonts w:ascii="Arial" w:cs="Arial" w:eastAsia="Arial" w:hAnsi="Arial"/>
          <w:sz w:val="17"/>
          <w:szCs w:val="17"/>
          <w:b w:val="1"/>
          <w:bCs w:val="1"/>
          <w:color w:val="auto"/>
        </w:rPr>
        <w:t>LIBOR</w:t>
      </w:r>
      <w:r>
        <w:rPr>
          <w:rFonts w:ascii="Arial" w:cs="Arial" w:eastAsia="Arial" w:hAnsi="Arial"/>
          <w:sz w:val="17"/>
          <w:szCs w:val="17"/>
          <w:color w:val="auto"/>
        </w:rPr>
        <w:t>) or another reference rate expected to be discontinued. In accordance with the optional expedients in ASU 2020-04, we expect to modify certain of our debt agreements during 2022 to replace LIBOR with another reference rate and apply the practical expedient to account for the modification as a continuation of the existing contract. We currently do not believe the use of optional expedients in ASU 2020-04 will have a significant impact on our consolidated financial statements. For additional information regarding our debt, see note 9.</w:t>
      </w:r>
    </w:p>
    <w:p>
      <w:pPr>
        <w:spacing w:after="0" w:line="201" w:lineRule="exact"/>
        <w:rPr>
          <w:sz w:val="20"/>
          <w:szCs w:val="20"/>
          <w:color w:val="auto"/>
        </w:rPr>
      </w:pPr>
    </w:p>
    <w:p>
      <w:pPr>
        <w:ind w:left="380" w:hanging="374"/>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$39.8 million and $42.0 million at March 31, 2022 and December 31, 2021, respectively.</w:t>
      </w:r>
    </w:p>
    <w:p>
      <w:pPr>
        <w:spacing w:after="0" w:line="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$28.8 million and $29.7 million as of March 31, 2022 and December 31, 2021, respectively. The current and long-term portions of our contract asset balances are included within other current assets and other assets, net, respectively, on our condensed consolidated balance sheets.</w:t>
      </w:r>
    </w:p>
    <w:p>
      <w:pPr>
        <w:spacing w:after="0" w:line="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$369.8 million and $286.5 million as of March 31, 2022 and December 31, 2021, respectively. The increase in deferred revenue for the three months ended March 31, 2022 is primarily due to the net effect of (a) the impact of additions during the period and (b) the recognition of $149.8 million of revenue that was included in our deferred revenue balance at December 31, 2021. The long-term portions of our deferred revenue balances are included within other long-term liabilities on our condensed consolidated balance sheets.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Costs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aggregate assets associated with incremental costs to obtain and fulfill our contracts were $65.7 million and $63.4 million at March 31, 2022 and December 31, 2021, respectively. The current and long-term portions of our assets related to contract costs are included within other current assets and other assets, net, respectively, on our condensed consolidated balance sheets. We amortized $4.4 million and $46.9 million during the three months ended March 31, 2022 and 2021, respectively, to operating costs and expenses related to these assets.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9" w:lineRule="exact"/>
        <w:rPr>
          <w:sz w:val="20"/>
          <w:szCs w:val="20"/>
          <w:color w:val="auto"/>
        </w:rPr>
      </w:pPr>
    </w:p>
    <w:p>
      <w:pPr>
        <w:ind w:left="380" w:hanging="374"/>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Pending Disposition</w:t>
      </w:r>
    </w:p>
    <w:p>
      <w:pPr>
        <w:spacing w:after="0" w:line="2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On March 25, 2022, Telenet entered into a sale and purchase agreement (the </w:t>
      </w:r>
      <w:r>
        <w:rPr>
          <w:rFonts w:ascii="Arial" w:cs="Arial" w:eastAsia="Arial" w:hAnsi="Arial"/>
          <w:sz w:val="17"/>
          <w:szCs w:val="17"/>
          <w:b w:val="1"/>
          <w:bCs w:val="1"/>
          <w:color w:val="auto"/>
        </w:rPr>
        <w:t>Telenet Tower Sale Agreement</w:t>
      </w:r>
      <w:r>
        <w:rPr>
          <w:rFonts w:ascii="Arial" w:cs="Arial" w:eastAsia="Arial" w:hAnsi="Arial"/>
          <w:sz w:val="17"/>
          <w:szCs w:val="17"/>
          <w:color w:val="auto"/>
        </w:rPr>
        <w:t>) with a third party for the sale of substantially all of Telenet’s passive infrastructure and tower assets for total consideration of €745.0 million ($825.6 million). As part of the Telenet Tower Sale Agreement, Telenet will enter into a master lease agreement to lease back the associated assets for an initial period of 15 years. This sale and leaseback transaction is expected to close in the second quarter of 2022. Effective with the signing of the Telenet Tower Sale Agreement, we began accounting for the associated assets and liabilities as held for sale and, accordingly, we ceased to depreciate or amortize the associated long-lived assets. At March 31, 2022, the held-for-sale assets and liabilities (which are included within other current assets and other accrued and current liabilities, respectively, on our condensed consolidated balance sheet) are as follows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820" w:type="dxa"/>
            <w:vAlign w:val="bottom"/>
          </w:tcPr>
          <w:p>
            <w:pPr>
              <w:ind w:left="20"/>
              <w:spacing w:after="0" w:line="198" w:lineRule="exact"/>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auto"/>
            </w:tcBorders>
          </w:tcPr>
          <w:p>
            <w:pPr>
              <w:jc w:val="right"/>
              <w:ind w:right="33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129.4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9680"/>
        <w:spacing w:after="0"/>
        <w:rPr>
          <w:sz w:val="20"/>
          <w:szCs w:val="20"/>
          <w:color w:val="auto"/>
        </w:rPr>
      </w:pPr>
      <w:r>
        <w:rPr>
          <w:rFonts w:ascii="Arial" w:cs="Arial" w:eastAsia="Arial" w:hAnsi="Arial"/>
          <w:sz w:val="18"/>
          <w:szCs w:val="18"/>
          <w:b w:val="1"/>
          <w:bCs w:val="1"/>
          <w:i w:val="1"/>
          <w:iCs w:val="1"/>
          <w:color w:val="auto"/>
        </w:rPr>
        <w:t>2022 Disposition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Poland</w:t>
      </w:r>
    </w:p>
    <w:p>
      <w:pPr>
        <w:spacing w:after="0" w:line="23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 xml:space="preserve">On September 22, 2021, we entered into a sale and purchase agreement (the </w:t>
      </w:r>
      <w:r>
        <w:rPr>
          <w:rFonts w:ascii="Arial" w:cs="Arial" w:eastAsia="Arial" w:hAnsi="Arial"/>
          <w:sz w:val="18"/>
          <w:szCs w:val="18"/>
          <w:b w:val="1"/>
          <w:bCs w:val="1"/>
          <w:color w:val="auto"/>
        </w:rPr>
        <w:t>UPC Poland Purchase Agreement</w:t>
      </w:r>
      <w:r>
        <w:rPr>
          <w:rFonts w:ascii="Arial" w:cs="Arial" w:eastAsia="Arial" w:hAnsi="Arial"/>
          <w:sz w:val="18"/>
          <w:szCs w:val="18"/>
          <w:color w:val="auto"/>
        </w:rPr>
        <w:t>), pursuant to which we agreed to sell 100%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third party for a total enterprise value of Polish zloty (</w:t>
      </w:r>
      <w:r>
        <w:rPr>
          <w:rFonts w:ascii="Arial" w:cs="Arial" w:eastAsia="Arial" w:hAnsi="Arial"/>
          <w:sz w:val="18"/>
          <w:szCs w:val="18"/>
          <w:b w:val="1"/>
          <w:bCs w:val="1"/>
          <w:color w:val="auto"/>
        </w:rPr>
        <w:t>PLN</w:t>
      </w:r>
      <w:r>
        <w:rPr>
          <w:rFonts w:ascii="Arial" w:cs="Arial" w:eastAsia="Arial" w:hAnsi="Arial"/>
          <w:sz w:val="18"/>
          <w:szCs w:val="18"/>
          <w:color w:val="auto"/>
        </w:rPr>
        <w:t>) 7,025.0 million ($1,672.7 million). This transaction closed on April 1, 2022.</w:t>
      </w:r>
    </w:p>
    <w:p>
      <w:pPr>
        <w:spacing w:after="0" w:line="21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portion of the net proceeds from the sale, after reflecting the impact of derivative settlements, were used to repurchase certain of UPC Holding’s outstanding indebtedness, with the remainder available for general corporate purposes. For additional information regarding these financing transactions, see note 17.</w:t>
      </w:r>
    </w:p>
    <w:p>
      <w:pPr>
        <w:spacing w:after="0" w:line="215"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We have agreed to provide certain transitional services for a period of up to five years, depending on the service. These services will principally comprise network and information technology-related functions. The annual charges will depend on the actual level of services required by the purchaser.</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Effective with the signing of the UPC Poland Purchase Agreement, we began presenting UPC Poland as a discontinued operation and, accordingly, we ceased to depreciate or amortize the associated long-lived assets. In our condensed consolidated balance sheets, statements of operations and cash flows, UPC Poland is reflected as a discontinued operation for all periods presented. Our operations in Poland were held through UPC Holding. No debt, interest or derivative instruments of the UPC Holding borrowing group have been allocated to discontinued operations. Prior to being presented as a discontinued operation, the operations of UPC Poland were included in our former “</w:t>
      </w:r>
      <w:r>
        <w:rPr>
          <w:rFonts w:ascii="Arial" w:cs="Arial" w:eastAsia="Arial" w:hAnsi="Arial"/>
          <w:sz w:val="15"/>
          <w:szCs w:val="15"/>
          <w:i w:val="1"/>
          <w:iCs w:val="1"/>
          <w:color w:val="auto"/>
        </w:rPr>
        <w:t>Central and Eastern Europe</w:t>
      </w:r>
      <w:r>
        <w:rPr>
          <w:rFonts w:ascii="Arial" w:cs="Arial" w:eastAsia="Arial" w:hAnsi="Arial"/>
          <w:sz w:val="15"/>
          <w:szCs w:val="15"/>
          <w:color w:val="auto"/>
        </w:rPr>
        <w:t>” reportable segment.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carrying amounts of the major classes of assets and liabilities of UPC Poland as of March 31, 2022 and December 31, 2021 are summarized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December 31, 2021</w:t>
            </w:r>
          </w:p>
        </w:tc>
      </w:tr>
      <w:tr>
        <w:trPr>
          <w:trHeight w:val="203"/>
        </w:trPr>
        <w:tc>
          <w:tcPr>
            <w:tcW w:w="8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jc w:val="right"/>
              <w:ind w:right="233"/>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163"/>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620" w:type="dxa"/>
            <w:vAlign w:val="bottom"/>
          </w:tcPr>
          <w:p>
            <w:pPr>
              <w:jc w:val="right"/>
              <w:ind w:right="43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464.7</w:t>
            </w:r>
          </w:p>
        </w:tc>
      </w:tr>
      <w:tr>
        <w:trPr>
          <w:trHeight w:val="225"/>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9"/>
        </w:trPr>
        <w:tc>
          <w:tcPr>
            <w:tcW w:w="83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debt and finance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Other accrued and current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and finance lease obligations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44"/>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operating results of UPC Poland for the three months ended March 31, 2022 and 2021 are summarized in the following table. These amounts exclude intercompany revenue and expenses that are eliminated within our condensed consolidated statements of operations.</w:t>
      </w:r>
    </w:p>
    <w:p>
      <w:pPr>
        <w:spacing w:after="0" w:line="93"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Three months ended</w:t>
      </w:r>
    </w:p>
    <w:p>
      <w:pPr>
        <w:jc w:val="center"/>
        <w:ind w:left="826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r>
      <w:tr>
        <w:trPr>
          <w:trHeight w:val="202"/>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7"/>
                <w:szCs w:val="17"/>
                <w:color w:val="auto"/>
              </w:rPr>
            </w:pPr>
          </w:p>
        </w:tc>
      </w:tr>
      <w:tr>
        <w:trPr>
          <w:trHeight w:val="203"/>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280" w:type="dxa"/>
            <w:vAlign w:val="bottom"/>
          </w:tcPr>
          <w:p>
            <w:pPr>
              <w:ind w:left="20"/>
              <w:spacing w:after="0" w:line="198" w:lineRule="exact"/>
              <w:rPr>
                <w:sz w:val="20"/>
                <w:szCs w:val="20"/>
                <w:color w:val="auto"/>
              </w:rPr>
            </w:pPr>
            <w:r>
              <w:rPr>
                <w:rFonts w:ascii="Arial" w:cs="Arial" w:eastAsia="Arial" w:hAnsi="Arial"/>
                <w:sz w:val="18"/>
                <w:szCs w:val="18"/>
                <w:color w:val="auto"/>
              </w:rPr>
              <w:t>Operating income</w:t>
            </w:r>
          </w:p>
        </w:tc>
        <w:tc>
          <w:tcPr>
            <w:tcW w:w="920" w:type="dxa"/>
            <w:vAlign w:val="bottom"/>
            <w:tcBorders>
              <w:bottom w:val="single" w:sz="8" w:color="auto"/>
            </w:tcBorders>
          </w:tcPr>
          <w:p>
            <w:pPr>
              <w:jc w:val="right"/>
              <w:ind w:right="733"/>
              <w:spacing w:after="0" w:line="198"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45.0</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24.1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 and noncontrolling interests</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Disposition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U.K. JV Transaction</w:t>
      </w:r>
    </w:p>
    <w:p>
      <w:pPr>
        <w:spacing w:after="0" w:line="23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 xml:space="preserve">On June 1, 2021, pursuant to a Contribution Agreement dated May 7, 2020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xml:space="preserve">) with, among others, Telefónica, (i) we contributed Virgin Media’s U.K. operations and certain other Liberty Global subsidiaries (together, the </w:t>
      </w:r>
      <w:r>
        <w:rPr>
          <w:rFonts w:ascii="Arial" w:cs="Arial" w:eastAsia="Arial" w:hAnsi="Arial"/>
          <w:sz w:val="17"/>
          <w:szCs w:val="17"/>
          <w:b w:val="1"/>
          <w:bCs w:val="1"/>
          <w:color w:val="auto"/>
        </w:rPr>
        <w:t>U.K. JV Entities</w:t>
      </w:r>
      <w:r>
        <w:rPr>
          <w:rFonts w:ascii="Arial" w:cs="Arial" w:eastAsia="Arial" w:hAnsi="Arial"/>
          <w:sz w:val="17"/>
          <w:szCs w:val="17"/>
          <w:color w:val="auto"/>
        </w:rPr>
        <w:t>) to the VMO2 JV and (ii) Telefónica contributed its U.K. mobile business to the VMO2 JV, creating a nationwide integrated communications provider (herein referred to as the “</w:t>
      </w:r>
      <w:r>
        <w:rPr>
          <w:rFonts w:ascii="Arial" w:cs="Arial" w:eastAsia="Arial" w:hAnsi="Arial"/>
          <w:sz w:val="17"/>
          <w:szCs w:val="17"/>
          <w:b w:val="1"/>
          <w:bCs w:val="1"/>
          <w:color w:val="auto"/>
        </w:rPr>
        <w:t>U.K. JV</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We account for our 50% interest in the VMO2 JV as an equity method investment, as further described in note 5.</w:t>
      </w:r>
    </w:p>
    <w:p>
      <w:pPr>
        <w:spacing w:after="0" w:line="20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summary of the preliminary fair value of the assets and liabilities of the VMO2 JV at the June 1, 2021 transaction date is presented in the following table. The preliminary amounts below are subject to adjustment based on the final assessment of the fair values of the identifiable assets and liabilities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4,186.7</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12,523.2</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29,502.7</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13,274.6</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4,116.2</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(4,352.5)</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(5,780.8)</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(21,879.2)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r>
      <w:tr>
        <w:trPr>
          <w:trHeight w:val="219"/>
        </w:trPr>
        <w:tc>
          <w:tcPr>
            <w:tcW w:w="9820" w:type="dxa"/>
            <w:vAlign w:val="bottom"/>
          </w:tcPr>
          <w:p>
            <w:pPr>
              <w:ind w:left="200"/>
              <w:spacing w:after="0"/>
              <w:rPr>
                <w:sz w:val="20"/>
                <w:szCs w:val="20"/>
                <w:color w:val="auto"/>
              </w:rPr>
            </w:pPr>
            <w:r>
              <w:rPr>
                <w:rFonts w:ascii="Arial" w:cs="Arial" w:eastAsia="Arial" w:hAnsi="Arial"/>
                <w:sz w:val="18"/>
                <w:szCs w:val="18"/>
                <w:color w:val="auto"/>
              </w:rPr>
              <w:t>Total preliminary fair value of the net assets of the VMO2 JV</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29,420.0</w:t>
            </w: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condensed consolidated statement of operations for the three months ended March 31, 2021 includes aggregate earnings from continuing operations before income taxes attributable to the U.K. JV Entities of $721.6 million.</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Effective with the signing of the Contribution Agreement, we began accounting for the U.K. JV Entities as held for sale. Accordingly, we ceased to depreciate or amortize the long-lived assets of the U.K. JV Entities. However, the U.K. JV Entities were not presented as discontinued operations as the U.K. JV Transaction did not represent a strategic shift as defined by GAAP.</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investments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Accounting Method</w:t>
            </w: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320" w:type="dxa"/>
            <w:vAlign w:val="bottom"/>
            <w:gridSpan w:val="2"/>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1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13"/>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(b):</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18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VMO2 JV</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VodafoneZiggo JV (c)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2,572.4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Atlas Edge JV</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163.7</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35.9</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 equity</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16,945.2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00" w:type="dxa"/>
            <w:vAlign w:val="bottom"/>
          </w:tcPr>
          <w:p>
            <w:pPr>
              <w:ind w:left="20"/>
              <w:spacing w:after="0" w:line="204" w:lineRule="exact"/>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2,269.6</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Televisa Univision, Inc. (</w:t>
            </w:r>
            <w:r>
              <w:rPr>
                <w:rFonts w:ascii="Arial" w:cs="Arial" w:eastAsia="Arial" w:hAnsi="Arial"/>
                <w:sz w:val="18"/>
                <w:szCs w:val="18"/>
                <w:b w:val="1"/>
                <w:bCs w:val="1"/>
                <w:color w:val="auto"/>
              </w:rPr>
              <w:t>Televisa Univision</w:t>
            </w:r>
            <w:r>
              <w:rPr>
                <w:rFonts w:ascii="Arial" w:cs="Arial" w:eastAsia="Arial" w:hAnsi="Arial"/>
                <w:sz w:val="18"/>
                <w:szCs w:val="18"/>
                <w:color w:val="auto"/>
              </w:rPr>
              <w:t>) (e)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SMAs (d)</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531.7</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Lacework Inc.</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105.9</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Pax8 Inc. (</w:t>
            </w:r>
            <w:r>
              <w:rPr>
                <w:rFonts w:ascii="Arial" w:cs="Arial" w:eastAsia="Arial" w:hAnsi="Arial"/>
                <w:sz w:val="18"/>
                <w:szCs w:val="18"/>
                <w:b w:val="1"/>
                <w:bCs w:val="1"/>
                <w:color w:val="auto"/>
              </w:rPr>
              <w:t>Pax8</w:t>
            </w: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Aviatrix Systems, Inc.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CANAL+ Polska S.A.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(f)</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 fair value</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00" w:type="dxa"/>
            <w:vAlign w:val="bottom"/>
          </w:tcPr>
          <w:p>
            <w:pPr>
              <w:ind w:left="500"/>
              <w:spacing w:after="0" w:line="204" w:lineRule="exact"/>
              <w:rPr>
                <w:sz w:val="20"/>
                <w:szCs w:val="20"/>
                <w:color w:val="auto"/>
              </w:rPr>
            </w:pPr>
            <w:r>
              <w:rPr>
                <w:rFonts w:ascii="Arial" w:cs="Arial" w:eastAsia="Arial" w:hAnsi="Arial"/>
                <w:sz w:val="18"/>
                <w:szCs w:val="18"/>
                <w:color w:val="auto"/>
              </w:rPr>
              <w:t>Total investments (g)</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21,118.5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21,972.6</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19,160.3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3"/>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19,703.0</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207" w:lineRule="exact"/>
        <w:rPr>
          <w:rFonts w:ascii="Arial" w:cs="Arial" w:eastAsia="Arial" w:hAnsi="Arial"/>
          <w:sz w:val="18"/>
          <w:szCs w:val="18"/>
          <w:color w:val="auto"/>
        </w:rPr>
      </w:pPr>
    </w:p>
    <w:p>
      <w:pPr>
        <w:jc w:val="both"/>
        <w:ind w:left="480" w:hanging="474"/>
        <w:spacing w:after="0" w:line="309" w:lineRule="auto"/>
        <w:tabs>
          <w:tab w:leader="none" w:pos="474"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loans and commitments to, the investee. Accordingly, the carrying values of our equity method investments may not equal the respective fair values. At March 31, 2022 and December 31, 2021, the aggregate carrying amounts of our equity method investments exceeded our proportionate share of the respective investee’s net assets by $1,233.9 million and $1,236.0 million, respectively, which include amounts associated with the VodafoneZiggo JV Receivables, as defined below, and amounts we are owed under a long-term note receivable from All3Media.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hanging="474"/>
        <w:spacing w:after="0" w:line="267" w:lineRule="auto"/>
        <w:tabs>
          <w:tab w:leader="none" w:pos="477"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Amounts include certain notes receivable due from a subsidiary of the VodafoneZiggo JV to a subsidiary of Liberty Global comprising (i) a euro-denominated note receivable with a principal amount of $775.7 million and $797.1 million, respectively (the </w:t>
      </w:r>
      <w:r>
        <w:rPr>
          <w:rFonts w:ascii="Arial" w:cs="Arial" w:eastAsia="Arial" w:hAnsi="Arial"/>
          <w:sz w:val="17"/>
          <w:szCs w:val="17"/>
          <w:b w:val="1"/>
          <w:bCs w:val="1"/>
          <w:color w:val="auto"/>
        </w:rPr>
        <w:t>VodafoneZiggo JV Receivable I</w:t>
      </w:r>
      <w:r>
        <w:rPr>
          <w:rFonts w:ascii="Arial" w:cs="Arial" w:eastAsia="Arial" w:hAnsi="Arial"/>
          <w:sz w:val="17"/>
          <w:szCs w:val="17"/>
          <w:color w:val="auto"/>
        </w:rPr>
        <w:t xml:space="preserve">), and (ii) a euro-denominated note receivable with a principal amount of $230.4 million and $236.7 million, respectively (the </w:t>
      </w:r>
      <w:r>
        <w:rPr>
          <w:rFonts w:ascii="Arial" w:cs="Arial" w:eastAsia="Arial" w:hAnsi="Arial"/>
          <w:sz w:val="17"/>
          <w:szCs w:val="17"/>
          <w:b w:val="1"/>
          <w:bCs w:val="1"/>
          <w:color w:val="auto"/>
        </w:rPr>
        <w:t>VodafoneZiggo JV Receivable II</w:t>
      </w:r>
      <w:r>
        <w:rPr>
          <w:rFonts w:ascii="Arial" w:cs="Arial" w:eastAsia="Arial" w:hAnsi="Arial"/>
          <w:sz w:val="17"/>
          <w:szCs w:val="17"/>
          <w:color w:val="auto"/>
        </w:rPr>
        <w:t xml:space="preserve"> and, together with the VodafoneZiggo JV Receivable I, the </w:t>
      </w:r>
      <w:r>
        <w:rPr>
          <w:rFonts w:ascii="Arial" w:cs="Arial" w:eastAsia="Arial" w:hAnsi="Arial"/>
          <w:sz w:val="17"/>
          <w:szCs w:val="17"/>
          <w:b w:val="1"/>
          <w:bCs w:val="1"/>
          <w:color w:val="auto"/>
        </w:rPr>
        <w:t>VodafoneZiggo JV Receivables</w:t>
      </w:r>
      <w:r>
        <w:rPr>
          <w:rFonts w:ascii="Arial" w:cs="Arial" w:eastAsia="Arial" w:hAnsi="Arial"/>
          <w:sz w:val="17"/>
          <w:szCs w:val="17"/>
          <w:color w:val="auto"/>
        </w:rPr>
        <w:t>). The VodafoneZiggo JV Receivables bear interest at 5.55% and have a final maturity date of December 31, 2030. During the three months ended March 31, 2022, interest accrued on the VodafoneZiggo JV Receivables was $14.1 million, all of which has been cash settled.</w:t>
      </w:r>
    </w:p>
    <w:p>
      <w:pPr>
        <w:spacing w:after="0" w:line="205" w:lineRule="exact"/>
        <w:rPr>
          <w:rFonts w:ascii="Arial" w:cs="Arial" w:eastAsia="Arial" w:hAnsi="Arial"/>
          <w:sz w:val="17"/>
          <w:szCs w:val="17"/>
          <w:color w:val="auto"/>
        </w:rPr>
      </w:pPr>
    </w:p>
    <w:p>
      <w:pPr>
        <w:jc w:val="both"/>
        <w:ind w:left="480" w:hanging="474"/>
        <w:spacing w:after="0" w:line="250" w:lineRule="auto"/>
        <w:tabs>
          <w:tab w:leader="none" w:pos="47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March 31, 2022, all of our investments held under SMAs were classified as available-for-sale debt securities. At March 31, 2022 and December 31, 2021, interest accrued on our debt securities, which is included in other current assets on our condensed consolidated balance sheets, was $5.0 million and $5.1 million, respectively.</w:t>
      </w:r>
    </w:p>
    <w:p>
      <w:pPr>
        <w:spacing w:after="0" w:line="220"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March 31, 2022, the fair value of our investment in Televisa Univision reflects the merger of Univision Holdings Inc. and Grupo Televisa, S.A.B., which was completed during the first quarter of 2022.</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include $1.7 million and $2.1 million, respectively, of a noncontrolling junior interest in receivables we have securitized.</w:t>
      </w:r>
    </w:p>
    <w:p>
      <w:pPr>
        <w:spacing w:after="0" w:line="243"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condensed consolidated statements of cash flows, including amounts associated with SMAs.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29"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202"/>
        </w:trPr>
        <w:tc>
          <w:tcPr>
            <w:tcW w:w="8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16"/>
        </w:trPr>
        <w:tc>
          <w:tcPr>
            <w:tcW w:w="8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All3Media</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8"/>
        </w:trPr>
        <w:tc>
          <w:tcPr>
            <w:tcW w:w="860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230.5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8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(i) our 50% share of the results of operations of the VMO2 JV and (ii) 100% of the share-based compensation expense associated with Liberty Global awards held by VMO2 JV employees who were formerly employees of Liberty Global, as these awards remain our responsibility.</w:t>
      </w:r>
    </w:p>
    <w:p>
      <w:pPr>
        <w:spacing w:after="0" w:line="137" w:lineRule="exact"/>
        <w:rPr>
          <w:rFonts w:ascii="Arial" w:cs="Arial" w:eastAsia="Arial" w:hAnsi="Arial"/>
          <w:sz w:val="15"/>
          <w:szCs w:val="15"/>
          <w:color w:val="auto"/>
        </w:rPr>
      </w:pPr>
    </w:p>
    <w:p>
      <w:pPr>
        <w:ind w:left="480" w:hanging="474"/>
        <w:spacing w:after="0" w:line="264" w:lineRule="auto"/>
        <w:tabs>
          <w:tab w:leader="none" w:pos="47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100% of the interest income earned on the VodafoneZiggo JV Receivables.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VMO2 JV</w:t>
      </w:r>
    </w:p>
    <w:p>
      <w:pPr>
        <w:spacing w:after="0" w:line="238"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color w:val="auto"/>
        </w:rPr>
        <w:t>On June 1, 2021, we completed the U.K. JV Transaction. Each of Liberty Global and Telefónica (each a “</w:t>
      </w:r>
      <w:r>
        <w:rPr>
          <w:rFonts w:ascii="Arial" w:cs="Arial" w:eastAsia="Arial" w:hAnsi="Arial"/>
          <w:sz w:val="18"/>
          <w:szCs w:val="18"/>
          <w:b w:val="1"/>
          <w:bCs w:val="1"/>
          <w:color w:val="auto"/>
        </w:rPr>
        <w:t>U.K. JV Shareholder</w:t>
      </w:r>
      <w:r>
        <w:rPr>
          <w:rFonts w:ascii="Arial" w:cs="Arial" w:eastAsia="Arial" w:hAnsi="Arial"/>
          <w:sz w:val="18"/>
          <w:szCs w:val="18"/>
          <w:color w:val="auto"/>
        </w:rPr>
        <w:t>”) holds 50% of the issued share capital of the VMO2 JV</w:t>
      </w:r>
      <w:r>
        <w:rPr>
          <w:rFonts w:ascii="Arial" w:cs="Arial" w:eastAsia="Arial" w:hAnsi="Arial"/>
          <w:sz w:val="18"/>
          <w:szCs w:val="18"/>
          <w:i w:val="1"/>
          <w:iCs w:val="1"/>
          <w:color w:val="auto"/>
        </w:rPr>
        <w:t>.</w:t>
      </w:r>
      <w:r>
        <w:rPr>
          <w:rFonts w:ascii="Arial" w:cs="Arial" w:eastAsia="Arial" w:hAnsi="Arial"/>
          <w:sz w:val="18"/>
          <w:szCs w:val="18"/>
          <w:color w:val="auto"/>
        </w:rPr>
        <w:t xml:space="preserve"> The U.K. JV Shareholders intend for the VMO2 JV to be funded solely from its net cash flows from operations and third-party financing. We account for our 50% interest in the VMO2 JV as an equity method investment and consider the VMO2 JV to be a related party. For additional information regarding the U.K. JV Transaction, see note 4.</w:t>
      </w:r>
    </w:p>
    <w:p>
      <w:pPr>
        <w:spacing w:after="0" w:line="210"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U.K. JV Framework Agreement</w:t>
      </w:r>
      <w:r>
        <w:rPr>
          <w:rFonts w:ascii="Arial" w:cs="Arial" w:eastAsia="Arial" w:hAnsi="Arial"/>
          <w:sz w:val="17"/>
          <w:szCs w:val="17"/>
          <w:color w:val="auto"/>
        </w:rPr>
        <w:t xml:space="preserve">), Liberty Global provides certain services to the VMO2 JV on a transitional or ongoing basis (collectively, the </w:t>
      </w:r>
      <w:r>
        <w:rPr>
          <w:rFonts w:ascii="Arial" w:cs="Arial" w:eastAsia="Arial" w:hAnsi="Arial"/>
          <w:sz w:val="17"/>
          <w:szCs w:val="17"/>
          <w:b w:val="1"/>
          <w:bCs w:val="1"/>
          <w:color w:val="auto"/>
        </w:rPr>
        <w:t>U.K. JV Services</w:t>
      </w:r>
      <w:r>
        <w:rPr>
          <w:rFonts w:ascii="Arial" w:cs="Arial" w:eastAsia="Arial" w:hAnsi="Arial"/>
          <w:sz w:val="17"/>
          <w:szCs w:val="17"/>
          <w:color w:val="auto"/>
        </w:rPr>
        <w:t>).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During the three months ended March 31, 2022, we recorded revenue of $68.7 million related to the U.K. JV Services. At March 31, 2022 and December 31, 2021, $35.0 million and $43.3 million, respectively, was due from the VMO2 JV, primarily related to (a) services performed under the U.K. JV Framework Agreement and (b) amounts incurred by Liberty Global for certain equipment and licenses purchased on behalf of the VMO2 JV. Amounts due from the VMO2 JV are periodically cash settled and are included in other current assets on our condensed consolidated balance sheets.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VMO2 JV for the three months ended March 31, 2022 are set forth below (in millions):</w:t>
      </w:r>
    </w:p>
    <w:p>
      <w:pPr>
        <w:spacing w:after="0" w:line="137"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9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8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Earnings before income taxes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380" w:type="dxa"/>
            <w:vAlign w:val="bottom"/>
            <w:vMerge w:val="continue"/>
          </w:tcPr>
          <w:p>
            <w:pPr>
              <w:spacing w:after="0"/>
              <w:rPr>
                <w:sz w:val="17"/>
                <w:szCs w:val="17"/>
                <w:color w:val="auto"/>
              </w:rPr>
            </w:pPr>
          </w:p>
        </w:tc>
        <w:tc>
          <w:tcPr>
            <w:tcW w:w="840" w:type="dxa"/>
            <w:vAlign w:val="bottom"/>
            <w:tcBorders>
              <w:bottom w:val="single" w:sz="8" w:color="auto"/>
            </w:tcBorders>
          </w:tcPr>
          <w:p>
            <w:pPr>
              <w:jc w:val="right"/>
              <w:ind w:right="332"/>
              <w:spacing w:after="0" w:line="198"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9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38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Net earnings</w:t>
            </w:r>
          </w:p>
        </w:tc>
        <w:tc>
          <w:tcPr>
            <w:tcW w:w="8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VodafoneZiggo JV</w:t>
      </w:r>
    </w:p>
    <w:p>
      <w:pPr>
        <w:spacing w:after="0" w:line="238"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NL JV Framework Agreement</w:t>
      </w:r>
      <w:r>
        <w:rPr>
          <w:rFonts w:ascii="Arial" w:cs="Arial" w:eastAsia="Arial" w:hAnsi="Arial"/>
          <w:sz w:val="17"/>
          <w:szCs w:val="17"/>
          <w:color w:val="auto"/>
        </w:rPr>
        <w:t xml:space="preserve">), Liberty Global provides certain services to the VodafoneZiggo JV (collectively, the </w:t>
      </w:r>
      <w:r>
        <w:rPr>
          <w:rFonts w:ascii="Arial" w:cs="Arial" w:eastAsia="Arial" w:hAnsi="Arial"/>
          <w:sz w:val="17"/>
          <w:szCs w:val="17"/>
          <w:b w:val="1"/>
          <w:bCs w:val="1"/>
          <w:color w:val="auto"/>
        </w:rPr>
        <w:t>NL</w:t>
      </w:r>
      <w:r>
        <w:rPr>
          <w:rFonts w:ascii="Arial" w:cs="Arial" w:eastAsia="Arial" w:hAnsi="Arial"/>
          <w:sz w:val="17"/>
          <w:szCs w:val="17"/>
          <w:color w:val="auto"/>
        </w:rPr>
        <w:t xml:space="preserve"> </w:t>
      </w:r>
      <w:r>
        <w:rPr>
          <w:rFonts w:ascii="Arial" w:cs="Arial" w:eastAsia="Arial" w:hAnsi="Arial"/>
          <w:sz w:val="17"/>
          <w:szCs w:val="17"/>
          <w:b w:val="1"/>
          <w:bCs w:val="1"/>
          <w:color w:val="auto"/>
        </w:rPr>
        <w:t>JV Services</w:t>
      </w:r>
      <w:r>
        <w:rPr>
          <w:rFonts w:ascii="Arial" w:cs="Arial" w:eastAsia="Arial" w:hAnsi="Arial"/>
          <w:sz w:val="17"/>
          <w:szCs w:val="17"/>
          <w:color w:val="auto"/>
        </w:rPr>
        <w:t>). The NL JV Services provided by Liberty Global consist primarily of (i) technology and other services and (ii) capital-related expenditures for</w:t>
      </w:r>
      <w:r>
        <w:rPr>
          <w:rFonts w:ascii="Arial" w:cs="Arial" w:eastAsia="Arial" w:hAnsi="Arial"/>
          <w:sz w:val="17"/>
          <w:szCs w:val="17"/>
          <w:b w:val="1"/>
          <w:bCs w:val="1"/>
          <w:color w:val="auto"/>
        </w:rPr>
        <w:t xml:space="preserve"> </w:t>
      </w:r>
      <w:r>
        <w:rPr>
          <w:rFonts w:ascii="Arial" w:cs="Arial" w:eastAsia="Arial" w:hAnsi="Arial"/>
          <w:sz w:val="17"/>
          <w:szCs w:val="17"/>
          <w:color w:val="auto"/>
        </w:rPr>
        <w:t>assets that will be used by, or will otherwise benefit, the VodafoneZiggo JV. Liberty Global charges both fixed and usage-based fees to the VodafoneZiggo JV for the NL JV Services provided during the term of the NL JV Framework Agreement. During the three months ended March 31, 2022 and 2021, we recorded revenue from the VodafoneZiggo JV of $60.0 million and $50.7 million, respectively, primarily related to (a) the NL JV Services and (b) the sale of customer premises equipment at a mark-up. At March 31, 2022 and December 31, 2021, $37.0 million and $62.5 million, respectively, were due from the VodafoneZiggo JV related to the aforementioned transactions. Amounts due from the VodafoneZiggo JV are periodically cash settled and are included in other current assets on our condensed consolidated balance sheets. In addition, during the three months ended March 31, 2022, we received a dividend distribution from the VodafoneZiggo JV of $94.8 million, which was accounted for as a return on capital for purposes of our condensed consolidated statement of cash flows.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6"/>
                <w:szCs w:val="16"/>
                <w:b w:val="1"/>
                <w:bCs w:val="1"/>
                <w:color w:val="auto"/>
                <w:w w:val="90"/>
              </w:rPr>
              <w:t>Three months ended March 31,</w:t>
            </w:r>
          </w:p>
        </w:tc>
        <w:tc>
          <w:tcPr>
            <w:tcW w:w="0" w:type="dxa"/>
            <w:vAlign w:val="bottom"/>
          </w:tcPr>
          <w:p>
            <w:pPr>
              <w:spacing w:after="0"/>
              <w:rPr>
                <w:sz w:val="1"/>
                <w:szCs w:val="1"/>
                <w:color w:val="auto"/>
              </w:rPr>
            </w:pPr>
          </w:p>
        </w:tc>
      </w:tr>
      <w:tr>
        <w:trPr>
          <w:trHeight w:val="206"/>
        </w:trPr>
        <w:tc>
          <w:tcPr>
            <w:tcW w:w="8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8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7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127.0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realized and unrealized gains (losses) due to changes in fair value, net:</w:t>
      </w:r>
    </w:p>
    <w:p>
      <w:pPr>
        <w:spacing w:after="0" w:line="129"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202"/>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150"/>
        </w:trPr>
        <w:tc>
          <w:tcPr>
            <w:tcW w:w="8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Pax8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Skillz Inc. (</w:t>
            </w:r>
            <w:r>
              <w:rPr>
                <w:rFonts w:ascii="Arial" w:cs="Arial" w:eastAsia="Arial" w:hAnsi="Arial"/>
                <w:sz w:val="18"/>
                <w:szCs w:val="18"/>
                <w:b w:val="1"/>
                <w:bCs w:val="1"/>
                <w:color w:val="auto"/>
              </w:rPr>
              <w:t>Skillz</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EdgeConneX</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Plume</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8"/>
        </w:trPr>
        <w:tc>
          <w:tcPr>
            <w:tcW w:w="860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 Securities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March 31, 2022 and December 31, 2021, all of our SMAs were composed of debt securities, which are summarized in the following tables: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340" w:type="dxa"/>
            <w:vAlign w:val="bottom"/>
            <w:gridSpan w:val="4"/>
          </w:tcPr>
          <w:p>
            <w:pPr>
              <w:ind w:left="100"/>
              <w:spacing w:after="0" w:line="155" w:lineRule="exact"/>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basis</w:t>
            </w: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85"/>
              </w:rPr>
              <w:t>unrealized losses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8"/>
        </w:trPr>
        <w:tc>
          <w:tcPr>
            <w:tcW w:w="7220" w:type="dxa"/>
            <w:vAlign w:val="bottom"/>
          </w:tcPr>
          <w:p>
            <w:pPr>
              <w:ind w:left="180"/>
              <w:spacing w:after="0" w:line="204" w:lineRule="exact"/>
              <w:rPr>
                <w:sz w:val="20"/>
                <w:szCs w:val="20"/>
                <w:color w:val="auto"/>
              </w:rPr>
            </w:pPr>
            <w:r>
              <w:rPr>
                <w:rFonts w:ascii="Arial" w:cs="Arial" w:eastAsia="Arial" w:hAnsi="Arial"/>
                <w:sz w:val="18"/>
                <w:szCs w:val="18"/>
                <w:color w:val="auto"/>
              </w:rPr>
              <w:t>Total debt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2,332.6</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right"/>
              <w:ind w:right="100"/>
              <w:spacing w:after="0" w:line="155" w:lineRule="exact"/>
              <w:rPr>
                <w:sz w:val="20"/>
                <w:szCs w:val="20"/>
                <w:color w:val="auto"/>
              </w:rPr>
            </w:pPr>
            <w:r>
              <w:rPr>
                <w:rFonts w:ascii="Arial" w:cs="Arial" w:eastAsia="Arial" w:hAnsi="Arial"/>
                <w:sz w:val="16"/>
                <w:szCs w:val="16"/>
                <w:b w:val="1"/>
                <w:bCs w:val="1"/>
                <w:color w:val="auto"/>
                <w:w w:val="95"/>
              </w:rPr>
              <w:t>Amortized 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basis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4"/>
              </w:rPr>
              <w:t>unrealized losses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in millions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705.5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8"/>
        </w:trPr>
        <w:tc>
          <w:tcPr>
            <w:tcW w:w="7220" w:type="dxa"/>
            <w:vAlign w:val="bottom"/>
          </w:tcPr>
          <w:p>
            <w:pPr>
              <w:ind w:left="180"/>
              <w:spacing w:after="0" w:line="204" w:lineRule="exact"/>
              <w:rPr>
                <w:sz w:val="20"/>
                <w:szCs w:val="20"/>
                <w:color w:val="auto"/>
              </w:rPr>
            </w:pPr>
            <w:r>
              <w:rPr>
                <w:rFonts w:ascii="Arial" w:cs="Arial" w:eastAsia="Arial" w:hAnsi="Arial"/>
                <w:sz w:val="18"/>
                <w:szCs w:val="18"/>
                <w:color w:val="auto"/>
              </w:rPr>
              <w:t>Total debt securities</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2,806.3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received proceeds from the sale of debt securities of $2.6 billion and $1.5 billion during the three months ended March 31, 2022 and 2021, respectively, the majority of which were reinvested in new debt securities held under SMAs. The sale of debt securities resulted in realized net losses of $3.4 million and $1.3 million during the three months ended March 31, 2022 and 2021,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19"/>
                <w:szCs w:val="19"/>
                <w:color w:val="auto"/>
              </w:rPr>
            </w:pPr>
          </w:p>
        </w:tc>
        <w:tc>
          <w:tcPr>
            <w:tcW w:w="9640" w:type="dxa"/>
            <w:vAlign w:val="bottom"/>
          </w:tcPr>
          <w:p>
            <w:pPr>
              <w:ind w:left="60"/>
              <w:spacing w:after="0"/>
              <w:rPr>
                <w:sz w:val="20"/>
                <w:szCs w:val="20"/>
                <w:color w:val="auto"/>
              </w:rPr>
            </w:pPr>
            <w:r>
              <w:rPr>
                <w:rFonts w:ascii="Arial" w:cs="Arial" w:eastAsia="Arial" w:hAnsi="Arial"/>
                <w:sz w:val="18"/>
                <w:szCs w:val="18"/>
                <w:color w:val="auto"/>
              </w:rPr>
              <w:t>The fair value of our debt securities as of March 31, 2022 by contractual maturity are shown below (in millions):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9900" w:type="dxa"/>
            <w:vAlign w:val="bottom"/>
            <w:gridSpan w:val="2"/>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1,958.2</w:t>
            </w:r>
          </w:p>
        </w:tc>
        <w:tc>
          <w:tcPr>
            <w:tcW w:w="0" w:type="dxa"/>
            <w:vAlign w:val="bottom"/>
          </w:tcPr>
          <w:p>
            <w:pPr>
              <w:spacing w:after="0"/>
              <w:rPr>
                <w:sz w:val="1"/>
                <w:szCs w:val="1"/>
                <w:color w:val="auto"/>
              </w:rPr>
            </w:pPr>
          </w:p>
        </w:tc>
      </w:tr>
      <w:tr>
        <w:trPr>
          <w:trHeight w:val="225"/>
        </w:trPr>
        <w:tc>
          <w:tcPr>
            <w:tcW w:w="9900" w:type="dxa"/>
            <w:vAlign w:val="bottom"/>
            <w:gridSpan w:val="2"/>
          </w:tcPr>
          <w:p>
            <w:pPr>
              <w:ind w:left="20"/>
              <w:spacing w:after="0"/>
              <w:rPr>
                <w:sz w:val="20"/>
                <w:szCs w:val="20"/>
                <w:color w:val="auto"/>
              </w:rPr>
            </w:pPr>
            <w:r>
              <w:rPr>
                <w:rFonts w:ascii="Arial" w:cs="Arial" w:eastAsia="Arial" w:hAnsi="Arial"/>
                <w:sz w:val="18"/>
                <w:szCs w:val="18"/>
                <w:color w:val="auto"/>
              </w:rPr>
              <w:t>Due in one to five years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26"/>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9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Due after ten years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9900" w:type="dxa"/>
            <w:vAlign w:val="bottom"/>
            <w:tcBorders>
              <w:bottom w:val="single" w:sz="8" w:color="CCEEFF"/>
            </w:tcBorders>
            <w:gridSpan w:val="2"/>
            <w:shd w:val="clear" w:color="auto" w:fill="CCEEFF"/>
          </w:tcPr>
          <w:p>
            <w:pPr>
              <w:ind w:left="180"/>
              <w:spacing w:after="0" w:line="205" w:lineRule="exact"/>
              <w:rPr>
                <w:sz w:val="20"/>
                <w:szCs w:val="20"/>
                <w:color w:val="auto"/>
              </w:rPr>
            </w:pPr>
            <w:r>
              <w:rPr>
                <w:rFonts w:ascii="Arial" w:cs="Arial" w:eastAsia="Arial" w:hAnsi="Arial"/>
                <w:sz w:val="18"/>
                <w:szCs w:val="18"/>
                <w:color w:val="auto"/>
              </w:rPr>
              <w:t>Total (a)</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2,332.6</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9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60" w:type="dxa"/>
            <w:vAlign w:val="bottom"/>
          </w:tcPr>
          <w:p>
            <w:pPr>
              <w:spacing w:after="0"/>
              <w:rPr>
                <w:sz w:val="20"/>
                <w:szCs w:val="20"/>
                <w:color w:val="auto"/>
              </w:rPr>
            </w:pPr>
            <w:r>
              <w:rPr>
                <w:rFonts w:ascii="Arial" w:cs="Arial" w:eastAsia="Arial" w:hAnsi="Arial"/>
                <w:sz w:val="18"/>
                <w:szCs w:val="18"/>
                <w:color w:val="auto"/>
              </w:rPr>
              <w:t>(a)</w:t>
            </w:r>
          </w:p>
        </w:tc>
        <w:tc>
          <w:tcPr>
            <w:tcW w:w="9640" w:type="dxa"/>
            <w:vAlign w:val="bottom"/>
          </w:tcPr>
          <w:p>
            <w:pPr>
              <w:ind w:left="220"/>
              <w:spacing w:after="0"/>
              <w:rPr>
                <w:sz w:val="20"/>
                <w:szCs w:val="20"/>
                <w:color w:val="auto"/>
              </w:rPr>
            </w:pPr>
            <w:r>
              <w:rPr>
                <w:rFonts w:ascii="Arial" w:cs="Arial" w:eastAsia="Arial" w:hAnsi="Arial"/>
                <w:sz w:val="18"/>
                <w:szCs w:val="18"/>
                <w:color w:val="auto"/>
              </w:rPr>
              <w:t>The weighted average life of our total debt securities was 0.5 years as of March 31, 2022.</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80" w:hanging="374"/>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the Swiss franc (</w:t>
      </w:r>
      <w:r>
        <w:rPr>
          <w:rFonts w:ascii="Arial" w:cs="Arial" w:eastAsia="Arial" w:hAnsi="Arial"/>
          <w:sz w:val="18"/>
          <w:szCs w:val="18"/>
          <w:b w:val="1"/>
          <w:bCs w:val="1"/>
          <w:color w:val="auto"/>
        </w:rPr>
        <w:t>CHF</w:t>
      </w:r>
      <w:r>
        <w:rPr>
          <w:rFonts w:ascii="Arial" w:cs="Arial" w:eastAsia="Arial" w:hAnsi="Arial"/>
          <w:sz w:val="18"/>
          <w:szCs w:val="18"/>
          <w:color w:val="auto"/>
        </w:rPr>
        <w:t>) and the Polish zloty (</w:t>
      </w:r>
      <w:r>
        <w:rPr>
          <w:rFonts w:ascii="Arial" w:cs="Arial" w:eastAsia="Arial" w:hAnsi="Arial"/>
          <w:sz w:val="18"/>
          <w:szCs w:val="18"/>
          <w:b w:val="1"/>
          <w:bCs w:val="1"/>
          <w:color w:val="auto"/>
        </w:rPr>
        <w:t>PLN</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6"/>
        </w:trPr>
        <w:tc>
          <w:tcPr>
            <w:tcW w:w="4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Current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Long-term</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Total</w:t>
            </w:r>
          </w:p>
        </w:tc>
      </w:t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92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420.2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637.8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379.2</w:t>
            </w:r>
          </w:p>
        </w:tc>
      </w:tr>
      <w:tr>
        <w:trPr>
          <w:trHeight w:val="22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5"/>
        </w:trPr>
        <w:tc>
          <w:tcPr>
            <w:tcW w:w="414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92"/>
        </w:trPr>
        <w:tc>
          <w:tcPr>
            <w:tcW w:w="4140" w:type="dxa"/>
            <w:vAlign w:val="bottom"/>
          </w:tcPr>
          <w:p>
            <w:pPr>
              <w:jc w:val="center"/>
              <w:ind w:right="3012"/>
              <w:spacing w:after="0" w:line="192" w:lineRule="exact"/>
              <w:rPr>
                <w:sz w:val="20"/>
                <w:szCs w:val="20"/>
                <w:color w:val="auto"/>
              </w:rPr>
            </w:pPr>
            <w:r>
              <w:rPr>
                <w:rFonts w:ascii="Arial" w:cs="Arial" w:eastAsia="Arial" w:hAnsi="Arial"/>
                <w:sz w:val="18"/>
                <w:szCs w:val="18"/>
                <w:color w:val="auto"/>
                <w:w w:val="89"/>
              </w:rPr>
              <w:t>Total</w:t>
            </w:r>
          </w:p>
        </w:tc>
        <w:tc>
          <w:tcPr>
            <w:tcW w:w="18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2" w:lineRule="exact"/>
              <w:rPr>
                <w:sz w:val="20"/>
                <w:szCs w:val="20"/>
                <w:color w:val="auto"/>
              </w:rPr>
            </w:pPr>
            <w:r>
              <w:rPr>
                <w:rFonts w:ascii="Arial" w:cs="Arial" w:eastAsia="Arial" w:hAnsi="Arial"/>
                <w:sz w:val="18"/>
                <w:szCs w:val="18"/>
                <w:color w:val="auto"/>
              </w:rPr>
              <w:t>269.7</w:t>
            </w:r>
          </w:p>
        </w:tc>
        <w:tc>
          <w:tcPr>
            <w:tcW w:w="100" w:type="dxa"/>
            <w:vAlign w:val="bottom"/>
          </w:tcPr>
          <w:p>
            <w:pPr>
              <w:spacing w:after="0"/>
              <w:rPr>
                <w:sz w:val="16"/>
                <w:szCs w:val="16"/>
                <w:color w:val="auto"/>
              </w:rPr>
            </w:pPr>
          </w:p>
        </w:tc>
        <w:tc>
          <w:tcPr>
            <w:tcW w:w="140" w:type="dxa"/>
            <w:vAlign w:val="bottom"/>
          </w:tcPr>
          <w:p>
            <w:pPr>
              <w:ind w:left="20"/>
              <w:spacing w:after="0" w:line="19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534.3</w:t>
            </w:r>
          </w:p>
        </w:tc>
        <w:tc>
          <w:tcPr>
            <w:tcW w:w="100" w:type="dxa"/>
            <w:vAlign w:val="bottom"/>
          </w:tcPr>
          <w:p>
            <w:pPr>
              <w:spacing w:after="0"/>
              <w:rPr>
                <w:sz w:val="16"/>
                <w:szCs w:val="16"/>
                <w:color w:val="auto"/>
              </w:rPr>
            </w:pPr>
          </w:p>
        </w:tc>
        <w:tc>
          <w:tcPr>
            <w:tcW w:w="240" w:type="dxa"/>
            <w:vAlign w:val="bottom"/>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2" w:lineRule="exact"/>
              <w:rPr>
                <w:sz w:val="20"/>
                <w:szCs w:val="20"/>
                <w:color w:val="auto"/>
              </w:rPr>
            </w:pPr>
            <w:r>
              <w:rPr>
                <w:rFonts w:ascii="Arial" w:cs="Arial" w:eastAsia="Arial" w:hAnsi="Arial"/>
                <w:sz w:val="18"/>
                <w:szCs w:val="18"/>
                <w:color w:val="auto"/>
              </w:rPr>
              <w:t>804.0</w:t>
            </w:r>
          </w:p>
        </w:tc>
        <w:tc>
          <w:tcPr>
            <w:tcW w:w="120" w:type="dxa"/>
            <w:vAlign w:val="bottom"/>
          </w:tcPr>
          <w:p>
            <w:pPr>
              <w:spacing w:after="0"/>
              <w:rPr>
                <w:sz w:val="16"/>
                <w:szCs w:val="16"/>
                <w:color w:val="auto"/>
              </w:rPr>
            </w:pPr>
          </w:p>
        </w:tc>
        <w:tc>
          <w:tcPr>
            <w:tcW w:w="18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2" w:lineRule="exact"/>
              <w:rPr>
                <w:sz w:val="20"/>
                <w:szCs w:val="20"/>
                <w:color w:val="auto"/>
              </w:rPr>
            </w:pPr>
            <w:r>
              <w:rPr>
                <w:rFonts w:ascii="Arial" w:cs="Arial" w:eastAsia="Arial" w:hAnsi="Arial"/>
                <w:sz w:val="18"/>
                <w:szCs w:val="18"/>
                <w:color w:val="auto"/>
              </w:rPr>
              <w:t>244.3</w:t>
            </w:r>
          </w:p>
        </w:tc>
        <w:tc>
          <w:tcPr>
            <w:tcW w:w="24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278.1</w:t>
            </w:r>
          </w:p>
        </w:tc>
        <w:tc>
          <w:tcPr>
            <w:tcW w:w="100" w:type="dxa"/>
            <w:vAlign w:val="bottom"/>
          </w:tcPr>
          <w:p>
            <w:pPr>
              <w:spacing w:after="0"/>
              <w:rPr>
                <w:sz w:val="16"/>
                <w:szCs w:val="16"/>
                <w:color w:val="auto"/>
              </w:rPr>
            </w:pPr>
          </w:p>
        </w:tc>
        <w:tc>
          <w:tcPr>
            <w:tcW w:w="240" w:type="dxa"/>
            <w:vAlign w:val="bottom"/>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2" w:lineRule="exact"/>
              <w:rPr>
                <w:sz w:val="20"/>
                <w:szCs w:val="20"/>
                <w:color w:val="auto"/>
              </w:rPr>
            </w:pPr>
            <w:r>
              <w:rPr>
                <w:rFonts w:ascii="Arial" w:cs="Arial" w:eastAsia="Arial" w:hAnsi="Arial"/>
                <w:sz w:val="18"/>
                <w:szCs w:val="18"/>
                <w:color w:val="auto"/>
              </w:rPr>
              <w:t>522.4</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4140" w:type="dxa"/>
            <w:vAlign w:val="bottom"/>
            <w:shd w:val="clear" w:color="auto" w:fill="CCEEFF"/>
          </w:tcPr>
          <w:p>
            <w:pPr>
              <w:jc w:val="center"/>
              <w:ind w:right="3012"/>
              <w:spacing w:after="0" w:line="192" w:lineRule="exact"/>
              <w:rPr>
                <w:sz w:val="20"/>
                <w:szCs w:val="20"/>
                <w:color w:val="auto"/>
              </w:rPr>
            </w:pPr>
            <w:r>
              <w:rPr>
                <w:rFonts w:ascii="Arial" w:cs="Arial" w:eastAsia="Arial" w:hAnsi="Arial"/>
                <w:sz w:val="18"/>
                <w:szCs w:val="18"/>
                <w:color w:val="auto"/>
                <w:w w:val="94"/>
              </w:rPr>
              <w:t>Liabilities (a):</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92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879.0</w:t>
            </w:r>
          </w:p>
        </w:tc>
      </w:tr>
      <w:tr>
        <w:trPr>
          <w:trHeight w:val="22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8"/>
        </w:trPr>
        <w:tc>
          <w:tcPr>
            <w:tcW w:w="4140" w:type="dxa"/>
            <w:vAlign w:val="bottom"/>
          </w:tcPr>
          <w:p>
            <w:pPr>
              <w:jc w:val="center"/>
              <w:ind w:right="3012"/>
              <w:spacing w:after="0" w:line="204" w:lineRule="exact"/>
              <w:rPr>
                <w:sz w:val="20"/>
                <w:szCs w:val="20"/>
                <w:color w:val="auto"/>
              </w:rPr>
            </w:pPr>
            <w:r>
              <w:rPr>
                <w:rFonts w:ascii="Arial" w:cs="Arial" w:eastAsia="Arial" w:hAnsi="Arial"/>
                <w:sz w:val="18"/>
                <w:szCs w:val="18"/>
                <w:color w:val="auto"/>
                <w:w w:val="89"/>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601.2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892.0</w:t>
            </w:r>
          </w:p>
        </w:tc>
      </w:tr>
      <w:tr>
        <w:trPr>
          <w:trHeight w:val="20"/>
        </w:trPr>
        <w:tc>
          <w:tcPr>
            <w:tcW w:w="4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derivative assets, long-term derivative assets and long-term derivative liabilities are included in other current assets, other assets, net, and other long-term liabilities, respectively, on our condensed consolidated balance sheets. For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information regarding certain financing transactions completed subsequent to March 31, 2022 that impacted our derivative instruments, see note 17.</w:t>
      </w:r>
    </w:p>
    <w:p>
      <w:pPr>
        <w:spacing w:after="0" w:line="278" w:lineRule="exact"/>
        <w:rPr>
          <w:sz w:val="20"/>
          <w:szCs w:val="20"/>
          <w:color w:val="auto"/>
        </w:rPr>
      </w:pPr>
    </w:p>
    <w:p>
      <w:pPr>
        <w:jc w:val="both"/>
        <w:ind w:left="480" w:hanging="474"/>
        <w:spacing w:after="0" w:line="249" w:lineRule="auto"/>
        <w:tabs>
          <w:tab w:leader="none" w:pos="4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(loss) of $4.5 million and ($39.0 million) during the three months ended March 31, 2022 and 2021, respectively. These amounts are included in realized and unrealized gains on derivative instruments, net, in our condensed consolidated statements of operations. For further information regarding our fair value measurements, see note 7.</w:t>
      </w:r>
    </w:p>
    <w:p>
      <w:pPr>
        <w:spacing w:after="0" w:line="222" w:lineRule="exact"/>
        <w:rPr>
          <w:rFonts w:ascii="Arial" w:cs="Arial" w:eastAsia="Arial" w:hAnsi="Arial"/>
          <w:sz w:val="18"/>
          <w:szCs w:val="18"/>
          <w:color w:val="auto"/>
        </w:rPr>
      </w:pPr>
    </w:p>
    <w:p>
      <w:pPr>
        <w:ind w:left="480" w:hanging="47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equity-related derivative instruments include warrants on our investment in Plume.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realized and unrealized gains on derivative instruments, net, are as follows:</w:t>
      </w:r>
    </w:p>
    <w:p>
      <w:pPr>
        <w:spacing w:after="0" w:line="129"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Three months ended</w:t>
      </w:r>
    </w:p>
    <w:p>
      <w:pPr>
        <w:jc w:val="center"/>
        <w:ind w:left="85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3"/>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w:t>
            </w:r>
          </w:p>
        </w:tc>
      </w:tr>
      <w:tr>
        <w:trPr>
          <w:trHeight w:val="205"/>
        </w:trPr>
        <w:tc>
          <w:tcPr>
            <w:tcW w:w="8600" w:type="dxa"/>
            <w:vAlign w:val="bottom"/>
          </w:tcPr>
          <w:p>
            <w:pPr>
              <w:ind w:left="20"/>
              <w:spacing w:after="0" w:line="204" w:lineRule="exact"/>
              <w:rPr>
                <w:sz w:val="20"/>
                <w:szCs w:val="20"/>
                <w:color w:val="auto"/>
              </w:rPr>
            </w:pPr>
            <w:r>
              <w:rPr>
                <w:rFonts w:ascii="Arial" w:cs="Arial" w:eastAsia="Arial" w:hAnsi="Arial"/>
                <w:sz w:val="18"/>
                <w:szCs w:val="18"/>
                <w:color w:val="auto"/>
              </w:rPr>
              <w:t>Equity-related derivative instruments: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5"/>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19"/>
        </w:trPr>
        <w:tc>
          <w:tcPr>
            <w:tcW w:w="860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equity-related derivative instruments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8"/>
        </w:trPr>
        <w:tc>
          <w:tcPr>
            <w:tcW w:w="860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9"/>
        </w:trPr>
        <w:tc>
          <w:tcPr>
            <w:tcW w:w="8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6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outflows of our derivative instruments:</w:t>
      </w:r>
    </w:p>
    <w:p>
      <w:pPr>
        <w:spacing w:after="0" w:line="100"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Three months ended</w:t>
      </w:r>
    </w:p>
    <w:p>
      <w:pPr>
        <w:jc w:val="center"/>
        <w:ind w:left="866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3"/>
        </w:trPr>
        <w:tc>
          <w:tcPr>
            <w:tcW w:w="8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8"/>
        </w:trPr>
        <w:tc>
          <w:tcPr>
            <w:tcW w:w="868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r>
      <w:tr>
        <w:trPr>
          <w:trHeight w:val="20"/>
        </w:trPr>
        <w:tc>
          <w:tcPr>
            <w:tcW w:w="8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Collateral is generally not posted by either party under our derivative instruments. At March 31, 2022, our exposure to counterparty credit risk included derivative assets with an aggregate fair value of $284.6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March 31, 2022,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March 31,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jc w:val="right"/>
              <w:ind w:right="493"/>
              <w:spacing w:after="0"/>
              <w:rPr>
                <w:sz w:val="20"/>
                <w:szCs w:val="20"/>
                <w:color w:val="auto"/>
              </w:rPr>
            </w:pPr>
            <w:r>
              <w:rPr>
                <w:rFonts w:ascii="Arial" w:cs="Arial" w:eastAsia="Arial" w:hAnsi="Arial"/>
                <w:sz w:val="16"/>
                <w:szCs w:val="16"/>
                <w:b w:val="1"/>
                <w:bCs w:val="1"/>
                <w:color w:val="auto"/>
                <w:w w:val="96"/>
              </w:rPr>
              <w:t>Notional amount</w:t>
            </w:r>
          </w:p>
        </w:tc>
        <w:tc>
          <w:tcPr>
            <w:tcW w:w="5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6"/>
                <w:szCs w:val="16"/>
                <w:b w:val="1"/>
                <w:bCs w:val="1"/>
                <w:color w:val="auto"/>
              </w:rPr>
              <w:t>Notional amount</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w:t>
            </w:r>
          </w:p>
        </w:tc>
      </w:tr>
      <w:tr>
        <w:trPr>
          <w:trHeight w:val="210"/>
        </w:trPr>
        <w:tc>
          <w:tcPr>
            <w:tcW w:w="4520" w:type="dxa"/>
            <w:vAlign w:val="bottom"/>
          </w:tcPr>
          <w:p>
            <w:pPr>
              <w:spacing w:after="0"/>
              <w:rPr>
                <w:sz w:val="18"/>
                <w:szCs w:val="18"/>
                <w:color w:val="auto"/>
              </w:rPr>
            </w:pPr>
          </w:p>
        </w:tc>
        <w:tc>
          <w:tcPr>
            <w:tcW w:w="226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6"/>
                <w:szCs w:val="16"/>
                <w:b w:val="1"/>
                <w:bCs w:val="1"/>
                <w:color w:val="auto"/>
              </w:rPr>
              <w:t>due from counterparty</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due to counterparty</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3"/>
        </w:trPr>
        <w:tc>
          <w:tcPr>
            <w:tcW w:w="4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gridSpan w:val="2"/>
          </w:tcPr>
          <w:p>
            <w:pPr>
              <w:ind w:left="1320"/>
              <w:spacing w:after="0"/>
              <w:rPr>
                <w:sz w:val="20"/>
                <w:szCs w:val="20"/>
                <w:color w:val="auto"/>
              </w:rPr>
            </w:pPr>
            <w:r>
              <w:rPr>
                <w:rFonts w:ascii="Arial" w:cs="Arial" w:eastAsia="Arial" w:hAnsi="Arial"/>
                <w:sz w:val="16"/>
                <w:szCs w:val="16"/>
                <w:b w:val="1"/>
                <w:bCs w:val="1"/>
                <w:color w:val="auto"/>
              </w:rPr>
              <w:t>in millions</w:t>
            </w: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5"/>
              </w:rPr>
              <w:t>in years</w:t>
            </w:r>
          </w:p>
        </w:tc>
      </w:tr>
      <w:tr>
        <w:trPr>
          <w:trHeight w:val="203"/>
        </w:trPr>
        <w:tc>
          <w:tcPr>
            <w:tcW w:w="4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360.0</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r>
      <w:tr>
        <w:trPr>
          <w:trHeight w:val="225"/>
        </w:trPr>
        <w:tc>
          <w:tcPr>
            <w:tcW w:w="45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4,650.0</w:t>
            </w:r>
          </w:p>
        </w:tc>
        <w:tc>
          <w:tcPr>
            <w:tcW w:w="520" w:type="dxa"/>
            <w:vAlign w:val="bottom"/>
          </w:tcPr>
          <w:p>
            <w:pPr>
              <w:ind w:left="120"/>
              <w:spacing w:after="0"/>
              <w:rPr>
                <w:sz w:val="20"/>
                <w:szCs w:val="20"/>
                <w:color w:val="auto"/>
              </w:rPr>
            </w:pPr>
            <w:r>
              <w:rPr>
                <w:rFonts w:ascii="Arial" w:cs="Arial" w:eastAsia="Arial" w:hAnsi="Arial"/>
                <w:sz w:val="18"/>
                <w:szCs w:val="18"/>
                <w:color w:val="auto"/>
              </w:rPr>
              <w:t>CHF</w:t>
            </w:r>
          </w:p>
        </w:tc>
        <w:tc>
          <w:tcPr>
            <w:tcW w:w="1440" w:type="dxa"/>
            <w:vAlign w:val="bottom"/>
          </w:tcPr>
          <w:p>
            <w:pPr>
              <w:jc w:val="right"/>
              <w:spacing w:after="0"/>
              <w:rPr>
                <w:sz w:val="20"/>
                <w:szCs w:val="20"/>
                <w:color w:val="auto"/>
              </w:rPr>
            </w:pPr>
            <w:r>
              <w:rPr>
                <w:rFonts w:ascii="Arial" w:cs="Arial" w:eastAsia="Arial" w:hAnsi="Arial"/>
                <w:sz w:val="18"/>
                <w:szCs w:val="18"/>
                <w:color w:val="auto"/>
              </w:rPr>
              <w:t>4,256.9</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6.1</w:t>
            </w:r>
          </w:p>
        </w:tc>
      </w:tr>
      <w:tr>
        <w:trPr>
          <w:trHeight w:val="226"/>
        </w:trPr>
        <w:tc>
          <w:tcPr>
            <w:tcW w:w="45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2,650.0</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CHF</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w:t>
            </w:r>
          </w:p>
        </w:tc>
      </w:tr>
      <w:tr>
        <w:trPr>
          <w:trHeight w:val="225"/>
        </w:trPr>
        <w:tc>
          <w:tcPr>
            <w:tcW w:w="45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PLN</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2,999.5</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653.5</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4.3</w:t>
            </w:r>
          </w:p>
        </w:tc>
      </w:tr>
      <w:tr>
        <w:trPr>
          <w:trHeight w:val="226"/>
        </w:trPr>
        <w:tc>
          <w:tcPr>
            <w:tcW w:w="45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777.0</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3,302.9</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w:t>
            </w:r>
          </w:p>
        </w:tc>
      </w:tr>
      <w:tr>
        <w:trPr>
          <w:trHeight w:val="225"/>
        </w:trPr>
        <w:tc>
          <w:tcPr>
            <w:tcW w:w="45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CHF</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740.0</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701.1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0.8</w:t>
            </w:r>
          </w:p>
        </w:tc>
      </w:tr>
      <w:tr>
        <w:trPr>
          <w:trHeight w:val="265"/>
        </w:trPr>
        <w:tc>
          <w:tcPr>
            <w:tcW w:w="4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25"/>
        </w:trPr>
        <w:tc>
          <w:tcPr>
            <w:tcW w:w="4520" w:type="dxa"/>
            <w:vAlign w:val="bottom"/>
          </w:tcPr>
          <w:p>
            <w:pPr>
              <w:ind w:left="20"/>
              <w:spacing w:after="0"/>
              <w:rPr>
                <w:sz w:val="20"/>
                <w:szCs w:val="20"/>
                <w:color w:val="auto"/>
              </w:rPr>
            </w:pPr>
            <w:r>
              <w:rPr>
                <w:rFonts w:ascii="Arial" w:cs="Arial" w:eastAsia="Arial" w:hAnsi="Arial"/>
                <w:sz w:val="18"/>
                <w:szCs w:val="18"/>
                <w:color w:val="auto"/>
              </w:rPr>
              <w:t>Telenet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3,940.0</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3,489.6</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4.8</w:t>
            </w:r>
          </w:p>
        </w:tc>
      </w:tr>
      <w:tr>
        <w:trPr>
          <w:trHeight w:val="226"/>
        </w:trPr>
        <w:tc>
          <w:tcPr>
            <w:tcW w:w="45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45.2</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are “forward-starting,” such that the initial exchange occurs at a date subsequent to March 31, 2022. These instruments are typically entered into in order to extend existing hedges without the need to amend existing contracts.</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4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March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80"/>
              <w:spacing w:after="0"/>
              <w:rPr>
                <w:sz w:val="20"/>
                <w:szCs w:val="20"/>
                <w:color w:val="auto"/>
              </w:rPr>
            </w:pPr>
            <w:r>
              <w:rPr>
                <w:rFonts w:ascii="Arial" w:cs="Arial" w:eastAsia="Arial" w:hAnsi="Arial"/>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Arial" w:cs="Arial" w:eastAsia="Arial" w:hAnsi="Arial"/>
                <w:sz w:val="16"/>
                <w:szCs w:val="16"/>
                <w:b w:val="1"/>
                <w:bCs w:val="1"/>
                <w:color w:val="auto"/>
              </w:rPr>
              <w:t>Receives fixed rate</w:t>
            </w:r>
          </w:p>
        </w:tc>
      </w:tr>
      <w:tr>
        <w:trPr>
          <w:trHeight w:val="155"/>
        </w:trPr>
        <w:tc>
          <w:tcPr>
            <w:tcW w:w="33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0"/>
              </w:rPr>
              <w:t>Notional</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3"/>
              </w:rPr>
              <w:t>Notional</w:t>
            </w:r>
          </w:p>
        </w:tc>
        <w:tc>
          <w:tcPr>
            <w:tcW w:w="1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 life</w:t>
            </w:r>
          </w:p>
        </w:tc>
        <w:tc>
          <w:tcPr>
            <w:tcW w:w="3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amount</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3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in millions</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78"/>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3"/>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7,278.7</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4,518.2</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r>
      <w:tr>
        <w:trPr>
          <w:trHeight w:val="159"/>
        </w:trPr>
        <w:tc>
          <w:tcPr>
            <w:tcW w:w="3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3,195.9</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1,581.4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w:t>
            </w:r>
          </w:p>
        </w:tc>
      </w:tr>
      <w:tr>
        <w:trPr>
          <w:trHeight w:val="304"/>
        </w:trPr>
        <w:tc>
          <w:tcPr>
            <w:tcW w:w="33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3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March 31, 2022, the option expiration period on each of our swaptions had expired.</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Swaps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March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Notional amount due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w:t>
            </w:r>
          </w:p>
        </w:tc>
      </w:tr>
      <w:tr>
        <w:trPr>
          <w:trHeight w:val="210"/>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from counterparty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3"/>
        </w:trPr>
        <w:tc>
          <w:tcPr>
            <w:tcW w:w="7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90"/>
              </w:rPr>
              <w:t>in millions</w:t>
            </w:r>
          </w:p>
        </w:tc>
        <w:tc>
          <w:tcPr>
            <w:tcW w:w="22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in years</w:t>
            </w:r>
          </w:p>
        </w:tc>
      </w:tr>
      <w:tr>
        <w:trPr>
          <w:trHeight w:val="163"/>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r>
      <w:tr>
        <w:trPr>
          <w:trHeight w:val="159"/>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2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March 31, 2022, we had no interest rate collar agreements, and the total U.S. dollar equivalents of the notional amounts of our purchased interest rate caps and floors were $1.4 billion and $7.7 billion, respectively.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impact of the derivative instruments that mitigate our foreign currency and interest rate risk, as described above, on our borrowing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6"/>
              </w:rPr>
              <w:t>Increase (decrease) to</w:t>
            </w:r>
          </w:p>
        </w:tc>
      </w:tr>
      <w:tr>
        <w:trPr>
          <w:trHeight w:val="159"/>
        </w:trPr>
        <w:tc>
          <w:tcPr>
            <w:tcW w:w="9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borrowing costs at March 31,</w:t>
            </w:r>
          </w:p>
        </w:tc>
      </w:tr>
      <w:tr>
        <w:trPr>
          <w:trHeight w:val="210"/>
        </w:trPr>
        <w:tc>
          <w:tcPr>
            <w:tcW w:w="92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2022 (a)</w:t>
            </w:r>
          </w:p>
        </w:tc>
      </w:tr>
      <w:tr>
        <w:trPr>
          <w:trHeight w:val="194"/>
        </w:trPr>
        <w:tc>
          <w:tcPr>
            <w:tcW w:w="92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25"/>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r>
      <w:tr>
        <w:trPr>
          <w:trHeight w:val="225"/>
        </w:trPr>
        <w:tc>
          <w:tcPr>
            <w:tcW w:w="9220" w:type="dxa"/>
            <w:vAlign w:val="bottom"/>
          </w:tcPr>
          <w:p>
            <w:pPr>
              <w:ind w:left="20"/>
              <w:spacing w:after="0"/>
              <w:rPr>
                <w:sz w:val="20"/>
                <w:szCs w:val="20"/>
                <w:color w:val="auto"/>
              </w:rPr>
            </w:pPr>
            <w:r>
              <w:rPr>
                <w:rFonts w:ascii="Arial" w:cs="Arial" w:eastAsia="Arial" w:hAnsi="Arial"/>
                <w:sz w:val="18"/>
                <w:szCs w:val="18"/>
                <w:color w:val="auto"/>
              </w:rPr>
              <w:t>UPC Holding</w:t>
            </w:r>
          </w:p>
        </w:tc>
        <w:tc>
          <w:tcPr>
            <w:tcW w:w="20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2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0.09 %</w:t>
            </w:r>
          </w:p>
        </w:tc>
      </w:tr>
      <w:tr>
        <w:trPr>
          <w:trHeight w:val="218"/>
        </w:trPr>
        <w:tc>
          <w:tcPr>
            <w:tcW w:w="9220" w:type="dxa"/>
            <w:vAlign w:val="bottom"/>
          </w:tcPr>
          <w:p>
            <w:pPr>
              <w:ind w:left="120"/>
              <w:spacing w:after="0" w:line="204" w:lineRule="exact"/>
              <w:rPr>
                <w:sz w:val="20"/>
                <w:szCs w:val="20"/>
                <w:color w:val="auto"/>
              </w:rPr>
            </w:pPr>
            <w:r>
              <w:rPr>
                <w:rFonts w:ascii="Arial" w:cs="Arial" w:eastAsia="Arial" w:hAnsi="Arial"/>
                <w:sz w:val="18"/>
                <w:szCs w:val="18"/>
                <w:color w:val="auto"/>
              </w:rPr>
              <w:t>Total decrease to borrowing costs</w:t>
            </w:r>
          </w:p>
        </w:tc>
        <w:tc>
          <w:tcPr>
            <w:tcW w:w="2020" w:type="dxa"/>
            <w:vAlign w:val="bottom"/>
          </w:tcPr>
          <w:p>
            <w:pPr>
              <w:jc w:val="right"/>
              <w:spacing w:after="0"/>
              <w:rPr>
                <w:sz w:val="20"/>
                <w:szCs w:val="20"/>
                <w:color w:val="auto"/>
              </w:rPr>
            </w:pPr>
            <w:r>
              <w:rPr>
                <w:rFonts w:ascii="Arial" w:cs="Arial" w:eastAsia="Arial" w:hAnsi="Arial"/>
                <w:sz w:val="18"/>
                <w:szCs w:val="18"/>
                <w:color w:val="auto"/>
              </w:rPr>
              <w:t>(0.14)%</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effect of derivative instruments in effect at March 31, 2022 and does not include forward-starting derivative instruments.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of our subsidiaries enter into foreign currency forward and option contracts with respect to non-functional currency exposure, including hedges of the proceeds from the sale of UPC Poland. As of March 31, 2022, the total U.S. dollar equivalent of the notional amounts of our foreign currency forward and option contracts was $3.2 billion.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the fair value method to account for (i) certain of our investments and (ii) our derivative instruments. The reported fair values of these investments and derivative instruments as of March 31, 2022 are unlikely to represent the value that will be paid or received upon the ultimate settlement or disposition of these assets and liabilities.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21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Fair value measurements are also used in connection with nonrecurring valuations performed in connection with acquisition accounting, impairment assessments and the accounting for our initial investment in the VMO2 JV. These nonrecurring valuations include the valuation of reporting units, customer relationships and other intangible assets, property and equipment, the implied value of goodwill and the valuation of our initial investment in the VMO2 JV. The valuation of reporting units and our initial investment in the VMO2 JV are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three months ended March 31, 2022 and 2021, we did not perform any significant nonrecurring fair value measurements.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6"/>
          </w:tcPr>
          <w:p>
            <w:pPr>
              <w:jc w:val="center"/>
              <w:ind w:left="875"/>
              <w:spacing w:after="0"/>
              <w:rPr>
                <w:sz w:val="20"/>
                <w:szCs w:val="20"/>
                <w:color w:val="auto"/>
              </w:rPr>
            </w:pPr>
            <w:r>
              <w:rPr>
                <w:rFonts w:ascii="Arial" w:cs="Arial" w:eastAsia="Arial" w:hAnsi="Arial"/>
                <w:sz w:val="16"/>
                <w:szCs w:val="16"/>
                <w:b w:val="1"/>
                <w:bCs w:val="1"/>
                <w:color w:val="auto"/>
                <w:w w:val="89"/>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March 31, 2022 using:</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55"/>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3"/>
                <w:szCs w:val="13"/>
                <w:color w:val="auto"/>
              </w:rPr>
            </w:pPr>
          </w:p>
        </w:tc>
        <w:tc>
          <w:tcPr>
            <w:tcW w:w="1100" w:type="dxa"/>
            <w:vAlign w:val="bottom"/>
            <w:vMerge w:val="restart"/>
          </w:tcPr>
          <w:p>
            <w:pPr>
              <w:jc w:val="center"/>
              <w:ind w:right="11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55"/>
              <w:spacing w:after="0" w:line="159" w:lineRule="exact"/>
              <w:rPr>
                <w:sz w:val="20"/>
                <w:szCs w:val="20"/>
                <w:color w:val="auto"/>
              </w:rPr>
            </w:pPr>
            <w:r>
              <w:rPr>
                <w:rFonts w:ascii="Arial" w:cs="Arial" w:eastAsia="Arial" w:hAnsi="Arial"/>
                <w:sz w:val="16"/>
                <w:szCs w:val="16"/>
                <w:b w:val="1"/>
                <w:bCs w:val="1"/>
                <w:color w:val="auto"/>
                <w:w w:val="87"/>
              </w:rPr>
              <w:t>in active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3"/>
                <w:szCs w:val="13"/>
                <w:color w:val="auto"/>
              </w:rPr>
            </w:pPr>
          </w:p>
        </w:tc>
        <w:tc>
          <w:tcPr>
            <w:tcW w:w="1180" w:type="dxa"/>
            <w:vAlign w:val="bottom"/>
          </w:tcPr>
          <w:p>
            <w:pPr>
              <w:jc w:val="center"/>
              <w:ind w:right="55"/>
              <w:spacing w:after="0" w:line="159" w:lineRule="exact"/>
              <w:rPr>
                <w:sz w:val="20"/>
                <w:szCs w:val="20"/>
                <w:color w:val="auto"/>
              </w:rPr>
            </w:pPr>
            <w:r>
              <w:rPr>
                <w:rFonts w:ascii="Arial" w:cs="Arial" w:eastAsia="Arial" w:hAnsi="Arial"/>
                <w:sz w:val="16"/>
                <w:szCs w:val="16"/>
                <w:b w:val="1"/>
                <w:bCs w:val="1"/>
                <w:color w:val="auto"/>
                <w:w w:val="91"/>
              </w:rPr>
              <w:t>markets for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3"/>
                <w:szCs w:val="13"/>
                <w:color w:val="auto"/>
              </w:rPr>
            </w:pPr>
          </w:p>
        </w:tc>
        <w:tc>
          <w:tcPr>
            <w:tcW w:w="110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55"/>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200" w:type="dxa"/>
            <w:vAlign w:val="bottom"/>
          </w:tcPr>
          <w:p>
            <w:pPr>
              <w:spacing w:after="0"/>
              <w:rPr>
                <w:sz w:val="13"/>
                <w:szCs w:val="13"/>
                <w:color w:val="auto"/>
              </w:rPr>
            </w:pPr>
          </w:p>
        </w:tc>
        <w:tc>
          <w:tcPr>
            <w:tcW w:w="110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200" w:type="dxa"/>
            <w:vAlign w:val="bottom"/>
          </w:tcPr>
          <w:p>
            <w:pPr>
              <w:spacing w:after="0"/>
              <w:rPr>
                <w:sz w:val="18"/>
                <w:szCs w:val="18"/>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tcPr>
          <w:p>
            <w:pPr>
              <w:spacing w:after="0"/>
              <w:rPr>
                <w:sz w:val="17"/>
                <w:szCs w:val="17"/>
                <w:color w:val="auto"/>
              </w:rPr>
            </w:pPr>
          </w:p>
        </w:tc>
        <w:tc>
          <w:tcPr>
            <w:tcW w:w="45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derivative instruments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5"/>
        </w:trPr>
        <w:tc>
          <w:tcPr>
            <w:tcW w:w="576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1,537.8</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0" w:type="dxa"/>
            <w:vAlign w:val="bottom"/>
          </w:tcPr>
          <w:p>
            <w:pPr>
              <w:spacing w:after="0"/>
              <w:rPr>
                <w:sz w:val="1"/>
                <w:szCs w:val="1"/>
                <w:color w:val="auto"/>
              </w:rPr>
            </w:pPr>
          </w:p>
        </w:tc>
      </w:tr>
      <w:tr>
        <w:trPr>
          <w:trHeight w:val="219"/>
        </w:trPr>
        <w:tc>
          <w:tcPr>
            <w:tcW w:w="5760" w:type="dxa"/>
            <w:vAlign w:val="bottom"/>
            <w:gridSpan w:val="2"/>
          </w:tcPr>
          <w:p>
            <w:pPr>
              <w:ind w:left="54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5,288.8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1,122.1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2,514.8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1,651.9</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260" w:type="dxa"/>
            <w:vAlign w:val="bottom"/>
            <w:shd w:val="clear" w:color="auto" w:fill="CCEEFF"/>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60" w:type="dxa"/>
            <w:vAlign w:val="bottom"/>
            <w:gridSpan w:val="2"/>
          </w:tcPr>
          <w:p>
            <w:pPr>
              <w:ind w:left="5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6"/>
          </w:tcPr>
          <w:p>
            <w:pPr>
              <w:jc w:val="center"/>
              <w:ind w:left="855"/>
              <w:spacing w:after="0"/>
              <w:rPr>
                <w:sz w:val="20"/>
                <w:szCs w:val="20"/>
                <w:color w:val="auto"/>
              </w:rPr>
            </w:pPr>
            <w:r>
              <w:rPr>
                <w:rFonts w:ascii="Arial" w:cs="Arial" w:eastAsia="Arial" w:hAnsi="Arial"/>
                <w:sz w:val="16"/>
                <w:szCs w:val="16"/>
                <w:b w:val="1"/>
                <w:bCs w:val="1"/>
                <w:color w:val="auto"/>
                <w:w w:val="89"/>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915"/>
              <w:spacing w:after="0"/>
              <w:rPr>
                <w:sz w:val="20"/>
                <w:szCs w:val="20"/>
                <w:color w:val="auto"/>
              </w:rPr>
            </w:pPr>
            <w:r>
              <w:rPr>
                <w:rFonts w:ascii="Arial" w:cs="Arial" w:eastAsia="Arial" w:hAnsi="Arial"/>
                <w:sz w:val="16"/>
                <w:szCs w:val="16"/>
                <w:b w:val="1"/>
                <w:bCs w:val="1"/>
                <w:color w:val="auto"/>
                <w:w w:val="88"/>
              </w:rPr>
              <w:t>December 31, 2021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80" w:type="dxa"/>
            <w:vAlign w:val="bottom"/>
          </w:tcPr>
          <w:p>
            <w:pPr>
              <w:spacing w:after="0"/>
              <w:rPr>
                <w:sz w:val="13"/>
                <w:szCs w:val="13"/>
                <w:color w:val="auto"/>
              </w:rPr>
            </w:pPr>
          </w:p>
        </w:tc>
        <w:tc>
          <w:tcPr>
            <w:tcW w:w="1120" w:type="dxa"/>
            <w:vAlign w:val="bottom"/>
            <w:vMerge w:val="restart"/>
          </w:tcPr>
          <w:p>
            <w:pPr>
              <w:jc w:val="center"/>
              <w:ind w:right="9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18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2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derivative instruments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5"/>
        </w:trPr>
        <w:tc>
          <w:tcPr>
            <w:tcW w:w="572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18"/>
        </w:trPr>
        <w:tc>
          <w:tcPr>
            <w:tcW w:w="572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19"/>
        </w:trPr>
        <w:tc>
          <w:tcPr>
            <w:tcW w:w="5720" w:type="dxa"/>
            <w:vAlign w:val="bottom"/>
            <w:gridSpan w:val="2"/>
          </w:tcPr>
          <w:p>
            <w:pPr>
              <w:ind w:left="4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26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879.0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20" w:type="dxa"/>
            <w:vAlign w:val="bottom"/>
            <w:gridSpan w:val="2"/>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Cross-currency,</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3"/>
              </w:rPr>
              <w:t>Equity-related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9"/>
              </w:rPr>
              <w:t>interest rate and</w:t>
            </w:r>
          </w:p>
        </w:tc>
        <w:tc>
          <w:tcPr>
            <w:tcW w:w="12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foreign currency</w:t>
            </w: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0"/>
              </w:rPr>
              <w:t>derivative</w:t>
            </w:r>
          </w:p>
        </w:tc>
        <w:tc>
          <w:tcPr>
            <w:tcW w:w="260" w:type="dxa"/>
            <w:vAlign w:val="bottom"/>
          </w:tcPr>
          <w:p>
            <w:pPr>
              <w:spacing w:after="0"/>
              <w:rPr>
                <w:sz w:val="13"/>
                <w:szCs w:val="13"/>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derivative contracts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instruments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ind w:left="900"/>
              <w:spacing w:after="0"/>
              <w:rPr>
                <w:sz w:val="20"/>
                <w:szCs w:val="20"/>
                <w:color w:val="auto"/>
              </w:rPr>
            </w:pPr>
            <w:r>
              <w:rPr>
                <w:rFonts w:ascii="Arial" w:cs="Arial" w:eastAsia="Arial" w:hAnsi="Arial"/>
                <w:sz w:val="16"/>
                <w:szCs w:val="16"/>
                <w:b w:val="1"/>
                <w:bCs w:val="1"/>
                <w:color w:val="auto"/>
                <w:w w:val="88"/>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9"/>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0" w:type="dxa"/>
            <w:vAlign w:val="bottom"/>
          </w:tcPr>
          <w:p>
            <w:pPr>
              <w:spacing w:after="0"/>
              <w:rPr>
                <w:sz w:val="1"/>
                <w:szCs w:val="1"/>
                <w:color w:val="auto"/>
              </w:rPr>
            </w:pPr>
          </w:p>
        </w:tc>
      </w:tr>
      <w:tr>
        <w:trPr>
          <w:trHeight w:val="225"/>
        </w:trPr>
        <w:tc>
          <w:tcPr>
            <w:tcW w:w="5820" w:type="dxa"/>
            <w:vAlign w:val="bottom"/>
          </w:tcPr>
          <w:p>
            <w:pPr>
              <w:ind w:left="140"/>
              <w:spacing w:after="0"/>
              <w:rPr>
                <w:sz w:val="20"/>
                <w:szCs w:val="20"/>
                <w:color w:val="auto"/>
              </w:rPr>
            </w:pPr>
            <w:r>
              <w:rPr>
                <w:rFonts w:ascii="Arial" w:cs="Arial" w:eastAsia="Arial" w:hAnsi="Arial"/>
                <w:sz w:val="18"/>
                <w:szCs w:val="18"/>
                <w:color w:val="auto"/>
              </w:rPr>
              <w:t>Gains included in earnings from continuing operations (a):</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Realized and unrealized gains on derivative instruments, net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3"/>
        </w:trPr>
        <w:tc>
          <w:tcPr>
            <w:tcW w:w="5820" w:type="dxa"/>
            <w:vAlign w:val="bottom"/>
          </w:tcPr>
          <w:p>
            <w:pPr>
              <w:ind w:left="260"/>
              <w:spacing w:after="0" w:line="173" w:lineRule="exact"/>
              <w:rPr>
                <w:sz w:val="20"/>
                <w:szCs w:val="20"/>
                <w:color w:val="auto"/>
              </w:rPr>
            </w:pPr>
            <w:r>
              <w:rPr>
                <w:rFonts w:ascii="Arial" w:cs="Arial" w:eastAsia="Arial" w:hAnsi="Arial"/>
                <w:sz w:val="18"/>
                <w:szCs w:val="18"/>
                <w:color w:val="auto"/>
                <w:w w:val="99"/>
              </w:rPr>
              <w:t>Realized and unrealized gains due to changes in fair values of certain</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4"/>
        </w:trPr>
        <w:tc>
          <w:tcPr>
            <w:tcW w:w="5820" w:type="dxa"/>
            <w:vAlign w:val="bottom"/>
          </w:tcPr>
          <w:p>
            <w:pPr>
              <w:ind w:left="420"/>
              <w:spacing w:after="0"/>
              <w:rPr>
                <w:sz w:val="20"/>
                <w:szCs w:val="20"/>
                <w:color w:val="auto"/>
              </w:rPr>
            </w:pPr>
            <w:r>
              <w:rPr>
                <w:rFonts w:ascii="Arial" w:cs="Arial" w:eastAsia="Arial" w:hAnsi="Arial"/>
                <w:sz w:val="18"/>
                <w:szCs w:val="18"/>
                <w:color w:val="auto"/>
              </w:rPr>
              <w:t>investments, net</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5"/>
        </w:trPr>
        <w:tc>
          <w:tcPr>
            <w:tcW w:w="5820" w:type="dxa"/>
            <w:vAlign w:val="bottom"/>
          </w:tcPr>
          <w:p>
            <w:pPr>
              <w:ind w:left="14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 of Level 3</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 and other, net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of net assets at March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Amounts primarily relate to assets and liabilities that we continue to carry on our condensed consolidated balance sheet as of March 31, 2022.</w:t>
      </w:r>
    </w:p>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40" w:type="dxa"/>
            <w:vAlign w:val="bottom"/>
          </w:tcPr>
          <w:p>
            <w:pPr>
              <w:jc w:val="right"/>
              <w:ind w:right="154"/>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r>
      <w:tr>
        <w:trPr>
          <w:trHeight w:val="203"/>
        </w:trPr>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jc w:val="right"/>
              <w:ind w:right="1014"/>
              <w:spacing w:after="0"/>
              <w:rPr>
                <w:sz w:val="20"/>
                <w:szCs w:val="20"/>
                <w:color w:val="auto"/>
              </w:rPr>
            </w:pPr>
            <w:r>
              <w:rPr>
                <w:rFonts w:ascii="Arial" w:cs="Arial" w:eastAsia="Arial" w:hAnsi="Arial"/>
                <w:sz w:val="16"/>
                <w:szCs w:val="16"/>
                <w:b w:val="1"/>
                <w:bCs w:val="1"/>
                <w:color w:val="auto"/>
              </w:rPr>
              <w:t>in millions</w:t>
            </w:r>
          </w:p>
        </w:tc>
      </w:tr>
      <w:tr>
        <w:trPr>
          <w:trHeight w:val="203"/>
        </w:trPr>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9,472.8</w:t>
            </w: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Support equipment, buildings and land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4,310.5</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r>
      <w:tr>
        <w:trPr>
          <w:trHeight w:val="218"/>
        </w:trPr>
        <w:tc>
          <w:tcPr>
            <w:tcW w:w="8320" w:type="dxa"/>
            <w:vAlign w:val="bottom"/>
          </w:tcPr>
          <w:p>
            <w:pPr>
              <w:jc w:val="right"/>
              <w:ind w:right="5492"/>
              <w:spacing w:after="0" w:line="204" w:lineRule="exact"/>
              <w:rPr>
                <w:sz w:val="20"/>
                <w:szCs w:val="20"/>
                <w:color w:val="auto"/>
              </w:rPr>
            </w:pPr>
            <w:r>
              <w:rPr>
                <w:rFonts w:ascii="Arial" w:cs="Arial" w:eastAsia="Arial" w:hAnsi="Arial"/>
                <w:sz w:val="18"/>
                <w:szCs w:val="18"/>
                <w:color w:val="auto"/>
                <w:w w:val="94"/>
              </w:rPr>
              <w:t>Total property and equipment, gross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14,387.7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15,062.5</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(8,081.0)</w:t>
            </w:r>
          </w:p>
        </w:tc>
      </w:tr>
      <w:tr>
        <w:trPr>
          <w:trHeight w:val="218"/>
        </w:trPr>
        <w:tc>
          <w:tcPr>
            <w:tcW w:w="8320" w:type="dxa"/>
            <w:vAlign w:val="bottom"/>
          </w:tcPr>
          <w:p>
            <w:pPr>
              <w:jc w:val="right"/>
              <w:ind w:right="5492"/>
              <w:spacing w:after="0" w:line="204" w:lineRule="exact"/>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6,981.5</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March 31, 2022 and 2021, we recorded non-cash increases to our property and equipment related to vendor financing arrangements of $66.7 million and $320.0 million (including amounts related to the U.K. JV Entities),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$6.6 million and $41.3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the three months ended March 31, 2022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1"/>
              </w:rPr>
              <w:t>currency</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January 1, 2022</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adjustments and</w:t>
            </w:r>
          </w:p>
        </w:tc>
        <w:tc>
          <w:tcPr>
            <w:tcW w:w="140" w:type="dxa"/>
            <w:vAlign w:val="bottom"/>
          </w:tcPr>
          <w:p>
            <w:pPr>
              <w:spacing w:after="0"/>
              <w:rPr>
                <w:sz w:val="13"/>
                <w:szCs w:val="13"/>
                <w:color w:val="auto"/>
              </w:rPr>
            </w:pPr>
          </w:p>
        </w:tc>
        <w:tc>
          <w:tcPr>
            <w:tcW w:w="126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w w:val="93"/>
              </w:rPr>
              <w:t>March 31, 2022</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6,512.6</w:t>
            </w: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Belgium</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2,522.5</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2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Central and Other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1"/>
              </w:rPr>
              <w:t>March 31, 2022</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5"/>
        </w:trPr>
        <w:tc>
          <w:tcPr>
            <w:tcW w:w="3520" w:type="dxa"/>
            <w:vAlign w:val="bottom"/>
          </w:tcPr>
          <w:p>
            <w:pPr>
              <w:spacing w:after="0"/>
              <w:rPr>
                <w:sz w:val="13"/>
                <w:szCs w:val="13"/>
                <w:color w:val="auto"/>
              </w:rPr>
            </w:pPr>
          </w:p>
        </w:tc>
        <w:tc>
          <w:tcPr>
            <w:tcW w:w="1260" w:type="dxa"/>
            <w:vAlign w:val="bottom"/>
            <w:gridSpan w:val="3"/>
          </w:tcPr>
          <w:p>
            <w:pPr>
              <w:jc w:val="right"/>
              <w:ind w:right="180"/>
              <w:spacing w:after="0" w:line="155" w:lineRule="exact"/>
              <w:rPr>
                <w:sz w:val="20"/>
                <w:szCs w:val="20"/>
                <w:color w:val="auto"/>
              </w:rPr>
            </w:pPr>
            <w:r>
              <w:rPr>
                <w:rFonts w:ascii="Arial" w:cs="Arial" w:eastAsia="Arial" w:hAnsi="Arial"/>
                <w:sz w:val="16"/>
                <w:szCs w:val="16"/>
                <w:b w:val="1"/>
                <w:bCs w:val="1"/>
                <w:color w:val="auto"/>
                <w:w w:val="93"/>
              </w:rPr>
              <w:t>Gross carrying</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center"/>
              <w:ind w:right="56"/>
              <w:spacing w:after="0" w:line="155" w:lineRule="exact"/>
              <w:rPr>
                <w:sz w:val="20"/>
                <w:szCs w:val="20"/>
                <w:color w:val="auto"/>
              </w:rPr>
            </w:pPr>
            <w:r>
              <w:rPr>
                <w:rFonts w:ascii="Arial" w:cs="Arial" w:eastAsia="Arial" w:hAnsi="Arial"/>
                <w:sz w:val="16"/>
                <w:szCs w:val="16"/>
                <w:b w:val="1"/>
                <w:bCs w:val="1"/>
                <w:color w:val="auto"/>
                <w:w w:val="92"/>
              </w:rPr>
              <w:t>Net carrying</w:t>
            </w:r>
          </w:p>
        </w:tc>
        <w:tc>
          <w:tcPr>
            <w:tcW w:w="10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right"/>
              <w:ind w:right="75"/>
              <w:spacing w:after="0" w:line="155" w:lineRule="exact"/>
              <w:rPr>
                <w:sz w:val="20"/>
                <w:szCs w:val="20"/>
                <w:color w:val="auto"/>
              </w:rPr>
            </w:pPr>
            <w:r>
              <w:rPr>
                <w:rFonts w:ascii="Arial" w:cs="Arial" w:eastAsia="Arial" w:hAnsi="Arial"/>
                <w:sz w:val="16"/>
                <w:szCs w:val="16"/>
                <w:b w:val="1"/>
                <w:bCs w:val="1"/>
                <w:color w:val="auto"/>
                <w:w w:val="92"/>
              </w:rPr>
              <w:t>Net carrying</w:t>
            </w:r>
          </w:p>
        </w:tc>
      </w:tr>
      <w:tr>
        <w:trPr>
          <w:trHeight w:val="210"/>
        </w:trPr>
        <w:tc>
          <w:tcPr>
            <w:tcW w:w="3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amortization</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amount</w:t>
            </w:r>
          </w:p>
        </w:tc>
      </w:tr>
      <w:tr>
        <w:trPr>
          <w:trHeight w:val="203"/>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63"/>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w:t>
            </w:r>
          </w:p>
        </w:tc>
      </w:tr>
      <w:tr>
        <w:trPr>
          <w:trHeight w:val="225"/>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r>
      <w:tr>
        <w:trPr>
          <w:trHeight w:val="238"/>
        </w:trPr>
        <w:tc>
          <w:tcPr>
            <w:tcW w:w="35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6"/>
                <w:szCs w:val="16"/>
                <w:b w:val="1"/>
                <w:bCs w:val="1"/>
                <w:color w:val="auto"/>
                <w:w w:val="98"/>
              </w:rPr>
              <w:t>March 31, 2022</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3"/>
          </w:tcPr>
          <w:p>
            <w:pPr>
              <w:jc w:val="right"/>
              <w:ind w:right="494"/>
              <w:spacing w:after="0" w:line="155" w:lineRule="exact"/>
              <w:rPr>
                <w:sz w:val="20"/>
                <w:szCs w:val="20"/>
                <w:color w:val="auto"/>
              </w:rPr>
            </w:pPr>
            <w:r>
              <w:rPr>
                <w:rFonts w:ascii="Arial" w:cs="Arial" w:eastAsia="Arial" w:hAnsi="Arial"/>
                <w:sz w:val="16"/>
                <w:szCs w:val="16"/>
                <w:b w:val="1"/>
                <w:bCs w:val="1"/>
                <w:color w:val="auto"/>
              </w:rPr>
              <w:t>Unused borrowing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7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60" w:type="dxa"/>
            <w:vAlign w:val="bottom"/>
            <w:gridSpan w:val="3"/>
            <w:vMerge w:val="restart"/>
          </w:tcPr>
          <w:p>
            <w:pPr>
              <w:jc w:val="right"/>
              <w:ind w:right="734"/>
              <w:spacing w:after="0"/>
              <w:rPr>
                <w:sz w:val="20"/>
                <w:szCs w:val="20"/>
                <w:color w:val="auto"/>
              </w:rPr>
            </w:pPr>
            <w:r>
              <w:rPr>
                <w:rFonts w:ascii="Arial" w:cs="Arial" w:eastAsia="Arial" w:hAnsi="Arial"/>
                <w:sz w:val="16"/>
                <w:szCs w:val="16"/>
                <w:b w:val="1"/>
                <w:bCs w:val="1"/>
                <w:color w:val="auto"/>
              </w:rPr>
              <w:t>capacity (b)</w:t>
            </w:r>
          </w:p>
        </w:tc>
        <w:tc>
          <w:tcPr>
            <w:tcW w:w="10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4"/>
            <w:vMerge w:val="restart"/>
          </w:tcPr>
          <w:p>
            <w:pPr>
              <w:jc w:val="right"/>
              <w:ind w:right="613"/>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17"/>
        </w:trPr>
        <w:tc>
          <w:tcPr>
            <w:tcW w:w="4740" w:type="dxa"/>
            <w:vAlign w:val="bottom"/>
          </w:tcPr>
          <w:p>
            <w:pPr>
              <w:spacing w:after="0"/>
              <w:rPr>
                <w:sz w:val="10"/>
                <w:szCs w:val="10"/>
                <w:color w:val="auto"/>
              </w:rPr>
            </w:pPr>
          </w:p>
        </w:tc>
        <w:tc>
          <w:tcPr>
            <w:tcW w:w="13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jc w:val="right"/>
              <w:ind w:right="235"/>
              <w:spacing w:after="0" w:line="181" w:lineRule="exact"/>
              <w:rPr>
                <w:sz w:val="20"/>
                <w:szCs w:val="20"/>
                <w:color w:val="auto"/>
              </w:rPr>
            </w:pPr>
            <w:r>
              <w:rPr>
                <w:rFonts w:ascii="Arial" w:cs="Arial" w:eastAsia="Arial" w:hAnsi="Arial"/>
                <w:sz w:val="16"/>
                <w:szCs w:val="16"/>
                <w:b w:val="1"/>
                <w:bCs w:val="1"/>
                <w:color w:val="auto"/>
                <w:w w:val="94"/>
              </w:rPr>
              <w:t>Borrowing</w:t>
            </w: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center"/>
              <w:ind w:right="260"/>
              <w:spacing w:after="0" w:line="181" w:lineRule="exact"/>
              <w:rPr>
                <w:sz w:val="20"/>
                <w:szCs w:val="20"/>
                <w:color w:val="auto"/>
              </w:rPr>
            </w:pPr>
            <w:r>
              <w:rPr>
                <w:rFonts w:ascii="Arial" w:cs="Arial" w:eastAsia="Arial" w:hAnsi="Arial"/>
                <w:sz w:val="16"/>
                <w:szCs w:val="16"/>
                <w:b w:val="1"/>
                <w:bCs w:val="1"/>
                <w:color w:val="auto"/>
                <w:w w:val="89"/>
              </w:rPr>
              <w:t>U.S. $</w:t>
            </w:r>
          </w:p>
        </w:tc>
        <w:tc>
          <w:tcPr>
            <w:tcW w:w="180" w:type="dxa"/>
            <w:vAlign w:val="bottom"/>
          </w:tcPr>
          <w:p>
            <w:pPr>
              <w:spacing w:after="0" w:line="20" w:lineRule="exact"/>
              <w:rPr>
                <w:sz w:val="1"/>
                <w:szCs w:val="1"/>
                <w:color w:val="auto"/>
              </w:rPr>
            </w:pPr>
          </w:p>
        </w:tc>
        <w:tc>
          <w:tcPr>
            <w:tcW w:w="1140" w:type="dxa"/>
            <w:vAlign w:val="bottom"/>
            <w:gridSpan w:val="2"/>
            <w:vMerge w:val="restart"/>
          </w:tcPr>
          <w:p>
            <w:pPr>
              <w:ind w:left="80"/>
              <w:spacing w:after="0" w:line="181" w:lineRule="exact"/>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line="20" w:lineRule="exact"/>
              <w:rPr>
                <w:sz w:val="1"/>
                <w:szCs w:val="1"/>
                <w:color w:val="auto"/>
              </w:rPr>
            </w:pPr>
          </w:p>
        </w:tc>
        <w:tc>
          <w:tcPr>
            <w:tcW w:w="1120" w:type="dxa"/>
            <w:vAlign w:val="bottom"/>
            <w:vMerge w:val="restart"/>
          </w:tcPr>
          <w:p>
            <w:pPr>
              <w:jc w:val="right"/>
              <w:ind w:right="73"/>
              <w:spacing w:after="0" w:line="181"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line="20" w:lineRule="exact"/>
              <w:rPr>
                <w:sz w:val="1"/>
                <w:szCs w:val="1"/>
                <w:color w:val="auto"/>
              </w:rPr>
            </w:pPr>
          </w:p>
        </w:tc>
      </w:tr>
      <w:tr>
        <w:trPr>
          <w:trHeight w:val="159"/>
        </w:trPr>
        <w:tc>
          <w:tcPr>
            <w:tcW w:w="474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interest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rate (a)</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currency</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equivalent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ind w:left="78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Bank Facility (c)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714.6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UPC SPE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4.44 %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Senior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Telenet Credit Facility (d)</w:t>
            </w:r>
          </w:p>
        </w:tc>
        <w:tc>
          <w:tcPr>
            <w:tcW w:w="1300" w:type="dxa"/>
            <w:vAlign w:val="bottom"/>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555.0</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3,558.9</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Senior Secured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VM Ireland Credit Facility (e)</w:t>
            </w:r>
          </w:p>
        </w:tc>
        <w:tc>
          <w:tcPr>
            <w:tcW w:w="130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Vendor financing (f)</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tcPr>
          <w:p>
            <w:pPr>
              <w:jc w:val="right"/>
              <w:spacing w:after="0"/>
              <w:rPr>
                <w:sz w:val="20"/>
                <w:szCs w:val="20"/>
                <w:color w:val="auto"/>
              </w:rPr>
            </w:pPr>
            <w:r>
              <w:rPr>
                <w:rFonts w:ascii="Arial" w:cs="Arial" w:eastAsia="Arial" w:hAnsi="Arial"/>
                <w:sz w:val="18"/>
                <w:szCs w:val="18"/>
                <w:color w:val="auto"/>
              </w:rPr>
              <w:t>7.11 %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154"/>
        </w:trPr>
        <w:tc>
          <w:tcPr>
            <w:tcW w:w="4740" w:type="dxa"/>
            <w:vAlign w:val="bottom"/>
            <w:tcBorders>
              <w:top w:val="single" w:sz="8" w:color="CCEEFF"/>
            </w:tcBorders>
            <w:shd w:val="clear" w:color="auto" w:fill="CCEEFF"/>
          </w:tcPr>
          <w:p>
            <w:pPr>
              <w:ind w:left="180"/>
              <w:spacing w:after="0" w:line="154" w:lineRule="exact"/>
              <w:rPr>
                <w:sz w:val="20"/>
                <w:szCs w:val="20"/>
                <w:color w:val="auto"/>
              </w:rPr>
            </w:pPr>
            <w:r>
              <w:rPr>
                <w:rFonts w:ascii="Arial" w:cs="Arial" w:eastAsia="Arial" w:hAnsi="Arial"/>
                <w:sz w:val="17"/>
                <w:szCs w:val="17"/>
                <w:color w:val="auto"/>
              </w:rPr>
              <w:t>Total debt before deferred financing costs, discounts and</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1,517.7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14,190.5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shd w:val="clear" w:color="auto" w:fill="CCEEFF"/>
          </w:tcPr>
          <w:p>
            <w:pPr>
              <w:ind w:left="340"/>
              <w:spacing w:after="0" w:line="198" w:lineRule="exact"/>
              <w:rPr>
                <w:sz w:val="20"/>
                <w:szCs w:val="20"/>
                <w:color w:val="auto"/>
              </w:rPr>
            </w:pPr>
            <w:r>
              <w:rPr>
                <w:rFonts w:ascii="Arial" w:cs="Arial" w:eastAsia="Arial" w:hAnsi="Arial"/>
                <w:sz w:val="18"/>
                <w:szCs w:val="18"/>
                <w:color w:val="auto"/>
              </w:rPr>
              <w:t>premiums (g)</w:t>
            </w: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140" w:type="dxa"/>
            <w:vAlign w:val="bottom"/>
          </w:tcPr>
          <w:p>
            <w:pPr>
              <w:jc w:val="right"/>
              <w:ind w:right="94"/>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r>
      <w:tr>
        <w:trPr>
          <w:trHeight w:val="203"/>
        </w:trPr>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4"/>
          </w:tcPr>
          <w:p>
            <w:pPr>
              <w:jc w:val="right"/>
              <w:ind w:right="874"/>
              <w:spacing w:after="0"/>
              <w:rPr>
                <w:sz w:val="20"/>
                <w:szCs w:val="20"/>
                <w:color w:val="auto"/>
              </w:rPr>
            </w:pPr>
            <w:r>
              <w:rPr>
                <w:rFonts w:ascii="Arial" w:cs="Arial" w:eastAsia="Arial" w:hAnsi="Arial"/>
                <w:sz w:val="16"/>
                <w:szCs w:val="16"/>
                <w:b w:val="1"/>
                <w:bCs w:val="1"/>
                <w:color w:val="auto"/>
              </w:rPr>
              <w:t>in millions</w:t>
            </w:r>
          </w:p>
        </w:tc>
      </w:tr>
      <w:tr>
        <w:trPr>
          <w:trHeight w:val="163"/>
        </w:trPr>
        <w:tc>
          <w:tcPr>
            <w:tcW w:w="8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14,398.8</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14,341.1</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r>
      <w:tr>
        <w:trPr>
          <w:trHeight w:val="219"/>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and finance lease obligations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14,825.1</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debt and finance lease obligations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w:t>
            </w:r>
          </w:p>
        </w:tc>
      </w:tr>
      <w:tr>
        <w:trPr>
          <w:trHeight w:val="244"/>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309" w:lineRule="auto"/>
        <w:tabs>
          <w:tab w:leader="none" w:pos="477"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the weighted average interest rate in effect at March 31, 2022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3.35% at March 31, 2022. For information regarding our derivative instruments, see note 6.</w:t>
      </w:r>
    </w:p>
    <w:p>
      <w:pPr>
        <w:spacing w:after="0" w:line="178" w:lineRule="exact"/>
        <w:rPr>
          <w:rFonts w:ascii="Arial" w:cs="Arial" w:eastAsia="Arial" w:hAnsi="Arial"/>
          <w:sz w:val="15"/>
          <w:szCs w:val="15"/>
          <w:color w:val="auto"/>
        </w:rPr>
      </w:pPr>
    </w:p>
    <w:p>
      <w:pPr>
        <w:jc w:val="both"/>
        <w:ind w:left="480" w:hanging="474"/>
        <w:spacing w:after="0" w:line="318" w:lineRule="auto"/>
        <w:tabs>
          <w:tab w:leader="none" w:pos="474" w:val="left"/>
        </w:tabs>
        <w:numPr>
          <w:ilvl w:val="0"/>
          <w:numId w:val="19"/>
        </w:numPr>
        <w:rPr>
          <w:rFonts w:ascii="Arial" w:cs="Arial" w:eastAsia="Arial" w:hAnsi="Arial"/>
          <w:sz w:val="15"/>
          <w:szCs w:val="15"/>
          <w:color w:val="auto"/>
        </w:rPr>
      </w:pPr>
      <w:r>
        <w:rPr>
          <w:rFonts w:ascii="Arial" w:cs="Arial" w:eastAsia="Arial" w:hAnsi="Arial"/>
          <w:sz w:val="15"/>
          <w:szCs w:val="15"/>
          <w:color w:val="auto"/>
        </w:rPr>
        <w:t>Unused borrowing capacity represents the maximum availability under the applicable facility at March 31, 2022 without regard to covenant compliance calculations or other conditions precedent to borrowing. The following table provides our borrowing availability and amounts available to loan or distribute under each of the respective subsidiary facilities, based on the most restrictive applicable leverage covenants and leverage-based restricted payment tests, (i) at March 31, 2022 and (ii) upon completion of the relevant March 31, 2022 compliance reporting requirements. These amounts do not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line="294" w:lineRule="auto"/>
        <w:rPr>
          <w:sz w:val="20"/>
          <w:szCs w:val="20"/>
          <w:color w:val="auto"/>
        </w:rPr>
      </w:pPr>
      <w:r>
        <w:rPr>
          <w:rFonts w:ascii="Arial" w:cs="Arial" w:eastAsia="Arial" w:hAnsi="Arial"/>
          <w:sz w:val="17"/>
          <w:szCs w:val="17"/>
          <w:color w:val="auto"/>
        </w:rPr>
        <w:t>consider any actual or potential changes to our borrowing levels or any amounts loaned or distributed subsequent to March 31, 2022, or the impact of additional amounts that may be available to borrow, loan or distribute under certain defined baskets within each respective facility.</w:t>
      </w:r>
    </w:p>
    <w:p>
      <w:pPr>
        <w:spacing w:after="0" w:line="76"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left="675"/>
              <w:spacing w:after="0"/>
              <w:rPr>
                <w:sz w:val="20"/>
                <w:szCs w:val="20"/>
                <w:color w:val="auto"/>
              </w:rPr>
            </w:pPr>
            <w:r>
              <w:rPr>
                <w:rFonts w:ascii="Arial" w:cs="Arial" w:eastAsia="Arial" w:hAnsi="Arial"/>
                <w:sz w:val="16"/>
                <w:szCs w:val="16"/>
                <w:b w:val="1"/>
                <w:bCs w:val="1"/>
                <w:color w:val="auto"/>
                <w:w w:val="92"/>
              </w:rPr>
              <w:t>Availability</w:t>
            </w: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3"/>
            <w:vMerge w:val="restart"/>
          </w:tcPr>
          <w:p>
            <w:pPr>
              <w:jc w:val="right"/>
              <w:ind w:right="735"/>
              <w:spacing w:after="0"/>
              <w:rPr>
                <w:sz w:val="20"/>
                <w:szCs w:val="20"/>
                <w:color w:val="auto"/>
              </w:rPr>
            </w:pPr>
            <w:r>
              <w:rPr>
                <w:rFonts w:ascii="Arial" w:cs="Arial" w:eastAsia="Arial" w:hAnsi="Arial"/>
                <w:sz w:val="16"/>
                <w:szCs w:val="16"/>
                <w:b w:val="1"/>
                <w:bCs w:val="1"/>
                <w:color w:val="auto"/>
              </w:rPr>
              <w:t>March 31, 2022</w:t>
            </w:r>
          </w:p>
        </w:tc>
        <w:tc>
          <w:tcPr>
            <w:tcW w:w="2960" w:type="dxa"/>
            <w:vAlign w:val="bottom"/>
            <w:gridSpan w:val="6"/>
          </w:tcPr>
          <w:p>
            <w:pPr>
              <w:jc w:val="right"/>
              <w:spacing w:after="0" w:line="155" w:lineRule="exact"/>
              <w:rPr>
                <w:sz w:val="20"/>
                <w:szCs w:val="20"/>
                <w:color w:val="auto"/>
              </w:rPr>
            </w:pPr>
            <w:r>
              <w:rPr>
                <w:rFonts w:ascii="Arial" w:cs="Arial" w:eastAsia="Arial" w:hAnsi="Arial"/>
                <w:sz w:val="16"/>
                <w:szCs w:val="16"/>
                <w:b w:val="1"/>
                <w:bCs w:val="1"/>
                <w:color w:val="auto"/>
                <w:w w:val="90"/>
              </w:rPr>
              <w:t>Upon completion of the relevant March 31,</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9"/>
              </w:rPr>
              <w:t>2022 compliance reporting requirements</w:t>
            </w:r>
          </w:p>
        </w:tc>
        <w:tc>
          <w:tcPr>
            <w:tcW w:w="0" w:type="dxa"/>
            <w:vAlign w:val="bottom"/>
          </w:tcPr>
          <w:p>
            <w:pPr>
              <w:spacing w:after="0"/>
              <w:rPr>
                <w:sz w:val="1"/>
                <w:szCs w:val="1"/>
                <w:color w:val="auto"/>
              </w:rPr>
            </w:pPr>
          </w:p>
        </w:tc>
      </w:tr>
      <w:tr>
        <w:trPr>
          <w:trHeight w:val="154"/>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75"/>
              <w:spacing w:after="0" w:line="155" w:lineRule="exact"/>
              <w:rPr>
                <w:sz w:val="20"/>
                <w:szCs w:val="20"/>
                <w:color w:val="auto"/>
              </w:rPr>
            </w:pPr>
            <w:r>
              <w:rPr>
                <w:rFonts w:ascii="Arial" w:cs="Arial" w:eastAsia="Arial" w:hAnsi="Arial"/>
                <w:sz w:val="16"/>
                <w:szCs w:val="16"/>
                <w:b w:val="1"/>
                <w:bCs w:val="1"/>
                <w:color w:val="auto"/>
                <w:w w:val="99"/>
              </w:rPr>
              <w:t>Borrowing</w:t>
            </w:r>
          </w:p>
        </w:tc>
        <w:tc>
          <w:tcPr>
            <w:tcW w:w="320" w:type="dxa"/>
            <w:vAlign w:val="bottom"/>
          </w:tcPr>
          <w:p>
            <w:pPr>
              <w:spacing w:after="0"/>
              <w:rPr>
                <w:sz w:val="13"/>
                <w:szCs w:val="13"/>
                <w:color w:val="auto"/>
              </w:rPr>
            </w:pPr>
          </w:p>
        </w:tc>
        <w:tc>
          <w:tcPr>
            <w:tcW w:w="1040" w:type="dxa"/>
            <w:vAlign w:val="bottom"/>
          </w:tcPr>
          <w:p>
            <w:pPr>
              <w:jc w:val="right"/>
              <w:ind w:right="315"/>
              <w:spacing w:after="0" w:line="155" w:lineRule="exact"/>
              <w:rPr>
                <w:sz w:val="20"/>
                <w:szCs w:val="20"/>
                <w:color w:val="auto"/>
              </w:rPr>
            </w:pPr>
            <w:r>
              <w:rPr>
                <w:rFonts w:ascii="Arial" w:cs="Arial" w:eastAsia="Arial" w:hAnsi="Arial"/>
                <w:sz w:val="16"/>
                <w:szCs w:val="16"/>
                <w:b w:val="1"/>
                <w:bCs w:val="1"/>
                <w:color w:val="auto"/>
              </w:rPr>
              <w:t>U.S. $</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280"/>
              <w:spacing w:after="0" w:line="155" w:lineRule="exact"/>
              <w:rPr>
                <w:sz w:val="20"/>
                <w:szCs w:val="20"/>
                <w:color w:val="auto"/>
              </w:rPr>
            </w:pPr>
            <w:r>
              <w:rPr>
                <w:rFonts w:ascii="Arial" w:cs="Arial" w:eastAsia="Arial" w:hAnsi="Arial"/>
                <w:sz w:val="16"/>
                <w:szCs w:val="16"/>
                <w:b w:val="1"/>
                <w:bCs w:val="1"/>
                <w:color w:val="auto"/>
              </w:rPr>
              <w:t>Borrowing</w:t>
            </w:r>
          </w:p>
        </w:tc>
        <w:tc>
          <w:tcPr>
            <w:tcW w:w="320" w:type="dxa"/>
            <w:vAlign w:val="bottom"/>
          </w:tcPr>
          <w:p>
            <w:pPr>
              <w:spacing w:after="0"/>
              <w:rPr>
                <w:sz w:val="13"/>
                <w:szCs w:val="13"/>
                <w:color w:val="auto"/>
              </w:rPr>
            </w:pPr>
          </w:p>
        </w:tc>
        <w:tc>
          <w:tcPr>
            <w:tcW w:w="1100" w:type="dxa"/>
            <w:vAlign w:val="bottom"/>
          </w:tcPr>
          <w:p>
            <w:pPr>
              <w:jc w:val="right"/>
              <w:ind w:right="354"/>
              <w:spacing w:after="0" w:line="155" w:lineRule="exact"/>
              <w:rPr>
                <w:sz w:val="20"/>
                <w:szCs w:val="20"/>
                <w:color w:val="auto"/>
              </w:rPr>
            </w:pPr>
            <w:r>
              <w:rPr>
                <w:rFonts w:ascii="Arial" w:cs="Arial" w:eastAsia="Arial" w:hAnsi="Arial"/>
                <w:sz w:val="16"/>
                <w:szCs w:val="16"/>
                <w:b w:val="1"/>
                <w:bCs w:val="1"/>
                <w:color w:val="auto"/>
              </w:rPr>
              <w:t>U.S. $</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currency</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8"/>
              </w:rPr>
              <w:t>equivalent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88"/>
              </w:rPr>
              <w:t>currency</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8"/>
              </w:rPr>
              <w:t>equivalent</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4"/>
          </w:tcPr>
          <w:p>
            <w:pPr>
              <w:jc w:val="center"/>
              <w:ind w:left="675"/>
              <w:spacing w:after="0"/>
              <w:rPr>
                <w:sz w:val="20"/>
                <w:szCs w:val="20"/>
                <w:color w:val="auto"/>
              </w:rPr>
            </w:pPr>
            <w:r>
              <w:rPr>
                <w:rFonts w:ascii="Arial" w:cs="Arial" w:eastAsia="Arial" w:hAnsi="Arial"/>
                <w:sz w:val="16"/>
                <w:szCs w:val="16"/>
                <w:b w:val="1"/>
                <w:bCs w:val="1"/>
                <w:color w:val="auto"/>
                <w:w w:val="88"/>
              </w:rPr>
              <w:t>in millions</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 to borrow:</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714.6</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714.6</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2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555.0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555.0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25"/>
        </w:trPr>
        <w:tc>
          <w:tcPr>
            <w:tcW w:w="4480" w:type="dxa"/>
            <w:vAlign w:val="bottom"/>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199"/>
        </w:trPr>
        <w:tc>
          <w:tcPr>
            <w:tcW w:w="4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Available to loan or distribute:</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637.0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294.1</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5"/>
        </w:trPr>
        <w:tc>
          <w:tcPr>
            <w:tcW w:w="4480" w:type="dxa"/>
            <w:vAlign w:val="bottom"/>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555.0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555.0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2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82.3</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80" w:hanging="474"/>
        <w:spacing w:after="0" w:line="250" w:lineRule="auto"/>
        <w:tabs>
          <w:tab w:leader="none" w:pos="4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Unused borrowing capacity under the UPC Holding Bank Facility relates to an equivalent €714.6 million ($791.9 million) under the UPC Revolving Facility, part of which has been made available as an ancillary facility. With the exception of €21.8 million ($24.2 million) of borrowings under the ancillary facility, the UPC Revolving Facility was undrawn at March 31, 2022.</w:t>
      </w:r>
    </w:p>
    <w:p>
      <w:pPr>
        <w:jc w:val="both"/>
        <w:ind w:left="480" w:hanging="474"/>
        <w:spacing w:after="0" w:line="248" w:lineRule="auto"/>
        <w:tabs>
          <w:tab w:leader="none" w:pos="4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€510.0 million ($565.2 million) under the Telenet Revolving Facility I, (ii) €25.0 million ($27.7 million) under the Telenet Overdraft Facility and (iii) €20.0 million ($22.1 million) under the Telenet Revolving Facility, each of which were undrawn at March 31, 2022.</w:t>
      </w:r>
    </w:p>
    <w:p>
      <w:pPr>
        <w:spacing w:after="0" w:line="221"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Unused borrowing capacity under the VM Ireland Credit Facility relates to €100.0 million ($110.8 million) under the VM Ireland Revolving Facility, which was undrawn at March 31, 2022.</w:t>
      </w:r>
    </w:p>
    <w:p>
      <w:pPr>
        <w:spacing w:after="0" w:line="207" w:lineRule="exact"/>
        <w:rPr>
          <w:rFonts w:ascii="Arial" w:cs="Arial" w:eastAsia="Arial" w:hAnsi="Arial"/>
          <w:sz w:val="18"/>
          <w:szCs w:val="18"/>
          <w:color w:val="auto"/>
        </w:rPr>
      </w:pPr>
    </w:p>
    <w:p>
      <w:pPr>
        <w:jc w:val="both"/>
        <w:ind w:left="480" w:hanging="474"/>
        <w:spacing w:after="0" w:line="263" w:lineRule="auto"/>
        <w:tabs>
          <w:tab w:leader="none" w:pos="4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three months ended March 31, 2022 and 2021, the constructive cash outflow included in cash flows from operating activities and the corresponding constructive cash inflow included in cash flows from financing activities related to these operating expenses was $133.7 million and $849.0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214"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31, 2022 and December 31, 2021, our debt had an estimated fair value of $13.9 billion and $14.5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At March 31, 2022, most of our outstanding debt had been incurred by one of our three subsidiary “borrowing groups.” References to these borrowing groups, which comprise UPC Holding, Telenet and VM Ireland, include their respective restricted parent and subsidiary entities. For information regarding the general terms and conditions of our debt and capitalized terms not defined herein, see note 11 to the consolidated financial statements included in our 10-K. For information regarding certain financing transactions completed subsequent to March 31, 2022, see note 17.</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debt as of March 31, 2022 are presented below for the named entity and its subsidiaries, unless otherwise noted, and represent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dollar equivalents based on March 31, 2022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UPC Holding</w:t>
            </w:r>
          </w:p>
        </w:tc>
        <w:tc>
          <w:tcPr>
            <w:tcW w:w="200" w:type="dxa"/>
            <w:vAlign w:val="bottom"/>
          </w:tcPr>
          <w:p>
            <w:pPr>
              <w:spacing w:after="0"/>
              <w:rPr>
                <w:sz w:val="16"/>
                <w:szCs w:val="16"/>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2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VM Ireland</w:t>
            </w:r>
          </w:p>
        </w:tc>
        <w:tc>
          <w:tcPr>
            <w:tcW w:w="220" w:type="dxa"/>
            <w:vAlign w:val="bottom"/>
          </w:tcPr>
          <w:p>
            <w:pPr>
              <w:spacing w:after="0"/>
              <w:rPr>
                <w:sz w:val="16"/>
                <w:szCs w:val="16"/>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(a)</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2022 (remainder of year)</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13,335.0</w:t>
            </w:r>
          </w:p>
        </w:tc>
        <w:tc>
          <w:tcPr>
            <w:tcW w:w="0" w:type="dxa"/>
            <w:vAlign w:val="bottom"/>
          </w:tcPr>
          <w:p>
            <w:pPr>
              <w:spacing w:after="0"/>
              <w:rPr>
                <w:sz w:val="1"/>
                <w:szCs w:val="1"/>
                <w:color w:val="auto"/>
              </w:rPr>
            </w:pPr>
          </w:p>
        </w:tc>
      </w:tr>
      <w:tr>
        <w:trPr>
          <w:trHeight w:val="219"/>
        </w:trPr>
        <w:tc>
          <w:tcPr>
            <w:tcW w:w="5260" w:type="dxa"/>
            <w:vAlign w:val="bottom"/>
            <w:tcBorders>
              <w:top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 maturities (b)</w:t>
            </w: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14,190.5</w:t>
            </w:r>
          </w:p>
        </w:tc>
        <w:tc>
          <w:tcPr>
            <w:tcW w:w="0" w:type="dxa"/>
            <w:vAlign w:val="bottom"/>
          </w:tcPr>
          <w:p>
            <w:pPr>
              <w:spacing w:after="0"/>
              <w:rPr>
                <w:sz w:val="1"/>
                <w:szCs w:val="1"/>
                <w:color w:val="auto"/>
              </w:rPr>
            </w:pPr>
          </w:p>
        </w:tc>
      </w:tr>
      <w:tr>
        <w:trPr>
          <w:trHeight w:val="225"/>
        </w:trPr>
        <w:tc>
          <w:tcPr>
            <w:tcW w:w="5260" w:type="dxa"/>
            <w:vAlign w:val="bottom"/>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5260" w:type="dxa"/>
            <w:vAlign w:val="bottom"/>
            <w:tcBorders>
              <w:top w:val="single" w:sz="8" w:color="CCEEFF"/>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14,135.3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60" w:type="dxa"/>
            <w:vAlign w:val="bottom"/>
            <w:vMerge w:val="continue"/>
          </w:tcPr>
          <w:p>
            <w:pPr>
              <w:spacing w:after="0"/>
              <w:rPr>
                <w:sz w:val="17"/>
                <w:szCs w:val="17"/>
                <w:color w:val="auto"/>
              </w:rPr>
            </w:pPr>
          </w:p>
        </w:tc>
        <w:tc>
          <w:tcPr>
            <w:tcW w:w="280" w:type="dxa"/>
            <w:vAlign w:val="bottom"/>
          </w:tcPr>
          <w:p>
            <w:pPr>
              <w:jc w:val="right"/>
              <w:ind w:right="93"/>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rPr>
              <w:t>296.2</w:t>
            </w:r>
          </w:p>
        </w:tc>
        <w:tc>
          <w:tcPr>
            <w:tcW w:w="120" w:type="dxa"/>
            <w:vAlign w:val="bottom"/>
          </w:tcPr>
          <w:p>
            <w:pPr>
              <w:spacing w:after="0"/>
              <w:rPr>
                <w:sz w:val="17"/>
                <w:szCs w:val="17"/>
                <w:color w:val="auto"/>
              </w:rPr>
            </w:pPr>
          </w:p>
        </w:tc>
        <w:tc>
          <w:tcPr>
            <w:tcW w:w="200" w:type="dxa"/>
            <w:vAlign w:val="bottom"/>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386.6</w:t>
            </w:r>
          </w:p>
        </w:tc>
        <w:tc>
          <w:tcPr>
            <w:tcW w:w="12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69.1</w:t>
            </w:r>
          </w:p>
        </w:tc>
        <w:tc>
          <w:tcPr>
            <w:tcW w:w="120" w:type="dxa"/>
            <w:vAlign w:val="bottom"/>
          </w:tcPr>
          <w:p>
            <w:pPr>
              <w:spacing w:after="0"/>
              <w:rPr>
                <w:sz w:val="17"/>
                <w:szCs w:val="17"/>
                <w:color w:val="auto"/>
              </w:rPr>
            </w:pPr>
          </w:p>
        </w:tc>
        <w:tc>
          <w:tcPr>
            <w:tcW w:w="240" w:type="dxa"/>
            <w:vAlign w:val="bottom"/>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Noncurrent portion</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Amounts include certain senior secured notes issued by special purpose financing entities that are consolidated by UPC Holding and Liberty Global.</w:t>
      </w:r>
    </w:p>
    <w:p>
      <w:pPr>
        <w:spacing w:after="0" w:line="278" w:lineRule="exact"/>
        <w:rPr>
          <w:rFonts w:ascii="Arial" w:cs="Arial" w:eastAsia="Arial" w:hAnsi="Arial"/>
          <w:sz w:val="15"/>
          <w:szCs w:val="15"/>
          <w:color w:val="auto"/>
        </w:rPr>
      </w:pPr>
    </w:p>
    <w:p>
      <w:pPr>
        <w:ind w:left="480" w:hanging="47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include vendor financing obligations of $789.6 million, as set forth below:</w:t>
      </w:r>
    </w:p>
    <w:p>
      <w:pPr>
        <w:spacing w:after="0" w:line="11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8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UPC</w:t>
            </w:r>
          </w:p>
        </w:tc>
        <w:tc>
          <w:tcPr>
            <w:tcW w:w="320" w:type="dxa"/>
            <w:vAlign w:val="bottom"/>
          </w:tcPr>
          <w:p>
            <w:pPr>
              <w:spacing w:after="0"/>
              <w:rPr>
                <w:sz w:val="16"/>
                <w:szCs w:val="16"/>
                <w:color w:val="auto"/>
              </w:rPr>
            </w:pPr>
          </w:p>
        </w:tc>
        <w:tc>
          <w:tcPr>
            <w:tcW w:w="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2022 (remainder of year)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9"/>
        </w:trPr>
        <w:tc>
          <w:tcPr>
            <w:tcW w:w="5600" w:type="dxa"/>
            <w:vAlign w:val="bottom"/>
          </w:tcPr>
          <w:p>
            <w:pPr>
              <w:ind w:left="220"/>
              <w:spacing w:after="0"/>
              <w:rPr>
                <w:sz w:val="20"/>
                <w:szCs w:val="20"/>
                <w:color w:val="auto"/>
              </w:rPr>
            </w:pPr>
            <w:r>
              <w:rPr>
                <w:rFonts w:ascii="Arial" w:cs="Arial" w:eastAsia="Arial" w:hAnsi="Arial"/>
                <w:sz w:val="18"/>
                <w:szCs w:val="18"/>
                <w:color w:val="auto"/>
              </w:rPr>
              <w:t>Total vendor financing maturities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tcPr>
          <w:p>
            <w:pPr>
              <w:ind w:left="20"/>
              <w:spacing w:after="0" w:line="198" w:lineRule="exact"/>
              <w:rPr>
                <w:sz w:val="20"/>
                <w:szCs w:val="20"/>
                <w:color w:val="auto"/>
              </w:rPr>
            </w:pPr>
            <w:r>
              <w:rPr>
                <w:rFonts w:ascii="Arial" w:cs="Arial" w:eastAsia="Arial" w:hAnsi="Arial"/>
                <w:sz w:val="18"/>
                <w:szCs w:val="18"/>
                <w:color w:val="auto"/>
              </w:rPr>
              <w:t>Noncurrent portion</w:t>
            </w:r>
          </w:p>
        </w:tc>
        <w:tc>
          <w:tcPr>
            <w:tcW w:w="20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8" w:lineRule="exact"/>
              <w:rPr>
                <w:sz w:val="20"/>
                <w:szCs w:val="20"/>
                <w:color w:val="auto"/>
              </w:rPr>
            </w:pPr>
            <w:r>
              <w:rPr>
                <w:rFonts w:ascii="Arial" w:cs="Arial" w:eastAsia="Arial" w:hAnsi="Arial"/>
                <w:sz w:val="18"/>
                <w:szCs w:val="18"/>
                <w:color w:val="auto"/>
              </w:rPr>
              <w:t>48.8</w:t>
            </w:r>
          </w:p>
        </w:tc>
        <w:tc>
          <w:tcPr>
            <w:tcW w:w="100" w:type="dxa"/>
            <w:vAlign w:val="bottom"/>
          </w:tcPr>
          <w:p>
            <w:pPr>
              <w:spacing w:after="0"/>
              <w:rPr>
                <w:sz w:val="17"/>
                <w:szCs w:val="17"/>
                <w:color w:val="auto"/>
              </w:rPr>
            </w:pPr>
          </w:p>
        </w:tc>
        <w:tc>
          <w:tcPr>
            <w:tcW w:w="240" w:type="dxa"/>
            <w:vAlign w:val="bottom"/>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Vendor Financing Obligations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balances of our vendor financing obligations for the indicated periods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203"/>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163"/>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8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January 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r>
      <w:tr>
        <w:trPr>
          <w:trHeight w:val="225"/>
        </w:trPr>
        <w:tc>
          <w:tcPr>
            <w:tcW w:w="8600" w:type="dxa"/>
            <w:vAlign w:val="bottom"/>
          </w:tcPr>
          <w:p>
            <w:pPr>
              <w:ind w:left="180"/>
              <w:spacing w:after="0"/>
              <w:rPr>
                <w:sz w:val="20"/>
                <w:szCs w:val="20"/>
                <w:color w:val="auto"/>
              </w:rPr>
            </w:pPr>
            <w:r>
              <w:rPr>
                <w:rFonts w:ascii="Arial" w:cs="Arial" w:eastAsia="Arial" w:hAnsi="Arial"/>
                <w:sz w:val="18"/>
                <w:szCs w:val="18"/>
                <w:color w:val="auto"/>
              </w:rPr>
              <w:t>Vendor financing obligations of the U.K. JV Entities at January 1</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2,805.8</w:t>
            </w:r>
          </w:p>
        </w:tc>
      </w:tr>
      <w:tr>
        <w:trPr>
          <w:trHeight w:val="219"/>
        </w:trPr>
        <w:tc>
          <w:tcPr>
            <w:tcW w:w="86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January 1, including amounts classified as held for sale</w:t>
            </w: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3,905.4</w:t>
            </w:r>
          </w:p>
        </w:tc>
      </w:tr>
      <w:tr>
        <w:trPr>
          <w:trHeight w:val="225"/>
        </w:trPr>
        <w:tc>
          <w:tcPr>
            <w:tcW w:w="8600" w:type="dxa"/>
            <w:vAlign w:val="bottom"/>
          </w:tcPr>
          <w:p>
            <w:pPr>
              <w:ind w:left="180"/>
              <w:spacing w:after="0"/>
              <w:rPr>
                <w:sz w:val="20"/>
                <w:szCs w:val="20"/>
                <w:color w:val="auto"/>
              </w:rPr>
            </w:pPr>
            <w:r>
              <w:rPr>
                <w:rFonts w:ascii="Arial" w:cs="Arial" w:eastAsia="Arial" w:hAnsi="Arial"/>
                <w:sz w:val="18"/>
                <w:szCs w:val="18"/>
                <w:color w:val="auto"/>
              </w:rPr>
              <w:t>Operating-related vendor financing additions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849.0</w:t>
            </w:r>
          </w:p>
        </w:tc>
      </w:tr>
      <w:tr>
        <w:trPr>
          <w:trHeight w:val="22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Capital-related vendor financing additions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25"/>
        </w:trPr>
        <w:tc>
          <w:tcPr>
            <w:tcW w:w="8600" w:type="dxa"/>
            <w:vAlign w:val="bottom"/>
          </w:tcPr>
          <w:p>
            <w:pPr>
              <w:ind w:left="18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(655.3)</w:t>
            </w:r>
          </w:p>
        </w:tc>
      </w:tr>
      <w:tr>
        <w:trPr>
          <w:trHeight w:val="22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r>
      <w:tr>
        <w:trPr>
          <w:trHeight w:val="225"/>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acquisitions and 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19"/>
        </w:trPr>
        <w:tc>
          <w:tcPr>
            <w:tcW w:w="8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vendor financing obligations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4,010.9</w:t>
            </w:r>
          </w:p>
        </w:tc>
      </w:tr>
      <w:tr>
        <w:trPr>
          <w:trHeight w:val="225"/>
        </w:trPr>
        <w:tc>
          <w:tcPr>
            <w:tcW w:w="8600" w:type="dxa"/>
            <w:vAlign w:val="bottom"/>
          </w:tcPr>
          <w:p>
            <w:pPr>
              <w:ind w:left="340"/>
              <w:spacing w:after="0"/>
              <w:rPr>
                <w:sz w:val="20"/>
                <w:szCs w:val="20"/>
                <w:color w:val="auto"/>
              </w:rPr>
            </w:pPr>
            <w:r>
              <w:rPr>
                <w:rFonts w:ascii="Arial" w:cs="Arial" w:eastAsia="Arial" w:hAnsi="Arial"/>
                <w:sz w:val="18"/>
                <w:szCs w:val="18"/>
                <w:color w:val="auto"/>
              </w:rPr>
              <w:t>Less: vendor financing obligations of the U.K. JV Entities</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(2,975.3)</w:t>
            </w:r>
          </w:p>
        </w:tc>
      </w:tr>
      <w:tr>
        <w:trPr>
          <w:trHeight w:val="244"/>
        </w:trPr>
        <w:tc>
          <w:tcPr>
            <w:tcW w:w="86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March 31</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40" w:hanging="334"/>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Lease Balances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right-of-use (</w:t>
      </w:r>
      <w:r>
        <w:rPr>
          <w:rFonts w:ascii="Arial" w:cs="Arial" w:eastAsia="Arial" w:hAnsi="Arial"/>
          <w:sz w:val="18"/>
          <w:szCs w:val="18"/>
          <w:b w:val="1"/>
          <w:bCs w:val="1"/>
          <w:color w:val="auto"/>
        </w:rPr>
        <w:t>ROU</w:t>
      </w:r>
      <w:r>
        <w:rPr>
          <w:rFonts w:ascii="Arial" w:cs="Arial" w:eastAsia="Arial" w:hAnsi="Arial"/>
          <w:sz w:val="18"/>
          <w:szCs w:val="18"/>
          <w:color w:val="auto"/>
        </w:rPr>
        <w:t>) assets and lease liabilities is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140" w:type="dxa"/>
            <w:vAlign w:val="bottom"/>
          </w:tcPr>
          <w:p>
            <w:pPr>
              <w:jc w:val="right"/>
              <w:ind w:right="94"/>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r>
      <w:tr>
        <w:trPr>
          <w:trHeight w:val="203"/>
        </w:trPr>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4"/>
          </w:tcPr>
          <w:p>
            <w:pPr>
              <w:jc w:val="right"/>
              <w:ind w:right="874"/>
              <w:spacing w:after="0"/>
              <w:rPr>
                <w:sz w:val="20"/>
                <w:szCs w:val="20"/>
                <w:color w:val="auto"/>
              </w:rPr>
            </w:pPr>
            <w:r>
              <w:rPr>
                <w:rFonts w:ascii="Arial" w:cs="Arial" w:eastAsia="Arial" w:hAnsi="Arial"/>
                <w:sz w:val="16"/>
                <w:szCs w:val="16"/>
                <w:b w:val="1"/>
                <w:bCs w:val="1"/>
                <w:color w:val="auto"/>
              </w:rPr>
              <w:t>in millions</w:t>
            </w:r>
          </w:p>
        </w:tc>
      </w:tr>
      <w:tr>
        <w:trPr>
          <w:trHeight w:val="150"/>
        </w:trPr>
        <w:tc>
          <w:tcPr>
            <w:tcW w:w="8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Finance leases (a)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426.0</w:t>
            </w: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(b)</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w:t>
            </w:r>
          </w:p>
        </w:tc>
      </w:tr>
      <w:tr>
        <w:trPr>
          <w:trHeight w:val="218"/>
        </w:trPr>
        <w:tc>
          <w:tcPr>
            <w:tcW w:w="8600" w:type="dxa"/>
            <w:vAlign w:val="bottom"/>
          </w:tcPr>
          <w:p>
            <w:pPr>
              <w:ind w:left="260"/>
              <w:spacing w:after="0"/>
              <w:rPr>
                <w:sz w:val="20"/>
                <w:szCs w:val="20"/>
                <w:color w:val="auto"/>
              </w:rPr>
            </w:pPr>
            <w:r>
              <w:rPr>
                <w:rFonts w:ascii="Arial" w:cs="Arial" w:eastAsia="Arial" w:hAnsi="Arial"/>
                <w:sz w:val="18"/>
                <w:szCs w:val="18"/>
                <w:color w:val="auto"/>
              </w:rPr>
              <w:t>Total ROU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1,753.8</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2"/>
        </w:trPr>
        <w:tc>
          <w:tcPr>
            <w:tcW w:w="8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r>
      <w:tr>
        <w:trPr>
          <w:trHeight w:val="225"/>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leases (d)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r>
      <w:tr>
        <w:trPr>
          <w:trHeight w:val="244"/>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finance lease ROU assets are included in property and equipment, net, on our condensed consolidated balance sheets. At March 31, 2022, the weighted average remaining lease term for finance leases was 22.3 years and the weighted average discount rate was 6.0%. During the three months ended March 31, 2022 and 2021, we recorded non-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cash additions to our finance lease ROU assets of $8.7 million and $9.6 million (including amounts related to the U.K. JV Entities), respectively.</w:t>
      </w:r>
    </w:p>
    <w:p>
      <w:pPr>
        <w:spacing w:after="0" w:line="255" w:lineRule="exact"/>
        <w:rPr>
          <w:sz w:val="20"/>
          <w:szCs w:val="20"/>
          <w:color w:val="auto"/>
        </w:rPr>
      </w:pPr>
    </w:p>
    <w:p>
      <w:pPr>
        <w:jc w:val="both"/>
        <w:ind w:left="480" w:hanging="474"/>
        <w:spacing w:after="0" w:line="252" w:lineRule="auto"/>
        <w:tabs>
          <w:tab w:leader="none" w:pos="4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condensed consolidated balance sheets. At March 31, 2022, the weighted average remaining lease term for operating leases was 12.8 years and the weighted average discount rate was 5.9%. During the three months ended March 31, 2022 and 2021, we recorded non-cash additions to our operating lease ROU assets of $51.2 million and $32.9 million (including amounts related to the U.K. JV Entities), respectively.</w:t>
      </w:r>
    </w:p>
    <w:p>
      <w:pPr>
        <w:spacing w:after="0" w:line="217"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current portions of our operating lease liabilities are included within other accrued and current liabilities on our condensed consolidated balance sheets.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29"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202"/>
        </w:trPr>
        <w:tc>
          <w:tcPr>
            <w:tcW w:w="8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163"/>
        </w:trPr>
        <w:tc>
          <w:tcPr>
            <w:tcW w:w="8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16.5</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8"/>
        </w:trPr>
        <w:tc>
          <w:tcPr>
            <w:tcW w:w="8600" w:type="dxa"/>
            <w:vAlign w:val="bottom"/>
          </w:tcPr>
          <w:p>
            <w:pPr>
              <w:ind w:left="260"/>
              <w:spacing w:after="0" w:line="204" w:lineRule="exact"/>
              <w:rPr>
                <w:sz w:val="20"/>
                <w:szCs w:val="20"/>
                <w:color w:val="auto"/>
              </w:rPr>
            </w:pPr>
            <w:r>
              <w:rPr>
                <w:rFonts w:ascii="Arial" w:cs="Arial" w:eastAsia="Arial" w:hAnsi="Arial"/>
                <w:sz w:val="18"/>
                <w:szCs w:val="18"/>
                <w:color w:val="auto"/>
              </w:rPr>
              <w:t>Total finance lease expense</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(a)</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8"/>
        </w:trPr>
        <w:tc>
          <w:tcPr>
            <w:tcW w:w="8600" w:type="dxa"/>
            <w:vAlign w:val="bottom"/>
          </w:tcPr>
          <w:p>
            <w:pPr>
              <w:ind w:left="300"/>
              <w:spacing w:after="0" w:line="204" w:lineRule="exact"/>
              <w:rPr>
                <w:sz w:val="20"/>
                <w:szCs w:val="20"/>
                <w:color w:val="auto"/>
              </w:rPr>
            </w:pPr>
            <w:r>
              <w:rPr>
                <w:rFonts w:ascii="Arial" w:cs="Arial" w:eastAsia="Arial" w:hAnsi="Arial"/>
                <w:sz w:val="18"/>
                <w:szCs w:val="18"/>
                <w:color w:val="auto"/>
              </w:rPr>
              <w:t>Total lease expense</w:t>
            </w: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76.9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r>
      <w:tr>
        <w:trPr>
          <w:trHeight w:val="20"/>
        </w:trPr>
        <w:tc>
          <w:tcPr>
            <w:tcW w:w="8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37"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29"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202"/>
        </w:trPr>
        <w:tc>
          <w:tcPr>
            <w:tcW w:w="8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03"/>
        </w:trPr>
        <w:tc>
          <w:tcPr>
            <w:tcW w:w="8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 (interest component)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 (principal component)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8600" w:type="dxa"/>
            <w:vAlign w:val="bottom"/>
            <w:tcBorders>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cash outflows from operating and finance leases</w:t>
            </w: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operating and finance lease liabilities as of March 31, 2022 are presented below. Amounts represent U.S. dollar equivalents based 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March 31, 2022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9"/>
              </w:rPr>
              <w:t>Operating leases</w:t>
            </w:r>
          </w:p>
        </w:tc>
        <w:tc>
          <w:tcPr>
            <w:tcW w:w="340" w:type="dxa"/>
            <w:vAlign w:val="bottom"/>
          </w:tcPr>
          <w:p>
            <w:pPr>
              <w:spacing w:after="0"/>
              <w:rPr>
                <w:sz w:val="16"/>
                <w:szCs w:val="16"/>
                <w:color w:val="auto"/>
              </w:rPr>
            </w:pPr>
          </w:p>
        </w:tc>
        <w:tc>
          <w:tcPr>
            <w:tcW w:w="940" w:type="dxa"/>
            <w:vAlign w:val="bottom"/>
          </w:tcPr>
          <w:p>
            <w:pPr>
              <w:jc w:val="right"/>
              <w:ind w:right="293"/>
              <w:spacing w:after="0"/>
              <w:rPr>
                <w:sz w:val="20"/>
                <w:szCs w:val="20"/>
                <w:color w:val="auto"/>
              </w:rPr>
            </w:pPr>
            <w:r>
              <w:rPr>
                <w:rFonts w:ascii="Arial" w:cs="Arial" w:eastAsia="Arial" w:hAnsi="Arial"/>
                <w:sz w:val="16"/>
                <w:szCs w:val="16"/>
                <w:b w:val="1"/>
                <w:bCs w:val="1"/>
                <w:color w:val="auto"/>
                <w:w w:val="89"/>
              </w:rPr>
              <w:t>Finance</w:t>
            </w:r>
          </w:p>
        </w:tc>
        <w:tc>
          <w:tcPr>
            <w:tcW w:w="0" w:type="dxa"/>
            <w:vAlign w:val="bottom"/>
          </w:tcPr>
          <w:p>
            <w:pPr>
              <w:spacing w:after="0"/>
              <w:rPr>
                <w:sz w:val="1"/>
                <w:szCs w:val="1"/>
                <w:color w:val="auto"/>
              </w:rPr>
            </w:pPr>
          </w:p>
        </w:tc>
      </w:tr>
      <w:tr>
        <w:trPr>
          <w:trHeight w:val="210"/>
        </w:trPr>
        <w:tc>
          <w:tcPr>
            <w:tcW w:w="8600" w:type="dxa"/>
            <w:vAlign w:val="bottom"/>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98"/>
              </w:rPr>
              <w:t>leases</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2022 (remainder of year)</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5"/>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payments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44"/>
        </w:trPr>
        <w:tc>
          <w:tcPr>
            <w:tcW w:w="860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Present value of lease payments</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0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3"/>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115.3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Noncurrent portion</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60" w:hanging="454"/>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Income tax expense attributable to our earnings from continuing operations before income taxes differs from the amounts computed using the applicable income tax rate as a result of the following factors:</w:t>
      </w:r>
    </w:p>
    <w:p>
      <w:pPr>
        <w:spacing w:after="0" w:line="93" w:lineRule="exact"/>
        <w:rPr>
          <w:sz w:val="20"/>
          <w:szCs w:val="20"/>
          <w:color w:val="auto"/>
        </w:rPr>
      </w:pPr>
    </w:p>
    <w:p>
      <w:pPr>
        <w:jc w:val="center"/>
        <w:ind w:left="8680"/>
        <w:spacing w:after="0"/>
        <w:rPr>
          <w:sz w:val="20"/>
          <w:szCs w:val="20"/>
          <w:color w:val="auto"/>
        </w:rPr>
      </w:pPr>
      <w:r>
        <w:rPr>
          <w:rFonts w:ascii="Arial" w:cs="Arial" w:eastAsia="Arial" w:hAnsi="Arial"/>
          <w:sz w:val="16"/>
          <w:szCs w:val="16"/>
          <w:b w:val="1"/>
          <w:bCs w:val="1"/>
          <w:color w:val="auto"/>
        </w:rPr>
        <w:t>Three months ended</w:t>
      </w:r>
    </w:p>
    <w:p>
      <w:pPr>
        <w:jc w:val="center"/>
        <w:ind w:left="868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r>
      <w:tr>
        <w:trPr>
          <w:trHeight w:val="202"/>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expense (a)</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Basis and other differences in the treatment of items associated with investments in subsidiaries and affiliates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International rate differences (c)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or non-taxable interest and other items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Change in valuation allowances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associated with technology innovation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8700" w:type="dxa"/>
            <w:vAlign w:val="bottom"/>
            <w:tcBorders>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income tax expense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2" w:lineRule="auto"/>
        <w:tabs>
          <w:tab w:leader="none" w:pos="4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statutory or “expected” tax rate is the U.K. rate of 19.0%. On June 10, 2021, legislation was enacted in the U.K. to increase the U.K. corporate income rate to 25.0% from April 1, 2023. The impact of this rate change on our deferred tax balances was recorded during the second quarter of 2021. Effective January 1, 2022, the enacted corporate income tax rate in the Netherlands increased from 25.0% to 25.8%. This change did not have a material impact on our consolidated financial statements.</w:t>
      </w:r>
    </w:p>
    <w:p>
      <w:pPr>
        <w:spacing w:after="0" w:line="21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pacing w:after="0" w:line="207" w:lineRule="exact"/>
        <w:rPr>
          <w:rFonts w:ascii="Arial" w:cs="Arial" w:eastAsia="Arial" w:hAnsi="Arial"/>
          <w:sz w:val="18"/>
          <w:szCs w:val="18"/>
          <w:color w:val="auto"/>
        </w:rPr>
      </w:pPr>
    </w:p>
    <w:p>
      <w:pPr>
        <w:ind w:left="480" w:right="20" w:hanging="474"/>
        <w:spacing w:after="0" w:line="252" w:lineRule="auto"/>
        <w:tabs>
          <w:tab w:leader="none" w:pos="4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1"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As of March 31, 2022, our unrecognized tax benefits were $454.5 million, of which $411.0 million would have a favorable impact on our effective income tax rate if ultimately recognized, after considering amounts that we would expect to be offset by valuation allowances and other factors.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next 12 months, we do not expect any material reductions to our unrecognized tax benefits related to tax positions taken as of March 31, 2022.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given as to the nature or impact of any changes in our unrecognized tax positions during the next 12 months.</w:t>
      </w:r>
    </w:p>
    <w:p>
      <w:pPr>
        <w:spacing w:after="0" w:line="23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Certain of our subsidiaries are currently involved in income tax examinations in various jurisdictions in which we operate, including Belgium, Ireland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During the three months ended March 31, 2022, we repurchased 18,676,300 shares of our Class C ordinary shares at an average price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$26.55, for an aggregate purchase price of $496.1 million, including direct acquisition costs. We did not repurchase any Class A ordinary shares during the period.</w:t>
      </w:r>
    </w:p>
    <w:p>
      <w:pPr>
        <w:spacing w:after="0" w:line="21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of March 31, 2022, the remaining number of our Class A and/or Class C ordinary shares that we are authorized to repurchase during 2022 was 34.1 million. Based on the average of the respective closing share prices as of March 31, 2022, this would equate to additional share repurchases during the remainder of 2022 of approximately $876.0 million. However, the actual U.S. dollar amount of our share repurchases during the remainder of 2022 will be determined by the actual transaction date share prices during the year and could differ significantly from this amount. In addition, we are authorized to repurchase 10% of our shares during 2023 based on the total number of our outstanding shares as of December 31, 2022.</w:t>
      </w:r>
    </w:p>
    <w:p>
      <w:pPr>
        <w:spacing w:after="0" w:line="171" w:lineRule="exact"/>
        <w:rPr>
          <w:sz w:val="20"/>
          <w:szCs w:val="20"/>
          <w:color w:val="auto"/>
        </w:rPr>
      </w:pPr>
    </w:p>
    <w:p>
      <w:pPr>
        <w:ind w:left="480" w:hanging="474"/>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93"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4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5"/>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(b)</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8640" w:type="dxa"/>
            <w:vAlign w:val="bottom"/>
            <w:tcBorders>
              <w:bottom w:val="single" w:sz="8" w:color="CCEEFF"/>
            </w:tcBorders>
            <w:shd w:val="clear" w:color="auto" w:fill="CCEEFF"/>
          </w:tcPr>
          <w:p>
            <w:pPr>
              <w:ind w:left="300"/>
              <w:spacing w:after="0" w:line="205" w:lineRule="exact"/>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6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51.1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4"/>
        </w:trPr>
        <w:tc>
          <w:tcPr>
            <w:tcW w:w="8640" w:type="dxa"/>
            <w:vAlign w:val="bottom"/>
            <w:tcBorders>
              <w:bottom w:val="single" w:sz="8" w:color="CCEEFF"/>
            </w:tcBorders>
            <w:shd w:val="clear" w:color="auto" w:fill="CCEEFF"/>
          </w:tcPr>
          <w:p>
            <w:pPr>
              <w:ind w:left="300"/>
              <w:spacing w:after="0" w:line="205" w:lineRule="exact"/>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right="20" w:hanging="474"/>
        <w:spacing w:after="0" w:line="264"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our 2019 Challenge Performance Awards and (ii) in the 2021 period,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and our 2019 CEO Performance Award.</w:t>
      </w:r>
    </w:p>
    <w:p>
      <w:pPr>
        <w:spacing w:after="0" w:line="207" w:lineRule="exact"/>
        <w:rPr>
          <w:rFonts w:ascii="Arial" w:cs="Arial" w:eastAsia="Arial" w:hAnsi="Arial"/>
          <w:sz w:val="18"/>
          <w:szCs w:val="18"/>
          <w:color w:val="auto"/>
        </w:rPr>
      </w:pPr>
    </w:p>
    <w:p>
      <w:pPr>
        <w:jc w:val="both"/>
        <w:ind w:left="480" w:hanging="474"/>
        <w:spacing w:after="0" w:line="250" w:lineRule="auto"/>
        <w:tabs>
          <w:tab w:leader="none" w:pos="4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the amount for the 2022 period includes compensation expense related to the 2021 Ventures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firstLine="318"/>
        <w:spacing w:after="0" w:line="301" w:lineRule="auto"/>
        <w:rPr>
          <w:sz w:val="20"/>
          <w:szCs w:val="20"/>
          <w:color w:val="auto"/>
        </w:rPr>
      </w:pPr>
      <w:r>
        <w:rPr>
          <w:rFonts w:ascii="Arial" w:cs="Arial" w:eastAsia="Arial" w:hAnsi="Arial"/>
          <w:sz w:val="17"/>
          <w:szCs w:val="17"/>
          <w:color w:val="auto"/>
        </w:rPr>
        <w:t>The following table provides the aggregate number of options, share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and performance-based share appreciation rights (</w:t>
      </w:r>
      <w:r>
        <w:rPr>
          <w:rFonts w:ascii="Arial" w:cs="Arial" w:eastAsia="Arial" w:hAnsi="Arial"/>
          <w:sz w:val="17"/>
          <w:szCs w:val="17"/>
          <w:b w:val="1"/>
          <w:bCs w:val="1"/>
          <w:color w:val="auto"/>
        </w:rPr>
        <w:t>PSARs</w:t>
      </w:r>
      <w:r>
        <w:rPr>
          <w:rFonts w:ascii="Arial" w:cs="Arial" w:eastAsia="Arial" w:hAnsi="Arial"/>
          <w:sz w:val="17"/>
          <w:szCs w:val="17"/>
          <w:color w:val="auto"/>
        </w:rPr>
        <w:t>) with respect to awards issued by Liberty Global that were (i) outstanding and (ii) exercisable as of March 31, 2022:</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6"/>
                <w:szCs w:val="16"/>
                <w:b w:val="1"/>
                <w:bCs w:val="1"/>
                <w:color w:val="auto"/>
              </w:rPr>
              <w:t>Class A</w:t>
            </w:r>
          </w:p>
        </w:tc>
        <w:tc>
          <w:tcPr>
            <w:tcW w:w="12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Gross number of</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Weighted average</w:t>
            </w:r>
          </w:p>
        </w:tc>
        <w:tc>
          <w:tcPr>
            <w:tcW w:w="142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Gross number of</w:t>
            </w:r>
          </w:p>
        </w:tc>
        <w:tc>
          <w:tcPr>
            <w:tcW w:w="13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Weighted average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shares underlying</w:t>
            </w:r>
          </w:p>
        </w:tc>
        <w:tc>
          <w:tcPr>
            <w:tcW w:w="1420" w:type="dxa"/>
            <w:vAlign w:val="bottom"/>
            <w:gridSpan w:val="3"/>
            <w:vMerge w:val="continue"/>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shares underlying</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4"/>
              </w:rPr>
              <w:t>exercise or base</w:t>
            </w: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3"/>
                <w:szCs w:val="13"/>
                <w:color w:val="auto"/>
              </w:rPr>
            </w:pPr>
          </w:p>
        </w:tc>
        <w:tc>
          <w:tcPr>
            <w:tcW w:w="1200" w:type="dxa"/>
            <w:vAlign w:val="bottom"/>
          </w:tcPr>
          <w:p>
            <w:pPr>
              <w:jc w:val="center"/>
              <w:ind w:right="15"/>
              <w:spacing w:after="0" w:line="159" w:lineRule="exact"/>
              <w:rPr>
                <w:sz w:val="20"/>
                <w:szCs w:val="20"/>
                <w:color w:val="auto"/>
              </w:rPr>
            </w:pPr>
            <w:r>
              <w:rPr>
                <w:rFonts w:ascii="Arial" w:cs="Arial" w:eastAsia="Arial" w:hAnsi="Arial"/>
                <w:sz w:val="16"/>
                <w:szCs w:val="16"/>
                <w:b w:val="1"/>
                <w:bCs w:val="1"/>
                <w:color w:val="auto"/>
                <w:w w:val="84"/>
              </w:rPr>
              <w:t>exercise or base</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PSAR awards (a)</w:t>
            </w:r>
          </w:p>
        </w:tc>
        <w:tc>
          <w:tcPr>
            <w:tcW w:w="100" w:type="dxa"/>
            <w:vAlign w:val="bottom"/>
          </w:tcPr>
          <w:p>
            <w:pPr>
              <w:spacing w:after="0"/>
              <w:rPr>
                <w:sz w:val="18"/>
                <w:szCs w:val="18"/>
                <w:color w:val="auto"/>
              </w:rPr>
            </w:pPr>
          </w:p>
        </w:tc>
        <w:tc>
          <w:tcPr>
            <w:tcW w:w="1200" w:type="dxa"/>
            <w:vAlign w:val="bottom"/>
          </w:tcPr>
          <w:p>
            <w:pPr>
              <w:jc w:val="center"/>
              <w:ind w:right="15"/>
              <w:spacing w:after="0"/>
              <w:rPr>
                <w:sz w:val="20"/>
                <w:szCs w:val="20"/>
                <w:color w:val="auto"/>
              </w:rPr>
            </w:pPr>
            <w:r>
              <w:rPr>
                <w:rFonts w:ascii="Arial" w:cs="Arial" w:eastAsia="Arial" w:hAnsi="Arial"/>
                <w:sz w:val="16"/>
                <w:szCs w:val="16"/>
                <w:b w:val="1"/>
                <w:bCs w:val="1"/>
                <w:color w:val="auto"/>
                <w:w w:val="88"/>
              </w:rPr>
              <w:t>price</w:t>
            </w:r>
          </w:p>
        </w:tc>
        <w:tc>
          <w:tcPr>
            <w:tcW w:w="0" w:type="dxa"/>
            <w:vAlign w:val="bottom"/>
          </w:tcPr>
          <w:p>
            <w:pPr>
              <w:spacing w:after="0"/>
              <w:rPr>
                <w:sz w:val="1"/>
                <w:szCs w:val="1"/>
                <w:color w:val="auto"/>
              </w:rPr>
            </w:pPr>
          </w:p>
        </w:tc>
      </w:tr>
      <w:tr>
        <w:trPr>
          <w:trHeight w:val="141"/>
        </w:trPr>
        <w:tc>
          <w:tcPr>
            <w:tcW w:w="568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24,704,924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57,877,500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15,854,220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34,224,901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former Liberty Global employees (b):</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1,676,701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4,402,717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4,085,896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318" w:lineRule="auto"/>
        <w:tabs>
          <w:tab w:leader="none" w:pos="477" w:val="left"/>
        </w:tabs>
        <w:numPr>
          <w:ilvl w:val="0"/>
          <w:numId w:val="31"/>
        </w:numPr>
        <w:rPr>
          <w:rFonts w:ascii="Arial" w:cs="Arial" w:eastAsia="Arial" w:hAnsi="Arial"/>
          <w:sz w:val="15"/>
          <w:szCs w:val="15"/>
          <w:color w:val="auto"/>
        </w:rPr>
      </w:pPr>
      <w:r>
        <w:rPr>
          <w:rFonts w:ascii="Arial" w:cs="Arial" w:eastAsia="Arial" w:hAnsi="Arial"/>
          <w:sz w:val="15"/>
          <w:szCs w:val="15"/>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72"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ordinary shares.</w:t>
      </w:r>
    </w:p>
    <w:p>
      <w:pPr>
        <w:spacing w:after="0" w:line="209" w:lineRule="exact"/>
        <w:rPr>
          <w:sz w:val="20"/>
          <w:szCs w:val="20"/>
          <w:color w:val="auto"/>
        </w:rPr>
      </w:pPr>
    </w:p>
    <w:p>
      <w:pPr>
        <w:ind w:firstLine="318"/>
        <w:spacing w:after="0" w:line="301" w:lineRule="auto"/>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that were outstanding as of March 31, 2022. The number of shares to be issued on the vesting date of these awards will be reduced by the amount of the employee’s required income tax withholding.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Class A</w:t>
            </w:r>
          </w:p>
        </w:tc>
        <w:tc>
          <w:tcPr>
            <w:tcW w:w="1300" w:type="dxa"/>
            <w:vAlign w:val="bottom"/>
          </w:tcPr>
          <w:p>
            <w:pPr>
              <w:jc w:val="right"/>
              <w:ind w:right="295"/>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81"/>
        </w:trPr>
        <w:tc>
          <w:tcPr>
            <w:tcW w:w="854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54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Held by Liberty Global employees</w:t>
            </w:r>
          </w:p>
        </w:tc>
        <w:tc>
          <w:tcPr>
            <w:tcW w:w="130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2,524,106</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5,047,898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Held by Former Liberty Global employees (a)</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60,129</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121,633</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we do not recognize share-based compensation expense with respect to these awards, the future vesting of these RSUs will increase the number of our outstanding ordinary shares.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or Loss per Share</w:t>
      </w:r>
    </w:p>
    <w:p>
      <w:pPr>
        <w:spacing w:after="0" w:line="244" w:lineRule="exact"/>
        <w:rPr>
          <w:sz w:val="20"/>
          <w:szCs w:val="20"/>
          <w:color w:val="auto"/>
        </w:rPr>
      </w:pPr>
    </w:p>
    <w:p>
      <w:pPr>
        <w:jc w:val="both"/>
        <w:ind w:right="100" w:firstLine="318"/>
        <w:spacing w:after="0" w:line="258"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PSARs and PSUs) as if they had been exercised, vested or converted at the beginning of the periods presented.</w:t>
      </w:r>
    </w:p>
    <w:p>
      <w:pPr>
        <w:sectPr>
          <w:pgSz w:w="11900" w:h="16838" w:orient="portrait"/>
          <w:cols w:equalWidth="0" w:num="1">
            <w:col w:w="11340"/>
          </w:cols>
          <w:pgMar w:left="320" w:top="360" w:right="239" w:bottom="1440" w:gutter="0" w:footer="0" w:header="0"/>
        </w:sect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details of our basic and diluted weighted average ordinary shares outstanding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598805</wp:posOffset>
            </wp:positionV>
            <wp:extent cx="7134860"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ordinary shares outstanding (basic EPS computation)</w:t>
      </w:r>
    </w:p>
    <w:p>
      <w:pPr>
        <w:spacing w:after="0" w:line="18" w:lineRule="exact"/>
        <w:rPr>
          <w:sz w:val="20"/>
          <w:szCs w:val="20"/>
          <w:color w:val="auto"/>
        </w:rPr>
      </w:pPr>
    </w:p>
    <w:p>
      <w:pPr>
        <w:ind w:left="180" w:hanging="158"/>
        <w:spacing w:after="0" w:line="229" w:lineRule="auto"/>
        <w:rPr>
          <w:sz w:val="20"/>
          <w:szCs w:val="20"/>
          <w:color w:val="auto"/>
        </w:rPr>
      </w:pPr>
      <w:r>
        <w:rPr>
          <w:rFonts w:ascii="Arial" w:cs="Arial" w:eastAsia="Arial" w:hAnsi="Arial"/>
          <w:sz w:val="18"/>
          <w:szCs w:val="18"/>
          <w:color w:val="auto"/>
        </w:rPr>
        <w:t>Incremental shares attributable to the assumed exercise of outstanding options and SARs and the release of RSUs and PSUs upon vesting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168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Weighted average ordinary shares outstanding (diluted EPS computation)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Three months ended</w:t>
      </w:r>
    </w:p>
    <w:p>
      <w:pPr>
        <w:spacing w:after="0" w:line="28"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18415</wp:posOffset>
            </wp:positionV>
            <wp:extent cx="17665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spacing w:after="0" w:line="21"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18415</wp:posOffset>
            </wp:positionV>
            <wp:extent cx="17665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spacing w:after="0" w:line="155"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520,320,152</w:t>
      </w:r>
      <w:r>
        <w:rPr>
          <w:sz w:val="20"/>
          <w:szCs w:val="20"/>
          <w:color w:val="auto"/>
        </w:rPr>
        <w:tab/>
      </w:r>
      <w:r>
        <w:rPr>
          <w:rFonts w:ascii="Arial" w:cs="Arial" w:eastAsia="Arial" w:hAnsi="Arial"/>
          <w:sz w:val="15"/>
          <w:szCs w:val="15"/>
          <w:color w:val="auto"/>
        </w:rPr>
        <w:t>575,114,550</w:t>
      </w:r>
    </w:p>
    <w:p>
      <w:pPr>
        <w:spacing w:after="0" w:line="225"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5"/>
          <w:szCs w:val="15"/>
          <w:color w:val="auto"/>
        </w:rPr>
        <w:t>12,364,920</w:t>
      </w:r>
      <w:r>
        <w:rPr>
          <w:sz w:val="20"/>
          <w:szCs w:val="20"/>
          <w:color w:val="auto"/>
        </w:rPr>
        <w:tab/>
      </w:r>
      <w:r>
        <w:rPr>
          <w:rFonts w:ascii="Arial" w:cs="Arial" w:eastAsia="Arial" w:hAnsi="Arial"/>
          <w:sz w:val="15"/>
          <w:szCs w:val="15"/>
          <w:color w:val="auto"/>
        </w:rPr>
        <w:t>9,507,525</w:t>
      </w:r>
    </w:p>
    <w:p>
      <w:pPr>
        <w:spacing w:after="0" w:line="66"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color w:val="auto"/>
        </w:rPr>
        <w:t>532,685,072</w:t>
      </w:r>
      <w:r>
        <w:rPr>
          <w:sz w:val="20"/>
          <w:szCs w:val="20"/>
          <w:color w:val="auto"/>
        </w:rPr>
        <w:tab/>
      </w:r>
      <w:r>
        <w:rPr>
          <w:rFonts w:ascii="Arial" w:cs="Arial" w:eastAsia="Arial" w:hAnsi="Arial"/>
          <w:sz w:val="15"/>
          <w:szCs w:val="15"/>
          <w:color w:val="auto"/>
        </w:rPr>
        <w:t>584,622,075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58420</wp:posOffset>
            </wp:positionV>
            <wp:extent cx="17665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340" w:space="500"/>
            <w:col w:w="2500"/>
          </w:cols>
          <w:pgMar w:left="320" w:top="360" w:right="239" w:bottom="1440" w:gutter="0" w:footer="0" w:header="0"/>
          <w:type w:val="continuous"/>
        </w:sectPr>
      </w:pPr>
    </w:p>
    <w:p>
      <w:pPr>
        <w:spacing w:after="0" w:line="15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calculation of diluted EPS for the three months ended March 31, 2022 and 2021 excludes a total of 56.8 million and 51.6 million options, SARs and RSUs, respectively, and for the 2021 period, 16.9 million PSARs and PSUs because their effect would have been anti-dilutive or, in the case of the PSARs and PSUs, because such awards had not yet met the applicable performance criteria.</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net earnings from continuing operations attributable to Liberty Global shareholders is set forth below:</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7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00" w:type="dxa"/>
            <w:vAlign w:val="bottom"/>
            <w:gridSpan w:val="3"/>
          </w:tcPr>
          <w:p>
            <w:pPr>
              <w:jc w:val="center"/>
              <w:ind w:left="417"/>
              <w:spacing w:after="0"/>
              <w:rPr>
                <w:sz w:val="20"/>
                <w:szCs w:val="20"/>
                <w:color w:val="auto"/>
              </w:rPr>
            </w:pPr>
            <w:r>
              <w:rPr>
                <w:rFonts w:ascii="Arial" w:cs="Arial" w:eastAsia="Arial" w:hAnsi="Arial"/>
                <w:sz w:val="16"/>
                <w:szCs w:val="16"/>
                <w:b w:val="1"/>
                <w:bCs w:val="1"/>
                <w:color w:val="auto"/>
                <w:w w:val="88"/>
              </w:rPr>
              <w:t>Three months ended</w:t>
            </w:r>
          </w:p>
        </w:tc>
        <w:tc>
          <w:tcPr>
            <w:tcW w:w="580" w:type="dxa"/>
            <w:vAlign w:val="bottom"/>
          </w:tcPr>
          <w:p>
            <w:pPr>
              <w:spacing w:after="0"/>
              <w:rPr>
                <w:sz w:val="18"/>
                <w:szCs w:val="18"/>
                <w:color w:val="auto"/>
              </w:rPr>
            </w:pPr>
          </w:p>
        </w:tc>
      </w:tr>
      <w:tr>
        <w:trPr>
          <w:trHeight w:val="215"/>
        </w:trPr>
        <w:tc>
          <w:tcPr>
            <w:tcW w:w="79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6"/>
                <w:szCs w:val="16"/>
                <w:b w:val="1"/>
                <w:bCs w:val="1"/>
                <w:color w:val="auto"/>
                <w:w w:val="94"/>
              </w:rPr>
              <w:t>March 31,</w:t>
            </w:r>
          </w:p>
        </w:tc>
        <w:tc>
          <w:tcPr>
            <w:tcW w:w="580" w:type="dxa"/>
            <w:vAlign w:val="bottom"/>
            <w:tcBorders>
              <w:bottom w:val="single" w:sz="8" w:color="auto"/>
            </w:tcBorders>
          </w:tcPr>
          <w:p>
            <w:pPr>
              <w:spacing w:after="0"/>
              <w:rPr>
                <w:sz w:val="18"/>
                <w:szCs w:val="18"/>
                <w:color w:val="auto"/>
              </w:rPr>
            </w:pPr>
          </w:p>
        </w:tc>
      </w:tr>
      <w:tr>
        <w:trPr>
          <w:trHeight w:val="206"/>
        </w:trPr>
        <w:tc>
          <w:tcPr>
            <w:tcW w:w="79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84"/>
              </w:rPr>
              <w:t>2021</w:t>
            </w:r>
          </w:p>
        </w:tc>
      </w:tr>
      <w:tr>
        <w:trPr>
          <w:trHeight w:val="203"/>
        </w:trPr>
        <w:tc>
          <w:tcPr>
            <w:tcW w:w="7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gridSpan w:val="3"/>
          </w:tcPr>
          <w:p>
            <w:pPr>
              <w:jc w:val="center"/>
              <w:ind w:left="417"/>
              <w:spacing w:after="0"/>
              <w:rPr>
                <w:sz w:val="20"/>
                <w:szCs w:val="20"/>
                <w:color w:val="auto"/>
              </w:rPr>
            </w:pPr>
            <w:r>
              <w:rPr>
                <w:rFonts w:ascii="Arial" w:cs="Arial" w:eastAsia="Arial" w:hAnsi="Arial"/>
                <w:sz w:val="16"/>
                <w:szCs w:val="16"/>
                <w:b w:val="1"/>
                <w:bCs w:val="1"/>
                <w:color w:val="auto"/>
                <w:w w:val="90"/>
              </w:rPr>
              <w:t>in millions</w:t>
            </w:r>
          </w:p>
        </w:tc>
        <w:tc>
          <w:tcPr>
            <w:tcW w:w="580" w:type="dxa"/>
            <w:vAlign w:val="bottom"/>
          </w:tcPr>
          <w:p>
            <w:pPr>
              <w:spacing w:after="0"/>
              <w:rPr>
                <w:sz w:val="17"/>
                <w:szCs w:val="17"/>
                <w:color w:val="auto"/>
              </w:rPr>
            </w:pPr>
          </w:p>
        </w:tc>
      </w:tr>
      <w:tr>
        <w:trPr>
          <w:trHeight w:val="110"/>
        </w:trPr>
        <w:tc>
          <w:tcPr>
            <w:tcW w:w="79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225"/>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from continuing operations</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from continuing operations attributable to noncontrolling interests</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4"/>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from continuing operations attributable to Liberty Global shareholders</w:t>
            </w: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Commitments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normal course of business, we enter into agreements that commit our company to make cash payments in future periods with respect to network and connectivity commitments, purchases of customer premises and other equipment and services, programming contracts and other items. The following table sets forth the U.S. dollar equivalents of such commitments as of March 31, 2022. The commitments included in this table do not reflect any liabilities that are included on our March 31, 2022 condensed consolidated balance sheet.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of 2022</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6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Network and connectivity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Network and connectivity commitments include Telenet’s commitments for certain operating costs associated with its leased network.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network and other equipment and (ii) certain service-related commitments, including call center, information technology and maintenance services.</w:t>
      </w:r>
    </w:p>
    <w:p>
      <w:pPr>
        <w:spacing w:after="0" w:line="20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$145.0 million and $474.9 million (including amounts related to the U.K. JV Entities) during the three months ended March 31, 2022 and 2021, respectively.</w:t>
      </w:r>
    </w:p>
    <w:p>
      <w:pPr>
        <w:spacing w:after="0" w:line="18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three months ended March 31, 2022 and 2021, see note 6.</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4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i w:val="1"/>
          <w:iCs w:val="1"/>
          <w:color w:val="auto"/>
        </w:rPr>
        <w:t xml:space="preserve">Interkabel Acquisition. </w:t>
      </w:r>
      <w:r>
        <w:rPr>
          <w:rFonts w:ascii="Arial" w:cs="Arial" w:eastAsia="Arial" w:hAnsi="Arial"/>
          <w:sz w:val="15"/>
          <w:szCs w:val="15"/>
          <w:color w:val="auto"/>
        </w:rPr>
        <w:t>On November 26, 2007, Telenet and four associations of municipalities in Belgium, which we refer to as the pure</w:t>
      </w:r>
      <w:r>
        <w:rPr>
          <w:rFonts w:ascii="Arial" w:cs="Arial" w:eastAsia="Arial" w:hAnsi="Arial"/>
          <w:sz w:val="15"/>
          <w:szCs w:val="15"/>
          <w:i w:val="1"/>
          <w:iCs w:val="1"/>
          <w:color w:val="auto"/>
        </w:rPr>
        <w:t xml:space="preserve"> </w:t>
      </w:r>
      <w:r>
        <w:rPr>
          <w:rFonts w:ascii="Arial" w:cs="Arial" w:eastAsia="Arial" w:hAnsi="Arial"/>
          <w:sz w:val="15"/>
          <w:szCs w:val="15"/>
          <w:color w:val="auto"/>
        </w:rPr>
        <w:t>intercommunales or the “</w:t>
      </w:r>
      <w:r>
        <w:rPr>
          <w:rFonts w:ascii="Arial" w:cs="Arial" w:eastAsia="Arial" w:hAnsi="Arial"/>
          <w:sz w:val="15"/>
          <w:szCs w:val="15"/>
          <w:b w:val="1"/>
          <w:bCs w:val="1"/>
          <w:color w:val="auto"/>
        </w:rPr>
        <w:t>PICs</w:t>
      </w:r>
      <w:r>
        <w:rPr>
          <w:rFonts w:ascii="Arial" w:cs="Arial" w:eastAsia="Arial" w:hAnsi="Arial"/>
          <w:sz w:val="15"/>
          <w:szCs w:val="15"/>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5"/>
          <w:szCs w:val="15"/>
          <w:b w:val="1"/>
          <w:bCs w:val="1"/>
          <w:color w:val="auto"/>
        </w:rPr>
        <w:t>2008 PICs Agreement</w:t>
      </w:r>
      <w:r>
        <w:rPr>
          <w:rFonts w:ascii="Arial" w:cs="Arial" w:eastAsia="Arial" w:hAnsi="Arial"/>
          <w:sz w:val="15"/>
          <w:szCs w:val="15"/>
          <w:color w:val="auto"/>
        </w:rPr>
        <w:t>), which closed effective October 1, 2008. Beginning in December 2007, Proximus NV/SA (</w:t>
      </w:r>
      <w:r>
        <w:rPr>
          <w:rFonts w:ascii="Arial" w:cs="Arial" w:eastAsia="Arial" w:hAnsi="Arial"/>
          <w:sz w:val="15"/>
          <w:szCs w:val="15"/>
          <w:b w:val="1"/>
          <w:bCs w:val="1"/>
          <w:color w:val="auto"/>
        </w:rPr>
        <w:t>Proximus</w:t>
      </w:r>
      <w:r>
        <w:rPr>
          <w:rFonts w:ascii="Arial" w:cs="Arial" w:eastAsia="Arial" w:hAnsi="Arial"/>
          <w:sz w:val="15"/>
          <w:szCs w:val="15"/>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3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Telekom Deutschland Litigation. </w:t>
      </w:r>
      <w:r>
        <w:rPr>
          <w:rFonts w:ascii="Arial" w:cs="Arial" w:eastAsia="Arial" w:hAnsi="Arial"/>
          <w:sz w:val="15"/>
          <w:szCs w:val="15"/>
          <w:color w:val="auto"/>
        </w:rPr>
        <w:t>On December 28, 2012, Unitymedia filed a lawsuit against Telekom Deutschland GmbH (</w:t>
      </w:r>
      <w:r>
        <w:rPr>
          <w:rFonts w:ascii="Arial" w:cs="Arial" w:eastAsia="Arial" w:hAnsi="Arial"/>
          <w:sz w:val="15"/>
          <w:szCs w:val="15"/>
          <w:b w:val="1"/>
          <w:bCs w:val="1"/>
          <w:color w:val="auto"/>
        </w:rPr>
        <w:t>Telekom Deutschland</w:t>
      </w:r>
      <w:r>
        <w:rPr>
          <w:rFonts w:ascii="Arial" w:cs="Arial" w:eastAsia="Arial" w:hAnsi="Arial"/>
          <w:sz w:val="15"/>
          <w:szCs w:val="15"/>
          <w:color w:val="auto"/>
        </w:rPr>
        <w:t>) in</w:t>
      </w:r>
      <w:r>
        <w:rPr>
          <w:rFonts w:ascii="Arial" w:cs="Arial" w:eastAsia="Arial" w:hAnsi="Arial"/>
          <w:sz w:val="15"/>
          <w:szCs w:val="15"/>
          <w:i w:val="1"/>
          <w:iCs w:val="1"/>
          <w:color w:val="auto"/>
        </w:rPr>
        <w:t xml:space="preserve"> </w:t>
      </w:r>
      <w:r>
        <w:rPr>
          <w:rFonts w:ascii="Arial" w:cs="Arial" w:eastAsia="Arial" w:hAnsi="Arial"/>
          <w:sz w:val="15"/>
          <w:szCs w:val="15"/>
          <w:color w:val="auto"/>
        </w:rPr>
        <w:t>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filed a motion with the Federal Court of Justice to grant permission to appeal, and we are not aware of any further developments on this matter to date. The resolution of this matter may take several years and no assurance can be given that Unitymedia’s claims will be successful. In connection with our sale of the Vodafone Disposal Group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xml:space="preserve">).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July 5, 2019, the Belgium Regulatory Authorities published for consultation a draft decision regarding “reasonable access tariffs” that would replace the interim prices. On May 26, 2020, the Belgium Regulatory Authorities adopted a final decision regarding the “reasonable access tariffs” (the </w:t>
      </w:r>
      <w:r>
        <w:rPr>
          <w:rFonts w:ascii="Arial" w:cs="Arial" w:eastAsia="Arial" w:hAnsi="Arial"/>
          <w:sz w:val="17"/>
          <w:szCs w:val="17"/>
          <w:b w:val="1"/>
          <w:bCs w:val="1"/>
          <w:color w:val="auto"/>
        </w:rPr>
        <w:t>2020 Decision</w:t>
      </w:r>
      <w:r>
        <w:rPr>
          <w:rFonts w:ascii="Arial" w:cs="Arial" w:eastAsia="Arial" w:hAnsi="Arial"/>
          <w:sz w:val="17"/>
          <w:szCs w:val="17"/>
          <w:color w:val="auto"/>
        </w:rPr>
        <w:t>) that represents, for example, a decrease of 11.5% as compared to the interim rates for a 100 Mbps offer combined with TV. These rates are expected to evolve over time due to, among other reasons, broadband capacity usage. The 2020 Decision became effective on July 1, 2020.</w:t>
      </w:r>
    </w:p>
    <w:p>
      <w:pPr>
        <w:spacing w:after="0" w:line="20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2020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challenged the 2018 Decision in the Court of Appeal of Brussels and also initiated an action in the European Court of Justice against the European Commission’s decision not to challenge the 2018 Decision. The proceedings before the European Court of Justice have been withdrawn by Telenet in order to avoid undue delays in the Court of Appeal case. In a decision issued on September 4, 2019, the Court of Appeal of Brussels upheld the 2018 Decision.</w:t>
      </w:r>
    </w:p>
    <w:p>
      <w:pPr>
        <w:spacing w:after="0" w:line="1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UPC Austria Matter. </w:t>
      </w:r>
      <w:r>
        <w:rPr>
          <w:rFonts w:ascii="Arial" w:cs="Arial" w:eastAsia="Arial" w:hAnsi="Arial"/>
          <w:sz w:val="17"/>
          <w:szCs w:val="17"/>
          <w:color w:val="auto"/>
        </w:rPr>
        <w:t>On July 31 2018, we completed the sale of our Austrian operations, “</w:t>
      </w:r>
      <w:r>
        <w:rPr>
          <w:rFonts w:ascii="Arial" w:cs="Arial" w:eastAsia="Arial" w:hAnsi="Arial"/>
          <w:sz w:val="17"/>
          <w:szCs w:val="17"/>
          <w:b w:val="1"/>
          <w:bCs w:val="1"/>
          <w:color w:val="auto"/>
        </w:rPr>
        <w:t>UPC Austria</w:t>
      </w:r>
      <w:r>
        <w:rPr>
          <w:rFonts w:ascii="Arial" w:cs="Arial" w:eastAsia="Arial" w:hAnsi="Arial"/>
          <w:sz w:val="17"/>
          <w:szCs w:val="17"/>
          <w:color w:val="auto"/>
        </w:rPr>
        <w:t>,” to Deutsche Telekom AG (</w:t>
      </w:r>
      <w:r>
        <w:rPr>
          <w:rFonts w:ascii="Arial" w:cs="Arial" w:eastAsia="Arial" w:hAnsi="Arial"/>
          <w:sz w:val="17"/>
          <w:szCs w:val="17"/>
          <w:b w:val="1"/>
          <w:bCs w:val="1"/>
          <w:color w:val="auto"/>
        </w:rPr>
        <w:t>Deutsche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Telekom</w:t>
      </w:r>
      <w:r>
        <w:rPr>
          <w:rFonts w:ascii="Arial" w:cs="Arial" w:eastAsia="Arial" w:hAnsi="Arial"/>
          <w:sz w:val="17"/>
          <w:szCs w:val="17"/>
          <w:color w:val="auto"/>
        </w:rPr>
        <w:t xml:space="preserve">). In October 2019, we received notification under the terms of the relevant acquisition agreements from Deutsche Telekom and its subsidiary, T-Mobile Austria Holding GmbH, (together, the </w:t>
      </w:r>
      <w:r>
        <w:rPr>
          <w:rFonts w:ascii="Arial" w:cs="Arial" w:eastAsia="Arial" w:hAnsi="Arial"/>
          <w:sz w:val="17"/>
          <w:szCs w:val="17"/>
          <w:b w:val="1"/>
          <w:bCs w:val="1"/>
          <w:color w:val="auto"/>
        </w:rPr>
        <w:t>UPC Austria Sale Counterparties</w:t>
      </w:r>
      <w:r>
        <w:rPr>
          <w:rFonts w:ascii="Arial" w:cs="Arial" w:eastAsia="Arial" w:hAnsi="Arial"/>
          <w:sz w:val="17"/>
          <w:szCs w:val="17"/>
          <w:color w:val="auto"/>
        </w:rPr>
        <w:t>), asserting claims of €70.5 million ($78.1 million). The value of the amounts claimed by the UPC Austria Sale Counterparties has since increased to €126.3 million ($140.0 million), plus interest. No amounts have been accrued by our company with respect to this matter as the likelihood of loss is not considered to be probable at this stage. We are unable to provide any meaningful estimate of a possible range of loss because, among other reasons, (i) we believe the assertions are unsupported and/or exaggerated and (ii) there are significant factual matters to be resolved. We intend to vigorously defend this matter.</w:t>
      </w:r>
    </w:p>
    <w:p>
      <w:pPr>
        <w:spacing w:after="0" w:line="20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Other Contingency Matters. </w:t>
      </w:r>
      <w:r>
        <w:rPr>
          <w:rFonts w:ascii="Arial" w:cs="Arial" w:eastAsia="Arial" w:hAnsi="Arial"/>
          <w:sz w:val="17"/>
          <w:szCs w:val="17"/>
          <w:color w:val="auto"/>
        </w:rPr>
        <w:t>In connection with the dispositions of certain of our operations, we provided tax indemnities to the counterparties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19" w:lineRule="exact"/>
        <w:rPr>
          <w:sz w:val="20"/>
          <w:szCs w:val="20"/>
          <w:color w:val="auto"/>
        </w:rPr>
      </w:pPr>
    </w:p>
    <w:p>
      <w:pPr>
        <w:ind w:left="480" w:hanging="474"/>
        <w:spacing w:after="0"/>
        <w:tabs>
          <w:tab w:leader="none" w:pos="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2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5"/>
          <w:szCs w:val="15"/>
          <w:b w:val="1"/>
          <w:bCs w:val="1"/>
          <w:color w:val="auto"/>
        </w:rPr>
        <w:t>Adjusted EBITDA</w:t>
      </w:r>
      <w:r>
        <w:rPr>
          <w:rFonts w:ascii="Arial" w:cs="Arial" w:eastAsia="Arial" w:hAnsi="Arial"/>
          <w:sz w:val="15"/>
          <w:szCs w:val="15"/>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values of certain investments,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3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2022, our reportable segments are as follows: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w:t>
      </w:r>
    </w:p>
    <w:p>
      <w:pPr>
        <w:spacing w:after="0" w:line="117"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Belgium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Ireland</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Nonconsolidated:</w:t>
      </w:r>
    </w:p>
    <w:p>
      <w:pPr>
        <w:spacing w:after="0" w:line="117"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color w:val="auto"/>
        </w:rPr>
        <w:t>VMO2 JV</w:t>
      </w:r>
    </w:p>
    <w:p>
      <w:pPr>
        <w:spacing w:after="0" w:line="16" w:lineRule="exact"/>
        <w:rPr>
          <w:rFonts w:ascii="Arial" w:cs="Arial" w:eastAsia="Arial" w:hAnsi="Arial"/>
          <w:sz w:val="18"/>
          <w:szCs w:val="18"/>
          <w:b w:val="1"/>
          <w:bCs w:val="1"/>
          <w:i w:val="1"/>
          <w:iCs w:val="1"/>
          <w:color w:val="auto"/>
        </w:rPr>
      </w:pPr>
    </w:p>
    <w:p>
      <w:pPr>
        <w:ind w:left="640" w:hanging="316"/>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2"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Our “</w:t>
      </w:r>
      <w:r>
        <w:rPr>
          <w:rFonts w:ascii="Arial" w:cs="Arial" w:eastAsia="Arial" w:hAnsi="Arial"/>
          <w:sz w:val="15"/>
          <w:szCs w:val="15"/>
          <w:b w:val="1"/>
          <w:bCs w:val="1"/>
          <w:color w:val="auto"/>
        </w:rPr>
        <w:t>Central and Other</w:t>
      </w:r>
      <w:r>
        <w:rPr>
          <w:rFonts w:ascii="Arial" w:cs="Arial" w:eastAsia="Arial" w:hAnsi="Arial"/>
          <w:sz w:val="15"/>
          <w:szCs w:val="15"/>
          <w:color w:val="auto"/>
        </w:rPr>
        <w:t>” category primarily includes (i) our operations in Slovakia, (ii) services provided to the VMO2 JV, the VodafoneZiggo JV and various third parties related to transitional service agreements, (iii) sales of customer premises equipment to the VodafoneZiggo JV and (iv) certain centralized functions, including billing systems, network operations, technology, marketing, facilities, finance and other administrative functions.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both the VMO2 JV and the VodafoneZiggo JV, we present 100% of the revenue and Adjusted EBITDA of those entities in the tables below. Our share of the operating results of the VMO2 JV and the VodafoneZiggo JV are included in share of results of affiliates, net, in our condensed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6"/>
                <w:szCs w:val="16"/>
                <w:b w:val="1"/>
                <w:bCs w:val="1"/>
                <w:color w:val="auto"/>
                <w:w w:val="86"/>
              </w:rPr>
              <w:t>Revenue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center"/>
              <w:ind w:right="213"/>
              <w:spacing w:after="0" w:line="155" w:lineRule="exact"/>
              <w:rPr>
                <w:sz w:val="20"/>
                <w:szCs w:val="20"/>
                <w:color w:val="auto"/>
              </w:rPr>
            </w:pPr>
            <w:r>
              <w:rPr>
                <w:rFonts w:ascii="Arial" w:cs="Arial" w:eastAsia="Arial" w:hAnsi="Arial"/>
                <w:sz w:val="16"/>
                <w:szCs w:val="16"/>
                <w:b w:val="1"/>
                <w:bCs w:val="1"/>
                <w:color w:val="auto"/>
                <w:w w:val="87"/>
              </w:rPr>
              <w:t>Three months ended</w:t>
            </w:r>
          </w:p>
        </w:tc>
        <w:tc>
          <w:tcPr>
            <w:tcW w:w="0" w:type="dxa"/>
            <w:vAlign w:val="bottom"/>
          </w:tcPr>
          <w:p>
            <w:pPr>
              <w:spacing w:after="0"/>
              <w:rPr>
                <w:sz w:val="1"/>
                <w:szCs w:val="1"/>
                <w:color w:val="auto"/>
              </w:rPr>
            </w:pPr>
          </w:p>
        </w:tc>
      </w:tr>
      <w:tr>
        <w:trPr>
          <w:trHeight w:val="210"/>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6"/>
                <w:szCs w:val="16"/>
                <w:b w:val="1"/>
                <w:bCs w:val="1"/>
                <w:color w:val="auto"/>
                <w:w w:val="94"/>
              </w:rPr>
              <w:t>March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515"/>
              <w:spacing w:after="0"/>
              <w:rPr>
                <w:sz w:val="20"/>
                <w:szCs w:val="20"/>
                <w:color w:val="auto"/>
              </w:rPr>
            </w:pPr>
            <w:r>
              <w:rPr>
                <w:rFonts w:ascii="Arial" w:cs="Arial" w:eastAsia="Arial" w:hAnsi="Arial"/>
                <w:sz w:val="16"/>
                <w:szCs w:val="16"/>
                <w:b w:val="1"/>
                <w:bCs w:val="1"/>
                <w:color w:val="auto"/>
                <w:w w:val="88"/>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U.K. (a)</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1,635.0</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5"/>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1,130.0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2021 amount represents the revenue of the U.K. JV Entities, which were contributed to the VMO2 JV on June 1, 2021.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155"/>
        </w:trPr>
        <w:tc>
          <w:tcPr>
            <w:tcW w:w="8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center"/>
              <w:ind w:right="213"/>
              <w:spacing w:after="0" w:line="155" w:lineRule="exact"/>
              <w:rPr>
                <w:sz w:val="20"/>
                <w:szCs w:val="20"/>
                <w:color w:val="auto"/>
              </w:rPr>
            </w:pPr>
            <w:r>
              <w:rPr>
                <w:rFonts w:ascii="Arial" w:cs="Arial" w:eastAsia="Arial" w:hAnsi="Arial"/>
                <w:sz w:val="16"/>
                <w:szCs w:val="16"/>
                <w:b w:val="1"/>
                <w:bCs w:val="1"/>
                <w:color w:val="auto"/>
                <w:w w:val="87"/>
              </w:rPr>
              <w:t>Three months ended</w:t>
            </w:r>
          </w:p>
        </w:tc>
        <w:tc>
          <w:tcPr>
            <w:tcW w:w="0" w:type="dxa"/>
            <w:vAlign w:val="bottom"/>
          </w:tcPr>
          <w:p>
            <w:pPr>
              <w:spacing w:after="0"/>
              <w:rPr>
                <w:sz w:val="1"/>
                <w:szCs w:val="1"/>
                <w:color w:val="auto"/>
              </w:rPr>
            </w:pPr>
          </w:p>
        </w:tc>
      </w:tr>
      <w:tr>
        <w:trPr>
          <w:trHeight w:val="210"/>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6"/>
                <w:szCs w:val="16"/>
                <w:b w:val="1"/>
                <w:bCs w:val="1"/>
                <w:color w:val="auto"/>
                <w:w w:val="94"/>
              </w:rPr>
              <w:t>March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515"/>
              <w:spacing w:after="0"/>
              <w:rPr>
                <w:sz w:val="20"/>
                <w:szCs w:val="20"/>
                <w:color w:val="auto"/>
              </w:rPr>
            </w:pPr>
            <w:r>
              <w:rPr>
                <w:rFonts w:ascii="Arial" w:cs="Arial" w:eastAsia="Arial" w:hAnsi="Arial"/>
                <w:sz w:val="16"/>
                <w:szCs w:val="16"/>
                <w:b w:val="1"/>
                <w:bCs w:val="1"/>
                <w:color w:val="auto"/>
                <w:w w:val="88"/>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U.K. (a)</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5"/>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 (b)</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537.8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565.2</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2021 amount represents the Adjusted EBITDA of the U.K. JV Entities, which were contributed to the VMO2 JV on June 1, 2021.</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relate to transactions between our continuing and discontinued operations.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from continuing operations to Adjusted EBITDA:</w:t>
      </w:r>
    </w:p>
    <w:p>
      <w:pPr>
        <w:spacing w:after="0" w:line="275"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3"/>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165.2</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and unrealized losses (gains) due to changes in fair values of certain investments,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Foreign currency transaction gains,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(303.8)</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and unrealized gains on derivative instruments,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w:t>
            </w:r>
          </w:p>
        </w:tc>
      </w:tr>
      <w:tr>
        <w:trPr>
          <w:trHeight w:val="219"/>
        </w:trPr>
        <w:tc>
          <w:tcPr>
            <w:tcW w:w="86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r>
      <w:tr>
        <w:trPr>
          <w:trHeight w:val="243"/>
        </w:trPr>
        <w:tc>
          <w:tcPr>
            <w:tcW w:w="8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48"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Three months ended</w:t>
      </w:r>
    </w:p>
    <w:p>
      <w:pPr>
        <w:jc w:val="center"/>
        <w:ind w:left="85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Belgium</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151.3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U.K. (a)</w:t>
            </w: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 (b)</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8"/>
        </w:trPr>
        <w:tc>
          <w:tcPr>
            <w:tcW w:w="8540" w:type="dxa"/>
            <w:vAlign w:val="bottom"/>
          </w:tcPr>
          <w:p>
            <w:pPr>
              <w:ind w:left="180"/>
              <w:spacing w:after="0" w:line="204" w:lineRule="exact"/>
              <w:rPr>
                <w:sz w:val="20"/>
                <w:szCs w:val="20"/>
                <w:color w:val="auto"/>
              </w:rPr>
            </w:pPr>
            <w:r>
              <w:rPr>
                <w:rFonts w:ascii="Arial" w:cs="Arial" w:eastAsia="Arial" w:hAnsi="Arial"/>
                <w:sz w:val="18"/>
                <w:szCs w:val="18"/>
                <w:color w:val="auto"/>
              </w:rPr>
              <w:t>Total property and equipment additions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381.9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8"/>
        </w:trPr>
        <w:tc>
          <w:tcPr>
            <w:tcW w:w="8540" w:type="dxa"/>
            <w:vAlign w:val="bottom"/>
          </w:tcPr>
          <w:p>
            <w:pPr>
              <w:ind w:left="340"/>
              <w:spacing w:after="0" w:line="204" w:lineRule="exact"/>
              <w:rPr>
                <w:sz w:val="20"/>
                <w:szCs w:val="20"/>
                <w:color w:val="auto"/>
              </w:rPr>
            </w:pPr>
            <w:r>
              <w:rPr>
                <w:rFonts w:ascii="Arial" w:cs="Arial" w:eastAsia="Arial" w:hAnsi="Arial"/>
                <w:sz w:val="18"/>
                <w:szCs w:val="18"/>
                <w:color w:val="auto"/>
              </w:rPr>
              <w:t>Total capital expenditures, net</w:t>
            </w: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372.8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VMO2 JV</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659.3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VodafoneZiggo JV</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vMerge w:val="continue"/>
          </w:tcPr>
          <w:p>
            <w:pPr>
              <w:spacing w:after="0"/>
              <w:rPr>
                <w:sz w:val="17"/>
                <w:szCs w:val="17"/>
                <w:color w:val="auto"/>
              </w:rPr>
            </w:pPr>
          </w:p>
        </w:tc>
        <w:tc>
          <w:tcPr>
            <w:tcW w:w="820" w:type="dxa"/>
            <w:vAlign w:val="bottom"/>
            <w:tcBorders>
              <w:bottom w:val="single" w:sz="8" w:color="auto"/>
            </w:tcBorders>
          </w:tcPr>
          <w:p>
            <w:pPr>
              <w:jc w:val="right"/>
              <w:ind w:right="633"/>
              <w:spacing w:after="0" w:line="198"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84"/>
              </w:rPr>
              <w:t>220.4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2021 amount represents the property and equipment additions of the U.K. JV Entities, which were contributed to the VMO2 JV on June 1, 2021.</w:t>
      </w:r>
    </w:p>
    <w:p>
      <w:pPr>
        <w:spacing w:after="0" w:line="278"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(ii) the net impact of certain centrally-procured network equipment that is ultimately transferred to our operating segments and (iii) property and equipment additions of our operations in Slovakia.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29"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Three months ended</w:t>
      </w:r>
    </w:p>
    <w:p>
      <w:pPr>
        <w:jc w:val="center"/>
        <w:ind w:left="85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202"/>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57"/>
        </w:trPr>
        <w:tc>
          <w:tcPr>
            <w:tcW w:w="8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2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854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854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902.8</w:t>
            </w:r>
          </w:p>
        </w:tc>
      </w:tr>
      <w:tr>
        <w:trPr>
          <w:trHeight w:val="22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r>
      <w:tr>
        <w:trPr>
          <w:trHeight w:val="225"/>
        </w:trPr>
        <w:tc>
          <w:tcPr>
            <w:tcW w:w="8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r>
      <w:tr>
        <w:trPr>
          <w:trHeight w:val="219"/>
        </w:trPr>
        <w:tc>
          <w:tcPr>
            <w:tcW w:w="85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1,930.3</w:t>
            </w:r>
          </w:p>
        </w:tc>
      </w:tr>
      <w:tr>
        <w:trPr>
          <w:trHeight w:val="225"/>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r>
      <w:tr>
        <w:trPr>
          <w:trHeight w:val="219"/>
        </w:trPr>
        <w:tc>
          <w:tcPr>
            <w:tcW w:w="854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1,986.1</w:t>
            </w:r>
          </w:p>
        </w:tc>
      </w:tr>
      <w:tr>
        <w:trPr>
          <w:trHeight w:val="205"/>
        </w:trPr>
        <w:tc>
          <w:tcPr>
            <w:tcW w:w="854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r>
      <w:tr>
        <w:trPr>
          <w:trHeight w:val="225"/>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r>
      <w:tr>
        <w:trPr>
          <w:trHeight w:val="219"/>
        </w:trPr>
        <w:tc>
          <w:tcPr>
            <w:tcW w:w="85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w:t>
            </w:r>
          </w:p>
        </w:tc>
      </w:tr>
      <w:tr>
        <w:trPr>
          <w:trHeight w:val="218"/>
        </w:trPr>
        <w:tc>
          <w:tcPr>
            <w:tcW w:w="85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2,746.8</w:t>
            </w:r>
          </w:p>
        </w:tc>
      </w:tr>
      <w:tr>
        <w:trPr>
          <w:trHeight w:val="206"/>
        </w:trPr>
        <w:tc>
          <w:tcPr>
            <w:tcW w:w="8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5"/>
        </w:trPr>
        <w:tc>
          <w:tcPr>
            <w:tcW w:w="854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178.7</w:t>
            </w:r>
          </w:p>
        </w:tc>
      </w:tr>
      <w:tr>
        <w:trPr>
          <w:trHeight w:val="226"/>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r>
      <w:tr>
        <w:trPr>
          <w:trHeight w:val="218"/>
        </w:trPr>
        <w:tc>
          <w:tcPr>
            <w:tcW w:w="854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r>
      <w:tr>
        <w:trPr>
          <w:trHeight w:val="219"/>
        </w:trPr>
        <w:tc>
          <w:tcPr>
            <w:tcW w:w="8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r>
      <w:tr>
        <w:trPr>
          <w:trHeight w:val="218"/>
        </w:trPr>
        <w:tc>
          <w:tcPr>
            <w:tcW w:w="854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3,499.9</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1" w:lineRule="exact"/>
        <w:rPr>
          <w:rFonts w:ascii="Arial" w:cs="Arial" w:eastAsia="Arial" w:hAnsi="Arial"/>
          <w:sz w:val="18"/>
          <w:szCs w:val="18"/>
          <w:color w:val="auto"/>
        </w:rPr>
      </w:pPr>
    </w:p>
    <w:p>
      <w:pPr>
        <w:jc w:val="both"/>
        <w:ind w:left="480" w:hanging="474"/>
        <w:spacing w:after="0" w:line="251" w:lineRule="auto"/>
        <w:tabs>
          <w:tab w:leader="none" w:pos="4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B2B subscription revenue represents revenue from (i) services provided to certain small or home office (</w:t>
      </w:r>
      <w:r>
        <w:rPr>
          <w:rFonts w:ascii="Arial" w:cs="Arial" w:eastAsia="Arial" w:hAnsi="Arial"/>
          <w:sz w:val="18"/>
          <w:szCs w:val="18"/>
          <w:b w:val="1"/>
          <w:bCs w:val="1"/>
          <w:color w:val="auto"/>
        </w:rPr>
        <w:t>SOHO</w:t>
      </w:r>
      <w:r>
        <w:rPr>
          <w:rFonts w:ascii="Arial" w:cs="Arial" w:eastAsia="Arial" w:hAnsi="Arial"/>
          <w:sz w:val="18"/>
          <w:szCs w:val="18"/>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hanging="474"/>
        <w:spacing w:after="0" w:line="255" w:lineRule="auto"/>
        <w:tabs>
          <w:tab w:leader="none" w:pos="4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29"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Slovakia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1,635.0</w:t>
            </w:r>
          </w:p>
        </w:tc>
        <w:tc>
          <w:tcPr>
            <w:tcW w:w="0" w:type="dxa"/>
            <w:vAlign w:val="bottom"/>
          </w:tcPr>
          <w:p>
            <w:pPr>
              <w:spacing w:after="0"/>
              <w:rPr>
                <w:sz w:val="1"/>
                <w:szCs w:val="1"/>
                <w:color w:val="auto"/>
              </w:rPr>
            </w:pP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intersegment eliminations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44"/>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(U.K.)</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600" w:type="dxa"/>
            <w:vAlign w:val="bottom"/>
          </w:tcPr>
          <w:p>
            <w:pPr>
              <w:ind w:left="20"/>
              <w:spacing w:after="0" w:line="199" w:lineRule="exact"/>
              <w:rPr>
                <w:sz w:val="20"/>
                <w:szCs w:val="20"/>
                <w:color w:val="auto"/>
              </w:rPr>
            </w:pPr>
            <w:r>
              <w:rPr>
                <w:rFonts w:ascii="Arial" w:cs="Arial" w:eastAsia="Arial" w:hAnsi="Arial"/>
                <w:sz w:val="18"/>
                <w:szCs w:val="18"/>
                <w:color w:val="auto"/>
              </w:rPr>
              <w:t>VodafoneZiggo JV (Netherlands)</w:t>
            </w:r>
          </w:p>
        </w:tc>
        <w:tc>
          <w:tcPr>
            <w:tcW w:w="280" w:type="dxa"/>
            <w:vAlign w:val="bottom"/>
            <w:tcBorders>
              <w:bottom w:val="single" w:sz="8" w:color="auto"/>
            </w:tcBorders>
          </w:tcPr>
          <w:p>
            <w:pPr>
              <w:jc w:val="right"/>
              <w:ind w:right="92"/>
              <w:spacing w:after="0" w:line="199"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1,130.0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2"/>
              <w:spacing w:after="0" w:line="199"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8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2021 amount represents the revenue of the U.K. JV Entities, which were contributed to the VMO2 JV on June 1, 2021.</w:t>
      </w:r>
    </w:p>
    <w:p>
      <w:pPr>
        <w:spacing w:after="0" w:line="238" w:lineRule="exact"/>
        <w:rPr>
          <w:sz w:val="20"/>
          <w:szCs w:val="20"/>
          <w:color w:val="auto"/>
        </w:rPr>
      </w:pPr>
    </w:p>
    <w:p>
      <w:pPr>
        <w:ind w:left="480" w:hanging="474"/>
        <w:spacing w:after="0"/>
        <w:tabs>
          <w:tab w:leader="none" w:pos="4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Financing Transactions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April 2022, UPC Holding used a portion of the net proceeds from the sale of UPC Poland to (i) purchase and extinguish €216.5 million ($239.9 million) of the €600.0 million ($664.9 million) outstanding principal amount under UPC Facility AQ, together with accrued and unpaid interest, from the related UPCB SPE and, simultaneously, an equal amount of UPCB Finance VII Euro Notes were purchased and cancelled, (ii) purchase and cancel €205.1 million ($227.3 million) of the €594.3 million ($658.6 million) outstanding principal amount of UPC Holding 3.875% Senior Notes, (iii) purchase and cancel $82.7 million of the $535.0 million outstanding principal amount of UPC Holding 5.50% Senior Notes, (iv) purchase and extinguish $208.0 million of the $1,925.0 million outstanding principal amount under UPC Facility AX, (v) purchase and extinguish €169.5 million ($187.8 million) of the €862.5 million ($955.8 million) outstanding principal amount under UPC Facility AY and (vi) settle associated derivatives.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215" w:lineRule="exact"/>
        <w:rPr>
          <w:sz w:val="20"/>
          <w:szCs w:val="20"/>
          <w:color w:val="auto"/>
        </w:rPr>
      </w:pPr>
    </w:p>
    <w:p>
      <w:pPr>
        <w:ind w:left="64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results or events.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and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w:t>
      </w:r>
    </w:p>
    <w:p>
      <w:pPr>
        <w:spacing w:after="0" w:line="2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2022.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 xml:space="preserve"> Part I, Item 3. </w:t>
      </w:r>
      <w:r>
        <w:rPr>
          <w:rFonts w:ascii="Arial" w:cs="Arial" w:eastAsia="Arial" w:hAnsi="Arial"/>
          <w:sz w:val="15"/>
          <w:szCs w:val="15"/>
          <w:i w:val="1"/>
          <w:iCs w:val="1"/>
          <w:color w:val="auto"/>
        </w:rPr>
        <w:t>Quantitative and Qualitative Disclosures About Market Risk</w:t>
      </w:r>
      <w:r>
        <w:rPr>
          <w:rFonts w:ascii="Arial" w:cs="Arial" w:eastAsia="Arial" w:hAnsi="Arial"/>
          <w:sz w:val="15"/>
          <w:szCs w:val="15"/>
          <w:color w:val="auto"/>
        </w:rPr>
        <w:t xml:space="preserve"> and Part II, Item 2. </w:t>
      </w:r>
      <w:r>
        <w:rPr>
          <w:rFonts w:ascii="Arial" w:cs="Arial" w:eastAsia="Arial" w:hAnsi="Arial"/>
          <w:sz w:val="15"/>
          <w:szCs w:val="15"/>
          <w:i w:val="1"/>
          <w:iCs w:val="1"/>
          <w:color w:val="auto"/>
        </w:rPr>
        <w:t>Unregistered Sales of Equity Securities and Use of Proceeds</w:t>
      </w:r>
      <w:r>
        <w:rPr>
          <w:rFonts w:ascii="Arial" w:cs="Arial" w:eastAsia="Arial" w:hAnsi="Arial"/>
          <w:sz w:val="15"/>
          <w:szCs w:val="15"/>
          <w:color w:val="auto"/>
        </w:rPr>
        <w:t xml:space="preserve"> may contain forward-looking statements, including statements regarding our business, product, foreign currency and finance strategies, our property and equipment additions,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interest rate risks, target leverage levels, debt covenants, future projected contractual commitments and cash flows, our share repurchase program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of our 10-K, as well as the following list of some but not all of the factors that could cause actual results or events (including with respect to our affiliates) to differ materially from anticipated results or events:</w:t>
      </w:r>
    </w:p>
    <w:p>
      <w:pPr>
        <w:spacing w:after="0" w:line="200" w:lineRule="exact"/>
        <w:rPr>
          <w:sz w:val="20"/>
          <w:szCs w:val="20"/>
          <w:color w:val="auto"/>
        </w:rPr>
      </w:pPr>
    </w:p>
    <w:p>
      <w:pPr>
        <w:spacing w:after="0" w:line="204"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competitive environment in the industries and in the countries in which we or our affiliates operate, including competitor responses to our products and services;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51" w:lineRule="exact"/>
        <w:rPr>
          <w:rFonts w:ascii="Arial" w:cs="Arial" w:eastAsia="Arial" w:hAnsi="Arial"/>
          <w:sz w:val="17"/>
          <w:szCs w:val="17"/>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manage rapid technological changes and the rate at which our current technology becomes obsolete;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9" w:name="page50"/>
    <w:bookmarkEnd w:id="49"/>
    <w:p>
      <w:pPr>
        <w:ind w:left="320" w:hanging="316"/>
        <w:spacing w:after="0" w:line="264"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video, fixed-line telephony and mobile service offerings and our average revenue per household;</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1" w:lineRule="exact"/>
        <w:rPr>
          <w:rFonts w:ascii="Arial" w:cs="Arial" w:eastAsia="Arial" w:hAnsi="Arial"/>
          <w:sz w:val="18"/>
          <w:szCs w:val="18"/>
          <w:color w:val="auto"/>
        </w:rPr>
      </w:pPr>
    </w:p>
    <w:p>
      <w:pPr>
        <w:ind w:left="320" w:right="20" w:hanging="316"/>
        <w:spacing w:after="0" w:line="264"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and legislation in the countries in which we or our affiliates operate and adverse outcomes from regulatory proceedings;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government intervention that requires opening our broadband distribution networks to competitors, such as the obligations imposed in Belgium;</w:t>
      </w:r>
    </w:p>
    <w:p>
      <w:pPr>
        <w:spacing w:after="0" w:line="145" w:lineRule="exact"/>
        <w:rPr>
          <w:rFonts w:ascii="Arial" w:cs="Arial" w:eastAsia="Arial" w:hAnsi="Arial"/>
          <w:sz w:val="15"/>
          <w:szCs w:val="15"/>
          <w:color w:val="auto"/>
        </w:rPr>
      </w:pPr>
    </w:p>
    <w:p>
      <w:pPr>
        <w:ind w:left="320" w:hanging="316"/>
        <w:spacing w:after="0" w:line="264"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our ability to navigate the potential impacts on our business resulting from the U.K.’s departure from the E.U.;</w:t>
      </w:r>
    </w:p>
    <w:p>
      <w:pPr>
        <w:spacing w:after="0" w:line="111" w:lineRule="exact"/>
        <w:rPr>
          <w:rFonts w:ascii="Arial" w:cs="Arial" w:eastAsia="Arial" w:hAnsi="Arial"/>
          <w:sz w:val="18"/>
          <w:szCs w:val="18"/>
          <w:i w:val="1"/>
          <w:iCs w:val="1"/>
          <w:color w:val="auto"/>
        </w:rPr>
      </w:pPr>
    </w:p>
    <w:p>
      <w:pPr>
        <w:ind w:left="320" w:hanging="316"/>
        <w:spacing w:after="0" w:line="264"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arrangements) to timely deliver quality products, equipment, software, services and access;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production costs, retransmission and copyright fees payable to public and private broadcasters;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cost and regulation of spectrum;</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problems we may discover post-closing with the operations, including the internal controls and financial reporting process, of businesses we acquire;</w:t>
      </w:r>
    </w:p>
    <w:p>
      <w:pPr>
        <w:spacing w:after="0" w:line="145" w:lineRule="exact"/>
        <w:rPr>
          <w:rFonts w:ascii="Arial" w:cs="Arial" w:eastAsia="Arial" w:hAnsi="Arial"/>
          <w:sz w:val="15"/>
          <w:szCs w:val="15"/>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successfully integrating businesses we acquire in the time or within the budgets estimated for such integrations;</w:t>
      </w:r>
    </w:p>
    <w:p>
      <w:pPr>
        <w:spacing w:after="0" w:line="111"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maintaining relationships with employees, customers, suppliers or vendors may be greater than expected in connection with our acquisitions;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realize the expected synergies from our acquisitions in the amounts anticipated or on the anticipated timelines;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profit from investments in joint ventures that we do not solely control;</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capital structure and factors related to our debt agreements; and</w:t>
      </w:r>
    </w:p>
    <w:p>
      <w:pPr>
        <w:spacing w:after="0" w:line="111" w:lineRule="exact"/>
        <w:rPr>
          <w:rFonts w:ascii="Arial" w:cs="Arial" w:eastAsia="Arial" w:hAnsi="Arial"/>
          <w:sz w:val="18"/>
          <w:szCs w:val="18"/>
          <w:color w:val="auto"/>
        </w:rPr>
      </w:pPr>
    </w:p>
    <w:p>
      <w:pPr>
        <w:ind w:left="320" w:hanging="316"/>
        <w:spacing w:after="0" w:line="365" w:lineRule="auto"/>
        <w:tabs>
          <w:tab w:leader="none" w:pos="315" w:val="left"/>
        </w:tabs>
        <w:numPr>
          <w:ilvl w:val="0"/>
          <w:numId w:val="47"/>
        </w:numPr>
        <w:rPr>
          <w:rFonts w:ascii="Arial" w:cs="Arial" w:eastAsia="Arial" w:hAnsi="Arial"/>
          <w:sz w:val="15"/>
          <w:szCs w:val="15"/>
          <w:color w:val="auto"/>
        </w:rPr>
      </w:pPr>
      <w:r>
        <w:rPr>
          <w:rFonts w:ascii="Arial" w:cs="Arial" w:eastAsia="Arial" w:hAnsi="Arial"/>
          <w:sz w:val="15"/>
          <w:szCs w:val="15"/>
          <w:color w:val="auto"/>
        </w:rPr>
        <w:t>events that are outside of our control, such as political unrest in international markets, terrorist attacks, armed conflicts, malicious human acts, natural disasters, epidemics, pandemics (such as COVID-19) and other similar events, including the ongoing invasion of Ukraine by Russia.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922" w:right="339" w:bottom="1440" w:gutter="0" w:footer="0" w:header="0"/>
        </w:sectPr>
      </w:pPr>
    </w:p>
    <w:bookmarkStart w:id="50" w:name="page51"/>
    <w:bookmarkEnd w:id="50"/>
    <w:p>
      <w:pPr>
        <w:jc w:val="both"/>
        <w:ind w:firstLine="318"/>
        <w:spacing w:after="0" w:line="312" w:lineRule="auto"/>
        <w:rPr>
          <w:sz w:val="20"/>
          <w:szCs w:val="20"/>
          <w:color w:val="auto"/>
        </w:rPr>
      </w:pPr>
      <w:r>
        <w:rPr>
          <w:rFonts w:ascii="Arial" w:cs="Arial" w:eastAsia="Arial" w:hAnsi="Arial"/>
          <w:sz w:val="15"/>
          <w:szCs w:val="15"/>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UPC Holding, (ii) Belgium through Telenet and (iii) Ireland through another wholly-owned subsidiary of Liberty Global. In addition, we own 50% noncontrolling interests in (a) the VMO2 JV, which provides residential and B2B communications services in the U.K., and (b) the VodafoneZiggo JV, which provides residential and B2B communications services in the Netherlands.</w:t>
      </w:r>
    </w:p>
    <w:p>
      <w:pPr>
        <w:spacing w:after="0" w:line="22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Through March 31, 2022, we provided residential and B2B communications services in Poland through UPC Holding. On September 22, 2021, we entered into an agreement to sell our operations in Poland and completed the sale on April 1, 2022. Accordingly, our operations in Poland are reflected as discontinued operations for all periods presented. In the following discussion and analysis, the operating statistics, results of operations, cash flows and financial condition that we present and discuss are those of our continuing operations, unless otherwise indicated. For additional information regarding the sale of UPC Poland, including with respect to our use of proceeds, see note 4 to our condensed consolidated financial statements.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May 31, 2021, our consolidated operations also provided residential and B2B communications services in the U.K. through Virgin Media. On June 1, 2021, we contributed the U.K. JV Entities to the VMO2 JV and began accounting for our 50% interest in the VMO2 JV as an equity method investment. For additional information, see note 4 to our condensed consolidated financial statements.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Operations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March 31, 2022, our continuing operations owned and operated networks that passed 7,493,200 homes and served 4,125,800 fixed-line customers and 5,725,400 mobile subscribers.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2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global COVID-19 pandemic continues to impact the economies of the countries in which we operate. However, during the first quarter of 2022, the impact on our company continued to be relatively minimal as demand for our products and services remained strong. It is not currently possible to estimate the duration and severity of the COVID-19 pandemic or the adverse economic impact resulting from the preventative measures taken to contain or mitigate its outbreak, therefore no assurance can be given that an extended period of global economic disruption would not have a material adverse impact on our business, financial condition and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5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have completed a number of transactions that impact the comparability of our results of operations, the most notable of which is the U.K. JV Transaction on June 1, 2021. For further information regarding our dispositions, see note 4 to our condensed consolidated financial statements.</w:t>
      </w:r>
    </w:p>
    <w:p>
      <w:pPr>
        <w:spacing w:after="0" w:line="17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 xml:space="preserve">In the following discussion, we quantify the estimated impact of material acquisitions (the </w:t>
      </w:r>
      <w:r>
        <w:rPr>
          <w:rFonts w:ascii="Arial" w:cs="Arial" w:eastAsia="Arial" w:hAnsi="Arial"/>
          <w:sz w:val="15"/>
          <w:szCs w:val="15"/>
          <w:b w:val="1"/>
          <w:bCs w:val="1"/>
          <w:color w:val="auto"/>
        </w:rPr>
        <w:t>Acquisition Impact</w:t>
      </w:r>
      <w:r>
        <w:rPr>
          <w:rFonts w:ascii="Arial" w:cs="Arial" w:eastAsia="Arial" w:hAnsi="Arial"/>
          <w:sz w:val="15"/>
          <w:szCs w:val="15"/>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8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5"/>
          <w:szCs w:val="15"/>
          <w:b w:val="1"/>
          <w:bCs w:val="1"/>
          <w:color w:val="auto"/>
        </w:rPr>
        <w:t>FX</w:t>
      </w:r>
      <w:r>
        <w:rPr>
          <w:rFonts w:ascii="Arial" w:cs="Arial" w:eastAsia="Arial" w:hAnsi="Arial"/>
          <w:sz w:val="15"/>
          <w:szCs w:val="15"/>
          <w:color w:val="auto"/>
        </w:rPr>
        <w:t xml:space="preserve">) risk during the three months ended March 31, 2022 was to the euro and Swiss franc, as 32.3% and 25.6%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5"/>
          <w:szCs w:val="15"/>
          <w:i w:val="1"/>
          <w:iCs w:val="1"/>
          <w:color w:val="auto"/>
        </w:rPr>
        <w:t>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our Reportable Segments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Discussion and Analysis of our Consolidated Operating Results </w:t>
      </w:r>
      <w:r>
        <w:rPr>
          <w:rFonts w:ascii="Arial" w:cs="Arial" w:eastAsia="Arial" w:hAnsi="Arial"/>
          <w:sz w:val="15"/>
          <w:szCs w:val="15"/>
          <w:color w:val="auto"/>
        </w:rPr>
        <w:t>below. For information regarding our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currency risks and the applicable foreign currency exchange rates in effect for the periods covered by this Quarterly Report, see Part I, Item 3. </w:t>
      </w:r>
      <w:r>
        <w:rPr>
          <w:rFonts w:ascii="Arial" w:cs="Arial" w:eastAsia="Arial" w:hAnsi="Arial"/>
          <w:sz w:val="15"/>
          <w:szCs w:val="15"/>
          <w:i w:val="1"/>
          <w:iCs w:val="1"/>
          <w:color w:val="auto"/>
        </w:rPr>
        <w:t>Quantitative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Qualitative Disclosures about Market Risk — Foreign Currency Risk </w:t>
      </w:r>
      <w:r>
        <w:rPr>
          <w:rFonts w:ascii="Arial" w:cs="Arial" w:eastAsia="Arial" w:hAnsi="Arial"/>
          <w:sz w:val="15"/>
          <w:szCs w:val="15"/>
          <w:color w:val="auto"/>
        </w:rPr>
        <w:t>below.</w:t>
      </w:r>
    </w:p>
    <w:p>
      <w:pPr>
        <w:spacing w:after="0" w:line="39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All of our reportable segments derive their revenue primarily from residential and B2B communications services. For detailed information regarding the composition of our reportable segments and how we define and categorize our revenue components, see note 16 to our condensed consolidated financial statements. For information regarding the results of operations of the VodafoneZiggo JV and, for the three months ended March 31, 2022, the VMO2 JV, refer to </w:t>
      </w:r>
      <w:r>
        <w:rPr>
          <w:rFonts w:ascii="Arial" w:cs="Arial" w:eastAsia="Arial" w:hAnsi="Arial"/>
          <w:sz w:val="17"/>
          <w:szCs w:val="17"/>
          <w:i w:val="1"/>
          <w:iCs w:val="1"/>
          <w:color w:val="auto"/>
        </w:rPr>
        <w:t>Discussion and Analysis of our Consolidated Operating Results — Share of results of affiliates, net</w:t>
      </w:r>
      <w:r>
        <w:rPr>
          <w:rFonts w:ascii="Arial" w:cs="Arial" w:eastAsia="Arial" w:hAnsi="Arial"/>
          <w:sz w:val="17"/>
          <w:szCs w:val="17"/>
          <w:color w:val="auto"/>
        </w:rPr>
        <w:t xml:space="preserve"> below.</w:t>
      </w:r>
    </w:p>
    <w:p>
      <w:pPr>
        <w:spacing w:after="0" w:line="2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tables presented below in this section provide the details of the revenue and Adjusted EBITDA of our consolidated reportable segments for the three months ended March 31, 2022 and 2021.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consolidated reportable segments for the three months ended March 31, 2022 and 2021 at the end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2" w:name="page53"/>
    <w:bookmarkEnd w:id="52"/>
    <w:p>
      <w:pPr>
        <w:jc w:val="both"/>
        <w:ind w:firstLine="318"/>
        <w:spacing w:after="0" w:line="252" w:lineRule="auto"/>
        <w:rPr>
          <w:sz w:val="20"/>
          <w:szCs w:val="20"/>
          <w:color w:val="auto"/>
        </w:rPr>
      </w:pPr>
      <w:r>
        <w:rPr>
          <w:rFonts w:ascii="Arial" w:cs="Arial" w:eastAsia="Arial" w:hAnsi="Arial"/>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from continuing operations to Adjusted EBITDA:</w:t>
      </w:r>
    </w:p>
    <w:p>
      <w:pPr>
        <w:spacing w:after="0" w:line="12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03"/>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165.2</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and unrealized losses (gains) due to changes in fair values of certain investments,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Foreign currency transaction gains,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(303.8)</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and unrealized gains on derivative instruments,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w:t>
            </w:r>
          </w:p>
        </w:tc>
      </w:tr>
      <w:tr>
        <w:trPr>
          <w:trHeight w:val="219"/>
        </w:trPr>
        <w:tc>
          <w:tcPr>
            <w:tcW w:w="86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r>
      <w:tr>
        <w:trPr>
          <w:trHeight w:val="243"/>
        </w:trPr>
        <w:tc>
          <w:tcPr>
            <w:tcW w:w="8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3" w:name="page54"/>
    <w:bookmarkEnd w:id="53"/>
    <w:p>
      <w:pPr>
        <w:ind w:left="16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0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auto"/>
                <w:w w:val="86"/>
              </w:rPr>
              <w:t>Increase (decrease)</w:t>
            </w:r>
          </w:p>
        </w:tc>
        <w:tc>
          <w:tcPr>
            <w:tcW w:w="300" w:type="dxa"/>
            <w:vAlign w:val="bottom"/>
          </w:tcPr>
          <w:p>
            <w:pPr>
              <w:spacing w:after="0"/>
              <w:rPr>
                <w:sz w:val="16"/>
                <w:szCs w:val="16"/>
                <w:color w:val="auto"/>
              </w:rPr>
            </w:pPr>
          </w:p>
        </w:tc>
        <w:tc>
          <w:tcPr>
            <w:tcW w:w="2000" w:type="dxa"/>
            <w:vAlign w:val="bottom"/>
            <w:gridSpan w:val="3"/>
            <w:vMerge w:val="restart"/>
          </w:tcPr>
          <w:p>
            <w:pPr>
              <w:jc w:val="right"/>
              <w:ind w:right="493"/>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(1,635.0)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2021 amount represents the revenue of the U.K. JV Entities, which were contributed to the VMO2 JV on June 1, 2021.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4" w:name="page55"/>
    <w:bookmarkEnd w:id="54"/>
    <w:p>
      <w:pPr>
        <w:ind w:firstLine="318"/>
        <w:spacing w:after="0" w:line="264"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decrease in Switzerland’s revenue during the three months ended March 31, 2022</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in </w:t>
      </w:r>
      <w:r>
        <w:rPr>
          <w:rFonts w:ascii="Arial" w:cs="Arial" w:eastAsia="Arial" w:hAnsi="Arial"/>
          <w:sz w:val="18"/>
          <w:szCs w:val="18"/>
          <w:color w:val="2C2C2C"/>
        </w:rPr>
        <w:t>2021</w:t>
      </w:r>
      <w:r>
        <w:rPr>
          <w:rFonts w:ascii="Arial" w:cs="Arial" w:eastAsia="Arial" w:hAnsi="Arial"/>
          <w:sz w:val="18"/>
          <w:szCs w:val="18"/>
          <w:color w:val="auto"/>
        </w:rPr>
        <w:t>, are set forth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3"/>
        </w:trPr>
        <w:tc>
          <w:tcPr>
            <w:tcW w:w="7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03"/>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5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Decrease in residential fixed non-subscription revenue (a)</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9"/>
        </w:trPr>
        <w:tc>
          <w:tcPr>
            <w:tcW w:w="75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Increase in residential mobile revenue (b)</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 (c)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other revenue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9"/>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9"/>
        </w:trPr>
        <w:tc>
          <w:tcPr>
            <w:tcW w:w="756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decrease in residential fixed non-subscription revenue is primarily due to lower revenue associated with our Swiss sports channels.</w:t>
      </w:r>
    </w:p>
    <w:p>
      <w:pPr>
        <w:spacing w:after="0" w:line="255" w:lineRule="exact"/>
        <w:rPr>
          <w:rFonts w:ascii="Arial" w:cs="Arial" w:eastAsia="Arial" w:hAnsi="Arial"/>
          <w:sz w:val="17"/>
          <w:szCs w:val="17"/>
          <w:color w:val="auto"/>
        </w:rPr>
      </w:pPr>
    </w:p>
    <w:p>
      <w:pPr>
        <w:ind w:left="480" w:hanging="474"/>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increase in residential mobile subscription revenue is primarily attributable to an increase in the average number of mobile subscribers.</w:t>
      </w:r>
    </w:p>
    <w:p>
      <w:pPr>
        <w:spacing w:after="0" w:line="255" w:lineRule="exact"/>
        <w:rPr>
          <w:rFonts w:ascii="Arial" w:cs="Arial" w:eastAsia="Arial" w:hAnsi="Arial"/>
          <w:sz w:val="17"/>
          <w:szCs w:val="17"/>
          <w:color w:val="auto"/>
        </w:rPr>
      </w:pPr>
    </w:p>
    <w:p>
      <w:pPr>
        <w:ind w:left="480" w:hanging="474"/>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 in B2B non-subscription revenue is primarily attributable to higher revenue from wholesale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5" w:name="page56"/>
    <w:bookmarkEnd w:id="55"/>
    <w:p>
      <w:pPr>
        <w:ind w:left="320"/>
        <w:spacing w:after="0"/>
        <w:rPr>
          <w:sz w:val="20"/>
          <w:szCs w:val="20"/>
          <w:color w:val="auto"/>
        </w:rPr>
      </w:pPr>
      <w:r>
        <w:rPr>
          <w:rFonts w:ascii="Arial" w:cs="Arial" w:eastAsia="Arial" w:hAnsi="Arial"/>
          <w:sz w:val="15"/>
          <w:szCs w:val="15"/>
          <w:i w:val="1"/>
          <w:iCs w:val="1"/>
          <w:color w:val="auto"/>
        </w:rPr>
        <w:t xml:space="preserve">Belgium. </w:t>
      </w:r>
      <w:r>
        <w:rPr>
          <w:rFonts w:ascii="Arial" w:cs="Arial" w:eastAsia="Arial" w:hAnsi="Arial"/>
          <w:sz w:val="15"/>
          <w:szCs w:val="15"/>
          <w:color w:val="auto"/>
        </w:rPr>
        <w:t>The details of the decrease in Belgium’s revenue during the three months ended March 31, 2022</w:t>
      </w:r>
      <w:r>
        <w:rPr>
          <w:rFonts w:ascii="Arial" w:cs="Arial" w:eastAsia="Arial" w:hAnsi="Arial"/>
          <w:sz w:val="15"/>
          <w:szCs w:val="15"/>
          <w:color w:val="2C2C2C"/>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as compared to the corresponding period in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2C2C2C"/>
        </w:rPr>
        <w:t>2021</w:t>
      </w:r>
      <w:r>
        <w:rPr>
          <w:rFonts w:ascii="Arial" w:cs="Arial" w:eastAsia="Arial" w:hAnsi="Arial"/>
          <w:sz w:val="18"/>
          <w:szCs w:val="18"/>
          <w:color w:val="000000"/>
        </w:rPr>
        <w:t>, are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3"/>
        </w:trPr>
        <w:tc>
          <w:tcPr>
            <w:tcW w:w="7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03"/>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5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Increase in residential fixed non-subscription revenue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9"/>
        </w:trPr>
        <w:tc>
          <w:tcPr>
            <w:tcW w:w="75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increase (decrease)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 (a)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(b)</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9"/>
        </w:trPr>
        <w:tc>
          <w:tcPr>
            <w:tcW w:w="75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44"/>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attributable to an increase in ARPU. The decrease in residential mobile non-subscription revenue is primarily due to lower interconnect revenue.</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customers. The increase in B2B non-subscription revenue is primarily attributable to higher revenue from wholesale services.</w:t>
      </w:r>
    </w:p>
    <w:p>
      <w:pPr>
        <w:spacing w:after="0" w:line="207"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 xml:space="preserve">For information concerning certain regulatory developments that could have an adverse impact on our revenue in Belgium, see </w:t>
      </w:r>
      <w:r>
        <w:rPr>
          <w:rFonts w:ascii="Arial" w:cs="Arial" w:eastAsia="Arial" w:hAnsi="Arial"/>
          <w:sz w:val="15"/>
          <w:szCs w:val="15"/>
          <w:i w:val="1"/>
          <w:iCs w:val="1"/>
          <w:color w:val="auto"/>
        </w:rPr>
        <w:t>Legal and Regulatory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Proceedings and Other Contingencies — Belgium Regulatory Developments </w:t>
      </w:r>
      <w:r>
        <w:rPr>
          <w:rFonts w:ascii="Arial" w:cs="Arial" w:eastAsia="Arial" w:hAnsi="Arial"/>
          <w:sz w:val="15"/>
          <w:szCs w:val="15"/>
          <w:color w:val="auto"/>
        </w:rPr>
        <w:t>in note 15 to our condensed consolidated financial statements.</w:t>
      </w:r>
    </w:p>
    <w:p>
      <w:pPr>
        <w:spacing w:after="0" w:line="13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i w:val="1"/>
          <w:iCs w:val="1"/>
          <w:color w:val="auto"/>
        </w:rPr>
        <w:t xml:space="preserve">Ireland. </w:t>
      </w:r>
      <w:r>
        <w:rPr>
          <w:rFonts w:ascii="Arial" w:cs="Arial" w:eastAsia="Arial" w:hAnsi="Arial"/>
          <w:sz w:val="18"/>
          <w:szCs w:val="18"/>
          <w:color w:val="auto"/>
        </w:rPr>
        <w:t>The details of the decrease in Ireland’s revenue during the three months ended March 31, 2022</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 period in</w:t>
      </w:r>
      <w:r>
        <w:rPr>
          <w:rFonts w:ascii="Arial" w:cs="Arial" w:eastAsia="Arial" w:hAnsi="Arial"/>
          <w:sz w:val="18"/>
          <w:szCs w:val="18"/>
          <w:i w:val="1"/>
          <w:iCs w:val="1"/>
          <w:color w:val="auto"/>
        </w:rPr>
        <w:t xml:space="preserve"> </w:t>
      </w:r>
      <w:r>
        <w:rPr>
          <w:rFonts w:ascii="Arial" w:cs="Arial" w:eastAsia="Arial" w:hAnsi="Arial"/>
          <w:sz w:val="18"/>
          <w:szCs w:val="18"/>
          <w:color w:val="2C2C2C"/>
        </w:rPr>
        <w:t>2021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are set forth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3"/>
        </w:trPr>
        <w:tc>
          <w:tcPr>
            <w:tcW w:w="7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Total</w:t>
            </w:r>
          </w:p>
        </w:tc>
      </w:tr>
      <w:tr>
        <w:trPr>
          <w:trHeight w:val="203"/>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5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92"/>
              <w:spacing w:after="0"/>
              <w:rPr>
                <w:sz w:val="20"/>
                <w:szCs w:val="20"/>
                <w:color w:val="auto"/>
              </w:rPr>
            </w:pPr>
            <w:r>
              <w:rPr>
                <w:rFonts w:ascii="Arial" w:cs="Arial" w:eastAsia="Arial" w:hAnsi="Arial"/>
                <w:sz w:val="18"/>
                <w:szCs w:val="18"/>
                <w:color w:val="auto"/>
                <w:w w:val="91"/>
              </w:rPr>
              <w:t>(1.4)</w:t>
            </w:r>
          </w:p>
        </w:tc>
      </w:tr>
      <w:tr>
        <w:trPr>
          <w:trHeight w:val="22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7"/>
              </w:rPr>
              <w:t>0.6</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392"/>
              <w:spacing w:after="0"/>
              <w:rPr>
                <w:sz w:val="20"/>
                <w:szCs w:val="20"/>
                <w:color w:val="auto"/>
              </w:rPr>
            </w:pPr>
            <w:r>
              <w:rPr>
                <w:rFonts w:ascii="Arial" w:cs="Arial" w:eastAsia="Arial" w:hAnsi="Arial"/>
                <w:sz w:val="18"/>
                <w:szCs w:val="18"/>
                <w:color w:val="auto"/>
                <w:w w:val="91"/>
              </w:rPr>
              <w:t>(0.1)</w:t>
            </w:r>
          </w:p>
        </w:tc>
      </w:tr>
      <w:tr>
        <w:trPr>
          <w:trHeight w:val="219"/>
        </w:trPr>
        <w:tc>
          <w:tcPr>
            <w:tcW w:w="75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91"/>
              </w:rPr>
              <w:t>(0.9)</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432"/>
              <w:spacing w:after="0"/>
              <w:rPr>
                <w:sz w:val="20"/>
                <w:szCs w:val="20"/>
                <w:color w:val="auto"/>
              </w:rPr>
            </w:pPr>
            <w:r>
              <w:rPr>
                <w:rFonts w:ascii="Arial" w:cs="Arial" w:eastAsia="Arial" w:hAnsi="Arial"/>
                <w:sz w:val="18"/>
                <w:szCs w:val="18"/>
                <w:color w:val="auto"/>
                <w:w w:val="87"/>
              </w:rPr>
              <w:t>1.0</w:t>
            </w:r>
          </w:p>
        </w:tc>
      </w:tr>
      <w:tr>
        <w:trPr>
          <w:trHeight w:val="22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7"/>
              </w:rPr>
              <w:t>0.9</w:t>
            </w:r>
          </w:p>
        </w:tc>
      </w:tr>
      <w:tr>
        <w:trPr>
          <w:trHeight w:val="225"/>
        </w:trPr>
        <w:tc>
          <w:tcPr>
            <w:tcW w:w="756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432"/>
              <w:spacing w:after="0"/>
              <w:rPr>
                <w:sz w:val="20"/>
                <w:szCs w:val="20"/>
                <w:color w:val="auto"/>
              </w:rPr>
            </w:pPr>
            <w:r>
              <w:rPr>
                <w:rFonts w:ascii="Arial" w:cs="Arial" w:eastAsia="Arial" w:hAnsi="Arial"/>
                <w:sz w:val="18"/>
                <w:szCs w:val="18"/>
                <w:color w:val="auto"/>
                <w:w w:val="87"/>
              </w:rPr>
              <w:t>0.2</w:t>
            </w:r>
          </w:p>
        </w:tc>
      </w:tr>
      <w:tr>
        <w:trPr>
          <w:trHeight w:val="219"/>
        </w:trPr>
        <w:tc>
          <w:tcPr>
            <w:tcW w:w="75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87"/>
              </w:rPr>
              <w:t>1.2</w:t>
            </w:r>
          </w:p>
        </w:tc>
      </w:tr>
      <w:tr>
        <w:trPr>
          <w:trHeight w:val="22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91"/>
              </w:rPr>
              <w:t>(9.5)</w:t>
            </w:r>
          </w:p>
        </w:tc>
      </w:tr>
      <w:tr>
        <w:trPr>
          <w:trHeight w:val="244"/>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91"/>
              </w:rPr>
              <w:t>(8.3)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6" w:name="page57"/>
    <w:bookmarkEnd w:id="56"/>
    <w:p>
      <w:pPr>
        <w:ind w:left="160"/>
        <w:spacing w:after="0"/>
        <w:rPr>
          <w:sz w:val="20"/>
          <w:szCs w:val="20"/>
          <w:color w:val="auto"/>
        </w:rPr>
      </w:pPr>
      <w:r>
        <w:rPr>
          <w:rFonts w:ascii="Arial" w:cs="Arial" w:eastAsia="Arial" w:hAnsi="Arial"/>
          <w:sz w:val="15"/>
          <w:szCs w:val="15"/>
          <w:b w:val="1"/>
          <w:bCs w:val="1"/>
          <w:i w:val="1"/>
          <w:iCs w:val="1"/>
          <w:color w:val="auto"/>
        </w:rPr>
        <w:t>Programming and Other Direct Costs of Services, Other Operating Expenses and SG&amp;A Expenses of our Consolidated Reportable Segments</w:t>
      </w:r>
    </w:p>
    <w:p>
      <w:pPr>
        <w:spacing w:after="0" w:line="27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of our Consolidated Reportable Segments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consolidated reportable segments: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0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auto"/>
                <w:w w:val="86"/>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2021 amount represents the Adjusted EBITDA of the U.K. JV Entities, which were contributed to the VMO2 JV on June 1, 2021.</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Adjusted EBITDA margins (Adjusted EBITDA divided by revenue) of each of our consolidated reportable segments:</w:t>
      </w:r>
    </w:p>
    <w:p>
      <w:pPr>
        <w:spacing w:after="0" w:line="150"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r>
      <w:tr>
        <w:trPr>
          <w:trHeight w:val="246"/>
        </w:trPr>
        <w:tc>
          <w:tcPr>
            <w:tcW w:w="8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r>
      <w:tr>
        <w:trPr>
          <w:trHeight w:val="225"/>
        </w:trPr>
        <w:tc>
          <w:tcPr>
            <w:tcW w:w="8600" w:type="dxa"/>
            <w:vAlign w:val="bottom"/>
          </w:tcPr>
          <w:p>
            <w:pPr>
              <w:ind w:left="20"/>
              <w:spacing w:after="0"/>
              <w:rPr>
                <w:sz w:val="20"/>
                <w:szCs w:val="20"/>
                <w:color w:val="auto"/>
              </w:rPr>
            </w:pPr>
            <w:r>
              <w:rPr>
                <w:rFonts w:ascii="Arial" w:cs="Arial" w:eastAsia="Arial" w:hAnsi="Arial"/>
                <w:sz w:val="18"/>
                <w:szCs w:val="18"/>
                <w:color w:val="auto"/>
              </w:rPr>
              <w:t>Belgium</w:t>
            </w:r>
          </w:p>
        </w:tc>
        <w:tc>
          <w:tcPr>
            <w:tcW w:w="1300" w:type="dxa"/>
            <w:vAlign w:val="bottom"/>
          </w:tcPr>
          <w:p>
            <w:pPr>
              <w:jc w:val="right"/>
              <w:spacing w:after="0"/>
              <w:rPr>
                <w:sz w:val="20"/>
                <w:szCs w:val="20"/>
                <w:color w:val="auto"/>
              </w:rPr>
            </w:pPr>
            <w:r>
              <w:rPr>
                <w:rFonts w:ascii="Arial" w:cs="Arial" w:eastAsia="Arial" w:hAnsi="Arial"/>
                <w:sz w:val="18"/>
                <w:szCs w:val="18"/>
                <w:color w:val="auto"/>
              </w:rPr>
              <w:t>47.0 %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48.1 %</w:t>
            </w: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bl>
    <w:p>
      <w:pPr>
        <w:spacing w:after="0" w:line="3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is set forth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12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Increase (decrease)</w:t>
            </w:r>
          </w:p>
        </w:tc>
        <w:tc>
          <w:tcPr>
            <w:tcW w:w="140" w:type="dxa"/>
            <w:vAlign w:val="bottom"/>
          </w:tcPr>
          <w:p>
            <w:pPr>
              <w:spacing w:after="0"/>
              <w:rPr>
                <w:sz w:val="16"/>
                <w:szCs w:val="16"/>
                <w:color w:val="auto"/>
              </w:rPr>
            </w:pPr>
          </w:p>
        </w:tc>
        <w:tc>
          <w:tcPr>
            <w:tcW w:w="2060" w:type="dxa"/>
            <w:vAlign w:val="bottom"/>
            <w:gridSpan w:val="3"/>
            <w:vMerge w:val="restart"/>
          </w:tcPr>
          <w:p>
            <w:pPr>
              <w:jc w:val="right"/>
              <w:ind w:right="72"/>
              <w:spacing w:after="0"/>
              <w:rPr>
                <w:sz w:val="20"/>
                <w:szCs w:val="20"/>
                <w:color w:val="auto"/>
              </w:rPr>
            </w:pPr>
            <w:r>
              <w:rPr>
                <w:rFonts w:ascii="Arial" w:cs="Arial" w:eastAsia="Arial" w:hAnsi="Arial"/>
                <w:sz w:val="16"/>
                <w:szCs w:val="16"/>
                <w:b w:val="1"/>
                <w:bCs w:val="1"/>
                <w:color w:val="auto"/>
                <w:w w:val="87"/>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ind w:left="40"/>
              <w:spacing w:after="0"/>
              <w:rPr>
                <w:sz w:val="20"/>
                <w:szCs w:val="20"/>
                <w:color w:val="auto"/>
              </w:rPr>
            </w:pPr>
            <w:r>
              <w:rPr>
                <w:rFonts w:ascii="Arial" w:cs="Arial" w:eastAsia="Arial" w:hAnsi="Arial"/>
                <w:sz w:val="16"/>
                <w:szCs w:val="16"/>
                <w:b w:val="1"/>
                <w:bCs w:val="1"/>
                <w:color w:val="auto"/>
                <w:w w:val="98"/>
              </w:rPr>
              <w:t>in millions, except percentages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19"/>
                <w:szCs w:val="19"/>
                <w:color w:val="auto"/>
              </w:rPr>
            </w:pP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(60.1)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(70.6)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(54.1)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(60.9)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5"/>
        </w:trPr>
        <w:tc>
          <w:tcPr>
            <w:tcW w:w="412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(48.1)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(34.5)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(53.6)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(46.1)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(39.9)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85"/>
              </w:rPr>
              <w:t>37.1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8"/>
        </w:trPr>
        <w:tc>
          <w:tcPr>
            <w:tcW w:w="412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(47.0)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jc w:val="both"/>
        <w:ind w:left="480" w:hanging="474"/>
        <w:spacing w:after="0" w:line="277" w:lineRule="auto"/>
        <w:tabs>
          <w:tab w:leader="none" w:pos="477"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$39.5 million and $77.6 million during the three months ended March 31, 2022 and 2021, respectively.</w:t>
      </w:r>
    </w:p>
    <w:p>
      <w:pPr>
        <w:spacing w:after="0" w:line="197" w:lineRule="exact"/>
        <w:rPr>
          <w:rFonts w:ascii="Arial" w:cs="Arial" w:eastAsia="Arial" w:hAnsi="Arial"/>
          <w:sz w:val="17"/>
          <w:szCs w:val="17"/>
          <w:color w:val="auto"/>
        </w:rPr>
      </w:pPr>
    </w:p>
    <w:p>
      <w:pPr>
        <w:jc w:val="both"/>
        <w:ind w:left="480" w:hanging="474"/>
        <w:spacing w:after="0" w:line="268" w:lineRule="auto"/>
        <w:tabs>
          <w:tab w:leader="none" w:pos="474" w:val="left"/>
        </w:tabs>
        <w:numPr>
          <w:ilvl w:val="0"/>
          <w:numId w:val="52"/>
        </w:numPr>
        <w:rPr>
          <w:rFonts w:ascii="Arial" w:cs="Arial" w:eastAsia="Arial" w:hAnsi="Arial"/>
          <w:sz w:val="17"/>
          <w:szCs w:val="17"/>
          <w:color w:val="auto"/>
        </w:rPr>
      </w:pPr>
      <w:r>
        <w:rPr>
          <w:rFonts w:ascii="Arial" w:cs="Arial" w:eastAsia="Arial" w:hAnsi="Arial"/>
          <w:sz w:val="17"/>
          <w:szCs w:val="17"/>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change in our B2B subscription revenue is attributable to the conversion of certain residential subscribers to SOHO subscribers. B2B non-subscription revenue includes (a) revenue from business broadband internet, video, fixed-line telephony and data services offered to medium</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8" w:name="page59"/>
    <w:bookmarkEnd w:id="58"/>
    <w:p>
      <w:pPr>
        <w:ind w:left="480"/>
        <w:spacing w:after="0" w:line="264" w:lineRule="auto"/>
        <w:rPr>
          <w:sz w:val="20"/>
          <w:szCs w:val="20"/>
          <w:color w:val="auto"/>
        </w:rPr>
      </w:pPr>
      <w:r>
        <w:rPr>
          <w:rFonts w:ascii="Arial" w:cs="Arial" w:eastAsia="Arial" w:hAnsi="Arial"/>
          <w:sz w:val="18"/>
          <w:szCs w:val="18"/>
          <w:color w:val="auto"/>
        </w:rPr>
        <w:t>and large enterprises and, fixed-line and mobile services on a wholesale basis, to other operators and (b) revenue from long-term leases of portions of our network.</w:t>
      </w:r>
    </w:p>
    <w:p>
      <w:pPr>
        <w:spacing w:after="0" w:line="207" w:lineRule="exact"/>
        <w:rPr>
          <w:sz w:val="20"/>
          <w:szCs w:val="20"/>
          <w:color w:val="auto"/>
        </w:rPr>
      </w:pPr>
    </w:p>
    <w:p>
      <w:pPr>
        <w:jc w:val="both"/>
        <w:ind w:left="480" w:hanging="474"/>
        <w:spacing w:after="0" w:line="255" w:lineRule="auto"/>
        <w:tabs>
          <w:tab w:leader="none" w:pos="4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decreased $1,646.6 million or 47.0% during the three months ended March 31, 2022,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2021. This decrease includes a decrease of $1,635.0 million attributable to the impact of the U.K. JV Transaction. On an organic basis, our consolidated revenue increased $37.9 million or 2.0%.</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decrease in our consolidated residential revenue during the three months ended March 31, 2022,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corresponding period in 2021,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994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6"/>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9"/>
        </w:trPr>
        <w:tc>
          <w:tcPr>
            <w:tcW w:w="9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decrease in residential fixed revenue</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5"/>
        </w:trPr>
        <w:tc>
          <w:tcPr>
            <w:tcW w:w="994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6"/>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8"/>
        </w:trPr>
        <w:tc>
          <w:tcPr>
            <w:tcW w:w="9940" w:type="dxa"/>
            <w:vAlign w:val="bottom"/>
          </w:tcPr>
          <w:p>
            <w:pPr>
              <w:ind w:left="260"/>
              <w:spacing w:after="0"/>
              <w:rPr>
                <w:sz w:val="20"/>
                <w:szCs w:val="20"/>
                <w:color w:val="auto"/>
              </w:rPr>
            </w:pPr>
            <w:r>
              <w:rPr>
                <w:rFonts w:ascii="Arial" w:cs="Arial" w:eastAsia="Arial" w:hAnsi="Arial"/>
                <w:sz w:val="18"/>
                <w:szCs w:val="18"/>
                <w:color w:val="auto"/>
              </w:rPr>
              <w:t>Total organic decrease in residential revenue</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6"/>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43"/>
        </w:trPr>
        <w:tc>
          <w:tcPr>
            <w:tcW w:w="9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decrease in residential revenue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 xml:space="preserve">On an organic basis, our consolidated residential fixed subscription revenue decreased $17.2 million or 2.1% during the three months ended March 31, 2022, as compared to the corresponding period in 2021, primarily attributable to decreases in </w:t>
      </w:r>
      <w:r>
        <w:rPr>
          <w:rFonts w:ascii="Arial" w:cs="Arial" w:eastAsia="Arial" w:hAnsi="Arial"/>
          <w:sz w:val="18"/>
          <w:szCs w:val="18"/>
          <w:color w:val="2C2C2C"/>
        </w:rPr>
        <w:t>Switzerland and Belgium.</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residential fixed non-subscription revenue decreased $4.3 million or 13.8% during the three months ended March 31, 2022, as compared to the corresponding period in 2021, primarily due to a decrease in Switzerland.</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residential mobile subscription revenue increased $20.0 million or 5.8% during the three months ended March 31, 2022, as compared to the corresponding period in 2021, primarily attributable to increases in Switzerland and Belgium.</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On an organic basis, our consolidated residential mobile non-subscription revenue decreased $16.7 million or 10.0% during the three months ended March 31, 2022, as compared to the corresponding period in 2021, primarily due to a decrease in </w:t>
      </w:r>
      <w:r>
        <w:rPr>
          <w:rFonts w:ascii="Arial" w:cs="Arial" w:eastAsia="Arial" w:hAnsi="Arial"/>
          <w:sz w:val="18"/>
          <w:szCs w:val="18"/>
          <w:color w:val="2C2C2C"/>
        </w:rPr>
        <w:t>Belgium.</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$3.1 million or 2.2%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as compared to the corresponding period in 2021, primarily attributable to an increase in Belgium.</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B2B non-subscription revenue increased $31.6 million or 15.8% during the three months ended March 31, 2022, as compared to the corresponding period in 2021, primarily due to increases in Switzerland and Belgium.</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increased $21.4 million or 13.1% during the three months ended March 31,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 in 2021, primarily attributable to an increase in Central and Other related to revenue earned from the sale of customer premises equipment to the VodafoneZiggo JV.</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additional information regarding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9" w:name="page60"/>
    <w:bookmarkEnd w:id="59"/>
    <w:p>
      <w:pPr>
        <w:ind w:left="16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0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auto"/>
                <w:w w:val="86"/>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2021 amount represents the programming and other direct costs of the U.K. JV Entities, which were contributed to the VMO2 JV on June 1, 2021.</w:t>
      </w:r>
    </w:p>
    <w:p>
      <w:pPr>
        <w:spacing w:after="0" w:line="27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programming and other direct costs of services decreased $542.6 million or 50.3% during the three months ended March 31, 2022, as compared to the corresponding period in 2021. This decrease includes a decrease of $528.5 million attributable to the impact of the U.K. JV Transaction. On an organic basis, our programming and other direct costs of services increased $11.3 million or 2.1%. This increase includes the following factors:</w:t>
      </w:r>
    </w:p>
    <w:p>
      <w:pPr>
        <w:spacing w:after="0" w:line="163"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7"/>
          <w:szCs w:val="17"/>
          <w:i w:val="1"/>
          <w:iCs w:val="1"/>
          <w:color w:val="auto"/>
        </w:rPr>
      </w:pPr>
      <w:r>
        <w:rPr>
          <w:rFonts w:ascii="Arial" w:cs="Arial" w:eastAsia="Arial" w:hAnsi="Arial"/>
          <w:sz w:val="17"/>
          <w:szCs w:val="17"/>
          <w:color w:val="auto"/>
        </w:rPr>
        <w:t>An increase in costs of $12.7 million in Central and Other related to the sale of customer premises equipment to the VodafoneZiggo JV;</w:t>
      </w:r>
    </w:p>
    <w:p>
      <w:pPr>
        <w:spacing w:after="0" w:line="255" w:lineRule="exact"/>
        <w:rPr>
          <w:rFonts w:ascii="Arial" w:cs="Arial" w:eastAsia="Arial" w:hAnsi="Arial"/>
          <w:sz w:val="17"/>
          <w:szCs w:val="17"/>
          <w:i w:val="1"/>
          <w:iCs w:val="1"/>
          <w:color w:val="auto"/>
        </w:rPr>
      </w:pPr>
    </w:p>
    <w:p>
      <w:pPr>
        <w:ind w:left="64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 in programming and copyright costs of $11.3 million or 6.8%, attributable to lower costs for certain premium and/or basic content, primarily in Ireland and Switzerland;</w:t>
      </w:r>
    </w:p>
    <w:p>
      <w:pPr>
        <w:spacing w:after="0" w:line="207" w:lineRule="exact"/>
        <w:rPr>
          <w:rFonts w:ascii="Arial" w:cs="Arial" w:eastAsia="Arial" w:hAnsi="Arial"/>
          <w:sz w:val="18"/>
          <w:szCs w:val="18"/>
          <w:color w:val="auto"/>
        </w:rPr>
      </w:pPr>
    </w:p>
    <w:p>
      <w:pPr>
        <w:jc w:val="both"/>
        <w:ind w:left="640" w:hanging="316"/>
        <w:spacing w:after="0" w:line="330" w:lineRule="auto"/>
        <w:tabs>
          <w:tab w:leader="none" w:pos="635" w:val="left"/>
        </w:tabs>
        <w:numPr>
          <w:ilvl w:val="0"/>
          <w:numId w:val="55"/>
        </w:numPr>
        <w:rPr>
          <w:rFonts w:ascii="Arial" w:cs="Arial" w:eastAsia="Arial" w:hAnsi="Arial"/>
          <w:sz w:val="15"/>
          <w:szCs w:val="15"/>
          <w:color w:val="auto"/>
        </w:rPr>
      </w:pPr>
      <w:r>
        <w:rPr>
          <w:rFonts w:ascii="Arial" w:cs="Arial" w:eastAsia="Arial" w:hAnsi="Arial"/>
          <w:sz w:val="15"/>
          <w:szCs w:val="15"/>
          <w:color w:val="auto"/>
        </w:rPr>
        <w:t>An increase of $5.8 million associated with the impact of the classification of costs in connection with the U.K. JV Services provided by Central and Other, which, subsequent to the completion of the U.K. JV Transaction, are classified as direct costs of services. This increase was fully offset by a corresponding decrease in various SG&amp;A expense categories within Central and Other, most notably personnel costs; and</w:t>
      </w:r>
    </w:p>
    <w:p>
      <w:pPr>
        <w:spacing w:after="0" w:line="163" w:lineRule="exact"/>
        <w:rPr>
          <w:rFonts w:ascii="Arial" w:cs="Arial" w:eastAsia="Arial" w:hAnsi="Arial"/>
          <w:sz w:val="15"/>
          <w:szCs w:val="15"/>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mobile handset and other device costs of $4.2 million or 4.6%, primarily due to higher sales volumes in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0" w:name="page61"/>
    <w:bookmarkEnd w:id="60"/>
    <w:p>
      <w:pPr>
        <w:ind w:left="160"/>
        <w:spacing w:after="0"/>
        <w:rPr>
          <w:sz w:val="20"/>
          <w:szCs w:val="20"/>
          <w:color w:val="auto"/>
        </w:rPr>
      </w:pPr>
      <w:r>
        <w:rPr>
          <w:rFonts w:ascii="Arial" w:cs="Arial" w:eastAsia="Arial" w:hAnsi="Arial"/>
          <w:sz w:val="18"/>
          <w:szCs w:val="18"/>
          <w:i w:val="1"/>
          <w:iCs w:val="1"/>
          <w:color w:val="auto"/>
        </w:rPr>
        <w:t>Other operating expenses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200" w:type="dxa"/>
            <w:vAlign w:val="bottom"/>
            <w:gridSpan w:val="3"/>
            <w:vMerge w:val="restart"/>
          </w:tcPr>
          <w:p>
            <w:pPr>
              <w:jc w:val="right"/>
              <w:ind w:right="433"/>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w w:val="97"/>
              </w:rPr>
              <w:t>Total other operating expenses excluding share-based</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2021 amount represents the other operating expenses of the U.K. JV Entities, which were contributed to the VMO2 JV on June 1, 2021.</w:t>
      </w:r>
    </w:p>
    <w:p>
      <w:pPr>
        <w:spacing w:after="0" w:line="25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other operating expenses (exclusive of share-based compensation expense) decreased $234.6 million or 46.2% during the three months ended March 31, 2022, as compared to the corresponding period in 2021. This decrease includes a decrease of $243.6 million attributable to the impact of the U.K. JV Transaction. On an organic basis, our other operating expenses increased $19.3 million or 7.4%. This increase includes an increase in personnel costs of $6.9 million or 8.3%, primarily due to the net effect of (i) higher staffing levels, primarily in Switzerland and Belgium, and (ii) lower average costs per employee in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1" w:name="page62"/>
    <w:bookmarkEnd w:id="61"/>
    <w:p>
      <w:pPr>
        <w:ind w:left="160"/>
        <w:spacing w:after="0"/>
        <w:rPr>
          <w:sz w:val="20"/>
          <w:szCs w:val="20"/>
          <w:color w:val="auto"/>
        </w:rPr>
      </w:pPr>
      <w:r>
        <w:rPr>
          <w:rFonts w:ascii="Arial" w:cs="Arial" w:eastAsia="Arial" w:hAnsi="Arial"/>
          <w:sz w:val="18"/>
          <w:szCs w:val="18"/>
          <w:i w:val="1"/>
          <w:iCs w:val="1"/>
          <w:color w:val="auto"/>
        </w:rPr>
        <w:t>SG&amp;A expenses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SG&amp;A expenses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200" w:type="dxa"/>
            <w:vAlign w:val="bottom"/>
            <w:gridSpan w:val="3"/>
            <w:vMerge w:val="restart"/>
          </w:tcPr>
          <w:p>
            <w:pPr>
              <w:jc w:val="right"/>
              <w:ind w:right="433"/>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2021 amount represents the SG&amp;A expenses of the U.K. JV Entities, which were contributed to the VMO2 JV on June 1, 2021.</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460" w:type="dxa"/>
            <w:vAlign w:val="bottom"/>
            <w:gridSpan w:val="3"/>
            <w:vMerge w:val="restart"/>
          </w:tcPr>
          <w:p>
            <w:pPr>
              <w:jc w:val="center"/>
              <w:ind w:left="536"/>
              <w:spacing w:after="0"/>
              <w:rPr>
                <w:sz w:val="20"/>
                <w:szCs w:val="20"/>
                <w:color w:val="auto"/>
              </w:rPr>
            </w:pPr>
            <w:r>
              <w:rPr>
                <w:rFonts w:ascii="Arial" w:cs="Arial" w:eastAsia="Arial" w:hAnsi="Arial"/>
                <w:sz w:val="16"/>
                <w:szCs w:val="16"/>
                <w:b w:val="1"/>
                <w:bCs w:val="1"/>
                <w:color w:val="auto"/>
                <w:w w:val="84"/>
              </w:rPr>
              <w:t>Decrease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vMerge w:val="restart"/>
          </w:tcPr>
          <w:p>
            <w:pPr>
              <w:jc w:val="right"/>
              <w:ind w:right="474"/>
              <w:spacing w:after="0"/>
              <w:rPr>
                <w:sz w:val="20"/>
                <w:szCs w:val="20"/>
                <w:color w:val="auto"/>
              </w:rPr>
            </w:pPr>
            <w:r>
              <w:rPr>
                <w:rFonts w:ascii="Arial" w:cs="Arial" w:eastAsia="Arial" w:hAnsi="Arial"/>
                <w:sz w:val="16"/>
                <w:szCs w:val="16"/>
                <w:b w:val="1"/>
                <w:bCs w:val="1"/>
                <w:color w:val="auto"/>
              </w:rPr>
              <w:t>Organic decrease</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Our SG&amp;A expenses (exclusive of share-based compensation expense) decreased $237.5 million or 39.8% during the three months ended March 31, 2022, as compared to the corresponding period in 2021. This decrease includes a decrease of $222.5 million attributable to the impact of the U.K. JV Transaction. On an organic basis, our SG&amp;A expenses decreased $5.5 million or 1.5%. This decrease is primarily attributable to lower personnel costs in Switzerland, Central and Other and Belgium that were only partially offset by higher travel and entertainment and consulting costs in Central and Other. The lower personnel costs in Central and Other are attributable to the change in cost classification discussed under </w:t>
      </w:r>
      <w:r>
        <w:rPr>
          <w:rFonts w:ascii="Arial" w:cs="Arial" w:eastAsia="Arial" w:hAnsi="Arial"/>
          <w:sz w:val="18"/>
          <w:szCs w:val="18"/>
          <w:i w:val="1"/>
          <w:iCs w:val="1"/>
          <w:color w:val="auto"/>
        </w:rPr>
        <w:t>Programming and other direct costs of services</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2" w:name="page63"/>
    <w:bookmarkEnd w:id="62"/>
    <w:p>
      <w:pPr>
        <w:ind w:left="160"/>
        <w:spacing w:after="0"/>
        <w:rPr>
          <w:sz w:val="20"/>
          <w:szCs w:val="20"/>
          <w:color w:val="auto"/>
        </w:rPr>
      </w:pPr>
      <w:r>
        <w:rPr>
          <w:rFonts w:ascii="Arial" w:cs="Arial" w:eastAsia="Arial" w:hAnsi="Arial"/>
          <w:sz w:val="18"/>
          <w:szCs w:val="18"/>
          <w:i w:val="1"/>
          <w:iCs w:val="1"/>
          <w:color w:val="auto"/>
        </w:rPr>
        <w:t>Share-based compensation expense</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40"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Three months ended</w:t>
      </w: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(b)</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4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our 2019 Challenge Performance Awards and (ii) for the 2021 period, PSUs and our 2019 CEO Performance Award.</w:t>
      </w:r>
    </w:p>
    <w:p>
      <w:pPr>
        <w:spacing w:after="0" w:line="207" w:lineRule="exact"/>
        <w:rPr>
          <w:rFonts w:ascii="Arial" w:cs="Arial" w:eastAsia="Arial" w:hAnsi="Arial"/>
          <w:sz w:val="18"/>
          <w:szCs w:val="18"/>
          <w:color w:val="auto"/>
        </w:rPr>
      </w:pPr>
    </w:p>
    <w:p>
      <w:pPr>
        <w:jc w:val="both"/>
        <w:ind w:left="480" w:hanging="474"/>
        <w:spacing w:after="0" w:line="250" w:lineRule="auto"/>
        <w:tabs>
          <w:tab w:leader="none" w:pos="474"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the amount for the 2022 period includes compensation expense related to the 2021 Ventures Incentive Plan.</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depreciation and amortization expense was $564.7 million and $607.2 million during the three months ended March 31, 2022 and 2021, respectively. Excluding the effects of FX, depreciation and amortization expense decreased $17.1 million or 2.8% during the three months ended March 31, 2022, as compared to the corresponding period in 2021. This decrease is primarily due to the net effect of (i) a decrease associated with certain assets becoming fully depreciated, primarily in Central and Other, Switzerland and Belgium, and (ii) an increase associated with property and equipment additions, the expansion and upgrade of our networks and other capital initiatives, primarily in Central and Other, Switzerland and Belgium.</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impairment, restructuring and other operating items, net, of $9.4 million and $44.4 million during the three months ended March 31, 2022 and 2021, respectively.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amount for the 2022 period includes direct acquisition and disposition costs of $10.2 million, primarily in Belgium and Central and Other.</w:t>
      </w:r>
    </w:p>
    <w:p>
      <w:pPr>
        <w:spacing w:after="0" w:line="2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amount for the 2021 period includes (i) restructuring charges of $31.3 million, including $28.4 million of employee severance and termination costs related to certain reorganization activities, primarily in Switzerland and Central and Other,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(ii) direct acquisition and disposition costs of $18.4 million, primarily related to costs incurred in connection with the formation of the VMO2 JV.</w:t>
      </w:r>
    </w:p>
    <w:p>
      <w:pPr>
        <w:spacing w:after="0" w:line="25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expense</w:t>
      </w:r>
    </w:p>
    <w:p>
      <w:pPr>
        <w:spacing w:after="0" w:line="24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recognized interest expense of $134.2 million and $334.7 million during the three months ended March 31, 2022 and 2021, respectively. Excluding the effects of FX, interest expense decreased $198.7 million or 59.4% during the three months ended March 31, 2022, as compared to the corresponding period in 2021. This decrease is primarily attributable to a lower average outstanding debt balance and a lower weighted average interest rate, largely due to the impact of the U.K. JV Transaction. For additional information regarding our outstanding indebtedness, see note 9 to our condensed consolidated financial statements.</w:t>
      </w:r>
    </w:p>
    <w:p>
      <w:pPr>
        <w:spacing w:after="0" w:line="21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Realized and unrealized gains on derivative instruments, net</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on derivative instruments, net, are as follows:</w:t>
      </w:r>
    </w:p>
    <w:p>
      <w:pPr>
        <w:spacing w:after="0" w:line="83"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Three months ended</w:t>
      </w:r>
    </w:p>
    <w:p>
      <w:pPr>
        <w:jc w:val="center"/>
        <w:ind w:left="850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02"/>
        </w:trPr>
        <w:tc>
          <w:tcPr>
            <w:tcW w:w="8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63"/>
        </w:trPr>
        <w:tc>
          <w:tcPr>
            <w:tcW w:w="8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w:t>
            </w:r>
          </w:p>
        </w:tc>
      </w:tr>
      <w:tr>
        <w:trPr>
          <w:trHeight w:val="205"/>
        </w:trPr>
        <w:tc>
          <w:tcPr>
            <w:tcW w:w="8520" w:type="dxa"/>
            <w:vAlign w:val="bottom"/>
          </w:tcPr>
          <w:p>
            <w:pPr>
              <w:ind w:left="20"/>
              <w:spacing w:after="0" w:line="204" w:lineRule="exact"/>
              <w:rPr>
                <w:sz w:val="20"/>
                <w:szCs w:val="20"/>
                <w:color w:val="auto"/>
              </w:rPr>
            </w:pPr>
            <w:r>
              <w:rPr>
                <w:rFonts w:ascii="Arial" w:cs="Arial" w:eastAsia="Arial" w:hAnsi="Arial"/>
                <w:sz w:val="18"/>
                <w:szCs w:val="18"/>
                <w:color w:val="auto"/>
              </w:rPr>
              <w:t>Equity-related derivative instruments:</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19"/>
        </w:trPr>
        <w:tc>
          <w:tcPr>
            <w:tcW w:w="85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equity-related derivative instruments (b)</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8"/>
        </w:trPr>
        <w:tc>
          <w:tcPr>
            <w:tcW w:w="85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9"/>
        </w:trPr>
        <w:tc>
          <w:tcPr>
            <w:tcW w:w="85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52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508.5</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w:t>
            </w:r>
          </w:p>
        </w:tc>
      </w:tr>
      <w:tr>
        <w:trPr>
          <w:trHeight w:val="20"/>
        </w:trPr>
        <w:tc>
          <w:tcPr>
            <w:tcW w:w="8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0" w:lineRule="auto"/>
        <w:tabs>
          <w:tab w:leader="none" w:pos="4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gain for the 2022 period is attributable to net gains associated with changes in (i) certain market interest rates and (ii) the relative value of certain currencies. In addition, the gain for the 2022 period includes a net gain of $4.5 million resulting from changes in our credit risk valuation adjustments. The gain for the 2021 period is attributable to net gains associated with changes in (a) the relative value of certain currencies and (b) certain market interest rates. In addition, the gain for the 2021 period includes a net loss of $39.0 million resulting from changes in our credit risk valuation adjustments.</w:t>
      </w:r>
    </w:p>
    <w:p>
      <w:pPr>
        <w:spacing w:after="0" w:line="220" w:lineRule="exact"/>
        <w:rPr>
          <w:rFonts w:ascii="Arial" w:cs="Arial" w:eastAsia="Arial" w:hAnsi="Arial"/>
          <w:sz w:val="18"/>
          <w:szCs w:val="18"/>
          <w:color w:val="auto"/>
        </w:rPr>
      </w:pPr>
    </w:p>
    <w:p>
      <w:pPr>
        <w:ind w:left="480" w:hanging="474"/>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additional information concerning our derivative instruments, see notes 6 and 7 to our condensed consolidated financial statements and Part I, Item 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4" w:name="page65"/>
    <w:bookmarkEnd w:id="64"/>
    <w:p>
      <w:pPr>
        <w:ind w:left="160"/>
        <w:spacing w:after="0"/>
        <w:rPr>
          <w:sz w:val="20"/>
          <w:szCs w:val="20"/>
          <w:color w:val="auto"/>
        </w:rPr>
      </w:pPr>
      <w:r>
        <w:rPr>
          <w:rFonts w:ascii="Arial" w:cs="Arial" w:eastAsia="Arial" w:hAnsi="Arial"/>
          <w:sz w:val="18"/>
          <w:szCs w:val="18"/>
          <w:i w:val="1"/>
          <w:iCs w:val="1"/>
          <w:color w:val="auto"/>
        </w:rPr>
        <w:t>Foreign currency transaction gains, net</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net, are as follows:</w:t>
      </w:r>
    </w:p>
    <w:p>
      <w:pPr>
        <w:spacing w:after="0" w:line="103"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Three months ended</w:t>
      </w:r>
    </w:p>
    <w:p>
      <w:pPr>
        <w:jc w:val="center"/>
        <w:ind w:left="846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02"/>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63"/>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Intercompany payables and receivables denominated in a currency other than the entity’s functional currency (a)</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Euro-denominated debt issued by British pound sterling functional currency entities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U.S. dollar-denominated debt issued by British pound sterling functional currency entities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19"/>
        </w:trPr>
        <w:tc>
          <w:tcPr>
            <w:tcW w:w="852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61"/>
        </w:numPr>
        <w:rPr>
          <w:rFonts w:ascii="Arial" w:cs="Arial" w:eastAsia="Arial" w:hAnsi="Arial"/>
          <w:sz w:val="15"/>
          <w:szCs w:val="15"/>
          <w:color w:val="auto"/>
        </w:rPr>
      </w:pPr>
      <w:r>
        <w:rPr>
          <w:rFonts w:ascii="Arial" w:cs="Arial" w:eastAsia="Arial" w:hAnsi="Arial"/>
          <w:sz w:val="15"/>
          <w:szCs w:val="15"/>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net</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 (losses) due to changes in fair values of certain investments, net are as follows:</w:t>
      </w:r>
    </w:p>
    <w:p>
      <w:pPr>
        <w:spacing w:after="0" w:line="8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3"/>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Pax8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Skillz</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EdgeConneX</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Plume</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8"/>
        </w:trPr>
        <w:tc>
          <w:tcPr>
            <w:tcW w:w="864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5" w:name="page66"/>
    <w:bookmarkEnd w:id="65"/>
    <w:p>
      <w:pPr>
        <w:ind w:left="160"/>
        <w:spacing w:after="0"/>
        <w:rPr>
          <w:sz w:val="20"/>
          <w:szCs w:val="20"/>
          <w:color w:val="auto"/>
        </w:rPr>
      </w:pPr>
      <w:r>
        <w:rPr>
          <w:rFonts w:ascii="Arial" w:cs="Arial" w:eastAsia="Arial" w:hAnsi="Arial"/>
          <w:sz w:val="18"/>
          <w:szCs w:val="18"/>
          <w:i w:val="1"/>
          <w:iCs w:val="1"/>
          <w:color w:val="auto"/>
        </w:rPr>
        <w:t>Share of results of affiliates,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2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3"/>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All3Media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8"/>
        </w:trPr>
        <w:tc>
          <w:tcPr>
            <w:tcW w:w="864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330" w:lineRule="auto"/>
        <w:tabs>
          <w:tab w:leader="none" w:pos="477"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Represents (i) our 50% share of the results of operations of the VMO2 JV and (ii) 100% of the share-based compensation expense associated with Liberty Global awards held by VMO2 JV employees who were formerly employees of Liberty Global, as these awards remain our responsibility. The summarized results of operations of the VMO2 JV for the three months ended March 31, 2022 are set forth below (in millions):</w:t>
      </w:r>
    </w:p>
    <w:p>
      <w:pPr>
        <w:spacing w:after="0" w:line="56" w:lineRule="exact"/>
        <w:rPr>
          <w:sz w:val="20"/>
          <w:szCs w:val="20"/>
          <w:color w:val="auto"/>
        </w:rPr>
      </w:pPr>
    </w:p>
    <w:tbl>
      <w:tblPr>
        <w:tblLayout w:type="fixed"/>
        <w:tblInd w:w="480" w:type="dxa"/>
        <w:tblCellMar>
          <w:top w:w="0" w:type="dxa"/>
          <w:left w:w="0" w:type="dxa"/>
          <w:bottom w:w="0" w:type="dxa"/>
          <w:right w:w="0" w:type="dxa"/>
        </w:tblCellMar>
      </w:tblP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(1)</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880" w:hanging="397"/>
        <w:spacing w:after="0"/>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Includes interest expense of $235.0 million.</w:t>
      </w:r>
    </w:p>
    <w:p>
      <w:pPr>
        <w:spacing w:after="0" w:line="243"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interest income of $14.1 million and $13.4 million, respectively, representing 100% of the interest earned on the VodafoneZiggo JV Receivables. The summarized results of operations of the VodafoneZiggo JV are set forth below:</w:t>
      </w:r>
    </w:p>
    <w:p>
      <w:pPr>
        <w:spacing w:after="0" w:line="87"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Three months ended</w:t>
      </w:r>
    </w:p>
    <w:p>
      <w:pPr>
        <w:jc w:val="center"/>
        <w:ind w:left="76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76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7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6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537.8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565.2</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6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880" w:hanging="397"/>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interest expense of $144.1 million and $152.2 million, respectively.</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income, net</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recognized other income, net, of $11.9 million and $10.1 million during the three months ended March 31, 2022 and 2021, respectively. These amounts include (i) credits related to the non-service component of our net periodic pension costs of $8.9 million and $8.6 million, respectively, and (ii) interest and dividend income of $3.4 million and $4.0 million, respectively.</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66" w:name="page67"/>
    <w:bookmarkEnd w:id="66"/>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recognized income tax expense of $81.2 million and $165.2 million during the three months ended March 31, 2022 and 2021, respectively.</w:t>
      </w:r>
    </w:p>
    <w:p>
      <w:pPr>
        <w:spacing w:after="0" w:line="25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income tax expense during the three months ended March 31, 2022 and 2021 differs from the expected income tax expense of $219.8 million and $301.7 million, respectively, (based on the U.K. statutory income tax rate of 19.0%), primarily due to the net positive impact of non-deductible or non-taxable foreign currency exchange results.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from continuing operations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March 31, 2022 and 2021, we reported earnings from continuing operations of $1,075.7 million and $1,422.7 million, respectively, consisting of (i) operating income of $58.8 million and $601.2 million, respectively, (ii) net non-operating income of $1,098.1 million and $986.7 million, respectively, and (iii) income tax expense of $81.2 million and $165.2 million, respectively.</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2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Due largely to the fact that we seek to maintain our debt at levels that provide for attractive equity returns, as discussed below under </w:t>
      </w:r>
      <w:r>
        <w:rPr>
          <w:rFonts w:ascii="Arial" w:cs="Arial" w:eastAsia="Arial" w:hAnsi="Arial"/>
          <w:sz w:val="15"/>
          <w:szCs w:val="15"/>
          <w:i w:val="1"/>
          <w:iCs w:val="1"/>
          <w:color w:val="auto"/>
        </w:rPr>
        <w:t>Material Changes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Condition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Capitalization</w:t>
      </w:r>
      <w:r>
        <w:rPr>
          <w:rFonts w:ascii="Arial" w:cs="Arial" w:eastAsia="Arial" w:hAnsi="Arial"/>
          <w:sz w:val="15"/>
          <w:szCs w:val="15"/>
          <w:color w:val="auto"/>
        </w:rPr>
        <w:t>, we expect we will continue to report significant levels of interest expense for the foreseeable future. For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concerning our expectations with respect to trends that may affect certain aspects of our operating results in future periods, see the discussion under </w:t>
      </w:r>
      <w:r>
        <w:rPr>
          <w:rFonts w:ascii="Arial" w:cs="Arial" w:eastAsia="Arial" w:hAnsi="Arial"/>
          <w:sz w:val="15"/>
          <w:szCs w:val="15"/>
          <w:i w:val="1"/>
          <w:iCs w:val="1"/>
          <w:color w:val="auto"/>
        </w:rPr>
        <w:t>Overview</w:t>
      </w:r>
      <w:r>
        <w:rPr>
          <w:rFonts w:ascii="Arial" w:cs="Arial" w:eastAsia="Arial" w:hAnsi="Arial"/>
          <w:sz w:val="15"/>
          <w:szCs w:val="15"/>
          <w:color w:val="auto"/>
        </w:rPr>
        <w:t xml:space="preserve"> above. For information concerning the reasons for changes in specific line items in our condensed consolidated statements of operations, see </w:t>
      </w:r>
      <w:r>
        <w:rPr>
          <w:rFonts w:ascii="Arial" w:cs="Arial" w:eastAsia="Arial" w:hAnsi="Arial"/>
          <w:sz w:val="15"/>
          <w:szCs w:val="15"/>
          <w:i w:val="1"/>
          <w:iCs w:val="1"/>
          <w:color w:val="auto"/>
        </w:rPr>
        <w:t>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our Reportable Segments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Discussion and Analysis of our Consolidated Operating Results </w:t>
      </w:r>
      <w:r>
        <w:rPr>
          <w:rFonts w:ascii="Arial" w:cs="Arial" w:eastAsia="Arial" w:hAnsi="Arial"/>
          <w:sz w:val="15"/>
          <w:szCs w:val="15"/>
          <w:color w:val="auto"/>
        </w:rPr>
        <w:t>above.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44"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We reported earnings from discontinued operations, net of taxes, of $34.6 million and $17.6 million during the three months ended March 31, 2022 and 2021, respectively, related to the results of UPC Poland. For additional information, see note 4 to our condensed consolidated financial statements.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earnings attributable to noncontrolling interests increased $17.1 million during the three months ended March 31, 2022, as compared to the corresponding period in 2021, primarily attributable to the results of operations of Telenet.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and cash equivalents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details of the U.S. dollar equivalent balances of our consolidated cash and cash equivalents at March 31, 2022 are set forth in the following table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988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Global (a)</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5"/>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Unrestricted subsidiaries (b)</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r>
      <w:tr>
        <w:trPr>
          <w:trHeight w:val="219"/>
        </w:trPr>
        <w:tc>
          <w:tcPr>
            <w:tcW w:w="98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Liberty Global and unrestricted subsidiaries</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r>
      <w:tr>
        <w:trPr>
          <w:trHeight w:val="205"/>
        </w:trPr>
        <w:tc>
          <w:tcPr>
            <w:tcW w:w="9880" w:type="dxa"/>
            <w:vAlign w:val="bottom"/>
          </w:tcPr>
          <w:p>
            <w:pPr>
              <w:ind w:left="140"/>
              <w:spacing w:after="0" w:line="204" w:lineRule="exact"/>
              <w:rPr>
                <w:sz w:val="20"/>
                <w:szCs w:val="20"/>
                <w:color w:val="auto"/>
              </w:rPr>
            </w:pPr>
            <w:r>
              <w:rPr>
                <w:rFonts w:ascii="Arial" w:cs="Arial" w:eastAsia="Arial" w:hAnsi="Arial"/>
                <w:sz w:val="18"/>
                <w:szCs w:val="18"/>
                <w:color w:val="auto"/>
              </w:rPr>
              <w:t>Borrowing groups (c):</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Telenet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25"/>
        </w:trPr>
        <w:tc>
          <w:tcPr>
            <w:tcW w:w="9880" w:type="dxa"/>
            <w:vAlign w:val="bottom"/>
          </w:tcPr>
          <w:p>
            <w:pPr>
              <w:ind w:left="220"/>
              <w:spacing w:after="0"/>
              <w:rPr>
                <w:sz w:val="20"/>
                <w:szCs w:val="20"/>
                <w:color w:val="auto"/>
              </w:rPr>
            </w:pPr>
            <w:r>
              <w:rPr>
                <w:rFonts w:ascii="Arial" w:cs="Arial" w:eastAsia="Arial" w:hAnsi="Arial"/>
                <w:sz w:val="18"/>
                <w:szCs w:val="18"/>
                <w:color w:val="auto"/>
              </w:rPr>
              <w:t>UPC Holding</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VM Ireland</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8"/>
        </w:trPr>
        <w:tc>
          <w:tcPr>
            <w:tcW w:w="9880" w:type="dxa"/>
            <w:vAlign w:val="bottom"/>
            <w:tcBorders>
              <w:bottom w:val="single" w:sz="8" w:color="CCEEFF"/>
            </w:tcBorders>
          </w:tcPr>
          <w:p>
            <w:pPr>
              <w:ind w:left="380"/>
              <w:spacing w:after="0" w:line="204" w:lineRule="exact"/>
              <w:rPr>
                <w:sz w:val="20"/>
                <w:szCs w:val="20"/>
                <w:color w:val="auto"/>
              </w:rPr>
            </w:pPr>
            <w:r>
              <w:rPr>
                <w:rFonts w:ascii="Arial" w:cs="Arial" w:eastAsia="Arial" w:hAnsi="Arial"/>
                <w:sz w:val="18"/>
                <w:szCs w:val="18"/>
                <w:color w:val="auto"/>
              </w:rPr>
              <w:t>Total borrowing groups</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r>
      <w:tr>
        <w:trPr>
          <w:trHeight w:val="243"/>
        </w:trPr>
        <w:tc>
          <w:tcPr>
            <w:tcW w:w="9880" w:type="dxa"/>
            <w:vAlign w:val="bottom"/>
            <w:tcBorders>
              <w:bottom w:val="single" w:sz="8" w:color="CCEEFF"/>
            </w:tcBorders>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cash and cash equivalents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43" w:lineRule="exact"/>
        <w:rPr>
          <w:rFonts w:ascii="Arial" w:cs="Arial" w:eastAsia="Arial" w:hAnsi="Arial"/>
          <w:sz w:val="18"/>
          <w:szCs w:val="18"/>
          <w:color w:val="auto"/>
        </w:rPr>
      </w:pPr>
    </w:p>
    <w:p>
      <w:pPr>
        <w:ind w:left="160" w:right="2900" w:hanging="154"/>
        <w:spacing w:after="0" w:line="264" w:lineRule="auto"/>
        <w:tabs>
          <w:tab w:leader="none" w:pos="4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Represents the aggregate amounts held by the parent entity and restricted subsidiaries of our borrowing groups. </w:t>
      </w:r>
      <w:r>
        <w:rPr>
          <w:rFonts w:ascii="Arial" w:cs="Arial" w:eastAsia="Arial" w:hAnsi="Arial"/>
          <w:sz w:val="18"/>
          <w:szCs w:val="18"/>
          <w:i w:val="1"/>
          <w:iCs w:val="1"/>
          <w:color w:val="auto"/>
        </w:rPr>
        <w:t>Liquidity of Liberty Global and its unrestricted subsidiaries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$20.7 million of cash and cash equivalents held by Liberty Global and, subject to certain tax and legal considerations, the $589.7 million of aggregate cash and cash equivalents held by unrestricted subsidiaries, together with the $2,332.6 million of investments held under SMAs, represented available liquidity at the corporate level at March 31, 2022. Our remaining cash and cash equivalents of $233.0 million at March 31, 2022 were held by our borrowing groups, as set forth in the table above. As noted above, various factors may limit our ability to access the cash of our borrowing groups. For information regarding certain limitations imposed by our subsidiaries’ debt instruments at March 31, 2022, see note 9 to our condensed consolidated financial statements.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dividends received from the VodafoneZiggo JV or the VMO2 JV, (iv) cash received with respect to transitional and other services provided to various third parties and (v) interest payments received with respect to the VodafoneZiggo JV Receivables.</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Liberty Global and its unrestricted subsidiaries may also receive (i) proceeds in the form of distributions or loan repayments from Liberty Global’s borrowing groups or affiliates (including amounts from the VodafoneZiggo JV or the VMO2 JV) upon (a) the completion of recapitalizations, refinancings, asset sales or similar transactions by these entities or (b)</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8" w:name="page69"/>
    <w:bookmarkEnd w:id="68"/>
    <w:p>
      <w:pPr>
        <w:jc w:val="both"/>
        <w:spacing w:after="0" w:line="271" w:lineRule="auto"/>
        <w:rPr>
          <w:sz w:val="20"/>
          <w:szCs w:val="20"/>
          <w:color w:val="auto"/>
        </w:rPr>
      </w:pPr>
      <w:r>
        <w:rPr>
          <w:rFonts w:ascii="Arial" w:cs="Arial" w:eastAsia="Arial" w:hAnsi="Arial"/>
          <w:sz w:val="17"/>
          <w:szCs w:val="17"/>
          <w:color w:val="auto"/>
        </w:rPr>
        <w:t>the accumulation of excess cash from operations or other means, (ii) proceeds upon the disposition of investments and other assets of Liberty Global and its unrestricted subsidiaries, such as the sale of UPC Poland,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March 31, 2022, our consolidated cash and cash equivalents balance included $649.0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euros and Swiss francs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 In addition, our parent entity uses available liquidity to make interest and principal payments on notes payable to certain of our unrestricted subsidiaries (aggregate outstanding principal of $12.1 billion at March 31, 2022 with varying maturity dates).</w:t>
      </w:r>
    </w:p>
    <w:p>
      <w:pPr>
        <w:spacing w:after="0" w:line="20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the three months ended March 31, 2022, the aggregate amount of our share repurchases, including direct acquisition costs, was $496.1 million. Under our current repurchase program, we are authorized during 2022 to repurchase 10% of our total outstanding shares as of the beginning of the year. For additional information regarding our share repurchase programs, see note 12 to our condensed consolidated financial statements.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Liquidity of borrowing groups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March 31, 2022, see note 9 to our condensed consolidated financial statements. The aforementioned sources of liquidity may be supplemented in certain cases by contributions and/or loans from Liberty Global and its unrestricted subsidiaries.</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liquidity of our borrowing groups generally is used to fund (i) property and equipment additions, (ii) debt service requirements and (iii) income tax payments, as well as to settle certain obligations that are not included on our March 31, 2022 condensed consolidated balance sheet. In this regard, we have significant commitments related to (a) programming, studio output and sports rights contracts, (b) certain operating costs associated with our networks and (c) purchase obligations associated with customer premises equipment and certain service-related commitments. These obligations are expected to represent a significant liquidity requirement of our borrowing groups, the majority of which is due over the next 12 to 24 months. For additional information regarding our commitments, see note 15 to our condensed consolidated financial statements.</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For additional information regarding our consolidated cash flows, see the discussion under </w:t>
      </w:r>
      <w:r>
        <w:rPr>
          <w:rFonts w:ascii="Arial" w:cs="Arial" w:eastAsia="Arial" w:hAnsi="Arial"/>
          <w:sz w:val="15"/>
          <w:szCs w:val="15"/>
          <w:i w:val="1"/>
          <w:iCs w:val="1"/>
          <w:color w:val="auto"/>
        </w:rPr>
        <w:t>Condensed Consolidated Statements of Cash Flows</w:t>
      </w:r>
      <w:r>
        <w:rPr>
          <w:rFonts w:ascii="Arial" w:cs="Arial" w:eastAsia="Arial" w:hAnsi="Arial"/>
          <w:sz w:val="15"/>
          <w:szCs w:val="15"/>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9" w:name="page70"/>
    <w:bookmarkEnd w:id="69"/>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20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March 31, 2022,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March 31, 2022, the outstanding principal amount of our consolidated debt, together with our finance lease obligations, aggregated $14.7 billion, including $0.8 billion that is classified as current on our condensed consolidated balance sheet and $13.5 billion that is not due until 2028 or thereafter. All of our consolidated debt and finance lease obligations have been borrowed or incurred by our subsidiaries at March 31, 2022.</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0" w:name="page71"/>
    <w:bookmarkEnd w:id="70"/>
    <w:p>
      <w:pPr>
        <w:ind w:left="16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three months ended March 31, 2022 and 2021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8"/>
              </w:rPr>
              <w:t>Three months ended</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2"/>
              </w:rPr>
              <w:t>March 31,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7"/>
        </w:trPr>
        <w:tc>
          <w:tcPr>
            <w:tcW w:w="74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Change</w:t>
            </w:r>
          </w:p>
        </w:tc>
      </w:tr>
      <w:tr>
        <w:trPr>
          <w:trHeight w:val="203"/>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3"/>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44"/>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decrease in cash and cash equivalents and restricted cash</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decrease in net cash provided by operating activities is primarily attributable to the net effect of (i) a decrease in cash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Adjusted EBITDA and related working capital items, (ii) an increase in cash provided due to lower payments of interest, (iii) an increase in cash provided due to lower payments related to derivative instruments, (iv) a decrease in cash provided due to higher payments for taxes, (v) an increase in cash provided due to higher dividends received from the VodafoneZiggo JV and (vi) a decrease due to FX. Consolidated Adjusted EBITDA is a non-GAAP measure, which investors should view as a supplement to, and not a substitute for, GAAP measures of performance included in our condensed consolidated statements of operations.</w:t>
      </w:r>
    </w:p>
    <w:p>
      <w:pPr>
        <w:spacing w:after="0" w:line="22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The decrease in net cash used by investing activities is primarily attributable to (i) a decrease in cash used of $402.5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associated with higher net cash received from the sale of investments, primarily related to our investments held under SMAs, and (ii) a decrease in cash used of $89.7 million due to lower capital expenditures. Capital expenditures decreased from $462.5 million during the first three months of 2021 to $372.8 million during the first three months of 2022, primarily due to (a) a decrease due to the impact of the U.K. JV Transaction, (b) a decrease due to FX and (c) a decrease in our net local currency capital expenditures and related working capital movements, including the impact of lower capital-related vendor financing.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1" w:name="page72"/>
    <w:bookmarkEnd w:id="71"/>
    <w:p>
      <w:pPr>
        <w:jc w:val="both"/>
        <w:ind w:firstLine="318"/>
        <w:spacing w:after="0" w:line="298" w:lineRule="auto"/>
        <w:rPr>
          <w:sz w:val="20"/>
          <w:szCs w:val="20"/>
          <w:color w:val="auto"/>
        </w:rPr>
      </w:pPr>
      <w:r>
        <w:rPr>
          <w:rFonts w:ascii="Arial" w:cs="Arial" w:eastAsia="Arial" w:hAnsi="Arial"/>
          <w:sz w:val="15"/>
          <w:szCs w:val="15"/>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w:t>
      </w:r>
    </w:p>
    <w:p>
      <w:pPr>
        <w:spacing w:after="0" w:line="3" w:lineRule="exact"/>
        <w:rPr>
          <w:sz w:val="20"/>
          <w:szCs w:val="20"/>
          <w:color w:val="auto"/>
        </w:rPr>
      </w:pPr>
    </w:p>
    <w:p>
      <w:pPr>
        <w:jc w:val="both"/>
        <w:ind w:firstLine="6"/>
        <w:spacing w:after="0" w:line="247" w:lineRule="auto"/>
        <w:tabs>
          <w:tab w:leader="none" w:pos="2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09"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Three months ended</w:t>
      </w:r>
    </w:p>
    <w:p>
      <w:pPr>
        <w:jc w:val="center"/>
        <w:ind w:left="866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r>
      <w:tr>
        <w:trPr>
          <w:trHeight w:val="202"/>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63"/>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r>
      <w:tr>
        <w:trPr>
          <w:trHeight w:val="244"/>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decrease in our property and equipment additions during the three months ended March 31, 2022, as compared to the corresponding period in 2021, is primarily due to (i) a decrease due to the impact of the U.K. JV Transaction, (ii) a decrease due to FX and (iii) a decrease in local currency expenditures of our subsidiaries due to the net effect of (a) a decrease in baseline expenditures, including network improvements and expenditures for property and facilities and information technology systems, (b) an increase in expenditures for the purchase and installation of customer premises equipment, (c) an increase in expenditures for new build and upgrade projects and (d) a decrease in expenditures to support new customer products and operational efficiency initiatives.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net cash used by financing activities is primarily attributable to the net effect of (i) an increase in cash used of</w:t>
      </w:r>
      <w:r>
        <w:rPr>
          <w:rFonts w:ascii="Arial" w:cs="Arial" w:eastAsia="Arial" w:hAnsi="Arial"/>
          <w:sz w:val="18"/>
          <w:szCs w:val="18"/>
          <w:i w:val="1"/>
          <w:iCs w:val="1"/>
          <w:color w:val="auto"/>
        </w:rPr>
        <w:t xml:space="preserve"> </w:t>
      </w:r>
      <w:r>
        <w:rPr>
          <w:rFonts w:ascii="Arial" w:cs="Arial" w:eastAsia="Arial" w:hAnsi="Arial"/>
          <w:sz w:val="18"/>
          <w:szCs w:val="18"/>
          <w:color w:val="auto"/>
        </w:rPr>
        <w:t>$169.4 million due to higher repurchases of Liberty Global ordinary shares, (ii) a decrease in cash used of $130.3 million due to lower net repayments of vendor financing and (iii) a decrease in cash used of $88.6 million due to lower net repayments of debt.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2" w:name="page73"/>
    <w:bookmarkEnd w:id="72"/>
    <w:p>
      <w:pPr>
        <w:ind w:left="16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with each item excluding any cash provided or used by our discontinued operations. Prior to the fourth quarter of 2021, our definition of adjusted free cash flow excluded cash payments for third-party costs directly associated with successful and unsuccessful acquisitions and dispositions. During the fourth quarter of 2021, we changed our definition of adjusted free cash flow to include these cash payments. Cash paid for third-party costs directly associated with successful and unsuccessful acquisitions and dispositions was $13.4 million and $13.2 million during the three months ended March 31, 2022 and 2021, respectively. We believe our presentation of adjusted free cash flow, which is a non-GAAP measure, provides useful information to our investors because this measure can be used to gauge our ability to (a) service debt and (b)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2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03"/>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Operating-related vendor financing additions (a)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849.0</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capital expenditures,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(655.3)</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44"/>
        </w:trPr>
        <w:tc>
          <w:tcPr>
            <w:tcW w:w="864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jc w:val="both"/>
        <w:ind w:left="480" w:hanging="474"/>
        <w:spacing w:after="0" w:line="309" w:lineRule="auto"/>
        <w:tabs>
          <w:tab w:leader="none" w:pos="477" w:val="left"/>
        </w:tabs>
        <w:numPr>
          <w:ilvl w:val="0"/>
          <w:numId w:val="68"/>
        </w:numPr>
        <w:rPr>
          <w:rFonts w:ascii="Arial" w:cs="Arial" w:eastAsia="Arial" w:hAnsi="Arial"/>
          <w:sz w:val="15"/>
          <w:szCs w:val="15"/>
          <w:color w:val="auto"/>
        </w:rPr>
      </w:pPr>
      <w:r>
        <w:rPr>
          <w:rFonts w:ascii="Arial" w:cs="Arial" w:eastAsia="Arial" w:hAnsi="Arial"/>
          <w:sz w:val="15"/>
          <w:szCs w:val="15"/>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3" w:name="page74"/>
    <w:bookmarkEnd w:id="73"/>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2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March 31, 2022.</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2022.</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2022, $436.4 million or 51.7% and $324.1 million or 38.4% of our consolidated cash balances were denominated in euros and U.S. dollars, respectively.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 31,</w:t>
            </w:r>
          </w:p>
        </w:tc>
        <w:tc>
          <w:tcPr>
            <w:tcW w:w="1280" w:type="dxa"/>
            <w:vAlign w:val="bottom"/>
          </w:tcPr>
          <w:p>
            <w:pPr>
              <w:jc w:val="right"/>
              <w:ind w:right="94"/>
              <w:spacing w:after="0"/>
              <w:rPr>
                <w:sz w:val="20"/>
                <w:szCs w:val="20"/>
                <w:color w:val="auto"/>
              </w:rPr>
            </w:pPr>
            <w:r>
              <w:rPr>
                <w:rFonts w:ascii="Arial" w:cs="Arial" w:eastAsia="Arial" w:hAnsi="Arial"/>
                <w:sz w:val="16"/>
                <w:szCs w:val="16"/>
                <w:b w:val="1"/>
                <w:bCs w:val="1"/>
                <w:color w:val="auto"/>
              </w:rPr>
              <w:t>December 31,</w:t>
            </w:r>
          </w:p>
        </w:tc>
      </w:tr>
      <w:tr>
        <w:trPr>
          <w:trHeight w:val="208"/>
        </w:trPr>
        <w:tc>
          <w:tcPr>
            <w:tcW w:w="3580" w:type="dxa"/>
            <w:vAlign w:val="bottom"/>
          </w:tcPr>
          <w:p>
            <w:pPr>
              <w:spacing w:after="0"/>
              <w:rPr>
                <w:sz w:val="18"/>
                <w:szCs w:val="18"/>
                <w:color w:val="auto"/>
              </w:rPr>
            </w:pPr>
          </w:p>
        </w:tc>
        <w:tc>
          <w:tcPr>
            <w:tcW w:w="6280" w:type="dxa"/>
            <w:vAlign w:val="bottom"/>
            <w:gridSpan w:val="2"/>
          </w:tcPr>
          <w:p>
            <w:pPr>
              <w:jc w:val="right"/>
              <w:ind w:right="40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80" w:type="dxa"/>
            <w:vAlign w:val="bottom"/>
          </w:tcPr>
          <w:p>
            <w:pPr>
              <w:jc w:val="right"/>
              <w:ind w:right="394"/>
              <w:spacing w:after="0"/>
              <w:rPr>
                <w:sz w:val="20"/>
                <w:szCs w:val="20"/>
                <w:color w:val="auto"/>
              </w:rPr>
            </w:pPr>
            <w:r>
              <w:rPr>
                <w:rFonts w:ascii="Arial" w:cs="Arial" w:eastAsia="Arial" w:hAnsi="Arial"/>
                <w:sz w:val="16"/>
                <w:szCs w:val="16"/>
                <w:b w:val="1"/>
                <w:bCs w:val="1"/>
                <w:color w:val="auto"/>
              </w:rPr>
              <w:t>2021</w:t>
            </w:r>
          </w:p>
        </w:tc>
      </w:tr>
      <w:tr>
        <w:trPr>
          <w:trHeight w:val="194"/>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50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8"/>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0.9024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0.8782</w:t>
            </w:r>
          </w:p>
        </w:tc>
      </w:tr>
      <w:tr>
        <w:trPr>
          <w:trHeight w:val="225"/>
        </w:trPr>
        <w:tc>
          <w:tcPr>
            <w:tcW w:w="358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6280" w:type="dxa"/>
            <w:vAlign w:val="bottom"/>
            <w:gridSpan w:val="2"/>
          </w:tcPr>
          <w:p>
            <w:pPr>
              <w:jc w:val="right"/>
              <w:spacing w:after="0"/>
              <w:rPr>
                <w:sz w:val="20"/>
                <w:szCs w:val="20"/>
                <w:color w:val="auto"/>
              </w:rPr>
            </w:pPr>
            <w:r>
              <w:rPr>
                <w:rFonts w:ascii="Arial" w:cs="Arial" w:eastAsia="Arial" w:hAnsi="Arial"/>
                <w:sz w:val="18"/>
                <w:szCs w:val="18"/>
                <w:color w:val="auto"/>
              </w:rPr>
              <w:t>0.7611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0.7388</w:t>
            </w:r>
          </w:p>
        </w:tc>
      </w:tr>
      <w:tr>
        <w:trPr>
          <w:trHeight w:val="22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0.9223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0.9114</w:t>
            </w:r>
          </w:p>
        </w:tc>
      </w:tr>
      <w:tr>
        <w:trPr>
          <w:trHeight w:val="224"/>
        </w:trPr>
        <w:tc>
          <w:tcPr>
            <w:tcW w:w="358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6280" w:type="dxa"/>
            <w:vAlign w:val="bottom"/>
            <w:gridSpan w:val="2"/>
          </w:tcPr>
          <w:p>
            <w:pPr>
              <w:jc w:val="right"/>
              <w:spacing w:after="0"/>
              <w:rPr>
                <w:sz w:val="20"/>
                <w:szCs w:val="20"/>
                <w:color w:val="auto"/>
              </w:rPr>
            </w:pPr>
            <w:r>
              <w:rPr>
                <w:rFonts w:ascii="Arial" w:cs="Arial" w:eastAsia="Arial" w:hAnsi="Arial"/>
                <w:sz w:val="18"/>
                <w:szCs w:val="18"/>
                <w:color w:val="auto"/>
              </w:rPr>
              <w:t>4.1997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4.0285</w:t>
            </w:r>
          </w:p>
        </w:tc>
      </w:tr>
      <w:tr>
        <w:trPr>
          <w:trHeight w:val="460"/>
        </w:trPr>
        <w:tc>
          <w:tcPr>
            <w:tcW w:w="3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40" w:type="dxa"/>
            <w:vAlign w:val="bottom"/>
            <w:gridSpan w:val="3"/>
          </w:tcPr>
          <w:p>
            <w:pPr>
              <w:jc w:val="right"/>
              <w:ind w:right="534"/>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35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894"/>
              <w:spacing w:after="0"/>
              <w:rPr>
                <w:sz w:val="20"/>
                <w:szCs w:val="20"/>
                <w:color w:val="auto"/>
              </w:rPr>
            </w:pPr>
            <w:r>
              <w:rPr>
                <w:rFonts w:ascii="Arial" w:cs="Arial" w:eastAsia="Arial" w:hAnsi="Arial"/>
                <w:sz w:val="16"/>
                <w:szCs w:val="16"/>
                <w:b w:val="1"/>
                <w:bCs w:val="1"/>
                <w:color w:val="auto"/>
              </w:rPr>
              <w:t>March 31,</w:t>
            </w:r>
          </w:p>
        </w:tc>
      </w:tr>
      <w:tr>
        <w:trPr>
          <w:trHeight w:val="203"/>
        </w:trPr>
        <w:tc>
          <w:tcPr>
            <w:tcW w:w="35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r>
      <w:tr>
        <w:trPr>
          <w:trHeight w:val="194"/>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5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8"/>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0.8907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0.8296</w:t>
            </w:r>
          </w:p>
        </w:tc>
      </w:tr>
      <w:tr>
        <w:trPr>
          <w:trHeight w:val="225"/>
        </w:trPr>
        <w:tc>
          <w:tcPr>
            <w:tcW w:w="358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6280" w:type="dxa"/>
            <w:vAlign w:val="bottom"/>
            <w:gridSpan w:val="2"/>
          </w:tcPr>
          <w:p>
            <w:pPr>
              <w:jc w:val="right"/>
              <w:spacing w:after="0"/>
              <w:rPr>
                <w:sz w:val="20"/>
                <w:szCs w:val="20"/>
                <w:color w:val="auto"/>
              </w:rPr>
            </w:pPr>
            <w:r>
              <w:rPr>
                <w:rFonts w:ascii="Arial" w:cs="Arial" w:eastAsia="Arial" w:hAnsi="Arial"/>
                <w:sz w:val="18"/>
                <w:szCs w:val="18"/>
                <w:color w:val="auto"/>
              </w:rPr>
              <w:t>0.7453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0.7252</w:t>
            </w:r>
          </w:p>
        </w:tc>
      </w:tr>
      <w:tr>
        <w:trPr>
          <w:trHeight w:val="22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0.9237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0.9048</w:t>
            </w:r>
          </w:p>
        </w:tc>
      </w:tr>
      <w:tr>
        <w:trPr>
          <w:trHeight w:val="224"/>
        </w:trPr>
        <w:tc>
          <w:tcPr>
            <w:tcW w:w="358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6280" w:type="dxa"/>
            <w:vAlign w:val="bottom"/>
            <w:gridSpan w:val="2"/>
          </w:tcPr>
          <w:p>
            <w:pPr>
              <w:jc w:val="right"/>
              <w:spacing w:after="0"/>
              <w:rPr>
                <w:sz w:val="20"/>
                <w:szCs w:val="20"/>
                <w:color w:val="auto"/>
              </w:rPr>
            </w:pPr>
            <w:r>
              <w:rPr>
                <w:rFonts w:ascii="Arial" w:cs="Arial" w:eastAsia="Arial" w:hAnsi="Arial"/>
                <w:sz w:val="18"/>
                <w:szCs w:val="18"/>
                <w:color w:val="auto"/>
              </w:rPr>
              <w:t>4.1127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3.7690</w:t>
            </w:r>
          </w:p>
        </w:tc>
      </w:tr>
      <w:tr>
        <w:trPr>
          <w:trHeight w:val="888"/>
        </w:trPr>
        <w:tc>
          <w:tcPr>
            <w:tcW w:w="3580" w:type="dxa"/>
            <w:vAlign w:val="bottom"/>
          </w:tcPr>
          <w:p>
            <w:pPr>
              <w:spacing w:after="0"/>
              <w:rPr>
                <w:sz w:val="24"/>
                <w:szCs w:val="24"/>
                <w:color w:val="auto"/>
              </w:rPr>
            </w:pPr>
          </w:p>
        </w:tc>
        <w:tc>
          <w:tcPr>
            <w:tcW w:w="5020" w:type="dxa"/>
            <w:vAlign w:val="bottom"/>
          </w:tcPr>
          <w:p>
            <w:pPr>
              <w:jc w:val="right"/>
              <w:ind w:right="2793"/>
              <w:spacing w:after="0"/>
              <w:rPr>
                <w:sz w:val="20"/>
                <w:szCs w:val="20"/>
                <w:color w:val="auto"/>
              </w:rPr>
            </w:pPr>
            <w:r>
              <w:rPr>
                <w:rFonts w:ascii="Arial" w:cs="Arial" w:eastAsia="Arial" w:hAnsi="Arial"/>
                <w:sz w:val="18"/>
                <w:szCs w:val="18"/>
                <w:color w:val="auto"/>
              </w:rPr>
              <w:t>72</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4"/>
        </w:trPr>
        <w:tc>
          <w:tcPr>
            <w:tcW w:w="358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4" w:name="page75"/>
    <w:bookmarkEnd w:id="74"/>
    <w:p>
      <w:pPr>
        <w:ind w:left="16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announced that measures would need to be undertaken by the end of 2021 to reform EURIBOR to ensure compliance with the E.U. Benchmarks Regulation. In November 2020, ICE Benchmark Administration (the entity that administers LIBOR) announced its intention to continue publishing USD LIBOR rates until June 30, 2023, with the exception of the one-week and two-month rates which, along with all CHF and GBP LIBOR rates, it ceased to publish after December 31, 2021.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there is no consensus amongst loan borrowers and investors for what rate(s) should replace USD LIBOR.</w:t>
      </w:r>
    </w:p>
    <w:p>
      <w:pPr>
        <w:spacing w:after="0" w:line="20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7"/>
          <w:szCs w:val="17"/>
          <w:b w:val="1"/>
          <w:bCs w:val="1"/>
          <w:color w:val="auto"/>
        </w:rPr>
        <w:t>IBORs</w:t>
      </w:r>
      <w:r>
        <w:rPr>
          <w:rFonts w:ascii="Arial" w:cs="Arial" w:eastAsia="Arial" w:hAnsi="Arial"/>
          <w:sz w:val="17"/>
          <w:szCs w:val="17"/>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 in that currency, or in the case of a LIBOR setting, that LIBOR setting becoming permanently unrepresentative, and are adjusted versions of the risk-free rates identified in each currency. Our credit agreements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credit agreements in the event that either the LIBOR rate or the EURIBOR rate is not available. It is possible, however, that any new reference rate that applies to our LIBOR-indexed or EURIBOR-indexed debt could be different from any new reference rate that applies to our LIBOR-indexed or EURIBOR-indexed derivative instruments. For discontinued currencies and tenors, we expect to continue taking steps to mitigate the changes in these benchmark rates, including by amending existing credit agreements and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Weighted Average Variable Interest Rate. </w:t>
      </w:r>
      <w:r>
        <w:rPr>
          <w:rFonts w:ascii="Arial" w:cs="Arial" w:eastAsia="Arial" w:hAnsi="Arial"/>
          <w:sz w:val="17"/>
          <w:szCs w:val="17"/>
          <w:color w:val="auto"/>
        </w:rPr>
        <w:t>At March 31, 2022, the outstanding principal amount of our variable-rate indebtedness aggregated $9.5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weighted average interest rate (including margin) on such variable-rate indebtedness was approximately 2.9%,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$47.5 million. As discussed above and in note 6 to our condensed consolidated financial statements, we use interest rate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5" w:name="page76"/>
    <w:bookmarkEnd w:id="75"/>
    <w:p>
      <w:pPr>
        <w:jc w:val="both"/>
        <w:spacing w:after="0" w:line="255" w:lineRule="auto"/>
        <w:rPr>
          <w:sz w:val="20"/>
          <w:szCs w:val="20"/>
          <w:color w:val="auto"/>
        </w:rPr>
      </w:pPr>
      <w:r>
        <w:rPr>
          <w:rFonts w:ascii="Arial" w:cs="Arial" w:eastAsia="Arial" w:hAnsi="Arial"/>
          <w:sz w:val="18"/>
          <w:szCs w:val="18"/>
          <w:color w:val="auto"/>
        </w:rPr>
        <w:t>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March 31, 2022:</w:t>
      </w:r>
    </w:p>
    <w:p>
      <w:pPr>
        <w:spacing w:after="0" w:line="244" w:lineRule="exact"/>
        <w:rPr>
          <w:sz w:val="20"/>
          <w:szCs w:val="20"/>
          <w:color w:val="auto"/>
        </w:rPr>
      </w:pPr>
    </w:p>
    <w:p>
      <w:pPr>
        <w:ind w:left="800" w:hanging="476"/>
        <w:spacing w:after="0" w:line="365" w:lineRule="auto"/>
        <w:tabs>
          <w:tab w:leader="none" w:pos="794"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U.S. dollar would have decreased (increased) the aggregate fair value of the UPC Holding cross-currency and interest rate derivative contracts by approximately €445 million ($493 million);</w:t>
      </w:r>
    </w:p>
    <w:p>
      <w:pPr>
        <w:spacing w:after="0" w:line="137" w:lineRule="exact"/>
        <w:rPr>
          <w:rFonts w:ascii="Arial" w:cs="Arial" w:eastAsia="Arial" w:hAnsi="Arial"/>
          <w:sz w:val="15"/>
          <w:szCs w:val="15"/>
          <w:color w:val="auto"/>
        </w:rPr>
      </w:pPr>
    </w:p>
    <w:p>
      <w:pPr>
        <w:jc w:val="both"/>
        <w:ind w:left="800" w:hanging="476"/>
        <w:spacing w:after="0" w:line="255" w:lineRule="auto"/>
        <w:tabs>
          <w:tab w:leader="none" w:pos="7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€331 million ($367 million); and</w:t>
      </w:r>
    </w:p>
    <w:p>
      <w:pPr>
        <w:spacing w:after="0" w:line="214" w:lineRule="exact"/>
        <w:rPr>
          <w:rFonts w:ascii="Arial" w:cs="Arial" w:eastAsia="Arial" w:hAnsi="Arial"/>
          <w:sz w:val="18"/>
          <w:szCs w:val="18"/>
          <w:color w:val="auto"/>
        </w:rPr>
      </w:pPr>
    </w:p>
    <w:p>
      <w:pPr>
        <w:ind w:left="800" w:hanging="476"/>
        <w:spacing w:after="0" w:line="294" w:lineRule="auto"/>
        <w:tabs>
          <w:tab w:leader="none" w:pos="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decreased (increased) the aggregate fair value of the UPC Holding cross-currency and interest rate derivative contracts by approximately €122 million ($136 million).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March 31, 2022:</w:t>
      </w:r>
    </w:p>
    <w:p>
      <w:pPr>
        <w:spacing w:after="0" w:line="244" w:lineRule="exact"/>
        <w:rPr>
          <w:sz w:val="20"/>
          <w:szCs w:val="20"/>
          <w:color w:val="auto"/>
        </w:rPr>
      </w:pPr>
    </w:p>
    <w:p>
      <w:pPr>
        <w:ind w:left="800" w:right="20" w:hanging="476"/>
        <w:spacing w:after="0" w:line="294" w:lineRule="auto"/>
        <w:tabs>
          <w:tab w:leader="none" w:pos="79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€329 million ($365 million); and</w:t>
      </w:r>
    </w:p>
    <w:p>
      <w:pPr>
        <w:spacing w:after="0" w:line="183" w:lineRule="exact"/>
        <w:rPr>
          <w:rFonts w:ascii="Arial" w:cs="Arial" w:eastAsia="Arial" w:hAnsi="Arial"/>
          <w:sz w:val="17"/>
          <w:szCs w:val="17"/>
          <w:color w:val="auto"/>
        </w:rPr>
      </w:pPr>
    </w:p>
    <w:p>
      <w:pPr>
        <w:ind w:left="800" w:hanging="476"/>
        <w:spacing w:after="0" w:line="264" w:lineRule="auto"/>
        <w:tabs>
          <w:tab w:leader="none" w:pos="7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decreased (increased) the aggregate fair value of the Telenet cross-currency and interest rate derivative contracts by approximately €89 million ($99 million).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6" w:name="page77"/>
    <w:bookmarkEnd w:id="76"/>
    <w:p>
      <w:pPr>
        <w:ind w:left="16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March 31, 2022.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of 2022</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7" w:lineRule="exact"/>
              <w:rPr>
                <w:sz w:val="20"/>
                <w:szCs w:val="20"/>
                <w:color w:val="auto"/>
              </w:rPr>
            </w:pPr>
            <w:r>
              <w:rPr>
                <w:rFonts w:ascii="Arial" w:cs="Arial" w:eastAsia="Arial" w:hAnsi="Arial"/>
                <w:sz w:val="18"/>
                <w:szCs w:val="18"/>
                <w:color w:val="auto"/>
                <w:w w:val="93"/>
              </w:rPr>
              <w:t>Projected derivative cash payments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25"/>
        </w:trPr>
        <w:tc>
          <w:tcPr>
            <w:tcW w:w="2700" w:type="dxa"/>
            <w:vAlign w:val="bottom"/>
          </w:tcPr>
          <w:p>
            <w:pPr>
              <w:ind w:left="220"/>
              <w:spacing w:after="0"/>
              <w:rPr>
                <w:sz w:val="20"/>
                <w:szCs w:val="20"/>
                <w:color w:val="auto"/>
              </w:rPr>
            </w:pPr>
            <w:r>
              <w:rPr>
                <w:rFonts w:ascii="Arial" w:cs="Arial" w:eastAsia="Arial" w:hAnsi="Arial"/>
                <w:sz w:val="18"/>
                <w:szCs w:val="18"/>
                <w:color w:val="auto"/>
              </w:rPr>
              <w:t>Principal-related (b)</w:t>
            </w:r>
          </w:p>
        </w:tc>
        <w:tc>
          <w:tcPr>
            <w:tcW w:w="12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8"/>
        </w:trPr>
        <w:tc>
          <w:tcPr>
            <w:tcW w:w="27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amounts related to foreign currency forward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In accordance with Rule 13a-15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March 31, 2022.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March 31, 2022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4" w:lineRule="exact"/>
        <w:rPr>
          <w:sz w:val="20"/>
          <w:szCs w:val="20"/>
          <w:color w:val="auto"/>
        </w:rPr>
      </w:pPr>
    </w:p>
    <w:p>
      <w:pPr>
        <w:ind w:left="320"/>
        <w:spacing w:after="0"/>
        <w:tabs>
          <w:tab w:leader="none" w:pos="6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i w:val="1"/>
          <w:iCs w:val="1"/>
          <w:color w:val="auto"/>
        </w:rPr>
        <w:t>Issuer Purchases of Equity Securities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Total number of shares</w:t>
            </w: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dollar value of</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shares that may yet be</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w:t>
            </w:r>
          </w:p>
        </w:tc>
        <w:tc>
          <w:tcPr>
            <w:tcW w:w="12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Average price</w:t>
            </w:r>
          </w:p>
        </w:tc>
        <w:tc>
          <w:tcPr>
            <w:tcW w:w="17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7"/>
              </w:rPr>
              <w:t>purchased as part of</w:t>
            </w: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purchased</w:t>
            </w:r>
          </w:p>
        </w:tc>
        <w:tc>
          <w:tcPr>
            <w:tcW w:w="0" w:type="dxa"/>
            <w:vAlign w:val="bottom"/>
          </w:tcPr>
          <w:p>
            <w:pPr>
              <w:spacing w:after="0"/>
              <w:rPr>
                <w:sz w:val="1"/>
                <w:szCs w:val="1"/>
                <w:color w:val="auto"/>
              </w:rPr>
            </w:pPr>
          </w:p>
        </w:tc>
      </w:tr>
      <w:tr>
        <w:trPr>
          <w:trHeight w:val="159"/>
        </w:trPr>
        <w:tc>
          <w:tcPr>
            <w:tcW w:w="4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7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7"/>
              </w:rPr>
              <w:t>publicly announced</w:t>
            </w: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under the plans or</w:t>
            </w:r>
          </w:p>
        </w:tc>
        <w:tc>
          <w:tcPr>
            <w:tcW w:w="0" w:type="dxa"/>
            <w:vAlign w:val="bottom"/>
          </w:tcPr>
          <w:p>
            <w:pPr>
              <w:spacing w:after="0"/>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of shares purchased</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paid per share (a)</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plans or programs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128"/>
        </w:trPr>
        <w:tc>
          <w:tcPr>
            <w:tcW w:w="4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2022 through January 31, 2022:</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4,529,200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February 1, 2022 through February 28, 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4,287,100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4,287,100</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2022 through March 31, 2022:</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0"/>
              <w:spacing w:after="0"/>
              <w:rPr>
                <w:sz w:val="20"/>
                <w:szCs w:val="20"/>
                <w:color w:val="auto"/>
              </w:rPr>
            </w:pPr>
            <w:r>
              <w:rPr>
                <w:rFonts w:ascii="Arial" w:cs="Arial" w:eastAsia="Arial" w:hAnsi="Arial"/>
                <w:sz w:val="17"/>
                <w:szCs w:val="17"/>
                <w:color w:val="auto"/>
              </w:rPr>
              <w:t>Total — January 1, 2022 through March 31, 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4"/>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18,676,300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18,676,300</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305"/>
        </w:trPr>
        <w:tc>
          <w:tcPr>
            <w:tcW w:w="4500" w:type="dxa"/>
            <w:vAlign w:val="bottom"/>
          </w:tcPr>
          <w:p>
            <w:pPr>
              <w:ind w:left="60"/>
              <w:spacing w:after="0"/>
              <w:rPr>
                <w:sz w:val="20"/>
                <w:szCs w:val="20"/>
                <w:color w:val="auto"/>
              </w:rPr>
            </w:pPr>
            <w:r>
              <w:rPr>
                <w:rFonts w:ascii="Arial" w:cs="Arial" w:eastAsia="Arial" w:hAnsi="Arial"/>
                <w:sz w:val="18"/>
                <w:szCs w:val="18"/>
                <w:color w:val="auto"/>
              </w:rPr>
              <w:t>_____________</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43" w:lineRule="exact"/>
        <w:rPr>
          <w:rFonts w:ascii="Arial" w:cs="Arial" w:eastAsia="Arial" w:hAnsi="Arial"/>
          <w:sz w:val="18"/>
          <w:szCs w:val="18"/>
          <w:color w:val="auto"/>
        </w:rPr>
      </w:pPr>
    </w:p>
    <w:p>
      <w:pPr>
        <w:jc w:val="both"/>
        <w:ind w:left="480" w:hanging="474"/>
        <w:spacing w:after="0" w:line="252" w:lineRule="auto"/>
        <w:tabs>
          <w:tab w:leader="none" w:pos="4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March 31, 2022, the remaining number of our Class A and/or Class C ordinary shares that we are authorized to repurchase during 2022 was 34.1 million. Based on the average of the respective closing share prices as of March 31, 2022, this would equate to additional share repurchases during the remainder of 2022 of approximately $876.0 million. For additional information, see note 12 to our condensed consolidated financial statements in Part I of this Quarterly Report on Form 10-Q.</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Listed below are the exhibits filed as part of this Quarterly Report (according to the number assigned to them in Item 601 of Regulation S-K):</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6300" w:type="dxa"/>
            <w:vAlign w:val="bottom"/>
            <w:gridSpan w:val="4"/>
          </w:tcPr>
          <w:p>
            <w:pPr>
              <w:ind w:left="20"/>
              <w:spacing w:after="0"/>
              <w:rPr>
                <w:sz w:val="20"/>
                <w:szCs w:val="20"/>
                <w:color w:val="auto"/>
              </w:rPr>
            </w:pPr>
            <w:r>
              <w:rPr>
                <w:rFonts w:ascii="Arial" w:cs="Arial" w:eastAsia="Arial" w:hAnsi="Arial"/>
                <w:sz w:val="18"/>
                <w:szCs w:val="18"/>
                <w:color w:val="auto"/>
              </w:rPr>
              <w:t>— Rule 13a-14(a)/15d-14(a) Certification:</w:t>
            </w:r>
          </w:p>
        </w:tc>
      </w:tr>
      <w:tr>
        <w:trPr>
          <w:trHeight w:val="240"/>
        </w:trPr>
        <w:tc>
          <w:tcPr>
            <w:tcW w:w="200" w:type="dxa"/>
            <w:vAlign w:val="bottom"/>
          </w:tcPr>
          <w:p>
            <w:pPr>
              <w:spacing w:after="0"/>
              <w:rPr>
                <w:sz w:val="20"/>
                <w:szCs w:val="20"/>
                <w:color w:val="auto"/>
              </w:rPr>
            </w:pPr>
          </w:p>
        </w:tc>
        <w:tc>
          <w:tcPr>
            <w:tcW w:w="1320" w:type="dxa"/>
            <w:vAlign w:val="bottom"/>
          </w:tcPr>
          <w:p>
            <w:pPr>
              <w:jc w:val="right"/>
              <w:ind w:right="692"/>
              <w:spacing w:after="0"/>
              <w:rPr>
                <w:sz w:val="20"/>
                <w:szCs w:val="20"/>
                <w:color w:val="auto"/>
              </w:rPr>
            </w:pPr>
            <w:r>
              <w:rPr>
                <w:rFonts w:ascii="Arial" w:cs="Arial" w:eastAsia="Arial" w:hAnsi="Arial"/>
                <w:sz w:val="18"/>
                <w:szCs w:val="18"/>
                <w:color w:val="auto"/>
              </w:rPr>
              <w:t>31.1</w:t>
            </w:r>
          </w:p>
        </w:tc>
        <w:tc>
          <w:tcPr>
            <w:tcW w:w="39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Certification of President and Chief Executive Officer*</w:t>
              </w:r>
            </w:hyperlink>
          </w:p>
        </w:tc>
        <w:tc>
          <w:tcPr>
            <w:tcW w:w="1060" w:type="dxa"/>
            <w:vAlign w:val="bottom"/>
          </w:tcPr>
          <w:p>
            <w:pPr>
              <w:spacing w:after="0"/>
              <w:rPr>
                <w:sz w:val="20"/>
                <w:szCs w:val="20"/>
                <w:color w:val="auto"/>
              </w:rPr>
            </w:pPr>
          </w:p>
        </w:tc>
      </w:tr>
      <w:tr>
        <w:trPr>
          <w:trHeight w:val="258"/>
        </w:trPr>
        <w:tc>
          <w:tcPr>
            <w:tcW w:w="200" w:type="dxa"/>
            <w:vAlign w:val="bottom"/>
          </w:tcPr>
          <w:p>
            <w:pPr>
              <w:spacing w:after="0"/>
              <w:rPr>
                <w:sz w:val="22"/>
                <w:szCs w:val="22"/>
                <w:color w:val="auto"/>
              </w:rPr>
            </w:pPr>
          </w:p>
        </w:tc>
        <w:tc>
          <w:tcPr>
            <w:tcW w:w="1320" w:type="dxa"/>
            <w:vAlign w:val="bottom"/>
          </w:tcPr>
          <w:p>
            <w:pPr>
              <w:jc w:val="right"/>
              <w:ind w:right="692"/>
              <w:spacing w:after="0"/>
              <w:rPr>
                <w:sz w:val="20"/>
                <w:szCs w:val="20"/>
                <w:color w:val="auto"/>
              </w:rPr>
            </w:pPr>
            <w:r>
              <w:rPr>
                <w:rFonts w:ascii="Arial" w:cs="Arial" w:eastAsia="Arial" w:hAnsi="Arial"/>
                <w:sz w:val="18"/>
                <w:szCs w:val="18"/>
                <w:color w:val="auto"/>
              </w:rPr>
              <w:t>31.2</w:t>
            </w:r>
          </w:p>
        </w:tc>
        <w:tc>
          <w:tcPr>
            <w:tcW w:w="49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Certification of Executive Vice President and Chief Financial Officer*</w:t>
              </w:r>
            </w:hyperlink>
          </w:p>
        </w:tc>
      </w:tr>
      <w:tr>
        <w:trPr>
          <w:trHeight w:val="258"/>
        </w:trPr>
        <w:tc>
          <w:tcPr>
            <w:tcW w:w="200" w:type="dxa"/>
            <w:vAlign w:val="bottom"/>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32</w:t>
              </w:r>
            </w:hyperlink>
          </w:p>
        </w:tc>
        <w:tc>
          <w:tcPr>
            <w:tcW w:w="6300" w:type="dxa"/>
            <w:vAlign w:val="bottom"/>
            <w:gridSpan w:val="4"/>
          </w:tcPr>
          <w:p>
            <w:pPr>
              <w:ind w:left="20"/>
              <w:spacing w:after="0"/>
              <w:rPr>
                <w:rFonts w:ascii="Arial" w:cs="Arial" w:eastAsia="Arial" w:hAnsi="Arial"/>
                <w:sz w:val="18"/>
                <w:szCs w:val="18"/>
                <w:color w:val="0000FF"/>
              </w:rPr>
            </w:pPr>
            <w:hyperlink w:anchor="page83">
              <w:r>
                <w:rPr>
                  <w:rFonts w:ascii="Arial" w:cs="Arial" w:eastAsia="Arial" w:hAnsi="Arial"/>
                  <w:sz w:val="18"/>
                  <w:szCs w:val="18"/>
                  <w:color w:val="0000FF"/>
                </w:rPr>
                <w:t>— Section 1350 Certification**</w:t>
              </w:r>
            </w:hyperlink>
          </w:p>
        </w:tc>
      </w:tr>
      <w:tr>
        <w:trPr>
          <w:trHeight w:val="20"/>
        </w:trPr>
        <w:tc>
          <w:tcPr>
            <w:tcW w:w="15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r>
      <w:tr>
        <w:trPr>
          <w:trHeight w:val="297"/>
        </w:trPr>
        <w:tc>
          <w:tcPr>
            <w:tcW w:w="15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8"/>
        </w:trPr>
        <w:tc>
          <w:tcPr>
            <w:tcW w:w="15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980" w:type="dxa"/>
            <w:vAlign w:val="bottom"/>
            <w:gridSpan w:val="3"/>
          </w:tcPr>
          <w:p>
            <w:pPr>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78"/>
        </w:trPr>
        <w:tc>
          <w:tcPr>
            <w:tcW w:w="15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78"/>
        </w:trPr>
        <w:tc>
          <w:tcPr>
            <w:tcW w:w="15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8"/>
        </w:trPr>
        <w:tc>
          <w:tcPr>
            <w:tcW w:w="15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980" w:type="dxa"/>
            <w:vAlign w:val="bottom"/>
            <w:gridSpan w:val="3"/>
          </w:tcPr>
          <w:p>
            <w:pPr>
              <w:spacing w:after="0"/>
              <w:rPr>
                <w:sz w:val="20"/>
                <w:szCs w:val="20"/>
                <w:color w:val="auto"/>
              </w:rPr>
            </w:pPr>
            <w:r>
              <w:rPr>
                <w:rFonts w:ascii="Arial" w:cs="Arial" w:eastAsia="Arial" w:hAnsi="Arial"/>
                <w:sz w:val="18"/>
                <w:szCs w:val="18"/>
                <w:color w:val="auto"/>
                <w:w w:val="90"/>
              </w:rPr>
              <w:t>Inline XBRL Taxonomy Extension Presentation Linkbase Document*</w:t>
            </w:r>
          </w:p>
        </w:tc>
      </w:tr>
    </w:tbl>
    <w:p>
      <w:pPr>
        <w:spacing w:after="0" w:line="55" w:lineRule="exact"/>
        <w:rPr>
          <w:sz w:val="20"/>
          <w:szCs w:val="20"/>
          <w:color w:val="auto"/>
        </w:rPr>
      </w:pPr>
    </w:p>
    <w:p>
      <w:pPr>
        <w:ind w:left="1540" w:hanging="1516"/>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04" w:lineRule="exact"/>
        <w:rPr>
          <w:sz w:val="20"/>
          <w:szCs w:val="20"/>
          <w:color w:val="auto"/>
        </w:rPr>
      </w:pPr>
    </w:p>
    <w:p>
      <w:pPr>
        <w:ind w:left="680" w:hanging="656"/>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 w:lineRule="exact"/>
        <w:rPr>
          <w:sz w:val="20"/>
          <w:szCs w:val="20"/>
          <w:color w:val="auto"/>
        </w:rPr>
      </w:pPr>
    </w:p>
    <w:p>
      <w:pPr>
        <w:ind w:left="680" w:hanging="656"/>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340"/>
          </w:cols>
          <w:pgMar w:left="320" w:top="916" w:right="1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LIBERTY GLOBAL PLC</w:t>
      </w:r>
    </w:p>
    <w:p>
      <w:pPr>
        <w:spacing w:after="0" w:line="283" w:lineRule="exact"/>
        <w:rPr>
          <w:sz w:val="20"/>
          <w:szCs w:val="20"/>
          <w:color w:val="auto"/>
        </w:rPr>
      </w:pPr>
    </w:p>
    <w:p>
      <w:pPr>
        <w:ind w:left="20"/>
        <w:spacing w:after="0"/>
        <w:tabs>
          <w:tab w:leader="none" w:pos="900" w:val="left"/>
          <w:tab w:leader="none" w:pos="7080" w:val="left"/>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10,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19685</wp:posOffset>
            </wp:positionV>
            <wp:extent cx="40303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4"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Michael T. Fries</w:t>
      </w:r>
    </w:p>
    <w:p>
      <w:pPr>
        <w:jc w:val="center"/>
        <w:ind w:left="48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83" w:lineRule="exact"/>
        <w:rPr>
          <w:sz w:val="20"/>
          <w:szCs w:val="20"/>
          <w:color w:val="auto"/>
        </w:rPr>
      </w:pPr>
    </w:p>
    <w:p>
      <w:pPr>
        <w:ind w:left="20"/>
        <w:spacing w:after="0"/>
        <w:tabs>
          <w:tab w:leader="none" w:pos="900" w:val="left"/>
          <w:tab w:leader="none" w:pos="6840" w:val="left"/>
          <w:tab w:leader="none" w:pos="7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10,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19685</wp:posOffset>
            </wp:positionV>
            <wp:extent cx="40303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4"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Charles H.R. Bracken</w:t>
      </w:r>
    </w:p>
    <w:p>
      <w:pPr>
        <w:jc w:val="center"/>
        <w:ind w:left="4880"/>
        <w:spacing w:after="0" w:line="199" w:lineRule="auto"/>
        <w:rPr>
          <w:sz w:val="20"/>
          <w:szCs w:val="20"/>
          <w:color w:val="auto"/>
        </w:rPr>
      </w:pPr>
      <w:r>
        <w:rPr>
          <w:rFonts w:ascii="Arial" w:cs="Arial" w:eastAsia="Arial" w:hAnsi="Arial"/>
          <w:sz w:val="18"/>
          <w:szCs w:val="18"/>
          <w:i w:val="1"/>
          <w:iCs w:val="1"/>
          <w:color w:val="auto"/>
        </w:rPr>
        <w:t>Executive Vice President and Chief</w:t>
      </w:r>
    </w:p>
    <w:p>
      <w:pPr>
        <w:spacing w:after="0" w:line="1" w:lineRule="exact"/>
        <w:rPr>
          <w:sz w:val="20"/>
          <w:szCs w:val="20"/>
          <w:color w:val="auto"/>
        </w:rPr>
      </w:pPr>
    </w:p>
    <w:p>
      <w:pPr>
        <w:jc w:val="center"/>
        <w:ind w:left="488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916"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85" w:lineRule="exact"/>
        <w:rPr>
          <w:sz w:val="20"/>
          <w:szCs w:val="20"/>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May 10, 2022</w:t>
      </w:r>
    </w:p>
    <w:p>
      <w:pPr>
        <w:spacing w:after="0" w:line="177"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85" w:lineRule="exact"/>
        <w:rPr>
          <w:sz w:val="20"/>
          <w:szCs w:val="20"/>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17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20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Quarterly Report on Form 10-Q for the period ended March 31, 2022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2022 and December 31, 2021, and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80"/>
        <w:spacing w:after="0"/>
        <w:tabs>
          <w:tab w:leader="none" w:pos="6200" w:val="left"/>
        </w:tabs>
        <w:rPr>
          <w:sz w:val="20"/>
          <w:szCs w:val="20"/>
          <w:color w:val="auto"/>
        </w:rPr>
      </w:pPr>
      <w:r>
        <w:rPr>
          <w:rFonts w:ascii="Arial" w:cs="Arial" w:eastAsia="Arial" w:hAnsi="Arial"/>
          <w:sz w:val="18"/>
          <w:szCs w:val="18"/>
          <w:color w:val="auto"/>
        </w:rPr>
        <w:t>Dated: May 10, 2022</w:t>
      </w:r>
      <w:r>
        <w:rPr>
          <w:sz w:val="20"/>
          <w:szCs w:val="20"/>
          <w:color w:val="auto"/>
        </w:rPr>
        <w:tab/>
      </w:r>
      <w:r>
        <w:rPr>
          <w:rFonts w:ascii="Arial" w:cs="Arial" w:eastAsia="Arial" w:hAnsi="Arial"/>
          <w:sz w:val="15"/>
          <w:szCs w:val="15"/>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88" w:lineRule="exact"/>
        <w:rPr>
          <w:sz w:val="20"/>
          <w:szCs w:val="20"/>
          <w:color w:val="auto"/>
        </w:rPr>
      </w:pPr>
    </w:p>
    <w:p>
      <w:pPr>
        <w:ind w:left="1980"/>
        <w:spacing w:after="0"/>
        <w:tabs>
          <w:tab w:leader="none" w:pos="6000" w:val="left"/>
        </w:tabs>
        <w:rPr>
          <w:sz w:val="20"/>
          <w:szCs w:val="20"/>
          <w:color w:val="auto"/>
        </w:rPr>
      </w:pPr>
      <w:r>
        <w:rPr>
          <w:rFonts w:ascii="Arial" w:cs="Arial" w:eastAsia="Arial" w:hAnsi="Arial"/>
          <w:sz w:val="18"/>
          <w:szCs w:val="18"/>
          <w:color w:val="auto"/>
        </w:rPr>
        <w:t>Dated: May 10, 2022</w:t>
      </w:r>
      <w:r>
        <w:rPr>
          <w:sz w:val="20"/>
          <w:szCs w:val="20"/>
          <w:color w:val="auto"/>
        </w:rPr>
        <w:tab/>
      </w:r>
      <w:r>
        <w:rPr>
          <w:rFonts w:ascii="Arial" w:cs="Arial" w:eastAsia="Arial" w:hAnsi="Arial"/>
          <w:sz w:val="15"/>
          <w:szCs w:val="15"/>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Executive Vice President and Chief Financial Officer</w:t>
      </w:r>
    </w:p>
    <w:p>
      <w:pPr>
        <w:spacing w:after="0" w:line="336"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2"/>
    </w:lvl>
  </w:abstractNum>
  <w:abstractNum w:abstractNumId="4">
    <w:nsid w:val="153EA438"/>
    <w:multiLevelType w:val="hybridMultilevel"/>
    <w:lvl w:ilvl="0">
      <w:lvlJc w:val="left"/>
      <w:lvlText w:val="(%1)"/>
      <w:numFmt w:val="decimal"/>
      <w:start w:val="3"/>
    </w:lvl>
  </w:abstractNum>
  <w:abstractNum w:abstractNumId="5">
    <w:nsid w:val="3855585C"/>
    <w:multiLevelType w:val="hybridMultilevel"/>
    <w:lvl w:ilvl="0">
      <w:lvlJc w:val="left"/>
      <w:lvlText w:val="(%1)"/>
      <w:numFmt w:val="decimal"/>
      <w:start w:val="4"/>
    </w:lvl>
  </w:abstractNum>
  <w:abstractNum w:abstractNumId="6">
    <w:nsid w:val="70A64E2A"/>
    <w:multiLevelType w:val="hybridMultilevel"/>
    <w:lvl w:ilvl="0">
      <w:lvlJc w:val="left"/>
      <w:lvlText w:val="(%1)"/>
      <w:numFmt w:val="lowerLetter"/>
      <w:start w:val="1"/>
    </w:lvl>
  </w:abstractNum>
  <w:abstractNum w:abstractNumId="7">
    <w:nsid w:val="6A2342EC"/>
    <w:multiLevelType w:val="hybridMultilevel"/>
    <w:lvl w:ilvl="0">
      <w:lvlJc w:val="left"/>
      <w:lvlText w:val="(%1)"/>
      <w:numFmt w:val="lowerLetter"/>
      <w:start w:val="3"/>
    </w:lvl>
  </w:abstractNum>
  <w:abstractNum w:abstractNumId="8">
    <w:nsid w:val="2A487CB0"/>
    <w:multiLevelType w:val="hybridMultilevel"/>
    <w:lvl w:ilvl="0">
      <w:lvlJc w:val="left"/>
      <w:lvlText w:val="(%1)"/>
      <w:numFmt w:val="lowerLetter"/>
      <w:start w:val="1"/>
    </w:lvl>
  </w:abstractNum>
  <w:abstractNum w:abstractNumId="9">
    <w:nsid w:val="1D4ED43B"/>
    <w:multiLevelType w:val="hybridMultilevel"/>
    <w:lvl w:ilvl="0">
      <w:lvlJc w:val="left"/>
      <w:lvlText w:val="(%1)"/>
      <w:numFmt w:val="decimal"/>
      <w:start w:val="6"/>
    </w:lvl>
  </w:abstractNum>
  <w:abstractNum w:abstractNumId="10">
    <w:nsid w:val="725A06FB"/>
    <w:multiLevelType w:val="hybridMultilevel"/>
    <w:lvl w:ilvl="0">
      <w:lvlJc w:val="left"/>
      <w:lvlText w:val="(%1)"/>
      <w:numFmt w:val="lowerLetter"/>
      <w:start w:val="1"/>
    </w:lvl>
  </w:abstractNum>
  <w:abstractNum w:abstractNumId="11">
    <w:nsid w:val="2CD89A32"/>
    <w:multiLevelType w:val="hybridMultilevel"/>
    <w:lvl w:ilvl="0">
      <w:lvlJc w:val="left"/>
      <w:lvlText w:val="(%1)"/>
      <w:numFmt w:val="lowerLetter"/>
      <w:start w:val="2"/>
    </w:lvl>
  </w:abstractNum>
  <w:abstractNum w:abstractNumId="12">
    <w:nsid w:val="57E4CCAF"/>
    <w:multiLevelType w:val="hybridMultilevel"/>
    <w:lvl w:ilvl="0">
      <w:lvlJc w:val="left"/>
      <w:lvlText w:val="(%1)"/>
      <w:numFmt w:val="lowerLetter"/>
      <w:start w:val="1"/>
    </w:lvl>
  </w:abstractNum>
  <w:abstractNum w:abstractNumId="13">
    <w:nsid w:val="7A6D8D3C"/>
    <w:multiLevelType w:val="hybridMultilevel"/>
    <w:lvl w:ilvl="0">
      <w:lvlJc w:val="left"/>
      <w:lvlText w:val="(%1)"/>
      <w:numFmt w:val="lowerLetter"/>
      <w:start w:val="1"/>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1)"/>
      <w:numFmt w:val="decimal"/>
      <w:start w:val="7"/>
    </w:lvl>
  </w:abstractNum>
  <w:abstractNum w:abstractNumId="16">
    <w:nsid w:val="6DE91B18"/>
    <w:multiLevelType w:val="hybridMultilevel"/>
    <w:lvl w:ilvl="0">
      <w:lvlJc w:val="left"/>
      <w:lvlText w:val="(%1)"/>
      <w:numFmt w:val="lowerLetter"/>
      <w:start w:val="1"/>
    </w:lvl>
  </w:abstractNum>
  <w:abstractNum w:abstractNumId="17">
    <w:nsid w:val="38437FDB"/>
    <w:multiLevelType w:val="hybridMultilevel"/>
    <w:lvl w:ilvl="0">
      <w:lvlJc w:val="left"/>
      <w:lvlText w:val="(%1)"/>
      <w:numFmt w:val="decimal"/>
      <w:start w:val="9"/>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1)"/>
      <w:numFmt w:val="lowerLetter"/>
      <w:start w:val="3"/>
    </w:lvl>
  </w:abstractNum>
  <w:abstractNum w:abstractNumId="20">
    <w:nsid w:val="684A481A"/>
    <w:multiLevelType w:val="hybridMultilevel"/>
    <w:lvl w:ilvl="0">
      <w:lvlJc w:val="left"/>
      <w:lvlText w:val="(%1)"/>
      <w:numFmt w:val="lowerLetter"/>
      <w:start w:val="1"/>
    </w:lvl>
  </w:abstractNum>
  <w:abstractNum w:abstractNumId="21">
    <w:nsid w:val="579478FE"/>
    <w:multiLevelType w:val="hybridMultilevel"/>
    <w:lvl w:ilvl="0">
      <w:lvlJc w:val="left"/>
      <w:lvlText w:val="(%1)"/>
      <w:numFmt w:val="decimal"/>
      <w:start w:val="10"/>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1)"/>
      <w:numFmt w:val="lowerLetter"/>
      <w:start w:val="2"/>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decimal"/>
      <w:start w:val="11"/>
    </w:lvl>
  </w:abstractNum>
  <w:abstractNum w:abstractNumId="26">
    <w:nsid w:val="75C6C33A"/>
    <w:multiLevelType w:val="hybridMultilevel"/>
    <w:lvl w:ilvl="0">
      <w:lvlJc w:val="left"/>
      <w:lvlText w:val="(%1)"/>
      <w:numFmt w:val="lowerLetter"/>
      <w:start w:val="1"/>
    </w:lvl>
  </w:abstractNum>
  <w:abstractNum w:abstractNumId="27">
    <w:nsid w:val="12E685FB"/>
    <w:multiLevelType w:val="hybridMultilevel"/>
    <w:lvl w:ilvl="0">
      <w:lvlJc w:val="left"/>
      <w:lvlText w:val="(%1)"/>
      <w:numFmt w:val="decimal"/>
      <w:start w:val="12"/>
    </w:lvl>
  </w:abstractNum>
  <w:abstractNum w:abstractNumId="28">
    <w:nsid w:val="70C6A529"/>
    <w:multiLevelType w:val="hybridMultilevel"/>
    <w:lvl w:ilvl="0">
      <w:lvlJc w:val="left"/>
      <w:lvlText w:val="(%1)"/>
      <w:numFmt w:val="decimal"/>
      <w:start w:val="13"/>
    </w:lvl>
  </w:abstractNum>
  <w:abstractNum w:abstractNumId="29">
    <w:nsid w:val="520EEDD1"/>
    <w:multiLevelType w:val="hybridMultilevel"/>
    <w:lvl w:ilvl="0">
      <w:lvlJc w:val="left"/>
      <w:lvlText w:val="(%1)"/>
      <w:numFmt w:val="lowerLetter"/>
      <w:start w:val="1"/>
    </w:lvl>
  </w:abstractNum>
  <w:abstractNum w:abstractNumId="30">
    <w:nsid w:val="374A3FE6"/>
    <w:multiLevelType w:val="hybridMultilevel"/>
    <w:lvl w:ilvl="0">
      <w:lvlJc w:val="left"/>
      <w:lvlText w:val="(%1)"/>
      <w:numFmt w:val="lowerLetter"/>
      <w:start w:val="1"/>
    </w:lvl>
  </w:abstractNum>
  <w:abstractNum w:abstractNumId="31">
    <w:nsid w:val="4F4EF005"/>
    <w:multiLevelType w:val="hybridMultilevel"/>
    <w:lvl w:ilvl="0">
      <w:lvlJc w:val="left"/>
      <w:lvlText w:val="(%1)"/>
      <w:numFmt w:val="lowerLetter"/>
      <w:start w:val="1"/>
    </w:lvl>
  </w:abstractNum>
  <w:abstractNum w:abstractNumId="32">
    <w:nsid w:val="23F9C13C"/>
    <w:multiLevelType w:val="hybridMultilevel"/>
    <w:lvl w:ilvl="0">
      <w:lvlJc w:val="left"/>
      <w:lvlText w:val="(%1)"/>
      <w:numFmt w:val="decimal"/>
      <w:start w:val="14"/>
    </w:lvl>
  </w:abstractNum>
  <w:abstractNum w:abstractNumId="33">
    <w:nsid w:val="649BB77C"/>
    <w:multiLevelType w:val="hybridMultilevel"/>
    <w:lvl w:ilvl="0">
      <w:lvlJc w:val="left"/>
      <w:lvlText w:val="(%1)"/>
      <w:numFmt w:val="decimal"/>
      <w:start w:val="15"/>
    </w:lvl>
  </w:abstractNum>
  <w:abstractNum w:abstractNumId="34">
    <w:nsid w:val="275AC794"/>
    <w:multiLevelType w:val="hybridMultilevel"/>
    <w:lvl w:ilvl="0">
      <w:lvlJc w:val="left"/>
      <w:lvlText w:val="(%1)"/>
      <w:numFmt w:val="decimal"/>
      <w:start w:val="16"/>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lowerLetter"/>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lowerLetter"/>
      <w:start w:val="1"/>
    </w:lvl>
  </w:abstractNum>
  <w:abstractNum w:abstractNumId="41">
    <w:nsid w:val="15B5AF5C"/>
    <w:multiLevelType w:val="hybridMultilevel"/>
    <w:lvl w:ilvl="0">
      <w:lvlJc w:val="left"/>
      <w:lvlText w:val="(%1)"/>
      <w:numFmt w:val="lowerLetter"/>
      <w:start w:val="5"/>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1)"/>
      <w:numFmt w:val="decimal"/>
      <w:start w:val="17"/>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lowerLetter"/>
      <w:start w:val="5"/>
    </w:lvl>
  </w:abstractNum>
  <w:abstractNum w:abstractNumId="53">
    <w:nsid w:val="25A70BF7"/>
    <w:multiLevelType w:val="hybridMultilevel"/>
    <w:lvl w:ilvl="0">
      <w:lvlJc w:val="left"/>
      <w:lvlText w:val="(%1)"/>
      <w:numFmt w:val="lowerLetter"/>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lowerLetter"/>
      <w:start w:val="1"/>
    </w:lvl>
    <w:lvl w:ilvl="1">
      <w:lvlJc w:val="left"/>
      <w:lvlText w:val="(%2)"/>
      <w:numFmt w:val="decimal"/>
      <w:start w:val="1"/>
    </w:lvl>
  </w:abstractNum>
  <w:abstractNum w:abstractNumId="63">
    <w:nsid w:val="98A3148"/>
    <w:multiLevelType w:val="hybridMultilevel"/>
    <w:lvl w:ilvl="0">
      <w:lvlJc w:val="left"/>
      <w:lvlText w:val="(%1)"/>
      <w:numFmt w:val="lowerLetter"/>
      <w:start w:val="2"/>
    </w:lvl>
    <w:lvl w:ilvl="1">
      <w:lvlJc w:val="left"/>
      <w:lvlText w:val="%2"/>
      <w:numFmt w:val="decimal"/>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Roman"/>
      <w:start w:val="2"/>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lowerRoman"/>
      <w:start w:val="1"/>
    </w:lvl>
  </w:abstractNum>
  <w:abstractNum w:abstractNumId="69">
    <w:nsid w:val="661E3F1E"/>
    <w:multiLevelType w:val="hybridMultilevel"/>
    <w:lvl w:ilvl="0">
      <w:lvlJc w:val="left"/>
      <w:lvlText w:val="(%1)"/>
      <w:numFmt w:val="lowerRoman"/>
      <w:start w:val="1"/>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decimal"/>
      <w:start w:val="104"/>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2022-05-10T15:41:26Z</dcterms:created>
  <dcterms:modified xsi:type="dcterms:W3CDTF">2022-05-10T15:41:26Z</dcterms:modified>
</cp:coreProperties>
</file>