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5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-224155</wp:posOffset>
            </wp:positionV>
            <wp:extent cx="2907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7030" cy="8890"/>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186690</wp:posOffset>
            </wp:positionV>
            <wp:extent cx="2907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report (Date of earliest event reported): January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180340</wp:posOffset>
            </wp:positionV>
            <wp:extent cx="2907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Liberty Global plc</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167640</wp:posOffset>
            </wp:positionV>
            <wp:extent cx="29070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22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England and Wales</w:t>
            </w:r>
          </w:p>
        </w:tc>
        <w:tc>
          <w:tcPr>
            <w:tcW w:w="5040" w:type="dxa"/>
            <w:vAlign w:val="bottom"/>
            <w:gridSpan w:val="2"/>
          </w:tcPr>
          <w:p>
            <w:pPr>
              <w:jc w:val="right"/>
              <w:ind w:right="1870"/>
              <w:spacing w:after="0"/>
              <w:rPr>
                <w:sz w:val="20"/>
                <w:szCs w:val="20"/>
                <w:color w:val="auto"/>
              </w:rPr>
            </w:pPr>
            <w:r>
              <w:rPr>
                <w:rFonts w:ascii="Arial" w:cs="Arial" w:eastAsia="Arial" w:hAnsi="Arial"/>
                <w:sz w:val="18"/>
                <w:szCs w:val="18"/>
                <w:b w:val="1"/>
                <w:bCs w:val="1"/>
                <w:color w:val="auto"/>
              </w:rPr>
              <w:t>001-35961</w:t>
            </w:r>
          </w:p>
        </w:tc>
        <w:tc>
          <w:tcPr>
            <w:tcW w:w="620" w:type="dxa"/>
            <w:vAlign w:val="bottom"/>
          </w:tcPr>
          <w:p>
            <w:pPr>
              <w:spacing w:after="0"/>
              <w:rPr>
                <w:sz w:val="20"/>
                <w:szCs w:val="20"/>
                <w:color w:val="auto"/>
              </w:rPr>
            </w:pPr>
          </w:p>
        </w:tc>
        <w:tc>
          <w:tcPr>
            <w:tcW w:w="160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98-1112770</w:t>
            </w:r>
          </w:p>
        </w:tc>
      </w:tr>
      <w:tr>
        <w:trPr>
          <w:trHeight w:val="256"/>
        </w:trPr>
        <w:tc>
          <w:tcPr>
            <w:tcW w:w="2200" w:type="dxa"/>
            <w:vAlign w:val="bottom"/>
          </w:tcPr>
          <w:p>
            <w:pPr>
              <w:jc w:val="center"/>
              <w:ind w:right="210"/>
              <w:spacing w:after="0"/>
              <w:rPr>
                <w:sz w:val="20"/>
                <w:szCs w:val="20"/>
                <w:color w:val="auto"/>
              </w:rPr>
            </w:pPr>
            <w:r>
              <w:rPr>
                <w:rFonts w:ascii="Arial" w:cs="Arial" w:eastAsia="Arial" w:hAnsi="Arial"/>
                <w:sz w:val="18"/>
                <w:szCs w:val="18"/>
                <w:color w:val="auto"/>
                <w:w w:val="92"/>
              </w:rPr>
              <w:t>(State or other jurisdiction</w:t>
            </w:r>
          </w:p>
        </w:tc>
        <w:tc>
          <w:tcPr>
            <w:tcW w:w="460" w:type="dxa"/>
            <w:vAlign w:val="bottom"/>
          </w:tcPr>
          <w:p>
            <w:pPr>
              <w:spacing w:after="0"/>
              <w:rPr>
                <w:sz w:val="22"/>
                <w:szCs w:val="22"/>
                <w:color w:val="auto"/>
              </w:rPr>
            </w:pPr>
          </w:p>
        </w:tc>
        <w:tc>
          <w:tcPr>
            <w:tcW w:w="5200" w:type="dxa"/>
            <w:vAlign w:val="bottom"/>
            <w:gridSpan w:val="2"/>
          </w:tcPr>
          <w:p>
            <w:pPr>
              <w:jc w:val="center"/>
              <w:ind w:right="740"/>
              <w:spacing w:after="0"/>
              <w:rPr>
                <w:sz w:val="20"/>
                <w:szCs w:val="20"/>
                <w:color w:val="auto"/>
              </w:rPr>
            </w:pPr>
            <w:r>
              <w:rPr>
                <w:rFonts w:ascii="Arial" w:cs="Arial" w:eastAsia="Arial" w:hAnsi="Arial"/>
                <w:sz w:val="18"/>
                <w:szCs w:val="18"/>
                <w:color w:val="auto"/>
                <w:w w:val="92"/>
              </w:rPr>
              <w:t>(Commission File Number)</w:t>
            </w:r>
          </w:p>
        </w:tc>
        <w:tc>
          <w:tcPr>
            <w:tcW w:w="160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00" w:type="dxa"/>
            <w:vAlign w:val="bottom"/>
          </w:tcPr>
          <w:p>
            <w:pPr>
              <w:jc w:val="center"/>
              <w:ind w:right="210"/>
              <w:spacing w:after="0"/>
              <w:rPr>
                <w:sz w:val="20"/>
                <w:szCs w:val="20"/>
                <w:color w:val="auto"/>
              </w:rPr>
            </w:pPr>
            <w:r>
              <w:rPr>
                <w:rFonts w:ascii="Arial" w:cs="Arial" w:eastAsia="Arial" w:hAnsi="Arial"/>
                <w:sz w:val="18"/>
                <w:szCs w:val="18"/>
                <w:color w:val="auto"/>
                <w:w w:val="93"/>
              </w:rPr>
              <w:t>of incorporation)</w:t>
            </w:r>
          </w:p>
        </w:tc>
        <w:tc>
          <w:tcPr>
            <w:tcW w:w="4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0" w:type="dxa"/>
            <w:vAlign w:val="bottom"/>
          </w:tcPr>
          <w:p>
            <w:pPr>
              <w:jc w:val="center"/>
              <w:ind w:left="330"/>
              <w:spacing w:after="0"/>
              <w:rPr>
                <w:sz w:val="20"/>
                <w:szCs w:val="20"/>
                <w:color w:val="auto"/>
              </w:rPr>
            </w:pPr>
            <w:r>
              <w:rPr>
                <w:rFonts w:ascii="Arial" w:cs="Arial" w:eastAsia="Arial" w:hAnsi="Arial"/>
                <w:sz w:val="18"/>
                <w:szCs w:val="18"/>
                <w:color w:val="auto"/>
                <w:w w:val="96"/>
              </w:rPr>
              <w:t>Identification #)</w:t>
            </w:r>
          </w:p>
        </w:tc>
      </w:tr>
      <w:tr>
        <w:trPr>
          <w:trHeight w:val="441"/>
        </w:trPr>
        <w:tc>
          <w:tcPr>
            <w:tcW w:w="2200" w:type="dxa"/>
            <w:vAlign w:val="bottom"/>
          </w:tcPr>
          <w:p>
            <w:pPr>
              <w:spacing w:after="0"/>
              <w:rPr>
                <w:sz w:val="24"/>
                <w:szCs w:val="24"/>
                <w:color w:val="auto"/>
              </w:rPr>
            </w:pPr>
          </w:p>
        </w:tc>
        <w:tc>
          <w:tcPr>
            <w:tcW w:w="56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Griffin House, 161 Hammersmith Rd, London, United Kingdom</w:t>
            </w:r>
          </w:p>
        </w:tc>
        <w:tc>
          <w:tcPr>
            <w:tcW w:w="1600" w:type="dxa"/>
            <w:vAlign w:val="bottom"/>
          </w:tcPr>
          <w:p>
            <w:pPr>
              <w:spacing w:after="0"/>
              <w:rPr>
                <w:sz w:val="24"/>
                <w:szCs w:val="24"/>
                <w:color w:val="auto"/>
              </w:rPr>
            </w:pPr>
          </w:p>
        </w:tc>
      </w:tr>
      <w:tr>
        <w:trPr>
          <w:trHeight w:val="220"/>
        </w:trPr>
        <w:tc>
          <w:tcPr>
            <w:tcW w:w="2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2"/>
              </w:rPr>
              <w:t>W6 8BS</w:t>
            </w:r>
          </w:p>
        </w:tc>
        <w:tc>
          <w:tcPr>
            <w:tcW w:w="1600" w:type="dxa"/>
            <w:vAlign w:val="bottom"/>
          </w:tcPr>
          <w:p>
            <w:pPr>
              <w:spacing w:after="0"/>
              <w:rPr>
                <w:sz w:val="19"/>
                <w:szCs w:val="19"/>
                <w:color w:val="auto"/>
              </w:rPr>
            </w:pPr>
          </w:p>
        </w:tc>
      </w:tr>
      <w:tr>
        <w:trPr>
          <w:trHeight w:val="230"/>
        </w:trPr>
        <w:tc>
          <w:tcPr>
            <w:tcW w:w="2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(Address of Principal Executive Office)</w:t>
            </w:r>
          </w:p>
        </w:tc>
        <w:tc>
          <w:tcPr>
            <w:tcW w:w="1600" w:type="dxa"/>
            <w:vAlign w:val="bottom"/>
          </w:tcPr>
          <w:p>
            <w:pPr>
              <w:spacing w:after="0"/>
              <w:rPr>
                <w:sz w:val="20"/>
                <w:szCs w:val="20"/>
                <w:color w:val="auto"/>
              </w:rPr>
            </w:pPr>
          </w:p>
        </w:tc>
      </w:tr>
      <w:tr>
        <w:trPr>
          <w:trHeight w:val="418"/>
        </w:trPr>
        <w:tc>
          <w:tcPr>
            <w:tcW w:w="2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+44.208.483.6449 or 303.220.6600</w:t>
            </w:r>
          </w:p>
        </w:tc>
        <w:tc>
          <w:tcPr>
            <w:tcW w:w="1600" w:type="dxa"/>
            <w:vAlign w:val="bottom"/>
          </w:tcPr>
          <w:p>
            <w:pPr>
              <w:spacing w:after="0"/>
              <w:rPr>
                <w:sz w:val="24"/>
                <w:szCs w:val="24"/>
                <w:color w:val="auto"/>
              </w:rPr>
            </w:pPr>
          </w:p>
        </w:tc>
      </w:tr>
      <w:tr>
        <w:trPr>
          <w:trHeight w:val="230"/>
        </w:trPr>
        <w:tc>
          <w:tcPr>
            <w:tcW w:w="2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(Registrant’s telephone number, including area code)</w:t>
            </w:r>
          </w:p>
        </w:tc>
        <w:tc>
          <w:tcPr>
            <w:tcW w:w="1600" w:type="dxa"/>
            <w:vAlign w:val="bottom"/>
          </w:tcPr>
          <w:p>
            <w:pPr>
              <w:spacing w:after="0"/>
              <w:rPr>
                <w:sz w:val="20"/>
                <w:szCs w:val="20"/>
                <w:color w:val="auto"/>
              </w:rPr>
            </w:pPr>
          </w:p>
        </w:tc>
      </w:tr>
      <w:tr>
        <w:trPr>
          <w:trHeight w:val="257"/>
        </w:trPr>
        <w:tc>
          <w:tcPr>
            <w:tcW w:w="2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580" w:type="dxa"/>
            <w:vAlign w:val="bottom"/>
            <w:tcBorders>
              <w:bottom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1600" w:type="dxa"/>
            <w:vAlign w:val="bottom"/>
          </w:tcPr>
          <w:p>
            <w:pPr>
              <w:spacing w:after="0"/>
              <w:rPr>
                <w:sz w:val="22"/>
                <w:szCs w:val="22"/>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50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1"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9" w:lineRule="exact"/>
        <w:rPr>
          <w:rFonts w:ascii="Arial" w:cs="Arial" w:eastAsia="Arial" w:hAnsi="Arial"/>
          <w:sz w:val="17"/>
          <w:szCs w:val="17"/>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09" w:lineRule="exact"/>
        <w:rPr>
          <w:rFonts w:ascii="Arial" w:cs="Arial" w:eastAsia="Arial" w:hAnsi="Arial"/>
          <w:sz w:val="17"/>
          <w:szCs w:val="17"/>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9" w:lineRule="exact"/>
        <w:rPr>
          <w:rFonts w:ascii="Arial" w:cs="Arial" w:eastAsia="Arial" w:hAnsi="Arial"/>
          <w:sz w:val="17"/>
          <w:szCs w:val="17"/>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10" w:lineRule="exact"/>
        <w:rPr>
          <w:sz w:val="24"/>
          <w:szCs w:val="24"/>
          <w:color w:val="auto"/>
        </w:rPr>
      </w:pPr>
    </w:p>
    <w:p>
      <w:pPr>
        <w:ind w:right="260"/>
        <w:spacing w:after="0" w:line="274"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1"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o</w:t>
      </w:r>
    </w:p>
    <w:p>
      <w:pPr>
        <w:spacing w:after="0" w:line="210"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1206" w:right="419" w:bottom="1440" w:gutter="0" w:footer="0" w:header="0"/>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Departure of Named Executive Officer</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a larger operating structure simplification, after 14 years of service, Diederik Karsten, our Executive Vice President and Chief Commercial Officer, will be leaving Liberty Global on July 1, 2019. On January 15, 2019, Mr. Karsten and Liberty Global B.V., one of our wholly-owned subsidiaries (the “Company”), entered into a Settlement Agreement (the “Agreement”) with terms consistent with our Dutch legal framework (the Social Policy Liberty Global B.V. adopted in July 1, 2018 for our Netherlands employees), as applicable to a senior officer. The Agreement provides, among other things, for:</w:t>
      </w:r>
    </w:p>
    <w:p>
      <w:pPr>
        <w:spacing w:after="0" w:line="15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Standard Dutch legal framework exit provisions given 14 years of service;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Karsten will be available for consultation until his departure date; salary and benefits continue during this transition period;</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Upon his departure date, based on years of service, multiple of salary and average bonus, he will receive a payment in the amount of €3,560,494 ($4,083,531) and will obtain one year of accelerated vesting of his share appreciation rights;</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Karsten will vest in equity performance awards currently outstanding concerning performance periods in which he was employed, subject to proration and individual and company performance; he will not be eligible for equity awards granted in calendar year 2019;</w:t>
      </w:r>
    </w:p>
    <w:p>
      <w:pPr>
        <w:ind w:left="66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Mr. Karsten is entitled, based upon years of service, to exercise his vested stock appreciation rights for a period of two years from his departure date; however, as part of the overall agreement, he waived the second year of this benefit in exchange for a payment in the amount of $1,250,000;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Karsten will no longer hold any officer positions as of the date of the Agreement.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Agreement were approved by the Compensation Committee of our Board of Directors.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Exhibit Name</w:t>
      </w:r>
    </w:p>
    <w:p>
      <w:pPr>
        <w:spacing w:after="0" w:line="225" w:lineRule="exact"/>
        <w:rPr>
          <w:sz w:val="20"/>
          <w:szCs w:val="20"/>
          <w:color w:val="auto"/>
        </w:rPr>
      </w:pPr>
    </w:p>
    <w:p>
      <w:pPr>
        <w:spacing w:after="0"/>
        <w:tabs>
          <w:tab w:leader="none" w:pos="7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January 15, 2019</w:t>
        </w:r>
      </w:hyperlink>
    </w:p>
    <w:p>
      <w:pPr>
        <w:sectPr>
          <w:pgSz w:w="11900" w:h="16838" w:orient="portrait"/>
          <w:cols w:equalWidth="0" w:num="1">
            <w:col w:w="11420"/>
          </w:cols>
          <w:pgMar w:left="240" w:top="580"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LIBERTY GLOBAL PLC</w:t>
      </w:r>
    </w:p>
    <w:p>
      <w:pPr>
        <w:spacing w:after="0" w:line="333"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RANDY L. LAZZELL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Randy L. Lazzell</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January 15, 2019</w:t>
      </w:r>
    </w:p>
    <w:p>
      <w:pPr>
        <w:sectPr>
          <w:pgSz w:w="11900" w:h="16838" w:orient="portrait"/>
          <w:cols w:equalWidth="0" w:num="1">
            <w:col w:w="10700"/>
          </w:cols>
          <w:pgMar w:left="240" w:top="580" w:right="9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172085</wp:posOffset>
            </wp:positionV>
            <wp:extent cx="5651500" cy="1886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1500"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100"/>
        <w:spacing w:after="0" w:line="320" w:lineRule="auto"/>
        <w:rPr>
          <w:sz w:val="20"/>
          <w:szCs w:val="20"/>
          <w:color w:val="auto"/>
        </w:rPr>
      </w:pPr>
      <w:r>
        <w:rPr>
          <w:rFonts w:ascii="Arial" w:cs="Arial" w:eastAsia="Arial" w:hAnsi="Arial"/>
          <w:sz w:val="36"/>
          <w:szCs w:val="36"/>
          <w:b w:val="1"/>
          <w:bCs w:val="1"/>
          <w:color w:val="243347"/>
        </w:rPr>
        <w:t>LIBERTY GLOBAL ANNOUNCES DEPARTURE OF DIEDERIK KARSTEN</w:t>
      </w:r>
    </w:p>
    <w:p>
      <w:pPr>
        <w:spacing w:after="0" w:line="183" w:lineRule="exact"/>
        <w:rPr>
          <w:sz w:val="20"/>
          <w:szCs w:val="20"/>
          <w:color w:val="auto"/>
        </w:rPr>
      </w:pPr>
    </w:p>
    <w:p>
      <w:pPr>
        <w:ind w:right="1540"/>
        <w:spacing w:after="0" w:line="322" w:lineRule="auto"/>
        <w:rPr>
          <w:sz w:val="20"/>
          <w:szCs w:val="20"/>
          <w:color w:val="auto"/>
        </w:rPr>
      </w:pPr>
      <w:r>
        <w:rPr>
          <w:rFonts w:ascii="Arial" w:cs="Arial" w:eastAsia="Arial" w:hAnsi="Arial"/>
          <w:sz w:val="25"/>
          <w:szCs w:val="25"/>
          <w:b w:val="1"/>
          <w:bCs w:val="1"/>
          <w:color w:val="243347"/>
        </w:rPr>
        <w:t>BROADER REORGANIZATION PLAN WILL DELIVER MORE AGILE AND EFFICIENT OPERATING STRUCTURE</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243347"/>
        </w:rPr>
        <w:t xml:space="preserve">Denver </w:t>
      </w:r>
      <w:r>
        <w:rPr>
          <w:rFonts w:ascii="Arial" w:cs="Arial" w:eastAsia="Arial" w:hAnsi="Arial"/>
          <w:sz w:val="22"/>
          <w:szCs w:val="22"/>
          <w:color w:val="243347"/>
        </w:rPr>
        <w:t>- January 15, 2019</w:t>
      </w:r>
    </w:p>
    <w:p>
      <w:pPr>
        <w:spacing w:after="0" w:line="200" w:lineRule="exact"/>
        <w:rPr>
          <w:sz w:val="20"/>
          <w:szCs w:val="20"/>
          <w:color w:val="auto"/>
        </w:rPr>
      </w:pPr>
    </w:p>
    <w:p>
      <w:pPr>
        <w:spacing w:after="0" w:line="24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243347"/>
        </w:rPr>
        <w:t>Liberty Global today announced the departure of Diederik Karsten. Karsten has been in senior leadership roles with Liberty Global since 2004, including Managing Director of the company’s Netherlands cable business; EVP, European Broadband Operations and, most recently, Chief Commercial Officer.</w:t>
      </w:r>
    </w:p>
    <w:p>
      <w:pPr>
        <w:spacing w:after="0" w:line="249" w:lineRule="exact"/>
        <w:rPr>
          <w:sz w:val="20"/>
          <w:szCs w:val="20"/>
          <w:color w:val="auto"/>
        </w:rPr>
      </w:pPr>
    </w:p>
    <w:p>
      <w:pPr>
        <w:jc w:val="both"/>
        <w:ind w:right="20"/>
        <w:spacing w:after="0" w:line="249" w:lineRule="auto"/>
        <w:rPr>
          <w:sz w:val="20"/>
          <w:szCs w:val="20"/>
          <w:color w:val="auto"/>
        </w:rPr>
      </w:pPr>
      <w:r>
        <w:rPr>
          <w:rFonts w:ascii="Arial" w:cs="Arial" w:eastAsia="Arial" w:hAnsi="Arial"/>
          <w:sz w:val="22"/>
          <w:szCs w:val="22"/>
          <w:color w:val="243347"/>
        </w:rPr>
        <w:t>The change follows the company’s decision to begin simplifying its operating structure, including certain central functions managed by Karsten, as a result of recently completed and announced M&amp;A transactions.</w:t>
      </w:r>
    </w:p>
    <w:p>
      <w:pPr>
        <w:spacing w:after="0" w:line="24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243347"/>
        </w:rPr>
        <w:t>“I want to thank Diederik for his years of service to Liberty Global,” said Mike Fries, CEO, Liberty Global. “He has been a loyal and valuable member of my senior leadership team and, as Chief Commercial Officer, has helped to ensure that our local operating companies have world class expertise in customer relations and marketing. Our plan is to continue this evolution, bringing key capabilities closer to our customers.”</w:t>
      </w: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243347"/>
        </w:rPr>
        <w:t>Today’s announcement is the first step in a broader reorganization program at Liberty Global, designed to decrease management layers and increase efficiency across both central and local operations.</w:t>
      </w:r>
    </w:p>
    <w:p>
      <w:pPr>
        <w:spacing w:after="0" w:line="245" w:lineRule="exact"/>
        <w:rPr>
          <w:sz w:val="20"/>
          <w:szCs w:val="20"/>
          <w:color w:val="auto"/>
        </w:rPr>
      </w:pPr>
    </w:p>
    <w:p>
      <w:pPr>
        <w:ind w:right="380"/>
        <w:spacing w:after="0" w:line="246" w:lineRule="auto"/>
        <w:rPr>
          <w:sz w:val="20"/>
          <w:szCs w:val="20"/>
          <w:color w:val="auto"/>
        </w:rPr>
      </w:pPr>
      <w:r>
        <w:rPr>
          <w:rFonts w:ascii="Arial" w:cs="Arial" w:eastAsia="Arial" w:hAnsi="Arial"/>
          <w:sz w:val="22"/>
          <w:szCs w:val="22"/>
          <w:color w:val="243347"/>
        </w:rPr>
        <w:t>In addition to the Commercial function, Liberty Global is making a number of changes to its operating structure in its central Technology &amp; Innovation organization, which going forward will focus primarily on product development, technology strategy and other scalable functions.</w:t>
      </w:r>
    </w:p>
    <w:p>
      <w:pPr>
        <w:sectPr>
          <w:pgSz w:w="11900" w:h="16838" w:orient="portrait"/>
          <w:cols w:equalWidth="0" w:num="1">
            <w:col w:w="11420"/>
          </w:cols>
          <w:pgMar w:left="240" w:top="121"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955040</wp:posOffset>
            </wp:positionH>
            <wp:positionV relativeFrom="page">
              <wp:posOffset>380365</wp:posOffset>
            </wp:positionV>
            <wp:extent cx="5651500" cy="18865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651500"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243347"/>
        </w:rPr>
        <w:t>These adaptations reflect the changing scope of Liberty Global’s business in the wake of the sale of its Austrian operation and in anticipation of completing the transaction with Vodafone for the sale of its businesses in Germany, Hungary, Romania and the Czech Republic.</w:t>
      </w:r>
    </w:p>
    <w:p>
      <w:pPr>
        <w:spacing w:after="0" w:line="249"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243347"/>
        </w:rPr>
        <w:t>Fries added, “We have incredible talent at all levels of Liberty Global, and these changes will help us create an even more agile, entrepreneurial and customer-focused company. With a track record of building and growing world class businesses and the strategic and financial capability to allocate capital in a rapidly changing landscape, I’m extremely excited about what lies ahead.”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EE742B"/>
        </w:rPr>
        <w:t>ABOUT LIBERTY GLOBAL</w:t>
      </w:r>
    </w:p>
    <w:p>
      <w:pPr>
        <w:spacing w:after="0" w:line="29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243347"/>
        </w:rPr>
        <w:t>Liberty Global (NASDAQ: LBTYA, LBTYB and LBTYK) is the world’s largest international TV and broadband company, with operations in 10 European countries under the consumer brands Virgin Media, Unitymedia, Telenet and UPC. We invest in the infrastructure and digital platforms that empower our customers to make</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243347"/>
        </w:rPr>
        <w:t>the most of the video, internet and communications revolution. Our substantial scale and commitment to innovation enable us to develop market-leading products delivered through next-generation networks that connect 21 million customers subscribing to 45 million TV, broadband internet and telephony services. We also serve 6 million mobile subscribers and offer WiFi service through 12 million access points across our footprint.</w:t>
      </w:r>
    </w:p>
    <w:p>
      <w:pPr>
        <w:spacing w:after="0" w:line="20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243347"/>
        </w:rPr>
        <w:t>In addition, Liberty Global owns 50% of VodafoneZiggo, a joint venture in the Netherlands with 4 million customers subscribing to 10 million fixed-line and 5 million mobile services, as well as significant investments in ITV, All3Media, ITI Neovision, Casa Systems, LionsGate, the Formula E racing series and several regional sports networks.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243347"/>
        </w:rPr>
        <w:t xml:space="preserve">For more information, please visit </w:t>
      </w:r>
      <w:r>
        <w:rPr>
          <w:rFonts w:ascii="Arial" w:cs="Arial" w:eastAsia="Arial" w:hAnsi="Arial"/>
          <w:sz w:val="18"/>
          <w:szCs w:val="18"/>
          <w:u w:val="single" w:color="auto"/>
          <w:color w:val="243347"/>
        </w:rPr>
        <w:t>www.libertyglobal.com</w:t>
      </w:r>
      <w:r>
        <w:rPr>
          <w:rFonts w:ascii="Arial" w:cs="Arial" w:eastAsia="Arial" w:hAnsi="Arial"/>
          <w:sz w:val="18"/>
          <w:szCs w:val="18"/>
          <w:color w:val="243347"/>
        </w:rPr>
        <w:t xml:space="preserve"> or contact:</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243347"/>
        </w:rPr>
        <w:t>Investor Relations: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243347"/>
        </w:rPr>
        <w:t>Corporate Communications:</w:t>
      </w:r>
    </w:p>
    <w:p>
      <w:pPr>
        <w:spacing w:after="0" w:line="72" w:lineRule="exact"/>
        <w:rPr>
          <w:sz w:val="20"/>
          <w:szCs w:val="20"/>
          <w:color w:val="auto"/>
        </w:rPr>
      </w:pPr>
    </w:p>
    <w:p>
      <w:pPr>
        <w:sectPr>
          <w:pgSz w:w="11900" w:h="16838" w:orient="portrait"/>
          <w:cols w:equalWidth="0" w:num="2">
            <w:col w:w="5040" w:space="720"/>
            <w:col w:w="5660"/>
          </w:cols>
          <w:pgMar w:left="240" w:top="1440" w:right="239" w:bottom="1440" w:gutter="0" w:footer="0" w:header="0"/>
          <w:type w:val="continuous"/>
        </w:sectPr>
      </w:pPr>
    </w:p>
    <w:p>
      <w:pPr>
        <w:ind w:left="40"/>
        <w:spacing w:after="0"/>
        <w:rPr>
          <w:sz w:val="20"/>
          <w:szCs w:val="20"/>
          <w:color w:val="auto"/>
        </w:rPr>
      </w:pPr>
      <w:r>
        <w:rPr>
          <w:rFonts w:ascii="Arial" w:cs="Arial" w:eastAsia="Arial" w:hAnsi="Arial"/>
          <w:sz w:val="18"/>
          <w:szCs w:val="18"/>
          <w:color w:val="243347"/>
        </w:rPr>
        <w:t>Matt Coates +44 20 8483 6333</w:t>
      </w:r>
    </w:p>
    <w:p>
      <w:pPr>
        <w:spacing w:after="0" w:line="20" w:lineRule="exact"/>
        <w:rPr>
          <w:sz w:val="20"/>
          <w:szCs w:val="20"/>
          <w:color w:val="auto"/>
        </w:rPr>
      </w:pPr>
      <w:r>
        <w:rPr>
          <w:sz w:val="20"/>
          <w:szCs w:val="20"/>
          <w:color w:val="auto"/>
        </w:rPr>
        <w:br w:type="column"/>
      </w:r>
    </w:p>
    <w:p>
      <w:pPr>
        <w:jc w:val="center"/>
        <w:ind w:right="3320"/>
        <w:spacing w:after="0"/>
        <w:rPr>
          <w:sz w:val="20"/>
          <w:szCs w:val="20"/>
          <w:color w:val="auto"/>
        </w:rPr>
      </w:pPr>
      <w:r>
        <w:rPr>
          <w:rFonts w:ascii="Arial" w:cs="Arial" w:eastAsia="Arial" w:hAnsi="Arial"/>
          <w:sz w:val="17"/>
          <w:szCs w:val="17"/>
          <w:color w:val="243347"/>
        </w:rPr>
        <w:t>Molly Bruce +1 303 220 4202</w:t>
      </w:r>
    </w:p>
    <w:p>
      <w:pPr>
        <w:spacing w:after="0" w:line="61" w:lineRule="exact"/>
        <w:rPr>
          <w:sz w:val="20"/>
          <w:szCs w:val="20"/>
          <w:color w:val="auto"/>
        </w:rPr>
      </w:pPr>
    </w:p>
    <w:p>
      <w:pPr>
        <w:sectPr>
          <w:pgSz w:w="11900" w:h="16838" w:orient="portrait"/>
          <w:cols w:equalWidth="0" w:num="2">
            <w:col w:w="5040" w:space="720"/>
            <w:col w:w="5660"/>
          </w:cols>
          <w:pgMar w:left="240" w:top="1440" w:right="239" w:bottom="1440" w:gutter="0" w:footer="0" w:header="0"/>
          <w:type w:val="continuous"/>
        </w:sectPr>
      </w:pPr>
    </w:p>
    <w:p>
      <w:pPr>
        <w:ind w:left="40"/>
        <w:spacing w:after="0"/>
        <w:rPr>
          <w:sz w:val="20"/>
          <w:szCs w:val="20"/>
          <w:color w:val="auto"/>
        </w:rPr>
      </w:pPr>
      <w:r>
        <w:rPr>
          <w:rFonts w:ascii="Arial" w:cs="Arial" w:eastAsia="Arial" w:hAnsi="Arial"/>
          <w:sz w:val="18"/>
          <w:szCs w:val="18"/>
          <w:color w:val="243347"/>
        </w:rPr>
        <w:t>John Rea +1 303 220 4238</w:t>
      </w:r>
    </w:p>
    <w:p>
      <w:pPr>
        <w:spacing w:after="0" w:line="20" w:lineRule="exact"/>
        <w:rPr>
          <w:sz w:val="20"/>
          <w:szCs w:val="20"/>
          <w:color w:val="auto"/>
        </w:rPr>
      </w:pPr>
      <w:r>
        <w:rPr>
          <w:sz w:val="20"/>
          <w:szCs w:val="20"/>
          <w:color w:val="auto"/>
        </w:rPr>
        <w:br w:type="column"/>
      </w:r>
    </w:p>
    <w:p>
      <w:pPr>
        <w:jc w:val="center"/>
        <w:ind w:right="3240"/>
        <w:spacing w:after="0"/>
        <w:rPr>
          <w:sz w:val="20"/>
          <w:szCs w:val="20"/>
          <w:color w:val="auto"/>
        </w:rPr>
      </w:pPr>
      <w:r>
        <w:rPr>
          <w:rFonts w:ascii="Arial" w:cs="Arial" w:eastAsia="Arial" w:hAnsi="Arial"/>
          <w:sz w:val="18"/>
          <w:szCs w:val="18"/>
          <w:color w:val="243347"/>
        </w:rPr>
        <w:t>Matt Beake +44 20 8483 6428</w:t>
      </w:r>
    </w:p>
    <w:p>
      <w:pPr>
        <w:spacing w:after="0" w:line="63" w:lineRule="exact"/>
        <w:rPr>
          <w:sz w:val="20"/>
          <w:szCs w:val="20"/>
          <w:color w:val="auto"/>
        </w:rPr>
      </w:pPr>
    </w:p>
    <w:p>
      <w:pPr>
        <w:sectPr>
          <w:pgSz w:w="11900" w:h="16838" w:orient="portrait"/>
          <w:cols w:equalWidth="0" w:num="2">
            <w:col w:w="5040" w:space="720"/>
            <w:col w:w="5660"/>
          </w:cols>
          <w:pgMar w:left="240" w:top="1440" w:right="239" w:bottom="1440" w:gutter="0" w:footer="0" w:header="0"/>
          <w:type w:val="continuous"/>
        </w:sectPr>
      </w:pPr>
    </w:p>
    <w:p>
      <w:pPr>
        <w:ind w:left="40"/>
        <w:spacing w:after="0"/>
        <w:rPr>
          <w:sz w:val="20"/>
          <w:szCs w:val="20"/>
          <w:color w:val="auto"/>
        </w:rPr>
      </w:pPr>
      <w:r>
        <w:rPr>
          <w:rFonts w:ascii="Arial" w:cs="Arial" w:eastAsia="Arial" w:hAnsi="Arial"/>
          <w:sz w:val="17"/>
          <w:szCs w:val="17"/>
          <w:color w:val="243347"/>
        </w:rPr>
        <w:t>Stefan Halters +1 303 784 4528</w:t>
      </w:r>
    </w:p>
    <w:sectPr>
      <w:pgSz w:w="11900" w:h="16838" w:orient="portrait"/>
      <w:cols w:equalWidth="0" w:num="1">
        <w:col w:w="11420"/>
      </w:cols>
      <w:pgMar w:left="240" w:top="1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2019-12-28T17:15:15Z</dcterms:created>
  <dcterms:modified xsi:type="dcterms:W3CDTF">2019-12-28T17:15:15Z</dcterms:modified>
</cp:coreProperties>
</file>