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4858.xml.htm"/>
      <w:bookmarkStart w:id="1" w:name="kswkform4_17812948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BRACKEN CHARLES H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WEWATTA STREET, STE 1000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Liberty Global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LBTY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3"/>
        <w:gridCol w:w="914"/>
        <w:gridCol w:w="785"/>
        <w:gridCol w:w="607"/>
        <w:gridCol w:w="339"/>
        <w:gridCol w:w="905"/>
        <w:gridCol w:w="420"/>
        <w:gridCol w:w="987"/>
        <w:gridCol w:w="1111"/>
        <w:gridCol w:w="961"/>
        <w:gridCol w:w="11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53,011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19,953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Shares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62,448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11.6047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19,953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110,206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Charlouise Ltd.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reflects a weighted average of sales made at prices ranging from $12.00 to $12.105. The Reporting Person undertakes to provide upon request by the staff of the Securities and Exchange Commission, the Issuer, or a security holder of the Issuer,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reflects a weighted average of sales made at prices ranging from $11.55 to $11.66. The Reporting Person undertakes to provide upon request by the staff of the Securities and Exchange Commission, the Issuer, or a security holder of the Issuer,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are held by Charlouise Ltd., which is controlled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trading symbols for the Issuer's classes of common shares are LBTYA, LBTYB, and LBTYK.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Colton Lyons,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1974" TargetMode="External"/><Relationship Id="rId5" Type="http://schemas.openxmlformats.org/officeDocument/2006/relationships/hyperlink" Target="http://www.sec.gov/cgi-bin/browse-edgar?action=getcompany&amp;CIK=0001570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723</Words>
  <Characters>3860</Characters>
  <CharactersWithSpaces>4509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