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234950</wp:posOffset>
            </wp:positionH>
            <wp:positionV relativeFrom="page">
              <wp:posOffset>354965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260350</wp:posOffset>
            </wp:positionV>
            <wp:extent cx="71005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4" w:lineRule="exact"/>
        <w:rPr>
          <w:sz w:val="24"/>
          <w:szCs w:val="24"/>
          <w:color w:val="auto"/>
        </w:rPr>
      </w:pPr>
    </w:p>
    <w:p>
      <w:pPr>
        <w:ind w:left="1060" w:right="220" w:hanging="910"/>
        <w:spacing w:after="0" w:line="262" w:lineRule="auto"/>
        <w:tabs>
          <w:tab w:leader="none" w:pos="10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0" w:lineRule="exact"/>
        <w:rPr>
          <w:sz w:val="24"/>
          <w:szCs w:val="24"/>
          <w:color w:val="auto"/>
        </w:rPr>
      </w:pPr>
    </w:p>
    <w:p>
      <w:pPr>
        <w:spacing w:after="0" w:line="219" w:lineRule="exact"/>
        <w:rPr>
          <w:sz w:val="24"/>
          <w:szCs w:val="24"/>
          <w:color w:val="auto"/>
        </w:rPr>
      </w:pPr>
    </w:p>
    <w:p>
      <w:pPr>
        <w:ind w:left="1060" w:right="200" w:hanging="910"/>
        <w:spacing w:after="0" w:line="262" w:lineRule="auto"/>
        <w:tabs>
          <w:tab w:leader="none" w:pos="10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8" w:lineRule="exact"/>
        <w:rPr>
          <w:sz w:val="24"/>
          <w:szCs w:val="24"/>
          <w:color w:val="auto"/>
        </w:rPr>
      </w:pPr>
    </w:p>
    <w:p>
      <w:pPr>
        <w:ind w:left="1060"/>
        <w:spacing w:after="0"/>
        <w:tabs>
          <w:tab w:leader="none" w:pos="43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28575</wp:posOffset>
            </wp:positionV>
            <wp:extent cx="1423670"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67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Liberty Global plc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51" w:lineRule="exact"/>
        <w:rPr>
          <w:sz w:val="24"/>
          <w:szCs w:val="24"/>
          <w:color w:val="auto"/>
        </w:rPr>
      </w:pPr>
    </w:p>
    <w:tbl>
      <w:tblPr>
        <w:tblLayout w:type="fixed"/>
        <w:tblInd w:w="620" w:type="dxa"/>
        <w:tblCellMar>
          <w:top w:w="0" w:type="dxa"/>
          <w:left w:w="0" w:type="dxa"/>
          <w:bottom w:w="0" w:type="dxa"/>
          <w:right w:w="0" w:type="dxa"/>
        </w:tblCellMar>
      </w:tblPr>
      <w:tr>
        <w:trPr>
          <w:trHeight w:val="238"/>
        </w:trPr>
        <w:tc>
          <w:tcPr>
            <w:tcW w:w="7420" w:type="dxa"/>
            <w:vAlign w:val="bottom"/>
          </w:tcPr>
          <w:p>
            <w:pPr>
              <w:jc w:val="center"/>
              <w:ind w:right="2398"/>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98-1112770</w:t>
            </w:r>
          </w:p>
        </w:tc>
      </w:tr>
      <w:tr>
        <w:trPr>
          <w:trHeight w:val="178"/>
        </w:trPr>
        <w:tc>
          <w:tcPr>
            <w:tcW w:w="7420" w:type="dxa"/>
            <w:vAlign w:val="bottom"/>
          </w:tcPr>
          <w:p>
            <w:pPr>
              <w:jc w:val="center"/>
              <w:ind w:right="2378"/>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1400" w:type="dxa"/>
            <w:vAlign w:val="bottom"/>
          </w:tcPr>
          <w:p>
            <w:pPr>
              <w:jc w:val="center"/>
              <w:ind w:left="281"/>
              <w:spacing w:after="0"/>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90"/>
        </w:trPr>
        <w:tc>
          <w:tcPr>
            <w:tcW w:w="7420" w:type="dxa"/>
            <w:vAlign w:val="bottom"/>
          </w:tcPr>
          <w:p>
            <w:pPr>
              <w:jc w:val="center"/>
              <w:ind w:right="2398"/>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400" w:type="dxa"/>
            <w:vAlign w:val="bottom"/>
          </w:tcPr>
          <w:p>
            <w:pPr>
              <w:jc w:val="center"/>
              <w:ind w:left="261"/>
              <w:spacing w:after="0"/>
              <w:rPr>
                <w:sz w:val="20"/>
                <w:szCs w:val="20"/>
                <w:color w:val="auto"/>
              </w:rPr>
            </w:pPr>
            <w:r>
              <w:rPr>
                <w:rFonts w:ascii="Times New Roman" w:cs="Times New Roman" w:eastAsia="Times New Roman" w:hAnsi="Times New Roman"/>
                <w:sz w:val="14"/>
                <w:szCs w:val="14"/>
                <w:i w:val="1"/>
                <w:iCs w:val="1"/>
                <w:color w:val="auto"/>
              </w:rPr>
              <w:t>Identification No.)</w:t>
            </w:r>
          </w:p>
        </w:tc>
      </w:tr>
      <w:tr>
        <w:trPr>
          <w:trHeight w:val="496"/>
        </w:trPr>
        <w:tc>
          <w:tcPr>
            <w:tcW w:w="7420" w:type="dxa"/>
            <w:vAlign w:val="bottom"/>
          </w:tcPr>
          <w:p>
            <w:pPr>
              <w:jc w:val="center"/>
              <w:ind w:right="2398"/>
              <w:spacing w:after="0"/>
              <w:rPr>
                <w:sz w:val="20"/>
                <w:szCs w:val="20"/>
                <w:color w:val="auto"/>
              </w:rPr>
            </w:pPr>
            <w:r>
              <w:rPr>
                <w:rFonts w:ascii="Times New Roman" w:cs="Times New Roman" w:eastAsia="Times New Roman" w:hAnsi="Times New Roman"/>
                <w:sz w:val="18"/>
                <w:szCs w:val="18"/>
                <w:b w:val="1"/>
                <w:bCs w:val="1"/>
                <w:color w:val="auto"/>
              </w:rPr>
              <w:t>Griffin House, 161 Hammersmith Rd, London, United Kingdom</w:t>
            </w:r>
          </w:p>
        </w:tc>
        <w:tc>
          <w:tcPr>
            <w:tcW w:w="1400" w:type="dxa"/>
            <w:vAlign w:val="bottom"/>
          </w:tcPr>
          <w:p>
            <w:pPr>
              <w:jc w:val="center"/>
              <w:ind w:left="261"/>
              <w:spacing w:after="0"/>
              <w:rPr>
                <w:sz w:val="20"/>
                <w:szCs w:val="20"/>
                <w:color w:val="auto"/>
              </w:rPr>
            </w:pPr>
            <w:r>
              <w:rPr>
                <w:rFonts w:ascii="Times New Roman" w:cs="Times New Roman" w:eastAsia="Times New Roman" w:hAnsi="Times New Roman"/>
                <w:sz w:val="18"/>
                <w:szCs w:val="18"/>
                <w:b w:val="1"/>
                <w:bCs w:val="1"/>
                <w:color w:val="auto"/>
                <w:w w:val="99"/>
              </w:rPr>
              <w:t>W6 8BS</w:t>
            </w:r>
          </w:p>
        </w:tc>
      </w:tr>
      <w:tr>
        <w:trPr>
          <w:trHeight w:val="220"/>
        </w:trPr>
        <w:tc>
          <w:tcPr>
            <w:tcW w:w="7420" w:type="dxa"/>
            <w:vAlign w:val="bottom"/>
          </w:tcPr>
          <w:p>
            <w:pPr>
              <w:jc w:val="center"/>
              <w:ind w:right="239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400" w:type="dxa"/>
            <w:vAlign w:val="bottom"/>
          </w:tcPr>
          <w:p>
            <w:pPr>
              <w:jc w:val="center"/>
              <w:ind w:left="261"/>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285"/>
        </w:trPr>
        <w:tc>
          <w:tcPr>
            <w:tcW w:w="7420" w:type="dxa"/>
            <w:vAlign w:val="bottom"/>
          </w:tcPr>
          <w:p>
            <w:pPr>
              <w:jc w:val="center"/>
              <w:ind w:left="26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400" w:type="dxa"/>
            <w:vAlign w:val="bottom"/>
          </w:tcPr>
          <w:p>
            <w:pPr>
              <w:spacing w:after="0"/>
              <w:rPr>
                <w:sz w:val="24"/>
                <w:szCs w:val="24"/>
                <w:color w:val="auto"/>
              </w:rPr>
            </w:pPr>
          </w:p>
        </w:tc>
      </w:tr>
      <w:tr>
        <w:trPr>
          <w:trHeight w:val="238"/>
        </w:trPr>
        <w:tc>
          <w:tcPr>
            <w:tcW w:w="7420" w:type="dxa"/>
            <w:vAlign w:val="bottom"/>
          </w:tcPr>
          <w:p>
            <w:pPr>
              <w:jc w:val="center"/>
              <w:ind w:left="2698"/>
              <w:spacing w:after="0"/>
              <w:rPr>
                <w:sz w:val="20"/>
                <w:szCs w:val="20"/>
                <w:color w:val="auto"/>
              </w:rPr>
            </w:pPr>
            <w:r>
              <w:rPr>
                <w:rFonts w:ascii="Times New Roman" w:cs="Times New Roman" w:eastAsia="Times New Roman" w:hAnsi="Times New Roman"/>
                <w:sz w:val="18"/>
                <w:szCs w:val="18"/>
                <w:b w:val="1"/>
                <w:bCs w:val="1"/>
                <w:color w:val="auto"/>
                <w:w w:val="99"/>
              </w:rPr>
              <w:t>+44.208.483.6449 or 303.220.6600</w:t>
            </w:r>
          </w:p>
        </w:tc>
        <w:tc>
          <w:tcPr>
            <w:tcW w:w="1400" w:type="dxa"/>
            <w:vAlign w:val="bottom"/>
          </w:tcPr>
          <w:p>
            <w:pPr>
              <w:spacing w:after="0"/>
              <w:rPr>
                <w:sz w:val="20"/>
                <w:szCs w:val="20"/>
                <w:color w:val="auto"/>
              </w:rPr>
            </w:pPr>
          </w:p>
        </w:tc>
      </w:tr>
    </w:tbl>
    <w:p>
      <w:pPr>
        <w:spacing w:after="0" w:line="144" w:lineRule="exact"/>
        <w:rPr>
          <w:sz w:val="24"/>
          <w:szCs w:val="24"/>
          <w:color w:val="auto"/>
        </w:rPr>
      </w:pPr>
    </w:p>
    <w:p>
      <w:pPr>
        <w:ind w:right="4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20" w:type="dxa"/>
            <w:vAlign w:val="bottom"/>
          </w:tcPr>
          <w:p>
            <w:pPr>
              <w:spacing w:after="0"/>
              <w:rPr>
                <w:sz w:val="24"/>
                <w:szCs w:val="24"/>
                <w:color w:val="auto"/>
              </w:rPr>
            </w:pPr>
          </w:p>
        </w:tc>
        <w:tc>
          <w:tcPr>
            <w:tcW w:w="560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Accelerated Filer </w:t>
            </w:r>
            <w:r>
              <w:rPr>
                <w:rFonts w:ascii="MS PGothic" w:cs="MS PGothic" w:eastAsia="MS PGothic" w:hAnsi="MS PGothic"/>
                <w:sz w:val="18"/>
                <w:szCs w:val="18"/>
                <w:color w:val="auto"/>
                <w:w w:val="99"/>
              </w:rPr>
              <w:t>☐</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9220" w:type="dxa"/>
            <w:vAlign w:val="bottom"/>
            <w:gridSpan w:val="6"/>
          </w:tcPr>
          <w:p>
            <w:pPr>
              <w:ind w:left="17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(Do not check if a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tc>
        <w:tc>
          <w:tcPr>
            <w:tcW w:w="1420" w:type="dxa"/>
            <w:vAlign w:val="bottom"/>
          </w:tcPr>
          <w:p>
            <w:pPr>
              <w:jc w:val="right"/>
              <w:ind w:right="1154"/>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40" w:type="dxa"/>
            <w:vAlign w:val="bottom"/>
            <w:gridSpan w:val="5"/>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0"/>
              </w:rPr>
              <w:t>No</w:t>
            </w:r>
          </w:p>
        </w:tc>
        <w:tc>
          <w:tcPr>
            <w:tcW w:w="1420" w:type="dxa"/>
            <w:vAlign w:val="bottom"/>
          </w:tcPr>
          <w:p>
            <w:pPr>
              <w:jc w:val="right"/>
              <w:ind w:right="1094"/>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number of outstanding ordinary shares of Liberty Global plc as of May 4, 2016 was: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7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600" w:type="dxa"/>
            <w:vAlign w:val="bottom"/>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56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auto"/>
              </w:rPr>
              <w:t>Liberty Global ordinary shares</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253,233,390</w:t>
            </w:r>
          </w:p>
        </w:tc>
        <w:tc>
          <w:tcPr>
            <w:tcW w:w="120" w:type="dxa"/>
            <w:vAlign w:val="bottom"/>
          </w:tcPr>
          <w:p>
            <w:pPr>
              <w:spacing w:after="0"/>
              <w:rPr>
                <w:sz w:val="19"/>
                <w:szCs w:val="19"/>
                <w:color w:val="auto"/>
              </w:rPr>
            </w:pP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10,805,850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577,324,169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6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LiLAC ordinary shares</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12,657,509</w:t>
            </w:r>
          </w:p>
        </w:tc>
        <w:tc>
          <w:tcPr>
            <w:tcW w:w="120" w:type="dxa"/>
            <w:vAlign w:val="bottom"/>
          </w:tcPr>
          <w:p>
            <w:pPr>
              <w:spacing w:after="0"/>
              <w:rPr>
                <w:sz w:val="23"/>
                <w:szCs w:val="23"/>
                <w:color w:val="auto"/>
              </w:rPr>
            </w:pP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540,089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30,795,947</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56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0" w:right="239" w:bottom="1440" w:gutter="0" w:footer="0" w:header="0"/>
        </w:sectPr>
      </w:pPr>
    </w:p>
    <w:bookmarkStart w:id="1" w:name="page2"/>
    <w:bookmarkEnd w:id="1"/>
    <w:p>
      <w:pPr>
        <w:ind w:left="466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43"/>
        </w:trPr>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940" w:type="dxa"/>
            <w:vAlign w:val="bottom"/>
            <w:gridSpan w:val="10"/>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30"/>
        </w:trPr>
        <w:tc>
          <w:tcPr>
            <w:tcW w:w="1040" w:type="dxa"/>
            <w:vAlign w:val="bottom"/>
          </w:tcPr>
          <w:p>
            <w:pPr>
              <w:spacing w:after="0"/>
              <w:rPr>
                <w:sz w:val="19"/>
                <w:szCs w:val="19"/>
                <w:color w:val="auto"/>
              </w:rPr>
            </w:pPr>
          </w:p>
        </w:tc>
        <w:tc>
          <w:tcPr>
            <w:tcW w:w="954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March 31, 2016 and December 31, 2015 (unaudited)</w:t>
              </w:r>
            </w:hyperlink>
          </w:p>
        </w:tc>
        <w:tc>
          <w:tcPr>
            <w:tcW w:w="500" w:type="dxa"/>
            <w:vAlign w:val="bottom"/>
            <w:gridSpan w:val="5"/>
          </w:tcPr>
          <w:p>
            <w:pPr>
              <w:jc w:val="center"/>
              <w:ind w:left="213"/>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520" w:type="dxa"/>
            <w:vAlign w:val="bottom"/>
            <w:gridSpan w:val="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for the Three Months Ended March 31, 2016 and 2015 (unaudited)</w:t>
              </w:r>
            </w:hyperlink>
          </w:p>
        </w:tc>
        <w:tc>
          <w:tcPr>
            <w:tcW w:w="1020" w:type="dxa"/>
            <w:vAlign w:val="bottom"/>
            <w:gridSpan w:val="4"/>
          </w:tcPr>
          <w:p>
            <w:pPr>
              <w:spacing w:after="0"/>
              <w:rPr>
                <w:sz w:val="21"/>
                <w:szCs w:val="21"/>
                <w:color w:val="auto"/>
              </w:rPr>
            </w:pPr>
          </w:p>
        </w:tc>
        <w:tc>
          <w:tcPr>
            <w:tcW w:w="500" w:type="dxa"/>
            <w:vAlign w:val="bottom"/>
            <w:gridSpan w:val="5"/>
          </w:tcPr>
          <w:p>
            <w:pPr>
              <w:jc w:val="center"/>
              <w:ind w:left="213"/>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240" w:type="dxa"/>
            <w:vAlign w:val="bottom"/>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Loss for the Three Months Ended March 31, 2016 and 2015 (unaudited)</w:t>
              </w:r>
            </w:hyperlink>
          </w:p>
        </w:tc>
        <w:tc>
          <w:tcPr>
            <w:tcW w:w="300" w:type="dxa"/>
            <w:vAlign w:val="bottom"/>
          </w:tcPr>
          <w:p>
            <w:pPr>
              <w:spacing w:after="0"/>
              <w:rPr>
                <w:sz w:val="21"/>
                <w:szCs w:val="21"/>
                <w:color w:val="auto"/>
              </w:rPr>
            </w:pPr>
          </w:p>
        </w:tc>
        <w:tc>
          <w:tcPr>
            <w:tcW w:w="500" w:type="dxa"/>
            <w:vAlign w:val="bottom"/>
            <w:gridSpan w:val="5"/>
          </w:tcPr>
          <w:p>
            <w:pPr>
              <w:jc w:val="center"/>
              <w:ind w:left="213"/>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240" w:type="dxa"/>
            <w:vAlign w:val="bottom"/>
            <w:gridSpan w:val="11"/>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 of Equity for the Three Months Ended March 31, 2016 (unaudited)</w:t>
              </w:r>
            </w:hyperlink>
          </w:p>
        </w:tc>
        <w:tc>
          <w:tcPr>
            <w:tcW w:w="300" w:type="dxa"/>
            <w:vAlign w:val="bottom"/>
          </w:tcPr>
          <w:p>
            <w:pPr>
              <w:spacing w:after="0"/>
              <w:rPr>
                <w:sz w:val="21"/>
                <w:szCs w:val="21"/>
                <w:color w:val="auto"/>
              </w:rPr>
            </w:pPr>
          </w:p>
        </w:tc>
        <w:tc>
          <w:tcPr>
            <w:tcW w:w="500" w:type="dxa"/>
            <w:vAlign w:val="bottom"/>
            <w:gridSpan w:val="5"/>
          </w:tcPr>
          <w:p>
            <w:pPr>
              <w:jc w:val="center"/>
              <w:ind w:left="213"/>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12"/>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Three Months Ended March 31, 2016 and 2015 (unaudited)</w:t>
              </w:r>
            </w:hyperlink>
          </w:p>
        </w:tc>
        <w:tc>
          <w:tcPr>
            <w:tcW w:w="500" w:type="dxa"/>
            <w:vAlign w:val="bottom"/>
            <w:gridSpan w:val="5"/>
          </w:tcPr>
          <w:p>
            <w:pPr>
              <w:jc w:val="center"/>
              <w:ind w:left="213"/>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560" w:type="dxa"/>
            <w:vAlign w:val="bottom"/>
            <w:gridSpan w:val="9"/>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Condensed Consolidated Financial Statements (unaudited)</w:t>
              </w:r>
            </w:hyperlink>
          </w:p>
        </w:tc>
        <w:tc>
          <w:tcPr>
            <w:tcW w:w="980" w:type="dxa"/>
            <w:vAlign w:val="bottom"/>
            <w:gridSpan w:val="3"/>
          </w:tcPr>
          <w:p>
            <w:pPr>
              <w:spacing w:after="0"/>
              <w:rPr>
                <w:sz w:val="21"/>
                <w:szCs w:val="21"/>
                <w:color w:val="auto"/>
              </w:rPr>
            </w:pPr>
          </w:p>
        </w:tc>
        <w:tc>
          <w:tcPr>
            <w:tcW w:w="500" w:type="dxa"/>
            <w:vAlign w:val="bottom"/>
            <w:gridSpan w:val="5"/>
          </w:tcPr>
          <w:p>
            <w:pPr>
              <w:jc w:val="center"/>
              <w:ind w:left="213"/>
              <w:spacing w:after="0"/>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8</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gridSpan w:val="10"/>
          </w:tcPr>
          <w:p>
            <w:pPr>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620" w:type="dxa"/>
            <w:vAlign w:val="bottom"/>
            <w:gridSpan w:val="2"/>
          </w:tcPr>
          <w:p>
            <w:pPr>
              <w:spacing w:after="0"/>
              <w:rPr>
                <w:sz w:val="21"/>
                <w:szCs w:val="21"/>
                <w:color w:val="auto"/>
              </w:rPr>
            </w:pPr>
          </w:p>
        </w:tc>
        <w:tc>
          <w:tcPr>
            <w:tcW w:w="500" w:type="dxa"/>
            <w:vAlign w:val="bottom"/>
            <w:gridSpan w:val="5"/>
          </w:tcPr>
          <w:p>
            <w:pPr>
              <w:jc w:val="center"/>
              <w:ind w:left="233"/>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53</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140" w:type="dxa"/>
            <w:vAlign w:val="bottom"/>
            <w:gridSpan w:val="5"/>
          </w:tcPr>
          <w:p>
            <w:pPr>
              <w:spacing w:after="0"/>
              <w:rPr>
                <w:rFonts w:ascii="Times New Roman" w:cs="Times New Roman" w:eastAsia="Times New Roman" w:hAnsi="Times New Roman"/>
                <w:sz w:val="18"/>
                <w:szCs w:val="18"/>
                <w:color w:val="0000EE"/>
                <w:w w:val="98"/>
              </w:rPr>
            </w:pPr>
            <w:hyperlink w:anchor="page96">
              <w:r>
                <w:rPr>
                  <w:rFonts w:ascii="Times New Roman" w:cs="Times New Roman" w:eastAsia="Times New Roman" w:hAnsi="Times New Roman"/>
                  <w:sz w:val="18"/>
                  <w:szCs w:val="18"/>
                  <w:color w:val="0000EE"/>
                  <w:w w:val="98"/>
                </w:rPr>
                <w:t>QUANTITATIVE AND QUALITATIVE DISCLOSURES ABOUT MARKET RISK</w:t>
              </w:r>
            </w:hyperlink>
          </w:p>
        </w:tc>
        <w:tc>
          <w:tcPr>
            <w:tcW w:w="2780" w:type="dxa"/>
            <w:vAlign w:val="bottom"/>
            <w:gridSpan w:val="5"/>
          </w:tcPr>
          <w:p>
            <w:pPr>
              <w:spacing w:after="0"/>
              <w:rPr>
                <w:sz w:val="21"/>
                <w:szCs w:val="21"/>
                <w:color w:val="auto"/>
              </w:rPr>
            </w:pPr>
          </w:p>
        </w:tc>
        <w:tc>
          <w:tcPr>
            <w:tcW w:w="620" w:type="dxa"/>
            <w:vAlign w:val="bottom"/>
            <w:gridSpan w:val="2"/>
          </w:tcPr>
          <w:p>
            <w:pPr>
              <w:spacing w:after="0"/>
              <w:rPr>
                <w:sz w:val="21"/>
                <w:szCs w:val="21"/>
                <w:color w:val="auto"/>
              </w:rPr>
            </w:pPr>
          </w:p>
        </w:tc>
        <w:tc>
          <w:tcPr>
            <w:tcW w:w="500" w:type="dxa"/>
            <w:vAlign w:val="bottom"/>
            <w:gridSpan w:val="5"/>
          </w:tcPr>
          <w:p>
            <w:pPr>
              <w:jc w:val="center"/>
              <w:ind w:left="233"/>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94</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140" w:type="dxa"/>
            <w:vAlign w:val="bottom"/>
            <w:gridSpan w:val="5"/>
          </w:tcPr>
          <w:p>
            <w:pPr>
              <w:spacing w:after="0"/>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CONTROLS AND PROCEDURES</w:t>
              </w:r>
            </w:hyperlink>
          </w:p>
        </w:tc>
        <w:tc>
          <w:tcPr>
            <w:tcW w:w="3400" w:type="dxa"/>
            <w:vAlign w:val="bottom"/>
            <w:gridSpan w:val="7"/>
          </w:tcPr>
          <w:p>
            <w:pPr>
              <w:spacing w:after="0"/>
              <w:rPr>
                <w:sz w:val="21"/>
                <w:szCs w:val="21"/>
                <w:color w:val="auto"/>
              </w:rPr>
            </w:pPr>
          </w:p>
        </w:tc>
        <w:tc>
          <w:tcPr>
            <w:tcW w:w="500" w:type="dxa"/>
            <w:vAlign w:val="bottom"/>
            <w:gridSpan w:val="5"/>
          </w:tcPr>
          <w:p>
            <w:pPr>
              <w:jc w:val="center"/>
              <w:ind w:left="233"/>
              <w:spacing w:after="0"/>
              <w:rPr>
                <w:rFonts w:ascii="Times New Roman" w:cs="Times New Roman" w:eastAsia="Times New Roman" w:hAnsi="Times New Roman"/>
                <w:sz w:val="18"/>
                <w:szCs w:val="18"/>
                <w:color w:val="0000EE"/>
                <w:w w:val="99"/>
              </w:rPr>
            </w:pPr>
            <w:hyperlink w:anchor="page100">
              <w:r>
                <w:rPr>
                  <w:rFonts w:ascii="Times New Roman" w:cs="Times New Roman" w:eastAsia="Times New Roman" w:hAnsi="Times New Roman"/>
                  <w:sz w:val="18"/>
                  <w:szCs w:val="18"/>
                  <w:color w:val="0000EE"/>
                  <w:w w:val="99"/>
                </w:rPr>
                <w:t>98</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91"/>
        </w:trPr>
        <w:tc>
          <w:tcPr>
            <w:tcW w:w="10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6940" w:type="dxa"/>
            <w:vAlign w:val="bottom"/>
            <w:gridSpan w:val="10"/>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2"/>
          </w:tcPr>
          <w:p>
            <w:pP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UNREGISTERED SALES OF EQUITY SECURITIES AND USE OF PROCEEDS</w:t>
              </w:r>
            </w:hyperlink>
          </w:p>
        </w:tc>
        <w:tc>
          <w:tcPr>
            <w:tcW w:w="500" w:type="dxa"/>
            <w:vAlign w:val="bottom"/>
            <w:gridSpan w:val="5"/>
          </w:tcPr>
          <w:p>
            <w:pPr>
              <w:jc w:val="center"/>
              <w:ind w:left="233"/>
              <w:spacing w:after="0"/>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99</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40" w:type="dxa"/>
            <w:vAlign w:val="bottom"/>
            <w:gridSpan w:val="3"/>
            <w:shd w:val="clear" w:color="auto" w:fill="0000EE"/>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102">
              <w:r>
                <w:rPr>
                  <w:rFonts w:ascii="Times New Roman" w:cs="Times New Roman" w:eastAsia="Times New Roman" w:hAnsi="Times New Roman"/>
                  <w:sz w:val="18"/>
                  <w:szCs w:val="18"/>
                  <w:color w:val="0000EE"/>
                  <w:w w:val="97"/>
                </w:rPr>
                <w:t>EXHIBITS</w:t>
              </w:r>
            </w:hyperlink>
          </w:p>
        </w:tc>
        <w:tc>
          <w:tcPr>
            <w:tcW w:w="5240" w:type="dxa"/>
            <w:vAlign w:val="bottom"/>
            <w:gridSpan w:val="3"/>
          </w:tcPr>
          <w:p>
            <w:pPr>
              <w:spacing w:after="0"/>
              <w:rPr>
                <w:sz w:val="21"/>
                <w:szCs w:val="21"/>
                <w:color w:val="auto"/>
              </w:rPr>
            </w:pPr>
          </w:p>
        </w:tc>
        <w:tc>
          <w:tcPr>
            <w:tcW w:w="3480" w:type="dxa"/>
            <w:vAlign w:val="bottom"/>
            <w:gridSpan w:val="8"/>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0000EE"/>
            </w:tcBorders>
            <w:gridSpan w:val="5"/>
          </w:tcPr>
          <w:p>
            <w:pPr>
              <w:jc w:val="cente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100</w:t>
              </w:r>
            </w:hyperlink>
          </w:p>
        </w:tc>
        <w:tc>
          <w:tcPr>
            <w:tcW w:w="260" w:type="dxa"/>
            <w:vAlign w:val="bottom"/>
          </w:tcPr>
          <w:p>
            <w:pPr>
              <w:spacing w:after="0"/>
              <w:rPr>
                <w:sz w:val="21"/>
                <w:szCs w:val="21"/>
                <w:color w:val="auto"/>
              </w:rPr>
            </w:pPr>
          </w:p>
        </w:tc>
      </w:tr>
    </w:tbl>
    <w:p>
      <w:pPr>
        <w:sectPr>
          <w:pgSz w:w="11900" w:h="16838" w:orient="portrait"/>
          <w:cols w:equalWidth="0" w:num="1">
            <w:col w:w="11380"/>
          </w:cols>
          <w:pgMar w:left="280" w:top="36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982.1</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1,467.7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 (note 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421.9</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144.2</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341.5</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3,569.0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3,357.4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(including $2,348.0 million and $2,591.8 million, respectively, measured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2,583.9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2,839.6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 (note 6)</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22,787.3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21,684.0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(note 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27,020.4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subject to amortization, net (note 6)</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7,369.7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7,092.5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net (note 4)</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5,511.2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5,565.1</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69,851.5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67,559.0</w:t>
            </w: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1,050.1</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advance payments from subscribers and others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1,393.5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 and capital lease obligations (note 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2,537.9</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 (note 4)</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346.3</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832.8</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income taxes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441.8</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and current liabilities (note 11)</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2,072.0</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10,169.1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9,157.9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and capital lease obligations (note 7)</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45,831.8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44,211.2</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 (notes 4 and 11)</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4,015.6</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60,273.5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57,384.7</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(notes 3, 4, 7, 8, 13 and 15)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(note 9):</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Shares — Class A, $0.01 nominal value. Issued and outstanding 252,932,261 and 252,766,455</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respectively</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Liberty Global Shares — Class B, $0.01 nominal value. Issued and outstanding 10,805,850 and 10,472,517</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Shares — Class C, $0.01 nominal value. Issued and outstanding 576,766,400 and 584,044,394</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respectively</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Shares — Class A, $0.01 nominal value. Issued and outstanding 12,649,810 and 12,630,580 shares,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LiLAC Shares — Class B, $0.01 nominal value. Issued and outstanding 540,089 and 523,423 shares,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Shares — Class C, $0.01 nominal value. Issued and outstanding 30,780,040 and 30,772,874 shares,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14,669.6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14,908.1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(5,160.1)</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earnings, net of taxes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895.9</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shares, at cost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7"/>
        </w:trPr>
        <w:tc>
          <w:tcPr>
            <w:tcW w:w="8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Liberty Global shareholders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10,057.5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10,652.4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9,578.0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10,174.3</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69,851.5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67,559.0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57"/>
        </w:trPr>
        <w:tc>
          <w:tcPr>
            <w:tcW w:w="8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3"/>
          </w:tcPr>
          <w:p>
            <w:pPr>
              <w:jc w:val="center"/>
              <w:ind w:left="731"/>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580" w:type="dxa"/>
            <w:vAlign w:val="bottom"/>
          </w:tcPr>
          <w:p>
            <w:pPr>
              <w:spacing w:after="0"/>
              <w:rPr>
                <w:sz w:val="18"/>
                <w:szCs w:val="18"/>
                <w:color w:val="auto"/>
              </w:rPr>
            </w:pPr>
          </w:p>
        </w:tc>
        <w:tc>
          <w:tcPr>
            <w:tcW w:w="28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w:t>
            </w:r>
          </w:p>
        </w:tc>
        <w:tc>
          <w:tcPr>
            <w:tcW w:w="0" w:type="dxa"/>
            <w:vAlign w:val="bottom"/>
          </w:tcPr>
          <w:p>
            <w:pPr>
              <w:spacing w:after="0"/>
              <w:rPr>
                <w:sz w:val="1"/>
                <w:szCs w:val="1"/>
                <w:color w:val="auto"/>
              </w:rPr>
            </w:pPr>
          </w:p>
        </w:tc>
      </w:tr>
      <w:tr>
        <w:trPr>
          <w:trHeight w:val="212"/>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left="731"/>
              <w:spacing w:after="0"/>
              <w:rPr>
                <w:sz w:val="20"/>
                <w:szCs w:val="20"/>
                <w:color w:val="auto"/>
              </w:rPr>
            </w:pPr>
            <w:r>
              <w:rPr>
                <w:rFonts w:ascii="Times New Roman" w:cs="Times New Roman" w:eastAsia="Times New Roman" w:hAnsi="Times New Roman"/>
                <w:sz w:val="16"/>
                <w:szCs w:val="16"/>
                <w:b w:val="1"/>
                <w:bCs w:val="1"/>
                <w:color w:val="auto"/>
                <w:w w:val="98"/>
              </w:rPr>
              <w:t>amounts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(note 14)</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4,516.9</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(other than depreciation and amortization) (including share-based compensation) (note 10)</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1,688.5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w:t>
            </w:r>
            <w:r>
              <w:rPr>
                <w:rFonts w:ascii="Times New Roman" w:cs="Times New Roman" w:eastAsia="Times New Roman" w:hAnsi="Times New Roman"/>
                <w:sz w:val="18"/>
                <w:szCs w:val="18"/>
                <w:b w:val="1"/>
                <w:bCs w:val="1"/>
                <w:color w:val="auto"/>
              </w:rPr>
              <w:t>SG&amp;A</w:t>
            </w:r>
            <w:r>
              <w:rPr>
                <w:rFonts w:ascii="Times New Roman" w:cs="Times New Roman" w:eastAsia="Times New Roman" w:hAnsi="Times New Roman"/>
                <w:sz w:val="18"/>
                <w:szCs w:val="18"/>
                <w:color w:val="auto"/>
              </w:rPr>
              <w:t>) (including share-based compensation) (note 10)</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restructuring and other operating items, net (note 11)</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3,959.4</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586.6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557.5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and unrealized gains (losses) on derivative instruments, net (note 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and unrealized gains (losses) due to changes in fair values of certain investments, net (note 5)</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on debt modification and extinguishment, net (note 7)</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 (note 13)</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(note 8)</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(earnings) attributable to noncontrolling interests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 attributable to Liberty Global shareholders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loss attributable to Liberty Global shareholders per share (notes 1 and 12):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Liberty Global Shares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LiLAC Shares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Old Liberty Global Shares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line="20" w:lineRule="exact"/>
              <w:rPr>
                <w:sz w:val="1"/>
                <w:szCs w:val="1"/>
                <w:color w:val="auto"/>
              </w:rPr>
            </w:pPr>
          </w:p>
        </w:tc>
      </w:tr>
      <w:tr>
        <w:trPr>
          <w:trHeight w:val="277"/>
        </w:trPr>
        <w:tc>
          <w:tcPr>
            <w:tcW w:w="8580" w:type="dxa"/>
            <w:vAlign w:val="bottom"/>
            <w:tcBorders>
              <w:bottom w:val="single" w:sz="8" w:color="CCEEFF"/>
            </w:tcBorders>
            <w:vMerge w:val="continue"/>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ordinary shares outstanding – basic and diluted:</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Liberty Global Shares</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843,492,613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LiLAC Shares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43,933,746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Old Liberty Global Shares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887,264,545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57"/>
        </w:trPr>
        <w:tc>
          <w:tcPr>
            <w:tcW w:w="9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3"/>
          </w:tcPr>
          <w:p>
            <w:pPr>
              <w:jc w:val="center"/>
              <w:ind w:left="45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Pr>
          <w:p>
            <w:pPr>
              <w:spacing w:after="0"/>
              <w:rPr>
                <w:sz w:val="22"/>
                <w:szCs w:val="22"/>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(loss), net of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included in net loss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r>
      <w:tr>
        <w:trPr>
          <w:trHeight w:val="237"/>
        </w:trPr>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(earnings)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5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loss attributable to Liberty Global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(1,230.1)</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8"/>
          </w:tcPr>
          <w:p>
            <w:pPr>
              <w:ind w:left="700"/>
              <w:spacing w:after="0"/>
              <w:rPr>
                <w:sz w:val="20"/>
                <w:szCs w:val="20"/>
                <w:color w:val="auto"/>
              </w:rPr>
            </w:pPr>
            <w:r>
              <w:rPr>
                <w:rFonts w:ascii="Times New Roman" w:cs="Times New Roman" w:eastAsia="Times New Roman" w:hAnsi="Times New Roman"/>
                <w:sz w:val="16"/>
                <w:szCs w:val="16"/>
                <w:b w:val="1"/>
                <w:bCs w:val="1"/>
                <w:color w:val="auto"/>
              </w:rPr>
              <w:t>Liberty Global shareholders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7"/>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16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LiLAC</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at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of taxes</w:t>
            </w:r>
          </w:p>
        </w:tc>
        <w:tc>
          <w:tcPr>
            <w:tcW w:w="200" w:type="dxa"/>
            <w:vAlign w:val="bottom"/>
          </w:tcPr>
          <w:p>
            <w:pPr>
              <w:spacing w:after="0"/>
              <w:rPr>
                <w:sz w:val="18"/>
                <w:szCs w:val="18"/>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2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03"/>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9"/>
              </w:rPr>
              <w:t>$14,908.1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$ 10,652.4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8"/>
              </w:rPr>
              <w:t>10,174.3</w:t>
            </w:r>
          </w:p>
        </w:tc>
      </w:tr>
      <w:tr>
        <w:trPr>
          <w:trHeight w:val="243"/>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of taxes</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w:t>
            </w:r>
          </w:p>
        </w:tc>
      </w:tr>
      <w:tr>
        <w:trPr>
          <w:trHeight w:val="225"/>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and cancellation of</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Liberty Global ordinary shares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9)</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(note</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65.6</w:t>
            </w:r>
          </w:p>
        </w:tc>
      </w:tr>
      <w:tr>
        <w:trPr>
          <w:trHeight w:val="225"/>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due to changes in</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 equity and other,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9"/>
              </w:rPr>
              <w:t>$14,669.6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$ 10,057.5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9,578.0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57"/>
        </w:trPr>
        <w:tc>
          <w:tcPr>
            <w:tcW w:w="8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22"/>
                <w:szCs w:val="22"/>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1,451.4</w:t>
            </w:r>
          </w:p>
        </w:tc>
      </w:tr>
      <w:tr>
        <w:trPr>
          <w:trHeight w:val="243"/>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 accretion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Realized and unrealized losses (gains) on derivative instruments, net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Foreign currency transaction losses (gains),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1,035.6</w:t>
            </w:r>
          </w:p>
        </w:tc>
      </w:tr>
      <w:tr>
        <w:trPr>
          <w:trHeight w:val="243"/>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Realized and unrealized losses (gains) due to changes in fair values of certain investments, net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Losses on debt modification and extinguishment,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274.5</w:t>
            </w:r>
          </w:p>
        </w:tc>
      </w:tr>
      <w:tr>
        <w:trPr>
          <w:trHeight w:val="243"/>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 net of the effects of acquisitions and dispositions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1,373.9</w:t>
            </w:r>
          </w:p>
        </w:tc>
      </w:tr>
      <w:tr>
        <w:trPr>
          <w:trHeight w:val="22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41"/>
        </w:trPr>
        <w:tc>
          <w:tcPr>
            <w:tcW w:w="8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and loans to affiliates and others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r>
      <w:tr>
        <w:trPr>
          <w:trHeight w:val="20"/>
        </w:trPr>
        <w:tc>
          <w:tcPr>
            <w:tcW w:w="8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of debt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2,642.0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6,695.2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and repurchases of debt and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Liberty Global ordinary shares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cash collateral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paid associated with call option contracts on Liberty Global ordinary shares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paid related to 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financing costs and debt premiums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782.8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1,158.5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cash paid for taxes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Liberty Global plc (</w:t>
      </w:r>
      <w:r>
        <w:rPr>
          <w:rFonts w:ascii="Times New Roman" w:cs="Times New Roman" w:eastAsia="Times New Roman" w:hAnsi="Times New Roman"/>
          <w:sz w:val="18"/>
          <w:szCs w:val="18"/>
          <w:b w:val="1"/>
          <w:bCs w:val="1"/>
          <w:color w:val="auto"/>
        </w:rPr>
        <w:t>Liberty Global</w:t>
      </w:r>
      <w:r>
        <w:rPr>
          <w:rFonts w:ascii="Times New Roman" w:cs="Times New Roman" w:eastAsia="Times New Roman" w:hAnsi="Times New Roman"/>
          <w:sz w:val="18"/>
          <w:szCs w:val="18"/>
          <w:color w:val="auto"/>
        </w:rPr>
        <w:t>) is a public limited company organized under the laws of England and Wales. In these notes, the terms “we,” “our,” “our company” and “us” may refer, as the context requires, to Liberty Global or collectively to Liberty Global and its subsidiaries.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international provider of video, broadband internet, fixed-line telephony and mobile services, with consolidated operations at March 31, 2016 in 14 countries. Through our wholly-owned subsidiary Virgin Media Inc. (</w:t>
      </w:r>
      <w:r>
        <w:rPr>
          <w:rFonts w:ascii="Times New Roman" w:cs="Times New Roman" w:eastAsia="Times New Roman" w:hAnsi="Times New Roman"/>
          <w:sz w:val="18"/>
          <w:szCs w:val="18"/>
          <w:b w:val="1"/>
          <w:bCs w:val="1"/>
          <w:color w:val="auto"/>
        </w:rPr>
        <w:t>Virgin Media</w:t>
      </w:r>
      <w:r>
        <w:rPr>
          <w:rFonts w:ascii="Times New Roman" w:cs="Times New Roman" w:eastAsia="Times New Roman" w:hAnsi="Times New Roman"/>
          <w:sz w:val="18"/>
          <w:szCs w:val="18"/>
          <w:color w:val="auto"/>
        </w:rPr>
        <w:t>), we provide video, broadband internet, fixed-line telephony and mobile services in the United Kingdom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and Ireland. Through Ziggo Group Holding B.V. (</w:t>
      </w:r>
      <w:r>
        <w:rPr>
          <w:rFonts w:ascii="Times New Roman" w:cs="Times New Roman" w:eastAsia="Times New Roman" w:hAnsi="Times New Roman"/>
          <w:sz w:val="18"/>
          <w:szCs w:val="18"/>
          <w:b w:val="1"/>
          <w:bCs w:val="1"/>
          <w:color w:val="auto"/>
        </w:rPr>
        <w:t>Ziggo Group Holding</w:t>
      </w:r>
      <w:r>
        <w:rPr>
          <w:rFonts w:ascii="Times New Roman" w:cs="Times New Roman" w:eastAsia="Times New Roman" w:hAnsi="Times New Roman"/>
          <w:sz w:val="18"/>
          <w:szCs w:val="18"/>
          <w:color w:val="auto"/>
        </w:rPr>
        <w:t>) and Unitymedia GmbH (</w:t>
      </w:r>
      <w:r>
        <w:rPr>
          <w:rFonts w:ascii="Times New Roman" w:cs="Times New Roman" w:eastAsia="Times New Roman" w:hAnsi="Times New Roman"/>
          <w:sz w:val="18"/>
          <w:szCs w:val="18"/>
          <w:b w:val="1"/>
          <w:bCs w:val="1"/>
          <w:color w:val="auto"/>
        </w:rPr>
        <w:t>Unitymedia</w:t>
      </w:r>
      <w:r>
        <w:rPr>
          <w:rFonts w:ascii="Times New Roman" w:cs="Times New Roman" w:eastAsia="Times New Roman" w:hAnsi="Times New Roman"/>
          <w:sz w:val="18"/>
          <w:szCs w:val="18"/>
          <w:color w:val="auto"/>
        </w:rPr>
        <w:t>), each a wholly-owned subsidiary, and Telenet Group Holding N.V. (</w:t>
      </w:r>
      <w:r>
        <w:rPr>
          <w:rFonts w:ascii="Times New Roman" w:cs="Times New Roman" w:eastAsia="Times New Roman" w:hAnsi="Times New Roman"/>
          <w:sz w:val="18"/>
          <w:szCs w:val="18"/>
          <w:b w:val="1"/>
          <w:bCs w:val="1"/>
          <w:color w:val="auto"/>
        </w:rPr>
        <w:t>Telenet</w:t>
      </w:r>
      <w:r>
        <w:rPr>
          <w:rFonts w:ascii="Times New Roman" w:cs="Times New Roman" w:eastAsia="Times New Roman" w:hAnsi="Times New Roman"/>
          <w:sz w:val="18"/>
          <w:szCs w:val="18"/>
          <w:color w:val="auto"/>
        </w:rPr>
        <w:t>), a 57.1%-owned subsidiary, we provide video, broadband internet, fixed-line telephony and mobile services in the Netherlands, Germany and Belgium, respectively. Through our wholly-owned subsidiary UPC Holding B.V. (</w:t>
      </w:r>
      <w:r>
        <w:rPr>
          <w:rFonts w:ascii="Times New Roman" w:cs="Times New Roman" w:eastAsia="Times New Roman" w:hAnsi="Times New Roman"/>
          <w:sz w:val="18"/>
          <w:szCs w:val="18"/>
          <w:b w:val="1"/>
          <w:bCs w:val="1"/>
          <w:color w:val="auto"/>
        </w:rPr>
        <w:t>UPC Holding</w:t>
      </w:r>
      <w:r>
        <w:rPr>
          <w:rFonts w:ascii="Times New Roman" w:cs="Times New Roman" w:eastAsia="Times New Roman" w:hAnsi="Times New Roman"/>
          <w:sz w:val="18"/>
          <w:szCs w:val="18"/>
          <w:color w:val="auto"/>
        </w:rPr>
        <w:t>), we provide (i) video, broadband internet and fixed-line telephony services in seven other European countries and (ii) mobile services in four other European countries. The operations of Virgin Media, Ziggo Group Holding, Unitymedia, Telenet and UPC Holding are collectively referred to herein as the “</w:t>
      </w:r>
      <w:r>
        <w:rPr>
          <w:rFonts w:ascii="Times New Roman" w:cs="Times New Roman" w:eastAsia="Times New Roman" w:hAnsi="Times New Roman"/>
          <w:sz w:val="18"/>
          <w:szCs w:val="18"/>
          <w:b w:val="1"/>
          <w:bCs w:val="1"/>
          <w:color w:val="auto"/>
        </w:rPr>
        <w:t>European Operations Division</w:t>
      </w:r>
      <w:r>
        <w:rPr>
          <w:rFonts w:ascii="Times New Roman" w:cs="Times New Roman" w:eastAsia="Times New Roman" w:hAnsi="Times New Roman"/>
          <w:sz w:val="18"/>
          <w:szCs w:val="18"/>
          <w:color w:val="auto"/>
        </w:rPr>
        <w:t>.” In Chile, we provide video, broadband internet, fixed-line telephony and mobile services through our wholly-owned subsidiary VTR.com SpA (</w:t>
      </w:r>
      <w:r>
        <w:rPr>
          <w:rFonts w:ascii="Times New Roman" w:cs="Times New Roman" w:eastAsia="Times New Roman" w:hAnsi="Times New Roman"/>
          <w:sz w:val="18"/>
          <w:szCs w:val="18"/>
          <w:b w:val="1"/>
          <w:bCs w:val="1"/>
          <w:color w:val="auto"/>
        </w:rPr>
        <w:t>VTR</w:t>
      </w:r>
      <w:r>
        <w:rPr>
          <w:rFonts w:ascii="Times New Roman" w:cs="Times New Roman" w:eastAsia="Times New Roman" w:hAnsi="Times New Roman"/>
          <w:sz w:val="18"/>
          <w:szCs w:val="18"/>
          <w:color w:val="auto"/>
        </w:rPr>
        <w:t>), the successor to VTR GlobalCom SpA. In Puerto Rico, we provide video, broadband internet and fixed-line telephony services through Liberty Cablevision of Puerto Rico LLC (</w:t>
      </w:r>
      <w:r>
        <w:rPr>
          <w:rFonts w:ascii="Times New Roman" w:cs="Times New Roman" w:eastAsia="Times New Roman" w:hAnsi="Times New Roman"/>
          <w:sz w:val="18"/>
          <w:szCs w:val="18"/>
          <w:b w:val="1"/>
          <w:bCs w:val="1"/>
          <w:color w:val="auto"/>
        </w:rPr>
        <w:t>Liberty Puerto Rico</w:t>
      </w:r>
      <w:r>
        <w:rPr>
          <w:rFonts w:ascii="Times New Roman" w:cs="Times New Roman" w:eastAsia="Times New Roman" w:hAnsi="Times New Roman"/>
          <w:sz w:val="18"/>
          <w:szCs w:val="18"/>
          <w:color w:val="auto"/>
        </w:rPr>
        <w:t>), an entity in which we hold a 60.0% ownership interest. The operations of VTR and Liberty Puerto Rico are collectively referred to herein as the “</w:t>
      </w:r>
      <w:r>
        <w:rPr>
          <w:rFonts w:ascii="Times New Roman" w:cs="Times New Roman" w:eastAsia="Times New Roman" w:hAnsi="Times New Roman"/>
          <w:sz w:val="18"/>
          <w:szCs w:val="18"/>
          <w:b w:val="1"/>
          <w:bCs w:val="1"/>
          <w:color w:val="auto"/>
        </w:rPr>
        <w:t>LiLAC Division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1, 2015, we completed the approved steps of the “</w:t>
      </w:r>
      <w:r>
        <w:rPr>
          <w:rFonts w:ascii="Times New Roman" w:cs="Times New Roman" w:eastAsia="Times New Roman" w:hAnsi="Times New Roman"/>
          <w:sz w:val="18"/>
          <w:szCs w:val="18"/>
          <w:b w:val="1"/>
          <w:bCs w:val="1"/>
          <w:color w:val="auto"/>
        </w:rPr>
        <w:t>LiLAC Transaction</w:t>
      </w:r>
      <w:r>
        <w:rPr>
          <w:rFonts w:ascii="Times New Roman" w:cs="Times New Roman" w:eastAsia="Times New Roman" w:hAnsi="Times New Roman"/>
          <w:sz w:val="18"/>
          <w:szCs w:val="18"/>
          <w:color w:val="auto"/>
        </w:rPr>
        <w:t xml:space="preserve">” whereby we (i) reclassified our then outstanding Class A, Class B and Class C Liberty Global ordinary shares into corresponding classes of new Liberty Global ordinary shares (collectively, the </w:t>
      </w:r>
      <w:r>
        <w:rPr>
          <w:rFonts w:ascii="Times New Roman" w:cs="Times New Roman" w:eastAsia="Times New Roman" w:hAnsi="Times New Roman"/>
          <w:sz w:val="18"/>
          <w:szCs w:val="18"/>
          <w:b w:val="1"/>
          <w:bCs w:val="1"/>
          <w:color w:val="auto"/>
        </w:rPr>
        <w:t>Liberty Global Shares</w:t>
      </w:r>
      <w:r>
        <w:rPr>
          <w:rFonts w:ascii="Times New Roman" w:cs="Times New Roman" w:eastAsia="Times New Roman" w:hAnsi="Times New Roman"/>
          <w:sz w:val="18"/>
          <w:szCs w:val="18"/>
          <w:color w:val="auto"/>
        </w:rPr>
        <w:t xml:space="preserve">) and (ii) capitalized a portion of our share premium account and distributed as a dividend (or a “bonus issue” under U.K. law) our LiLAC Class A, Class B and Class C ordinary shares (collectively, the </w:t>
      </w:r>
      <w:r>
        <w:rPr>
          <w:rFonts w:ascii="Times New Roman" w:cs="Times New Roman" w:eastAsia="Times New Roman" w:hAnsi="Times New Roman"/>
          <w:sz w:val="18"/>
          <w:szCs w:val="18"/>
          <w:b w:val="1"/>
          <w:bCs w:val="1"/>
          <w:color w:val="auto"/>
        </w:rPr>
        <w:t>LiLAC Shares</w:t>
      </w:r>
      <w:r>
        <w:rPr>
          <w:rFonts w:ascii="Times New Roman" w:cs="Times New Roman" w:eastAsia="Times New Roman" w:hAnsi="Times New Roman"/>
          <w:sz w:val="18"/>
          <w:szCs w:val="18"/>
          <w:color w:val="auto"/>
        </w:rPr>
        <w:t>). In these notes, the term “</w:t>
      </w:r>
      <w:r>
        <w:rPr>
          <w:rFonts w:ascii="Times New Roman" w:cs="Times New Roman" w:eastAsia="Times New Roman" w:hAnsi="Times New Roman"/>
          <w:sz w:val="18"/>
          <w:szCs w:val="18"/>
          <w:b w:val="1"/>
          <w:bCs w:val="1"/>
          <w:color w:val="auto"/>
        </w:rPr>
        <w:t>Old Liberty Global Shares</w:t>
      </w:r>
      <w:r>
        <w:rPr>
          <w:rFonts w:ascii="Times New Roman" w:cs="Times New Roman" w:eastAsia="Times New Roman" w:hAnsi="Times New Roman"/>
          <w:sz w:val="18"/>
          <w:szCs w:val="18"/>
          <w:color w:val="auto"/>
        </w:rPr>
        <w:t>” refers to our previously-outstanding Class A, Class B and Class C Liberty Global ordinary shares. The impact of the LiLAC Transaction on our capitalization and earnings or loss per share presentation has been reflected in these condensed consolidated financial statements prospectively from July 1, 2015. Accordingly, (a) our net loss attributed to Liberty Global Shares and LiLAC Shares relates to the three months ended March 31, 2016 and (b) our net loss attributed to Old Liberty Global Shares relates to the three months ended March 31, 2015.</w:t>
      </w:r>
    </w:p>
    <w:p>
      <w:pPr>
        <w:spacing w:after="0" w:line="189" w:lineRule="exact"/>
        <w:rPr>
          <w:sz w:val="20"/>
          <w:szCs w:val="20"/>
          <w:color w:val="auto"/>
        </w:rPr>
      </w:pPr>
    </w:p>
    <w:p>
      <w:pPr>
        <w:ind w:right="2220" w:firstLine="324"/>
        <w:spacing w:after="0" w:line="276" w:lineRule="auto"/>
        <w:rPr>
          <w:sz w:val="20"/>
          <w:szCs w:val="20"/>
          <w:color w:val="auto"/>
        </w:rPr>
      </w:pPr>
      <w:r>
        <w:rPr>
          <w:rFonts w:ascii="Times New Roman" w:cs="Times New Roman" w:eastAsia="Times New Roman" w:hAnsi="Times New Roman"/>
          <w:sz w:val="17"/>
          <w:szCs w:val="17"/>
          <w:color w:val="auto"/>
        </w:rPr>
        <w:t>The Liberty Global Shares and the LiLAC Shares are tracking shares. Tracking shares are intended by the issuing company to reflect or “track” the economic performance of a particular business or “group,” rather than the economic performance of the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company as a whole. The Liberty Global Shares and the LiLAC Shares are intended to track the economic performance of the Liberty Global Group and the LiLAC Group, respectively (each as defined and described below). While the Liberty Global Group and the LiLAC Group have separate collections of businesses, assets and liabilities attributed to them, neither group is a separate legal entity and therefore cannot own assets, issue securities or enter into legally binding agreements. Holders of tracking shares have no direct claim to the group’s assets and are not represented by separate boards of directors. Instead, holders of tracking shares are shareholders of the parent corporation, with a single board of directors, and are subject to all of the risks and liabilities of the parent corporation. We and our subsidiaries each continue to be responsible for our respective liabilities. Holders of Liberty Global Shares, LiLAC Shares and any other of our capital shares designated as ordinary shares from time to time will continue to be subject to risks associated with an investment in our company as a whole, even if a holder does not own both Liberty Global Shares and LiLAC Shares.</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LiLAC Group</w:t>
      </w:r>
      <w:r>
        <w:rPr>
          <w:rFonts w:ascii="Times New Roman" w:cs="Times New Roman" w:eastAsia="Times New Roman" w:hAnsi="Times New Roman"/>
          <w:sz w:val="18"/>
          <w:szCs w:val="18"/>
          <w:color w:val="auto"/>
        </w:rPr>
        <w:t>” comprises our businesses, assets and liabilities in Latin America and the Caribbean and has attributed to it (i) VTR Finance B.V. (</w:t>
      </w:r>
      <w:r>
        <w:rPr>
          <w:rFonts w:ascii="Times New Roman" w:cs="Times New Roman" w:eastAsia="Times New Roman" w:hAnsi="Times New Roman"/>
          <w:sz w:val="18"/>
          <w:szCs w:val="18"/>
          <w:b w:val="1"/>
          <w:bCs w:val="1"/>
          <w:color w:val="auto"/>
        </w:rPr>
        <w:t>VTR Finance</w:t>
      </w:r>
      <w:r>
        <w:rPr>
          <w:rFonts w:ascii="Times New Roman" w:cs="Times New Roman" w:eastAsia="Times New Roman" w:hAnsi="Times New Roman"/>
          <w:sz w:val="18"/>
          <w:szCs w:val="18"/>
          <w:color w:val="auto"/>
        </w:rPr>
        <w:t>) and its subsidiaries, which include VTR, (ii) Lila Chile Holding B.V., which is the parent entity of VTR Finance, (iii) LiLAC Holdings Inc. (</w:t>
      </w:r>
      <w:r>
        <w:rPr>
          <w:rFonts w:ascii="Times New Roman" w:cs="Times New Roman" w:eastAsia="Times New Roman" w:hAnsi="Times New Roman"/>
          <w:sz w:val="18"/>
          <w:szCs w:val="18"/>
          <w:b w:val="1"/>
          <w:bCs w:val="1"/>
          <w:color w:val="auto"/>
        </w:rPr>
        <w:t>LiLAC Holdings</w:t>
      </w:r>
      <w:r>
        <w:rPr>
          <w:rFonts w:ascii="Times New Roman" w:cs="Times New Roman" w:eastAsia="Times New Roman" w:hAnsi="Times New Roman"/>
          <w:sz w:val="18"/>
          <w:szCs w:val="18"/>
          <w:color w:val="auto"/>
        </w:rPr>
        <w:t>) and its subsidiaries, which include Liberty Puerto Rico, (iv) LGE Coral Holdco Limited (</w:t>
      </w:r>
      <w:r>
        <w:rPr>
          <w:rFonts w:ascii="Times New Roman" w:cs="Times New Roman" w:eastAsia="Times New Roman" w:hAnsi="Times New Roman"/>
          <w:sz w:val="18"/>
          <w:szCs w:val="18"/>
          <w:b w:val="1"/>
          <w:bCs w:val="1"/>
          <w:color w:val="auto"/>
        </w:rPr>
        <w:t>LGE Coral</w:t>
      </w:r>
      <w:r>
        <w:rPr>
          <w:rFonts w:ascii="Times New Roman" w:cs="Times New Roman" w:eastAsia="Times New Roman" w:hAnsi="Times New Roman"/>
          <w:sz w:val="18"/>
          <w:szCs w:val="18"/>
          <w:color w:val="auto"/>
        </w:rPr>
        <w:t xml:space="preserve">) and its subsidiary, which were formed in anticipation of the acquisition of CWC (as defined and described in note 3), and (v) prior to July 1, 2015, the costs associated with certain corporate employees of Liberty Global that are exclusively focused on the management of the LiLAC Group (the </w:t>
      </w:r>
      <w:r>
        <w:rPr>
          <w:rFonts w:ascii="Times New Roman" w:cs="Times New Roman" w:eastAsia="Times New Roman" w:hAnsi="Times New Roman"/>
          <w:sz w:val="18"/>
          <w:szCs w:val="18"/>
          <w:b w:val="1"/>
          <w:bCs w:val="1"/>
          <w:color w:val="auto"/>
        </w:rPr>
        <w:t>LiLAC Corporate Costs</w:t>
      </w:r>
      <w:r>
        <w:rPr>
          <w:rFonts w:ascii="Times New Roman" w:cs="Times New Roman" w:eastAsia="Times New Roman" w:hAnsi="Times New Roman"/>
          <w:sz w:val="18"/>
          <w:szCs w:val="18"/>
          <w:color w:val="auto"/>
        </w:rPr>
        <w:t>). Effective July 1, 2015, these corporate employees were transferred to LiLAC Holdings. The “</w:t>
      </w:r>
      <w:r>
        <w:rPr>
          <w:rFonts w:ascii="Times New Roman" w:cs="Times New Roman" w:eastAsia="Times New Roman" w:hAnsi="Times New Roman"/>
          <w:sz w:val="18"/>
          <w:szCs w:val="18"/>
          <w:b w:val="1"/>
          <w:bCs w:val="1"/>
          <w:color w:val="auto"/>
        </w:rPr>
        <w:t>Liberty Global Group</w:t>
      </w:r>
      <w:r>
        <w:rPr>
          <w:rFonts w:ascii="Times New Roman" w:cs="Times New Roman" w:eastAsia="Times New Roman" w:hAnsi="Times New Roman"/>
          <w:sz w:val="18"/>
          <w:szCs w:val="18"/>
          <w:color w:val="auto"/>
        </w:rPr>
        <w:t>” comprises our businesses, assets and liabilities not attributed to the LiLAC Group, including Virgin Media, Ziggo Group Holding, Unitymedia, Telenet, UPC Holding, our corporate entities (excluding the LiLAC Corporate Costs) and certain other less significant entities.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33"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tracking share capital structure, including unaudited attributed financial information of the Liberty Global Group and the LiLAC Group, see Exhibit 99.1 to this Quarterly Report on Form 10-Q.</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accounting principles generally accepted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2015 consolidated financial statements and notes thereto included in our 2015 Annual Report on Form 10-K.</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programming and copyright costs, deferred income taxes and related valuation allowances, loss contingencies, fair value measurements, impairment assessments, capitalization of internal costs associated with construction and installation activities, useful lives of long-lived assets, share-based compensation and actuarial liabilities associated with certain benefit plans. Actual results could differ from those estimates.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ownership percentages and convenience translations into United States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dollars are calculated as of March 31, 2016.</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prior period amounts, including deferred financing costs, have been reclassified to conform to the current period presentation. For additional information regarding the change in the classification of deferred financing costs, see note 2.</w:t>
      </w:r>
    </w:p>
    <w:p>
      <w:pPr>
        <w:spacing w:after="0" w:line="158"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Changes and Recent Accounting Pronouncements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April 2015,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No. 2015-03, </w:t>
      </w:r>
      <w:r>
        <w:rPr>
          <w:rFonts w:ascii="Times New Roman" w:cs="Times New Roman" w:eastAsia="Times New Roman" w:hAnsi="Times New Roman"/>
          <w:sz w:val="18"/>
          <w:szCs w:val="18"/>
          <w:i w:val="1"/>
          <w:iCs w:val="1"/>
          <w:color w:val="auto"/>
        </w:rPr>
        <w:t>Simplifying the 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Debt Issuance Costs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 2015-03</w:t>
      </w:r>
      <w:r>
        <w:rPr>
          <w:rFonts w:ascii="Times New Roman" w:cs="Times New Roman" w:eastAsia="Times New Roman" w:hAnsi="Times New Roman"/>
          <w:sz w:val="18"/>
          <w:szCs w:val="18"/>
          <w:color w:val="auto"/>
        </w:rPr>
        <w:t>), which requires debt issuance costs related to a recognized debt liability to be presented on the balance sheet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deduction from the debt liability, similar to the presentation of debt discounts. For public entities, ASU 2015-03 is effective for annual reporting periods beginning after December 15, 2015. We adopted ASU 2015-03 on January 1, 2016 and, accordingly, deferred financing costs are presented as a reduction of debt in our March 31, 2016 and December 31, 2015 condensed consolidated balance sheets. Prior to the adoption of ASU 2015-03, we presented deferred financing costs in other assets, net.</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2014-09</w:t>
      </w:r>
      <w:r>
        <w:rPr>
          <w:rFonts w:ascii="Times New Roman" w:cs="Times New Roman" w:eastAsia="Times New Roman" w:hAnsi="Times New Roman"/>
          <w:sz w:val="18"/>
          <w:szCs w:val="18"/>
          <w:color w:val="auto"/>
        </w:rPr>
        <w:t>), which requires an entity to recognize the amount of revenue to which it expects to be entitled for the transfer of promised goods or services to customers. ASU 2014-09, as amended by ASU No. 2015-14, will replace existing revenue recognition guidance when it becomes effective for annual and interim reporting periods beginning after December 15, 2017. Early application is permitted for annual and interim reporting periods that begin after December 15, 2016. This new standard permits the use of either the retrospective or cumulative effect transition method. We will adopt ASU 2014-09 effective January 1, 2018, and we are currently evaluating the effect that ASU 2014-09 will have on our consolidated financial statements and related disclosures. We have not yet selected a transition method nor have we determined the effect of the standard on our ongoing financial reporting.</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2016-02</w:t>
      </w:r>
      <w:r>
        <w:rPr>
          <w:rFonts w:ascii="Times New Roman" w:cs="Times New Roman" w:eastAsia="Times New Roman" w:hAnsi="Times New Roman"/>
          <w:sz w:val="18"/>
          <w:szCs w:val="18"/>
          <w:color w:val="auto"/>
        </w:rPr>
        <w:t>), which, for most leases, will result in lessees recognizing lease assets and lease liabilities on the balance sheet with additional disclosures about leasing arrangements. ASU 2016-02 requires lessees and lessors to recognize and measure leases at the beginning of the earliest period presented using a modified retrospective approach. The modified retrospective approach also includes a number of optional practical expedients an entity may elect to apply. ASU 2016-02 is effective for annual reporting periods beginning after December 15, 2018, with early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9"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 permitted. We are currently evaluating the effect that ASU 2016-02 will have on our consolidated financial statements and related disclosures.</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 2016-09</w:t>
      </w:r>
      <w:r>
        <w:rPr>
          <w:rFonts w:ascii="Times New Roman" w:cs="Times New Roman" w:eastAsia="Times New Roman" w:hAnsi="Times New Roman"/>
          <w:sz w:val="18"/>
          <w:szCs w:val="18"/>
          <w:color w:val="auto"/>
        </w:rPr>
        <w:t>), which simplifies several aspects of the accounting for share-based payment transactions, including income tax consequences,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of awards as either equity or liabilities and classification within the statement of cash flows. ASU 2016-09 is effective for annual reporting periods beginning after December 15, 2016, with early adoption permitted. We are currently evaluating the effect that ASU 2016-09 will have on our consolidated financial statements and related disclosures.</w:t>
      </w:r>
    </w:p>
    <w:p>
      <w:pPr>
        <w:spacing w:after="0" w:line="4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 and Joint Venture Transactions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Pending Joint Venture Transaction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February 15, 2016, we and Liberty Global Europe Holding B.V., our wholly-owned subsidiary, entered into a Contribution and Transfer Agreement (the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with Vodafone Group plc (</w:t>
      </w:r>
      <w:r>
        <w:rPr>
          <w:rFonts w:ascii="Times New Roman" w:cs="Times New Roman" w:eastAsia="Times New Roman" w:hAnsi="Times New Roman"/>
          <w:sz w:val="18"/>
          <w:szCs w:val="18"/>
          <w:b w:val="1"/>
          <w:bCs w:val="1"/>
          <w:color w:val="auto"/>
        </w:rPr>
        <w:t>Vodafone</w:t>
      </w:r>
      <w:r>
        <w:rPr>
          <w:rFonts w:ascii="Times New Roman" w:cs="Times New Roman" w:eastAsia="Times New Roman" w:hAnsi="Times New Roman"/>
          <w:sz w:val="18"/>
          <w:szCs w:val="18"/>
          <w:color w:val="auto"/>
        </w:rPr>
        <w:t xml:space="preserve">) and one of its wholly-owned subsidiaries. Pursuant to the Contribution Agreement, our company and Vodafone agreed to form a 50:50 joint venture (the </w:t>
      </w:r>
      <w:r>
        <w:rPr>
          <w:rFonts w:ascii="Times New Roman" w:cs="Times New Roman" w:eastAsia="Times New Roman" w:hAnsi="Times New Roman"/>
          <w:sz w:val="18"/>
          <w:szCs w:val="18"/>
          <w:b w:val="1"/>
          <w:bCs w:val="1"/>
          <w:color w:val="auto"/>
        </w:rPr>
        <w:t>Dutch JV</w:t>
      </w:r>
      <w:r>
        <w:rPr>
          <w:rFonts w:ascii="Times New Roman" w:cs="Times New Roman" w:eastAsia="Times New Roman" w:hAnsi="Times New Roman"/>
          <w:sz w:val="18"/>
          <w:szCs w:val="18"/>
          <w:color w:val="auto"/>
        </w:rPr>
        <w:t>), which will combine Ziggo Group Holding and our Sport1 premium sports channel with Vodafone’s mobile businesses in the Netherlands (</w:t>
      </w:r>
      <w:r>
        <w:rPr>
          <w:rFonts w:ascii="Times New Roman" w:cs="Times New Roman" w:eastAsia="Times New Roman" w:hAnsi="Times New Roman"/>
          <w:sz w:val="18"/>
          <w:szCs w:val="18"/>
          <w:b w:val="1"/>
          <w:bCs w:val="1"/>
          <w:color w:val="auto"/>
        </w:rPr>
        <w:t>Vodafone NL</w:t>
      </w:r>
      <w:r>
        <w:rPr>
          <w:rFonts w:ascii="Times New Roman" w:cs="Times New Roman" w:eastAsia="Times New Roman" w:hAnsi="Times New Roman"/>
          <w:sz w:val="18"/>
          <w:szCs w:val="18"/>
          <w:color w:val="auto"/>
        </w:rPr>
        <w:t>) to create a national unified communications provider in the Netherlands with complementary strengths across video, broadband, mobile and business-to-business (</w:t>
      </w:r>
      <w:r>
        <w:rPr>
          <w:rFonts w:ascii="Times New Roman" w:cs="Times New Roman" w:eastAsia="Times New Roman" w:hAnsi="Times New Roman"/>
          <w:sz w:val="18"/>
          <w:szCs w:val="18"/>
          <w:b w:val="1"/>
          <w:bCs w:val="1"/>
          <w:color w:val="auto"/>
        </w:rPr>
        <w:t>B2B</w:t>
      </w:r>
      <w:r>
        <w:rPr>
          <w:rFonts w:ascii="Times New Roman" w:cs="Times New Roman" w:eastAsia="Times New Roman" w:hAnsi="Times New Roman"/>
          <w:sz w:val="18"/>
          <w:szCs w:val="18"/>
          <w:color w:val="auto"/>
        </w:rPr>
        <w:t>) services.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closing of the transaction contemplated by the Contribution Agreement, Vodafone will pay to our company an equalization payment equal to approximately €1.0 billion ($1.1 billion), as adjusted for the net debt of Ziggo Group Holding and Vodafone NL at the time of closing and certain working capital adjustments. Ziggo Group Holding will be contributed to the Dutch JV together with its outstanding third-party debt, while our Sport1 premium channel and Vodafone’s business in the Netherlands will be contributed on a debt and cash free basis.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parties expect to raise additional debt financing at the Dutch JV to increase the Dutch JV’s net leverage ratio to a level that ranges between 4.5 and 5 times EBITDA (as calculated pursuant to Ziggo Group Holding’s existing financing arrangements) and to make a pro rata distribution of the net proceeds from the additional debt to our company and Vodafone. The Dutch JV will be required to make regular cash distributions to the shareholders on a pro rata basis equal to the unrestricted cash held by the Dutch JV (subject to the Dutch JV maintaining a minimum amount of cash and complying with the terms of its financing arrangements). As an ongoing operation, it is intended that the Dutch JV will be funded solely from its net cash flow from operations and third-party financing. This transaction will not trigger any of Ziggo Group Holding’s requirements under its debt agreements to redeem its outstanding debt pursuant to applicable change in control provisions.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completion of the transaction, we expect to account for our 50% interest in the Dutch JV as an equity method investment, and we expect to attribute our 50% interest in the Dutch JV to the Liberty Global Group.</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consummation of the transaction contemplated by the Contribution Agreement is subject to certain conditions, including competition clearance by the applicable regulatory authority in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It is anticipated that the transaction will close around the end of 2016. The Contribution Agreement also includes customary termination rights, including a right of the parties to terminate the transaction if it has not closed by August 15, 2017.</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CWC. </w:t>
      </w:r>
      <w:r>
        <w:rPr>
          <w:rFonts w:ascii="Times New Roman" w:cs="Times New Roman" w:eastAsia="Times New Roman" w:hAnsi="Times New Roman"/>
          <w:sz w:val="18"/>
          <w:szCs w:val="18"/>
          <w:color w:val="auto"/>
        </w:rPr>
        <w:t>On November 16, 2015, we announced, pursuant to Rule 2.7 of the U.K. City Code on Takeovers and Mergers, the terms of a pending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we would acquire Cable &amp; Wireless Communications Plc (</w:t>
      </w:r>
      <w:r>
        <w:rPr>
          <w:rFonts w:ascii="Times New Roman" w:cs="Times New Roman" w:eastAsia="Times New Roman" w:hAnsi="Times New Roman"/>
          <w:sz w:val="18"/>
          <w:szCs w:val="18"/>
          <w:b w:val="1"/>
          <w:bCs w:val="1"/>
          <w:color w:val="auto"/>
        </w:rPr>
        <w:t>CWC</w:t>
      </w:r>
      <w:r>
        <w:rPr>
          <w:rFonts w:ascii="Times New Roman" w:cs="Times New Roman" w:eastAsia="Times New Roman" w:hAnsi="Times New Roman"/>
          <w:sz w:val="18"/>
          <w:szCs w:val="18"/>
          <w:color w:val="auto"/>
        </w:rPr>
        <w:t>) for shares of Liberty Global in a scheme of arrangement. Under the terms of the transaction, CWC shareholders will be entitled to receive up to, in the aggregate: 31,651,616 Class A Liberty Global Shares, 77,488,978 Class C Liberty Global Shares, 3,648,524 Class A LiLAC Shares and 8,939,328 Class C LiLAC Shares. Further, CWC shareholders will be entitled to receive a special dividend in the amount of £0.03 ($0.04) per CWC share at the closing of the transaction, which will be in lieu of any previously-announced CWC dividend. We expect that the dividend and estimated fees and expenses will be funded from CWC liquidity, including incremental debt borrowings, and LiLAC Group liquidity. In April 2016, Liberty Global and CWC each received shareholder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9"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approval for the transaction, and the court hearing to sanction the scheme of arrangement is scheduled for May 11, 2016. Assuming the court sanctions the scheme of arrangement on May 11, 2016, we expect to complete the acquisition on May 16, 2016.</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completion of the acquisition of CWC, we intend to attribute CWC to the LiLAC Group, with the Liberty Global Group being granted an inter-group interest in the LiLAC Group. Based on the fully-diluted numbers of Liberty Global Shares, LiLAC Shares and CWC shares outstanding on November 16, 2015, after giving effect to the acquisition and such attribution, and treating the Liberty Global Group’s inter-group interest in the LiLAC Group as being represented by additional LiLAC Shares, Liberty Global Group shareholders would have had an approximate 67.4% ownership interest in the LiLAC Group.</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2016 Acquisition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BASE Acquisition</w:t>
      </w:r>
      <w:r>
        <w:rPr>
          <w:rFonts w:ascii="Times New Roman" w:cs="Times New Roman" w:eastAsia="Times New Roman" w:hAnsi="Times New Roman"/>
          <w:sz w:val="18"/>
          <w:szCs w:val="18"/>
          <w:color w:val="auto"/>
        </w:rPr>
        <w:t>. On February 11, 2016, pursuant to a definitive agreement and following regulatory approval, Telenet acquired BASE Company NV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w:t>
      </w:r>
      <w:r>
        <w:rPr>
          <w:rFonts w:ascii="Times New Roman" w:cs="Times New Roman" w:eastAsia="Times New Roman" w:hAnsi="Times New Roman"/>
          <w:sz w:val="18"/>
          <w:szCs w:val="18"/>
          <w:color w:val="auto"/>
        </w:rPr>
        <w:t xml:space="preserve">) for a cash purchase price of €1,321.9 million ($1,497.7 million at the transaction date) (the </w:t>
      </w:r>
      <w:r>
        <w:rPr>
          <w:rFonts w:ascii="Times New Roman" w:cs="Times New Roman" w:eastAsia="Times New Roman" w:hAnsi="Times New Roman"/>
          <w:sz w:val="18"/>
          <w:szCs w:val="18"/>
          <w:b w:val="1"/>
          <w:bCs w:val="1"/>
          <w:color w:val="auto"/>
        </w:rPr>
        <w:t>BASE Acquisition</w:t>
      </w:r>
      <w:r>
        <w:rPr>
          <w:rFonts w:ascii="Times New Roman" w:cs="Times New Roman" w:eastAsia="Times New Roman" w:hAnsi="Times New Roman"/>
          <w:sz w:val="18"/>
          <w:szCs w:val="18"/>
          <w:color w:val="auto"/>
        </w:rPr>
        <w:t>). BASE is the third-largest mobile network operator in Belgium. We expect that the BASE Acquisition will provide Telenet with cost-effective long-term mobile access to effectively compete for future growth opportunities in the Belgium mobile market. The BASE Acquisition was funded through a combination of €1.0 billion ($1.1 billion at the transaction date) of new debt facilities and existing liquidity of Telenet. The acquisition was approved by the European Commission subject to Telenet’s agreement to divest both the JIM Mobile prepaid customer base and BASE’s 50% stake in Viking Co NV (</w:t>
      </w:r>
      <w:r>
        <w:rPr>
          <w:rFonts w:ascii="Times New Roman" w:cs="Times New Roman" w:eastAsia="Times New Roman" w:hAnsi="Times New Roman"/>
          <w:sz w:val="18"/>
          <w:szCs w:val="18"/>
          <w:b w:val="1"/>
          <w:bCs w:val="1"/>
          <w:color w:val="auto"/>
        </w:rPr>
        <w:t>Viking</w:t>
      </w:r>
      <w:r>
        <w:rPr>
          <w:rFonts w:ascii="Times New Roman" w:cs="Times New Roman" w:eastAsia="Times New Roman" w:hAnsi="Times New Roman"/>
          <w:sz w:val="18"/>
          <w:szCs w:val="18"/>
          <w:color w:val="auto"/>
        </w:rPr>
        <w:t>) to MEDIALAAN NV. In February 2016, Telenet completed the sale of its stake in Viking. The divestiture of the JIM Mobile prepaid customer base is expected to be phased over the 18-month period following the BASE Acquisition date.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accounted for the BASE Acquisition using the acquisition method of accounting, whereby the total purchase price was allocated to the acquired identifiable net assets of BASE based on assessments of their respective fair values, and the excess of the purchase price over the fair values of these identifiable net assets was allocated to goodwill. The preliminary opening balance sheet is subject to adjustment based on our final assessment of the fair values of the acquired identifiable assets and liabilities. Although most items in the valuation process remain open, the items with the highest likelihood of changing upon finalization of the valuation process include property and equipment, goodwill, intangible assets associated with mobile spectrum, customer relationships and trademarks and income taxes. A summary of the purchase price and the preliminary opening balance sheet for the BASE Acquisition at the February 11, 2016 acquisition date is presented in the following table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786.4</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w:t>
            </w: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Mobile spectrum (b)</w:t>
            </w: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 (c)</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43"/>
        </w:trPr>
        <w:tc>
          <w:tcPr>
            <w:tcW w:w="9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 (d)</w:t>
            </w: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57"/>
        </w:trPr>
        <w:tc>
          <w:tcPr>
            <w:tcW w:w="9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purchase price (e)</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1,497.7</w:t>
            </w: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recognized in connection with the BASE Acquisition is primarily attributable to (i) the ability to take advantage of BASE’s existing mobile network to gain immediate access to potential customers and (ii) synergies that are expected to be achieved through the integration of BASE with Telenet.</w:t>
      </w:r>
    </w:p>
    <w:p>
      <w:pPr>
        <w:spacing w:after="0" w:line="176"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11, 2016, the weighted average useful life of BASE’s mobile spectrum was approximately 11 years.</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11, 2016, the weighted average useful life of BASE’s customer relationships was approximately six years.</w:t>
      </w:r>
    </w:p>
    <w:p>
      <w:pPr>
        <w:sectPr>
          <w:pgSz w:w="11900" w:h="16838" w:orient="portrait"/>
          <w:cols w:equalWidth="0" w:num="1">
            <w:col w:w="11420"/>
          </w:cols>
          <w:pgMar w:left="240" w:top="27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9" w:right="2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11, 2016, the weighted average useful life of BASE’s trademarks was approximately 20 years.</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direct acquisition costs of $11.2 million, including $1.2 million incurred during the first quarter of 2016, which are included in impairment, restructuring and other operating items, net, in our consolidated statements of operations.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2015 Acquisition</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On June 3, 2015, pursuant to a stock purchase agreement with the parent of Puerto Rico Cable Acquisition Company Inc., dba Choice Cable TV (</w:t>
      </w:r>
      <w:r>
        <w:rPr>
          <w:rFonts w:ascii="Times New Roman" w:cs="Times New Roman" w:eastAsia="Times New Roman" w:hAnsi="Times New Roman"/>
          <w:sz w:val="18"/>
          <w:szCs w:val="18"/>
          <w:b w:val="1"/>
          <w:bCs w:val="1"/>
          <w:color w:val="auto"/>
        </w:rPr>
        <w:t>Choice</w:t>
      </w:r>
      <w:r>
        <w:rPr>
          <w:rFonts w:ascii="Times New Roman" w:cs="Times New Roman" w:eastAsia="Times New Roman" w:hAnsi="Times New Roman"/>
          <w:sz w:val="18"/>
          <w:szCs w:val="18"/>
          <w:color w:val="auto"/>
        </w:rPr>
        <w:t xml:space="preserve">) and following regulatory approval, one of our subsidiaries, together with investment funds affiliated with Searchlight Capital Partners, L.P. (collectively, </w:t>
      </w:r>
      <w:r>
        <w:rPr>
          <w:rFonts w:ascii="Times New Roman" w:cs="Times New Roman" w:eastAsia="Times New Roman" w:hAnsi="Times New Roman"/>
          <w:sz w:val="18"/>
          <w:szCs w:val="18"/>
          <w:b w:val="1"/>
          <w:bCs w:val="1"/>
          <w:color w:val="auto"/>
        </w:rPr>
        <w:t>Searchlight</w:t>
      </w:r>
      <w:r>
        <w:rPr>
          <w:rFonts w:ascii="Times New Roman" w:cs="Times New Roman" w:eastAsia="Times New Roman" w:hAnsi="Times New Roman"/>
          <w:sz w:val="18"/>
          <w:szCs w:val="18"/>
          <w:color w:val="auto"/>
        </w:rPr>
        <w:t>), acquired 100% of Choice (the</w:t>
      </w:r>
      <w:r>
        <w:rPr>
          <w:rFonts w:ascii="Times New Roman" w:cs="Times New Roman" w:eastAsia="Times New Roman" w:hAnsi="Times New Roman"/>
          <w:sz w:val="18"/>
          <w:szCs w:val="18"/>
          <w:b w:val="1"/>
          <w:bCs w:val="1"/>
          <w:color w:val="auto"/>
        </w:rPr>
        <w:t xml:space="preserve"> Choice Acquisition</w:t>
      </w:r>
      <w:r>
        <w:rPr>
          <w:rFonts w:ascii="Times New Roman" w:cs="Times New Roman" w:eastAsia="Times New Roman" w:hAnsi="Times New Roman"/>
          <w:sz w:val="18"/>
          <w:szCs w:val="18"/>
          <w:color w:val="auto"/>
        </w:rPr>
        <w:t>). Choice is a cable and broadband services provider in Puerto Rico. We acquired Choice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achieve certain financial, operational and strategic benefits through the integration of Choice with Liberty Puerto Rico. The combined business is 60.0%-owned by our company and 40.0%-owned by Searchlight.</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purchase price for Choice of $276.4 million was funded through (i) Liberty Puerto Rico’s incremental debt borrowings, net of discount and fees, of $259.1 million, (ii) cash of $10.5 million and (iii) an equity contribution from Searchlight of $6.8 million.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accounted for the Choice Acquisition using the acquisition method of accounting, whereby the total purchase price was allocated to the acquired identifiable net assets of Choice based on assessments of their respective fair values, and the excess of the purchase price over the fair values of these identifiable net assets was allocated to goodwill. A summary of the purchase price and opening balance sheet for the Choice Acquisition at the June 3, 2015 acquisition date is presented in the following table. The opening balance sheet presented below reflects our final purchase price allocation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w:t>
            </w: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subject to amortization, net (b)</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Franchise rights</w:t>
            </w: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57"/>
        </w:trPr>
        <w:tc>
          <w:tcPr>
            <w:tcW w:w="9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purchase price (c)</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recognized in connection with the Choice Acquisition is primarily attributable to (i) the ability to take advantage of Choice’s existing advanced broadband communications network to gain immediate access to potential customers and (ii) synergies that are expected to be achieved through the integration of Choice with Liberty Puerto Rico.</w:t>
      </w:r>
    </w:p>
    <w:p>
      <w:pPr>
        <w:spacing w:after="0" w:line="176"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primarily includes intangible assets related to customer relationships. As of June 3, 2015, the weighted average useful life of Choice’s intangible assets was approximately ten years.</w:t>
      </w:r>
    </w:p>
    <w:p>
      <w:pPr>
        <w:spacing w:after="0" w:line="16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direct acquisition costs of $8.5 million incurred through December 31, 2015, which were included in impairment, restructuring and other operating items, net, in our consolidated statement of operations for the year ended December 31, 2015.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9"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 Forma Information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consolidated operating results give effect to (i) the Choice Acquisition and (ii) the BASE Acquisition, as if they had been completed as of January 1, 2015. These pro forma amounts are not necessarily indicative of the operating results that would have occurred if these transactions had occurred on such date. The pro forma adjustments are based on certain assumptions that we believe are reasonable. In the following table, we present the revenue that is attributed to the Liberty Global Group and the LiLAC Group as if such revenue had been attributed to each group at the beginning of each period presented. However, our presentation of net loss and basic and diluted loss per share attributed to (a) Liberty Global Shares, (b) LiLAC Shares and (c) Old Liberty Global Shares only includes the results of operations for the periods during which these shares were outstanding. Accordingly, (1) our net loss attributed to Liberty Global Shares and LiLAC Shares relates to the period from January 1, 2016 through March 31, 2016 and (2) our net loss attributed to Old Liberty Global Shares relates to the period from January 1, 2015 through March 31, 2015.</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4"/>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70"/>
        </w:trPr>
        <w:tc>
          <w:tcPr>
            <w:tcW w:w="8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3"/>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60" w:type="dxa"/>
            <w:vAlign w:val="bottom"/>
          </w:tcPr>
          <w:p>
            <w:pPr>
              <w:spacing w:after="0"/>
              <w:rPr>
                <w:sz w:val="23"/>
                <w:szCs w:val="23"/>
                <w:color w:val="auto"/>
              </w:rPr>
            </w:pPr>
          </w:p>
        </w:tc>
      </w:tr>
      <w:tr>
        <w:trPr>
          <w:trHeight w:val="33"/>
        </w:trPr>
        <w:tc>
          <w:tcPr>
            <w:tcW w:w="8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8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8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207"/>
        </w:trPr>
        <w:tc>
          <w:tcPr>
            <w:tcW w:w="8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4"/>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in millions, except per share</w:t>
            </w:r>
          </w:p>
        </w:tc>
      </w:tr>
      <w:tr>
        <w:trPr>
          <w:trHeight w:val="212"/>
        </w:trPr>
        <w:tc>
          <w:tcPr>
            <w:tcW w:w="8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w w:val="98"/>
              </w:rPr>
              <w:t>amounts</w:t>
            </w:r>
          </w:p>
        </w:tc>
        <w:tc>
          <w:tcPr>
            <w:tcW w:w="760" w:type="dxa"/>
            <w:vAlign w:val="bottom"/>
          </w:tcPr>
          <w:p>
            <w:pPr>
              <w:spacing w:after="0"/>
              <w:rPr>
                <w:sz w:val="18"/>
                <w:szCs w:val="18"/>
                <w:color w:val="auto"/>
              </w:rPr>
            </w:pPr>
          </w:p>
        </w:tc>
      </w:tr>
      <w:tr>
        <w:trPr>
          <w:trHeight w:val="33"/>
        </w:trPr>
        <w:tc>
          <w:tcPr>
            <w:tcW w:w="8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4,358.5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4,398.7</w:t>
            </w:r>
          </w:p>
        </w:tc>
      </w:tr>
      <w:tr>
        <w:trPr>
          <w:trHeight w:val="27"/>
        </w:trPr>
        <w:tc>
          <w:tcPr>
            <w:tcW w:w="8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309.9</w:t>
            </w:r>
          </w:p>
        </w:tc>
      </w:tr>
      <w:tr>
        <w:trPr>
          <w:trHeight w:val="297"/>
        </w:trPr>
        <w:tc>
          <w:tcPr>
            <w:tcW w:w="89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4,662.4</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4,708.6</w:t>
            </w:r>
          </w:p>
        </w:tc>
      </w:tr>
      <w:tr>
        <w:trPr>
          <w:trHeight w:val="257"/>
        </w:trPr>
        <w:tc>
          <w:tcPr>
            <w:tcW w:w="8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43"/>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Liberty Global shareholders: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Shares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Shares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Old Liberty Global Shares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r>
      <w:tr>
        <w:trPr>
          <w:trHeight w:val="297"/>
        </w:trPr>
        <w:tc>
          <w:tcPr>
            <w:tcW w:w="8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w:t>
            </w:r>
          </w:p>
        </w:tc>
      </w:tr>
      <w:tr>
        <w:trPr>
          <w:trHeight w:val="257"/>
        </w:trPr>
        <w:tc>
          <w:tcPr>
            <w:tcW w:w="8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43"/>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and diluted loss attributable to Liberty Global shareholders per share:</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4"/>
        </w:trPr>
        <w:tc>
          <w:tcPr>
            <w:tcW w:w="8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Shares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0"/>
        </w:trPr>
        <w:tc>
          <w:tcPr>
            <w:tcW w:w="8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91"/>
        </w:trPr>
        <w:tc>
          <w:tcPr>
            <w:tcW w:w="8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LiLAC Shares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r>
      <w:tr>
        <w:trPr>
          <w:trHeight w:val="237"/>
        </w:trPr>
        <w:tc>
          <w:tcPr>
            <w:tcW w:w="8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Old Liberty Global Shares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0"/>
        </w:trPr>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condensed consolidated statement of operations for the three months ended March 31, 2016 includes revenue of $90.0 million (after intercompany eliminations) and net loss of $3.0 million attributable to BASE.</w:t>
      </w:r>
    </w:p>
    <w:p>
      <w:pPr>
        <w:spacing w:after="0" w:line="117"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general, we seek to enter into derivative instruments to protect against (i) increases in the interest rates on our variable-rate debt and (ii) foreign currency movements, particularly with respect to borrowings that are denominated in a currency other than the functional currency of the borrowing entity. In this regard, through our subsidiaries, we have entered into various derivative instruments to manage interest rate exposure and foreign currency exposure with respect to the U.S. dollar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euro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British pound sterling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Swiss franc (</w:t>
      </w:r>
      <w:r>
        <w:rPr>
          <w:rFonts w:ascii="Times New Roman" w:cs="Times New Roman" w:eastAsia="Times New Roman" w:hAnsi="Times New Roman"/>
          <w:sz w:val="18"/>
          <w:szCs w:val="18"/>
          <w:b w:val="1"/>
          <w:bCs w:val="1"/>
          <w:color w:val="auto"/>
        </w:rPr>
        <w:t>CHF</w:t>
      </w:r>
      <w:r>
        <w:rPr>
          <w:rFonts w:ascii="Times New Roman" w:cs="Times New Roman" w:eastAsia="Times New Roman" w:hAnsi="Times New Roman"/>
          <w:sz w:val="18"/>
          <w:szCs w:val="18"/>
          <w:color w:val="auto"/>
        </w:rPr>
        <w:t>), the Chilean peso (</w:t>
      </w:r>
      <w:r>
        <w:rPr>
          <w:rFonts w:ascii="Times New Roman" w:cs="Times New Roman" w:eastAsia="Times New Roman" w:hAnsi="Times New Roman"/>
          <w:sz w:val="18"/>
          <w:szCs w:val="18"/>
          <w:b w:val="1"/>
          <w:bCs w:val="1"/>
          <w:color w:val="auto"/>
        </w:rPr>
        <w:t>CLP</w:t>
      </w:r>
      <w:r>
        <w:rPr>
          <w:rFonts w:ascii="Times New Roman" w:cs="Times New Roman" w:eastAsia="Times New Roman" w:hAnsi="Times New Roman"/>
          <w:sz w:val="18"/>
          <w:szCs w:val="18"/>
          <w:color w:val="auto"/>
        </w:rPr>
        <w:t>), the Czech koruna (</w:t>
      </w:r>
      <w:r>
        <w:rPr>
          <w:rFonts w:ascii="Times New Roman" w:cs="Times New Roman" w:eastAsia="Times New Roman" w:hAnsi="Times New Roman"/>
          <w:sz w:val="18"/>
          <w:szCs w:val="18"/>
          <w:b w:val="1"/>
          <w:bCs w:val="1"/>
          <w:color w:val="auto"/>
        </w:rPr>
        <w:t>CZK</w:t>
      </w:r>
      <w:r>
        <w:rPr>
          <w:rFonts w:ascii="Times New Roman" w:cs="Times New Roman" w:eastAsia="Times New Roman" w:hAnsi="Times New Roman"/>
          <w:sz w:val="18"/>
          <w:szCs w:val="18"/>
          <w:color w:val="auto"/>
        </w:rPr>
        <w:t>), the Hungarian forint (</w:t>
      </w:r>
      <w:r>
        <w:rPr>
          <w:rFonts w:ascii="Times New Roman" w:cs="Times New Roman" w:eastAsia="Times New Roman" w:hAnsi="Times New Roman"/>
          <w:sz w:val="18"/>
          <w:szCs w:val="18"/>
          <w:b w:val="1"/>
          <w:bCs w:val="1"/>
          <w:color w:val="auto"/>
        </w:rPr>
        <w:t>HUF</w:t>
      </w:r>
      <w:r>
        <w:rPr>
          <w:rFonts w:ascii="Times New Roman" w:cs="Times New Roman" w:eastAsia="Times New Roman" w:hAnsi="Times New Roman"/>
          <w:sz w:val="18"/>
          <w:szCs w:val="18"/>
          <w:color w:val="auto"/>
        </w:rPr>
        <w:t>), the Polish zloty (</w:t>
      </w:r>
      <w:r>
        <w:rPr>
          <w:rFonts w:ascii="Times New Roman" w:cs="Times New Roman" w:eastAsia="Times New Roman" w:hAnsi="Times New Roman"/>
          <w:sz w:val="18"/>
          <w:szCs w:val="18"/>
          <w:b w:val="1"/>
          <w:bCs w:val="1"/>
          <w:color w:val="auto"/>
        </w:rPr>
        <w:t>PLN</w:t>
      </w:r>
      <w:r>
        <w:rPr>
          <w:rFonts w:ascii="Times New Roman" w:cs="Times New Roman" w:eastAsia="Times New Roman" w:hAnsi="Times New Roman"/>
          <w:sz w:val="18"/>
          <w:szCs w:val="18"/>
          <w:color w:val="auto"/>
        </w:rPr>
        <w:t>) and the Romanian lei (</w:t>
      </w:r>
      <w:r>
        <w:rPr>
          <w:rFonts w:ascii="Times New Roman" w:cs="Times New Roman" w:eastAsia="Times New Roman" w:hAnsi="Times New Roman"/>
          <w:sz w:val="18"/>
          <w:szCs w:val="18"/>
          <w:b w:val="1"/>
          <w:bCs w:val="1"/>
          <w:color w:val="auto"/>
        </w:rPr>
        <w:t>RON</w:t>
      </w:r>
      <w:r>
        <w:rPr>
          <w:rFonts w:ascii="Times New Roman" w:cs="Times New Roman" w:eastAsia="Times New Roman" w:hAnsi="Times New Roman"/>
          <w:sz w:val="18"/>
          <w:szCs w:val="18"/>
          <w:color w:val="auto"/>
        </w:rPr>
        <w:t>). With the exception of a limited number of our foreign currency forward contracts,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9" w:right="2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details of the fair values of our derivative instrument assets and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Long-term (a)</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Long-term (a)</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5"/>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Cross-currency and interest rate derivative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1,782.1</w:t>
            </w:r>
          </w:p>
        </w:tc>
      </w:tr>
      <w:tr>
        <w:trPr>
          <w:trHeight w:val="243"/>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303.5</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3320" w:type="dxa"/>
            <w:vAlign w:val="bottom"/>
            <w:shd w:val="clear" w:color="auto" w:fill="CCEEFF"/>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cross-currency and interest rate</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61"/>
        </w:trPr>
        <w:tc>
          <w:tcPr>
            <w:tcW w:w="3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derivative contracts (b)</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2,085.6</w:t>
            </w:r>
          </w:p>
        </w:tc>
      </w:tr>
      <w:tr>
        <w:trPr>
          <w:trHeight w:val="205"/>
        </w:trPr>
        <w:tc>
          <w:tcPr>
            <w:tcW w:w="33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Equity-related derivative instruments –</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4"/>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Liberty Global Group (c)</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408.5</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05"/>
        </w:trPr>
        <w:tc>
          <w:tcPr>
            <w:tcW w:w="332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foreign currency forward</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4"/>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contracts</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 Liberty Global Group</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1"/>
        </w:trPr>
        <w:tc>
          <w:tcPr>
            <w:tcW w:w="3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2,198.4</w:t>
            </w: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307.7</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2,506.1</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5"/>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Cross-currency and interest rate derivative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1,499.6</w:t>
            </w:r>
          </w:p>
        </w:tc>
      </w:tr>
      <w:tr>
        <w:trPr>
          <w:trHeight w:val="243"/>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3320" w:type="dxa"/>
            <w:vAlign w:val="bottom"/>
            <w:shd w:val="clear" w:color="auto" w:fill="CCEEFF"/>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cross-currency and interest rate</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61"/>
        </w:trPr>
        <w:tc>
          <w:tcPr>
            <w:tcW w:w="3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derivative contracts (b)</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1,513.4</w:t>
            </w:r>
          </w:p>
        </w:tc>
      </w:tr>
      <w:tr>
        <w:trPr>
          <w:trHeight w:val="205"/>
        </w:trPr>
        <w:tc>
          <w:tcPr>
            <w:tcW w:w="33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Equity-related derivative instruments –</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4"/>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Liberty Global Group (c)</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332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foreign currency forward</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4"/>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contracts</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 Liberty Global Group</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1"/>
        </w:trPr>
        <w:tc>
          <w:tcPr>
            <w:tcW w:w="3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1,580.8</w:t>
            </w: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1,594.6</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79" w:right="25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279" w:right="25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500" w:right="2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derivative assets and liabilities are included in other assets, net, and other long-term liabilities, respectively, in our condensed consolidated balance sheets.</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3"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credit risk in our fair value assessments. As of March 31, 2016 and December 31, 2015, (i) the fair values of our cross-currency and interest rate derivative contracts that represented assets have been reduced by credit risk valuation adjustments aggregating $77.5 million and $64.0 million, respectively, and (ii) the fair values of our cross-currency and interest rate derivative contracts that represented liabilities have been reduced by credit risk valuation adjustments aggregating $123.9 million and $86.5 million, respectively. The adjustments to our derivative assets relate to the credit risk associated with counterparty nonperformance, and the adjustments to our derivative liabilities relate to credit risk associated with our own nonperformance. In all cases, the adjustments take into account offsetting liability or asset positions within a given contract. Our determination of credit risk valuation adjustments generally is based on our and our counterparties’ credit risks, as observed in the credit default swap market and market quotations for certain of our subsidiaries’ debt instruments, as applicable. The changes in the credit risk valuation adjustments associated with our cross-currency and interest rate derivative contracts resulted in a net gain (loss) of $21.4 million and ($16.9 million) during the three months ended March 31, 2016 and 2015, respectively. These amounts are included in realized and unrealized gains (losses) on derivative instruments, net, in our condensed consolidated statements of operations. For further information regarding our fair value measurements, see note 5.</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equity-related derivative instruments primarily include the fair value of (i) the share collar (the </w:t>
      </w:r>
      <w:r>
        <w:rPr>
          <w:rFonts w:ascii="Times New Roman" w:cs="Times New Roman" w:eastAsia="Times New Roman" w:hAnsi="Times New Roman"/>
          <w:sz w:val="18"/>
          <w:szCs w:val="18"/>
          <w:b w:val="1"/>
          <w:bCs w:val="1"/>
          <w:color w:val="auto"/>
        </w:rPr>
        <w:t>ITV Collar</w:t>
      </w:r>
      <w:r>
        <w:rPr>
          <w:rFonts w:ascii="Times New Roman" w:cs="Times New Roman" w:eastAsia="Times New Roman" w:hAnsi="Times New Roman"/>
          <w:sz w:val="18"/>
          <w:szCs w:val="18"/>
          <w:color w:val="auto"/>
        </w:rPr>
        <w:t>) with respect to ITV plc (</w:t>
      </w:r>
      <w:r>
        <w:rPr>
          <w:rFonts w:ascii="Times New Roman" w:cs="Times New Roman" w:eastAsia="Times New Roman" w:hAnsi="Times New Roman"/>
          <w:sz w:val="18"/>
          <w:szCs w:val="18"/>
          <w:b w:val="1"/>
          <w:bCs w:val="1"/>
          <w:color w:val="auto"/>
        </w:rPr>
        <w:t>ITV</w:t>
      </w:r>
      <w:r>
        <w:rPr>
          <w:rFonts w:ascii="Times New Roman" w:cs="Times New Roman" w:eastAsia="Times New Roman" w:hAnsi="Times New Roman"/>
          <w:sz w:val="18"/>
          <w:szCs w:val="18"/>
          <w:color w:val="auto"/>
        </w:rPr>
        <w:t xml:space="preserve">) shares held by our company, (ii) the share collar (the </w:t>
      </w:r>
      <w:r>
        <w:rPr>
          <w:rFonts w:ascii="Times New Roman" w:cs="Times New Roman" w:eastAsia="Times New Roman" w:hAnsi="Times New Roman"/>
          <w:sz w:val="18"/>
          <w:szCs w:val="18"/>
          <w:b w:val="1"/>
          <w:bCs w:val="1"/>
          <w:color w:val="auto"/>
        </w:rPr>
        <w:t>Sumitomo Collar</w:t>
      </w:r>
      <w:r>
        <w:rPr>
          <w:rFonts w:ascii="Times New Roman" w:cs="Times New Roman" w:eastAsia="Times New Roman" w:hAnsi="Times New Roman"/>
          <w:sz w:val="18"/>
          <w:szCs w:val="18"/>
          <w:color w:val="auto"/>
        </w:rPr>
        <w:t xml:space="preserve">) with respect to the shares of Sumitomo Corporation held by our company, (iii) the prepaid forward transaction (the </w:t>
      </w:r>
      <w:r>
        <w:rPr>
          <w:rFonts w:ascii="Times New Roman" w:cs="Times New Roman" w:eastAsia="Times New Roman" w:hAnsi="Times New Roman"/>
          <w:sz w:val="18"/>
          <w:szCs w:val="18"/>
          <w:b w:val="1"/>
          <w:bCs w:val="1"/>
          <w:color w:val="auto"/>
        </w:rPr>
        <w:t>Lionsgate Forward</w:t>
      </w:r>
      <w:r>
        <w:rPr>
          <w:rFonts w:ascii="Times New Roman" w:cs="Times New Roman" w:eastAsia="Times New Roman" w:hAnsi="Times New Roman"/>
          <w:sz w:val="18"/>
          <w:szCs w:val="18"/>
          <w:color w:val="auto"/>
        </w:rPr>
        <w:t>) with respect to 2.5 million of the shares of Lions Gate Entertainment Corp (</w:t>
      </w:r>
      <w:r>
        <w:rPr>
          <w:rFonts w:ascii="Times New Roman" w:cs="Times New Roman" w:eastAsia="Times New Roman" w:hAnsi="Times New Roman"/>
          <w:sz w:val="18"/>
          <w:szCs w:val="18"/>
          <w:b w:val="1"/>
          <w:bCs w:val="1"/>
          <w:color w:val="auto"/>
        </w:rPr>
        <w:t>Lionsgate</w:t>
      </w:r>
      <w:r>
        <w:rPr>
          <w:rFonts w:ascii="Times New Roman" w:cs="Times New Roman" w:eastAsia="Times New Roman" w:hAnsi="Times New Roman"/>
          <w:sz w:val="18"/>
          <w:szCs w:val="18"/>
          <w:color w:val="auto"/>
        </w:rPr>
        <w:t xml:space="preserve">) held by our company and (iv) Virgin Media’s conversion hedges (the </w:t>
      </w:r>
      <w:r>
        <w:rPr>
          <w:rFonts w:ascii="Times New Roman" w:cs="Times New Roman" w:eastAsia="Times New Roman" w:hAnsi="Times New Roman"/>
          <w:sz w:val="18"/>
          <w:szCs w:val="18"/>
          <w:b w:val="1"/>
          <w:bCs w:val="1"/>
          <w:color w:val="auto"/>
        </w:rPr>
        <w:t>Virgin Media Capped Calls</w:t>
      </w:r>
      <w:r>
        <w:rPr>
          <w:rFonts w:ascii="Times New Roman" w:cs="Times New Roman" w:eastAsia="Times New Roman" w:hAnsi="Times New Roman"/>
          <w:sz w:val="18"/>
          <w:szCs w:val="18"/>
          <w:color w:val="auto"/>
        </w:rPr>
        <w:t>) with respect to Virgin Media’s 6.50% convertible senior notes. The fair values of the ITV Collar, the Sumitomo Collar and the Lionsgate Forward do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9"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realized and unrealized gains (losses) on derivative instruments, net,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3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4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662.3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37"/>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cross-currency and interest rate derivative contracts</w:t>
            </w:r>
          </w:p>
        </w:tc>
        <w:tc>
          <w:tcPr>
            <w:tcW w:w="3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740.5</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Equity-related derivative instruments – Liberty Global Group:</w:t>
            </w:r>
          </w:p>
        </w:tc>
        <w:tc>
          <w:tcPr>
            <w:tcW w:w="3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ITV Collar</w:t>
            </w:r>
          </w:p>
        </w:tc>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Sumitomo Collar</w:t>
            </w:r>
          </w:p>
        </w:tc>
        <w:tc>
          <w:tcPr>
            <w:tcW w:w="3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Lionsgate Forward</w:t>
            </w:r>
          </w:p>
        </w:tc>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equity-related derivative instruments</w:t>
            </w:r>
          </w:p>
        </w:tc>
        <w:tc>
          <w:tcPr>
            <w:tcW w:w="3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foreign currency forward contracts</w:t>
            </w:r>
          </w:p>
        </w:tc>
        <w:tc>
          <w:tcPr>
            <w:tcW w:w="3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 Liberty Global Group</w:t>
            </w:r>
          </w:p>
        </w:tc>
        <w:tc>
          <w:tcPr>
            <w:tcW w:w="3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18"/>
        </w:trPr>
        <w:tc>
          <w:tcPr>
            <w:tcW w:w="50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3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539.1</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LiLAC Group</w:t>
            </w:r>
          </w:p>
        </w:tc>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4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foreign currency forward contracts that are used to hedge capital expenditures, the net cash received or paid is classified as an adjustment to capital expenditures in our condensed consolidated statements of cash flows. For derivative contracts that are terminated prior to maturity, the cash paid or received upon termination that relates to future periods is classified as a financing activity. The classification of these net cash outflows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57"/>
        </w:trPr>
        <w:tc>
          <w:tcPr>
            <w:tcW w:w="8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3"/>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7"/>
        </w:trPr>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 (a)</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 (a)</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outflows: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7"/>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0" w:type="dxa"/>
            <w:vAlign w:val="bottom"/>
          </w:tcPr>
          <w:p>
            <w:pPr>
              <w:spacing w:after="0"/>
              <w:rPr>
                <w:sz w:val="1"/>
                <w:szCs w:val="1"/>
                <w:color w:val="auto"/>
              </w:rPr>
            </w:pPr>
          </w:p>
        </w:tc>
      </w:tr>
      <w:tr>
        <w:trPr>
          <w:trHeight w:val="27"/>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attributed to the Liberty Global Group.</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Collateral is generally not posted by either party under the derivative instruments of our subsidiary borrowing groups. At March 31, 2016, our exposure to counterparty credit risk included derivative assets with an aggregate fair value of $1,661.5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our Derivative Instruments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following tables, we present the details of the various categories of our subsidiaries’ derivative instruments. For each subsidiary with multiple derivative instruments that mature within the same calendar month, the notional amounts are shown in the aggregate, and interest rates are presented on a weighted average basis. In addition, for derivative instruments that were in effect as of March 31, 2016, we present a single date that represents the applicable final maturity date. For derivative instruments that become effective subsequent to March 31, 2016, we present a range of dates that represents the period covered by the applicable derivative instruments.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9" w:right="23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Cross-currency and Interest Rate Derivative Contracts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Cross-currency Swaps: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of our outstanding cross-currency swap contracts at March 31, 2016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500" w:type="dxa"/>
            <w:vAlign w:val="bottom"/>
          </w:tcPr>
          <w:p>
            <w:pPr>
              <w:spacing w:after="0"/>
              <w:rPr>
                <w:sz w:val="17"/>
                <w:szCs w:val="17"/>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00" w:type="dxa"/>
            <w:vAlign w:val="bottom"/>
          </w:tcPr>
          <w:p>
            <w:pPr>
              <w:spacing w:after="0"/>
              <w:rPr>
                <w:sz w:val="17"/>
                <w:szCs w:val="17"/>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203"/>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w:t>
            </w:r>
          </w:p>
        </w:tc>
        <w:tc>
          <w:tcPr>
            <w:tcW w:w="220" w:type="dxa"/>
            <w:vAlign w:val="bottom"/>
          </w:tcPr>
          <w:p>
            <w:pPr>
              <w:spacing w:after="0"/>
              <w:rPr>
                <w:sz w:val="17"/>
                <w:szCs w:val="17"/>
                <w:color w:val="auto"/>
              </w:rPr>
            </w:pPr>
          </w:p>
        </w:tc>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due from</w:t>
            </w:r>
          </w:p>
        </w:tc>
        <w:tc>
          <w:tcPr>
            <w:tcW w:w="500" w:type="dxa"/>
            <w:vAlign w:val="bottom"/>
          </w:tcPr>
          <w:p>
            <w:pPr>
              <w:spacing w:after="0"/>
              <w:rPr>
                <w:sz w:val="17"/>
                <w:szCs w:val="17"/>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due from</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due to (from)</w:t>
            </w:r>
          </w:p>
        </w:tc>
      </w:tr>
      <w:tr>
        <w:trPr>
          <w:trHeight w:val="212"/>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Final maturity date</w:t>
            </w:r>
          </w:p>
        </w:tc>
        <w:tc>
          <w:tcPr>
            <w:tcW w:w="220" w:type="dxa"/>
            <w:vAlign w:val="bottom"/>
          </w:tcPr>
          <w:p>
            <w:pPr>
              <w:spacing w:after="0"/>
              <w:rPr>
                <w:sz w:val="18"/>
                <w:szCs w:val="18"/>
                <w:color w:val="auto"/>
              </w:rPr>
            </w:pPr>
          </w:p>
        </w:tc>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50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counterparty</w:t>
            </w:r>
          </w:p>
        </w:tc>
      </w:tr>
      <w:tr>
        <w:trPr>
          <w:trHeight w:val="33"/>
        </w:trPr>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17"/>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4"/>
          </w:tcPr>
          <w:p>
            <w:pPr>
              <w:ind w:left="11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6"/>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21"/>
        </w:trPr>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Virgin Media Investment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20"/>
        </w:trPr>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Holdings Limited (</w:t>
            </w:r>
            <w:r>
              <w:rPr>
                <w:rFonts w:ascii="Times New Roman" w:cs="Times New Roman" w:eastAsia="Times New Roman" w:hAnsi="Times New Roman"/>
                <w:sz w:val="18"/>
                <w:szCs w:val="18"/>
                <w:b w:val="1"/>
                <w:bCs w:val="1"/>
                <w:color w:val="auto"/>
              </w:rPr>
              <w:t>VMIH</w:t>
            </w:r>
            <w:r>
              <w:rPr>
                <w:rFonts w:ascii="Times New Roman" w:cs="Times New Roman" w:eastAsia="Times New Roman" w:hAnsi="Times New Roman"/>
                <w:sz w:val="18"/>
                <w:szCs w:val="18"/>
                <w:color w:val="auto"/>
              </w:rPr>
              <w:t>), a</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41"/>
        </w:trPr>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subsidiary of Virgin Media:</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5.75%</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4.33%</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June 2023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1,855.0</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1,198.3</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+ 2.75%</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 GBP LIBOR + 3.18%</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February 2022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1,400.0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5.01%</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5.49%</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2023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648.6</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5.32%</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2021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447.9</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 GBP LIBOR + 2.06%</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October 2022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450.0</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6.43%</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425.0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5.40%</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2022 - January 2025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425.0</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 mo. LIBOR</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4.86%</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April 2019</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191.5</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5.38%</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5.49%</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April 2023 (a)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180.0</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1.78%</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February 2022 - April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4.88%</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October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7.23%</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February 2022 (a)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0.56%</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November 2016 (a)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7.03%</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October 2019 - October 2022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5.75%</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1"/>
        </w:trPr>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UPC Broadband Holding B.V.</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20"/>
        </w:trPr>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UPC Broadband Holding</w:t>
            </w:r>
            <w:r>
              <w:rPr>
                <w:rFonts w:ascii="Times New Roman" w:cs="Times New Roman" w:eastAsia="Times New Roman" w:hAnsi="Times New Roman"/>
                <w:sz w:val="18"/>
                <w:szCs w:val="18"/>
                <w:color w:val="auto"/>
              </w:rPr>
              <w:t>), a</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41"/>
        </w:trPr>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subsidiary of UPC Holding:</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1,140.0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1,043.7</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5.38%</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3.71%</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2021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440.0</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+ 2.50%</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 EURIBOR + 2.87%</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2017 - July 2021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262.1</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21"/>
                <w:szCs w:val="21"/>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+ 2.50%</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 EURIBOR + 2.51%</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November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250.0</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7.74%</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2021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170.6</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+ 4.88%</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7.49%</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October 2020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21"/>
                <w:szCs w:val="21"/>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+ 3.00%</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 EURIBOR + 3.04%</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81.9</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+ 5.04%</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7.19%</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2020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73.1</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1"/>
                <w:szCs w:val="21"/>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+ 4.87%</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 EURIBOR + 4.87%</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49.4</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+ 5.04%</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 EURIBOR + 5.11%</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December 2016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CHF</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Pr>
          <w:p>
            <w:pPr>
              <w:spacing w:after="0"/>
              <w:rPr>
                <w:sz w:val="21"/>
                <w:szCs w:val="21"/>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+ 3.50%</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 CHF LIBOR + 4.01%</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2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2016 (a)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225.0</w:t>
            </w: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CHF</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21"/>
                <w:szCs w:val="21"/>
                <w:color w:val="auto"/>
              </w:rPr>
            </w:pPr>
          </w:p>
        </w:tc>
        <w:tc>
          <w:tcPr>
            <w:tcW w:w="2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+ 4.81%</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r>
      <w:tr>
        <w:trPr>
          <w:trHeight w:val="27"/>
        </w:trPr>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60"/>
          </w:cols>
          <w:pgMar w:left="240" w:top="279" w:right="299" w:bottom="1440" w:gutter="0" w:footer="0" w:header="0"/>
        </w:sectPr>
      </w:pP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279" w:right="299" w:bottom="1440" w:gutter="0" w:footer="0" w:header="0"/>
          <w:type w:val="continuous"/>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580" w:type="dxa"/>
            <w:vAlign w:val="bottom"/>
          </w:tcPr>
          <w:p>
            <w:pPr>
              <w:spacing w:after="0"/>
              <w:rPr>
                <w:sz w:val="17"/>
                <w:szCs w:val="17"/>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80" w:type="dxa"/>
            <w:vAlign w:val="bottom"/>
          </w:tcPr>
          <w:p>
            <w:pPr>
              <w:spacing w:after="0"/>
              <w:rPr>
                <w:sz w:val="17"/>
                <w:szCs w:val="17"/>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203"/>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w:t>
            </w:r>
          </w:p>
        </w:tc>
        <w:tc>
          <w:tcPr>
            <w:tcW w:w="220" w:type="dxa"/>
            <w:vAlign w:val="bottom"/>
          </w:tcPr>
          <w:p>
            <w:pPr>
              <w:spacing w:after="0"/>
              <w:rPr>
                <w:sz w:val="17"/>
                <w:szCs w:val="17"/>
                <w:color w:val="auto"/>
              </w:rPr>
            </w:pPr>
          </w:p>
        </w:tc>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due from</w:t>
            </w:r>
          </w:p>
        </w:tc>
        <w:tc>
          <w:tcPr>
            <w:tcW w:w="580" w:type="dxa"/>
            <w:vAlign w:val="bottom"/>
          </w:tcPr>
          <w:p>
            <w:pPr>
              <w:spacing w:after="0"/>
              <w:rPr>
                <w:sz w:val="17"/>
                <w:szCs w:val="17"/>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due from</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due to (from)</w:t>
            </w:r>
          </w:p>
        </w:tc>
      </w:tr>
      <w:tr>
        <w:trPr>
          <w:trHeight w:val="212"/>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Final maturity date</w:t>
            </w:r>
          </w:p>
        </w:tc>
        <w:tc>
          <w:tcPr>
            <w:tcW w:w="220" w:type="dxa"/>
            <w:vAlign w:val="bottom"/>
          </w:tcPr>
          <w:p>
            <w:pPr>
              <w:spacing w:after="0"/>
              <w:rPr>
                <w:sz w:val="18"/>
                <w:szCs w:val="18"/>
                <w:color w:val="auto"/>
              </w:rPr>
            </w:pPr>
          </w:p>
        </w:tc>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counterparty</w:t>
            </w:r>
          </w:p>
        </w:tc>
      </w:tr>
      <w:tr>
        <w:trPr>
          <w:trHeight w:val="33"/>
        </w:trPr>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17"/>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1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519"/>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2016 - January 2020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225.0</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4"/>
                <w:szCs w:val="24"/>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+ 4.81%</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5.44%</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2021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200.0</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+ 2.50%</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 CHF LIBOR + 2.55%</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2017 - July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200.0</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21"/>
                <w:szCs w:val="21"/>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+ 2.50%</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 CHF LIBOR + 2.48%</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November 2021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175.0</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 CHF LIBOR + 5.01%</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2017 - July 2021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+ 2.50%</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 CHF LIBOR + 2.49%</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2016 (a)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201.5</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RON</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+ 3.50%</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1.40%</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2016 - July 2020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201.5</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RON</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21"/>
                <w:szCs w:val="21"/>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+ 3.50%</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11.34%</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2021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720.8</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 mo. EURIBOR + 2.50%</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 CHF LIBOR + 2.62%</w:t>
            </w:r>
          </w:p>
        </w:tc>
      </w:tr>
      <w:tr>
        <w:trPr>
          <w:trHeight w:val="225"/>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2017 - September</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4"/>
        </w:trPr>
        <w:tc>
          <w:tcPr>
            <w:tcW w:w="2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383.8</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tcPr>
          <w:p>
            <w:pPr>
              <w:spacing w:after="0"/>
              <w:rPr>
                <w:sz w:val="20"/>
                <w:szCs w:val="20"/>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 mo. EURIBOR + 2.00%</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 CHF LIBOR + 2.22%</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360.4</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 mo. EURIBOR + 3.75%</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 CHF LIBOR + 3.94%</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October 2016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285.1</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(0.73)%</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October 2016 - January 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285.1</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9.42%</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2020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175.0</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7.63%</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6.76%</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107.4</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 mo. EURIBOR + 3.00%</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 CHF LIBOR + 3.28%</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85.3</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1"/>
                <w:szCs w:val="21"/>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 mo. EURIBOR + 2.21%</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 CHF LIBOR + 2.65%</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2021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76.1</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 mo. EURIBOR + 2.50%</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 CHF LIBOR + 2.88%</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2017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75.0</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7.63%</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6.98%</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318.9</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CZK</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8,818.7</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5.44%</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2017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CZK</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1,703.1</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6.99%</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39.6</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CZK</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2016 (a)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260.0</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HUF</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75,570.0</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2016 - January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260.0</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HUF</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75,570.0</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10.56%</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December 2021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150.0</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HUF</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43,367.5</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78.0</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HUF</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19,500.0</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9.15%</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2017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245.0</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PLN</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9.03%</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September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200.0</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PLN</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892.7</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3.91%</w:t>
            </w: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2020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144.6</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PLN</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7.98%</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82.0</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PLN</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5.60%</w:t>
            </w:r>
          </w:p>
        </w:tc>
      </w:tr>
      <w:tr>
        <w:trPr>
          <w:trHeight w:val="225"/>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Amsterdamse Beheer-en</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12"/>
        </w:trPr>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Consultingmaatschappij B.V.</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0"/>
        </w:trPr>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ABC B.V.</w:t>
            </w:r>
            <w:r>
              <w:rPr>
                <w:rFonts w:ascii="Times New Roman" w:cs="Times New Roman" w:eastAsia="Times New Roman" w:hAnsi="Times New Roman"/>
                <w:sz w:val="18"/>
                <w:szCs w:val="18"/>
                <w:color w:val="auto"/>
              </w:rPr>
              <w:t>), a subsidiary of</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4"/>
        </w:trPr>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Ziggo Group Holding:</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2,350.0</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1,819.0</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 mo. LIBOR + 2.75%</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4.56%</w:t>
            </w:r>
          </w:p>
        </w:tc>
      </w:tr>
      <w:tr>
        <w:trPr>
          <w:trHeight w:val="45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360"/>
          </w:cols>
          <w:pgMar w:left="240" w:top="279" w:right="29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80" w:type="dxa"/>
            <w:vAlign w:val="bottom"/>
          </w:tcPr>
          <w:p>
            <w:pPr>
              <w:spacing w:after="0"/>
              <w:rPr>
                <w:sz w:val="17"/>
                <w:szCs w:val="17"/>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80" w:type="dxa"/>
            <w:vAlign w:val="bottom"/>
          </w:tcPr>
          <w:p>
            <w:pPr>
              <w:spacing w:after="0"/>
              <w:rPr>
                <w:sz w:val="17"/>
                <w:szCs w:val="17"/>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203"/>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w:t>
            </w:r>
          </w:p>
        </w:tc>
        <w:tc>
          <w:tcPr>
            <w:tcW w:w="220" w:type="dxa"/>
            <w:vAlign w:val="bottom"/>
          </w:tcPr>
          <w:p>
            <w:pPr>
              <w:spacing w:after="0"/>
              <w:rPr>
                <w:sz w:val="17"/>
                <w:szCs w:val="17"/>
                <w:color w:val="auto"/>
              </w:rPr>
            </w:pPr>
          </w:p>
        </w:tc>
        <w:tc>
          <w:tcPr>
            <w:tcW w:w="130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rPr>
              <w:t>due from</w:t>
            </w:r>
          </w:p>
        </w:tc>
        <w:tc>
          <w:tcPr>
            <w:tcW w:w="480" w:type="dxa"/>
            <w:vAlign w:val="bottom"/>
          </w:tcPr>
          <w:p>
            <w:pPr>
              <w:spacing w:after="0"/>
              <w:rPr>
                <w:sz w:val="17"/>
                <w:szCs w:val="17"/>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due from</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due to (from)</w:t>
            </w:r>
          </w:p>
        </w:tc>
      </w:tr>
      <w:tr>
        <w:trPr>
          <w:trHeight w:val="212"/>
        </w:trPr>
        <w:tc>
          <w:tcPr>
            <w:tcW w:w="2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Final maturity date</w:t>
            </w:r>
          </w:p>
        </w:tc>
        <w:tc>
          <w:tcPr>
            <w:tcW w:w="220" w:type="dxa"/>
            <w:vAlign w:val="bottom"/>
          </w:tcPr>
          <w:p>
            <w:pPr>
              <w:spacing w:after="0"/>
              <w:rPr>
                <w:sz w:val="18"/>
                <w:szCs w:val="18"/>
                <w:color w:val="auto"/>
              </w:rPr>
            </w:pPr>
          </w:p>
        </w:tc>
        <w:tc>
          <w:tcPr>
            <w:tcW w:w="130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48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counterparty</w:t>
            </w:r>
          </w:p>
        </w:tc>
      </w:tr>
      <w:tr>
        <w:trPr>
          <w:trHeight w:val="33"/>
        </w:trPr>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17"/>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4"/>
          </w:tcPr>
          <w:p>
            <w:pPr>
              <w:ind w:left="11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519"/>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400.0</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5.88%</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4.58%</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1"/>
        </w:trPr>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Unitymedia Hessen GmbH &amp; Co.</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20"/>
        </w:trPr>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KG (</w:t>
            </w:r>
            <w:r>
              <w:rPr>
                <w:rFonts w:ascii="Times New Roman" w:cs="Times New Roman" w:eastAsia="Times New Roman" w:hAnsi="Times New Roman"/>
                <w:sz w:val="18"/>
                <w:szCs w:val="18"/>
                <w:b w:val="1"/>
                <w:bCs w:val="1"/>
                <w:color w:val="auto"/>
              </w:rPr>
              <w:t>Unitymedia Hessen</w:t>
            </w:r>
            <w:r>
              <w:rPr>
                <w:rFonts w:ascii="Times New Roman" w:cs="Times New Roman" w:eastAsia="Times New Roman" w:hAnsi="Times New Roman"/>
                <w:sz w:val="18"/>
                <w:szCs w:val="18"/>
                <w:color w:val="auto"/>
              </w:rPr>
              <w:t>), a</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41"/>
        </w:trPr>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subsidiary of Unitymedia:</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2,450.0</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1,799.0</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5.62%</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4.76%</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VTR:</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1,400.0</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CLP</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951,390.0</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6.88%</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6.36%</w:t>
            </w:r>
          </w:p>
        </w:tc>
      </w:tr>
      <w:tr>
        <w:trPr>
          <w:trHeight w:val="24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Unlike the other cross-currency swaps presented in this table, the identified cross-currency swaps do not involve the exchange of notional amounts at the inception and maturity of the instruments. Accordingly, the only cash flows associated with these derivative instruments are interest payments and receipts.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of our outstanding interest rate swap contracts at March 31, 2016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 rate due from</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 due to (from)</w:t>
            </w:r>
          </w:p>
        </w:tc>
      </w:tr>
      <w:tr>
        <w:trPr>
          <w:trHeight w:val="212"/>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 Final maturity date</w:t>
            </w: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counterparty</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VMIH:</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October 2018</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1,198.3</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6 mo. GBP LIBOR</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October 2018 - June 2023</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1,198.3</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6 mo. GBP LIBOR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2.49%</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June 2023</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1,035.6</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GBP LIBOR + 0.53%</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2021</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905.1</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GBP LIBOR + 0.71%</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2021</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628.4</w:t>
            </w:r>
          </w:p>
        </w:tc>
        <w:tc>
          <w:tcPr>
            <w:tcW w:w="12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mo. GBP LIBOR + 1.84%</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April 2023</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mo. GBP LIBOR + 5.62%</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June 2022</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6 mo. GBP LIBOR</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February 2022</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mo. GBP LIBOR + 4.63%</w:t>
            </w: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2022</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675.0</w:t>
            </w: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mo. LIBOR + 4.90%</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2020</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 EURIBOR + 3.16%</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2016</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503.4</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EURIBOR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0.20%</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2016 - January 2021</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EURIBOR</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2016 - January 2023</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EURIBOR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2022</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EURIBOR</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2016 - July 2020</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EURIBOR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3.95%</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2016</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CHF</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1,629.8</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6 mo. CHF LIBOR</w:t>
            </w:r>
          </w:p>
        </w:tc>
        <w:tc>
          <w:tcPr>
            <w:tcW w:w="262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(0.25)%</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2016 - September 2022</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CHF</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729.8</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6 mo. CHF LIBOR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2016 - January 2021</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CHF</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6 mo. CHF LIBOR</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3"/>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2016 - January 2018</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CHF</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21"/>
                <w:szCs w:val="21"/>
                <w:color w:val="auto"/>
              </w:rPr>
            </w:pP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6 mo. CHF LIBOR</w:t>
            </w:r>
          </w:p>
        </w:tc>
        <w:tc>
          <w:tcPr>
            <w:tcW w:w="262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9" w:right="2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 rate due from</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 due to (from)</w:t>
            </w:r>
          </w:p>
        </w:tc>
      </w:tr>
      <w:tr>
        <w:trPr>
          <w:trHeight w:val="212"/>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 Final maturity date</w:t>
            </w: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counterparty</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76"/>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June 2021</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CHF</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370.9</w:t>
            </w:r>
          </w:p>
        </w:tc>
        <w:tc>
          <w:tcPr>
            <w:tcW w:w="120" w:type="dxa"/>
            <w:vAlign w:val="bottom"/>
          </w:tcPr>
          <w:p>
            <w:pPr>
              <w:spacing w:after="0"/>
              <w:rPr>
                <w:sz w:val="24"/>
                <w:szCs w:val="24"/>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6 mo. CHF LIBOR</w:t>
            </w:r>
          </w:p>
        </w:tc>
        <w:tc>
          <w:tcPr>
            <w:tcW w:w="262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(0.25)%</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November 2016</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CHF</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6 mo. CHF LIBOR</w:t>
            </w:r>
          </w:p>
        </w:tc>
        <w:tc>
          <w:tcPr>
            <w:tcW w:w="2620" w:type="dxa"/>
            <w:vAlign w:val="bottom"/>
            <w:tcBorders>
              <w:bottom w:val="single" w:sz="8" w:color="CCEEFF"/>
            </w:tcBorders>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2016 - November 2021</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CHF</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CHF LIBOR + 5.01%</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6.34%</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November 2016 - June 2021</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CHF</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CHF LIBOR + 5.01%</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6.34%</w:t>
            </w: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ABC B.V.:</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2022</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1,566.0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EURIBOR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1.66%</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2017</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689.0</w:t>
            </w:r>
          </w:p>
        </w:tc>
        <w:tc>
          <w:tcPr>
            <w:tcW w:w="120" w:type="dxa"/>
            <w:vAlign w:val="bottom"/>
          </w:tcPr>
          <w:p>
            <w:pPr>
              <w:spacing w:after="0"/>
              <w:rPr>
                <w:sz w:val="21"/>
                <w:szCs w:val="21"/>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 mo. EURIBOR + 3.75%</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 EURIBOR + 3.57%</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January 2021</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EURIBOR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2016</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461.3</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EURIBOR</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0.20%</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2016 - January 2023</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EURIBOR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2.84%</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March 2021</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EURIBOR</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2.32%</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2016 - January 2022</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mo. EURIBOR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3.44%</w:t>
            </w:r>
          </w:p>
        </w:tc>
      </w:tr>
      <w:tr>
        <w:trPr>
          <w:trHeight w:val="221"/>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Telenet International Finance S.a.r.l (</w:t>
            </w:r>
            <w:r>
              <w:rPr>
                <w:rFonts w:ascii="Times New Roman" w:cs="Times New Roman" w:eastAsia="Times New Roman" w:hAnsi="Times New Roman"/>
                <w:sz w:val="18"/>
                <w:szCs w:val="18"/>
                <w:b w:val="1"/>
                <w:bCs w:val="1"/>
                <w:color w:val="auto"/>
              </w:rPr>
              <w:t>Telenet</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8"/>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International</w:t>
            </w:r>
            <w:r>
              <w:rPr>
                <w:rFonts w:ascii="Times New Roman" w:cs="Times New Roman" w:eastAsia="Times New Roman" w:hAnsi="Times New Roman"/>
                <w:sz w:val="18"/>
                <w:szCs w:val="18"/>
                <w:color w:val="auto"/>
              </w:rPr>
              <w:t>), a subsidiary of Telenet:</w:t>
            </w: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June 2023</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mo. EURIBOR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0.33%</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2017</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mo. EURIBOR</w:t>
            </w:r>
          </w:p>
        </w:tc>
        <w:tc>
          <w:tcPr>
            <w:tcW w:w="262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(0.17)%</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2017 - June 2022</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mo. EURIBOR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2.08%</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June 2021</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mo. EURIBOR</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0.41%</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2017 - June 2023</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mo. EURIBOR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1.89%</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June 2022</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mo. EURIBOR</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Puerto Rico:</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October 2016 - January 2022</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506.3</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mo. LIBOR</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2.49%</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October 2016 - January 2019</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 mo. LIBOR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1.96%</w:t>
            </w: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LGE Coral:</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May 2016 - December 2022</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 mo. LIBOR</w:t>
            </w:r>
          </w:p>
        </w:tc>
        <w:tc>
          <w:tcPr>
            <w:tcW w:w="2620" w:type="dxa"/>
            <w:vAlign w:val="bottom"/>
            <w:tcBorders>
              <w:bottom w:val="single" w:sz="8" w:color="CCEEFF"/>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August 2016 - December 2022</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mo. LIBOR</w:t>
            </w:r>
          </w:p>
        </w:tc>
        <w:tc>
          <w:tcPr>
            <w:tcW w:w="262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1.92%</w:t>
            </w:r>
          </w:p>
        </w:tc>
      </w:tr>
      <w:tr>
        <w:trPr>
          <w:trHeight w:val="702"/>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purchased and sold interest rate cap contracts with respect to EURIBOR at March 31, 2016 are detailed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EURIBOR</w:t>
            </w:r>
          </w:p>
        </w:tc>
      </w:tr>
      <w:tr>
        <w:trPr>
          <w:trHeight w:val="212"/>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 Final maturity date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 rate</w:t>
            </w:r>
          </w:p>
        </w:tc>
      </w:tr>
      <w:tr>
        <w:trPr>
          <w:trHeight w:val="33"/>
        </w:trPr>
        <w:tc>
          <w:tcPr>
            <w:tcW w:w="3340" w:type="dxa"/>
            <w:vAlign w:val="bottom"/>
            <w:tcBorders>
              <w:bottom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tcPr>
          <w:p>
            <w:pPr>
              <w:spacing w:after="0"/>
              <w:rPr>
                <w:sz w:val="18"/>
                <w:szCs w:val="18"/>
                <w:color w:val="auto"/>
              </w:rPr>
            </w:pPr>
          </w:p>
        </w:tc>
      </w:tr>
      <w:tr>
        <w:trPr>
          <w:trHeight w:val="276"/>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caps purchased (a):</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Liberty Global Europe Financing B.V. (</w:t>
            </w:r>
            <w:r>
              <w:rPr>
                <w:rFonts w:ascii="Times New Roman" w:cs="Times New Roman" w:eastAsia="Times New Roman" w:hAnsi="Times New Roman"/>
                <w:sz w:val="18"/>
                <w:szCs w:val="18"/>
                <w:b w:val="1"/>
                <w:bCs w:val="1"/>
                <w:color w:val="auto"/>
              </w:rPr>
              <w:t>LGE Financing</w:t>
            </w:r>
            <w:r>
              <w:rPr>
                <w:rFonts w:ascii="Times New Roman" w:cs="Times New Roman" w:eastAsia="Times New Roman" w:hAnsi="Times New Roman"/>
                <w:sz w:val="18"/>
                <w:szCs w:val="18"/>
                <w:color w:val="auto"/>
              </w:rPr>
              <w:t>), the immediate parent of UPC Holding:</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January 2020</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735.0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r>
      <w:tr>
        <w:trPr>
          <w:trHeight w:val="27"/>
        </w:trPr>
        <w:tc>
          <w:tcPr>
            <w:tcW w:w="33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Telenet 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June 2017</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r>
      <w:tr>
        <w:trPr>
          <w:trHeight w:val="27"/>
        </w:trPr>
        <w:tc>
          <w:tcPr>
            <w:tcW w:w="33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Telenet N.V., a subsidiary of Telenet: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December 2017</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6.50%</w:t>
            </w:r>
          </w:p>
        </w:tc>
      </w:tr>
      <w:tr>
        <w:trPr>
          <w:trHeight w:val="27"/>
        </w:trPr>
        <w:tc>
          <w:tcPr>
            <w:tcW w:w="33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December 2017</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r>
      <w:tr>
        <w:trPr>
          <w:trHeight w:val="324"/>
        </w:trPr>
        <w:tc>
          <w:tcPr>
            <w:tcW w:w="3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90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 rate cap sold (b):</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UPC Broadband Holding:</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January 2020</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r>
      <w:tr>
        <w:trPr>
          <w:trHeight w:val="234"/>
        </w:trPr>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79" w:lineRule="exact"/>
        <w:rPr>
          <w:sz w:val="20"/>
          <w:szCs w:val="20"/>
          <w:color w:val="auto"/>
        </w:rPr>
      </w:pPr>
    </w:p>
    <w:p>
      <w:pPr>
        <w:ind w:left="500" w:right="2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purchased interest rate caps entitle us to receive payments from the counterparty when the relevant EURIBOR exceeds the EURIBOR cap rate during the specified observation periods.</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sold interest rate cap requires that we make payments to the counterparty when the relevant EURIBOR exceeds the EURIBOR cap rate during the specified observation periods.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Collars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interest rate collar contracts establish floor and cap rates with respect to EURIBOR on the indicated notional amounts at March 31, 2016, as detailed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EURIBOR floor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EURIBOR cap</w:t>
            </w:r>
          </w:p>
        </w:tc>
      </w:tr>
      <w:tr>
        <w:trPr>
          <w:trHeight w:val="212"/>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 Final maturity date</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 (a)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rate (b)</w:t>
            </w:r>
          </w:p>
        </w:tc>
      </w:tr>
      <w:tr>
        <w:trPr>
          <w:trHeight w:val="33"/>
        </w:trPr>
        <w:tc>
          <w:tcPr>
            <w:tcW w:w="3200" w:type="dxa"/>
            <w:vAlign w:val="bottom"/>
            <w:tcBorders>
              <w:bottom w:val="single" w:sz="8" w:color="auto"/>
            </w:tcBorders>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6"/>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3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2016 - January 2020</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3.54%</w:t>
            </w:r>
          </w:p>
        </w:tc>
      </w:tr>
      <w:tr>
        <w:trPr>
          <w:trHeight w:val="234"/>
        </w:trPr>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79"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payments to the counterparty when the relevant EURIBOR is less than the EURIBOR floor rate during the specified observation periods.</w:t>
      </w:r>
    </w:p>
    <w:p>
      <w:pPr>
        <w:spacing w:after="0" w:line="22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payments from the counterparty when the relevant EURIBOR is greater than the EURIBOR cap rate during the specified observation periods.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9"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outstanding foreign currency forward contracts at March 31,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center"/>
              <w:ind w:right="372"/>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600" w:type="dxa"/>
            <w:vAlign w:val="bottom"/>
          </w:tcPr>
          <w:p>
            <w:pPr>
              <w:spacing w:after="0"/>
              <w:rPr>
                <w:sz w:val="17"/>
                <w:szCs w:val="17"/>
                <w:color w:val="auto"/>
              </w:rPr>
            </w:pP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308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center"/>
              <w:ind w:right="372"/>
              <w:spacing w:after="0"/>
              <w:rPr>
                <w:sz w:val="20"/>
                <w:szCs w:val="20"/>
                <w:color w:val="auto"/>
              </w:rPr>
            </w:pPr>
            <w:r>
              <w:rPr>
                <w:rFonts w:ascii="Times New Roman" w:cs="Times New Roman" w:eastAsia="Times New Roman" w:hAnsi="Times New Roman"/>
                <w:sz w:val="16"/>
                <w:szCs w:val="16"/>
                <w:b w:val="1"/>
                <w:bCs w:val="1"/>
                <w:color w:val="auto"/>
                <w:w w:val="98"/>
              </w:rPr>
              <w:t>purchased</w:t>
            </w:r>
          </w:p>
        </w:tc>
        <w:tc>
          <w:tcPr>
            <w:tcW w:w="600" w:type="dxa"/>
            <w:vAlign w:val="bottom"/>
          </w:tcPr>
          <w:p>
            <w:pPr>
              <w:spacing w:after="0"/>
              <w:rPr>
                <w:sz w:val="17"/>
                <w:szCs w:val="17"/>
                <w:color w:val="auto"/>
              </w:rPr>
            </w:pPr>
          </w:p>
        </w:tc>
        <w:tc>
          <w:tcPr>
            <w:tcW w:w="142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sold</w:t>
            </w:r>
          </w:p>
        </w:tc>
        <w:tc>
          <w:tcPr>
            <w:tcW w:w="3080" w:type="dxa"/>
            <w:vAlign w:val="bottom"/>
          </w:tcPr>
          <w:p>
            <w:pPr>
              <w:spacing w:after="0"/>
              <w:rPr>
                <w:sz w:val="17"/>
                <w:szCs w:val="17"/>
                <w:color w:val="auto"/>
              </w:rPr>
            </w:pPr>
          </w:p>
        </w:tc>
      </w:tr>
      <w:tr>
        <w:trPr>
          <w:trHeight w:val="21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460" w:type="dxa"/>
            <w:vAlign w:val="bottom"/>
          </w:tcPr>
          <w:p>
            <w:pPr>
              <w:spacing w:after="0"/>
              <w:rPr>
                <w:sz w:val="18"/>
                <w:szCs w:val="18"/>
                <w:color w:val="auto"/>
              </w:rPr>
            </w:pPr>
          </w:p>
        </w:tc>
        <w:tc>
          <w:tcPr>
            <w:tcW w:w="1280" w:type="dxa"/>
            <w:vAlign w:val="bottom"/>
          </w:tcPr>
          <w:p>
            <w:pPr>
              <w:jc w:val="center"/>
              <w:ind w:right="372"/>
              <w:spacing w:after="0"/>
              <w:rPr>
                <w:sz w:val="20"/>
                <w:szCs w:val="20"/>
                <w:color w:val="auto"/>
              </w:rPr>
            </w:pPr>
            <w:r>
              <w:rPr>
                <w:rFonts w:ascii="Times New Roman" w:cs="Times New Roman" w:eastAsia="Times New Roman" w:hAnsi="Times New Roman"/>
                <w:sz w:val="16"/>
                <w:szCs w:val="16"/>
                <w:b w:val="1"/>
                <w:bCs w:val="1"/>
                <w:color w:val="auto"/>
              </w:rPr>
              <w:t>forward</w:t>
            </w:r>
          </w:p>
        </w:tc>
        <w:tc>
          <w:tcPr>
            <w:tcW w:w="600" w:type="dxa"/>
            <w:vAlign w:val="bottom"/>
          </w:tcPr>
          <w:p>
            <w:pPr>
              <w:spacing w:after="0"/>
              <w:rPr>
                <w:sz w:val="18"/>
                <w:szCs w:val="18"/>
                <w:color w:val="auto"/>
              </w:rPr>
            </w:pP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forward</w:t>
            </w: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 dates</w:t>
            </w:r>
          </w:p>
        </w:tc>
      </w:tr>
      <w:tr>
        <w:trPr>
          <w:trHeight w:val="33"/>
        </w:trPr>
        <w:tc>
          <w:tcPr>
            <w:tcW w:w="92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33"/>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920" w:type="dxa"/>
            <w:vAlign w:val="bottom"/>
            <w:shd w:val="clear" w:color="auto" w:fill="CCEEFF"/>
          </w:tcPr>
          <w:p>
            <w:pPr>
              <w:spacing w:after="0"/>
              <w:rPr>
                <w:sz w:val="23"/>
                <w:szCs w:val="23"/>
                <w:color w:val="auto"/>
              </w:rPr>
            </w:pPr>
          </w:p>
        </w:tc>
        <w:tc>
          <w:tcPr>
            <w:tcW w:w="36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LGE Financing</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443.6</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2016 - December 2016</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LGE Financing</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28.1</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2017 - March 2018</w:t>
            </w: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LGE Financing</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2016 - May 2016</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LGE Financing</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88.0</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2016</w:t>
            </w: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CZK</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2016 - March 2017</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64.9</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2016 - March 2017</w:t>
            </w: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CZK</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2016 - March 2017</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HUF</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2016 - March 2017</w:t>
            </w: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36.0</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PLN</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2016 - March 2017</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RON</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2016</w:t>
            </w: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2016 - March 2017</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CHF</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2016</w:t>
            </w: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CZK</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340.0</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2016</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HUF</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2,200.0</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2016</w:t>
            </w: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UPC Broadband Holding</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PLN</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2016</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Telenet N.V.</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51.1</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2016 - March 2017</w:t>
            </w: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VTR</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161.2</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CLP</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114,681.8</w:t>
            </w:r>
          </w:p>
        </w:tc>
        <w:tc>
          <w:tcPr>
            <w:tcW w:w="10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2016 - April 2017</w:t>
            </w:r>
          </w:p>
        </w:tc>
      </w:tr>
    </w:tbl>
    <w:p>
      <w:pPr>
        <w:spacing w:after="0" w:line="221"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use the fair value method to account for (i) certain of our investments, (ii) our derivative instruments and (iii) certain instruments that we classify as debt. The reported fair values of these investments and instruments as of March 31, 2016 likely will not represent the value that will be paid or received upon the ultimate settlement or disposition of these assets and liabilities. In the case of the investments that we account for using the fair value method, the values we realize upon disposition will be dependent upon, among other factors, market conditions and the forecasted financial performance of the investees at the time of any such disposition. With respect to our derivative and debt instruments, we expect that the values realized generally will be based on market conditions at the time of settlement, which may occur at the maturity of the derivative instrument or at the time of the repayment or refinancing of the underlying debt instrument.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 During the three months ended March 31, 2016, no such transfers were made.</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of our Level 2 inputs (interest rate futures, swap rates and certain of the inputs for our weighted average cost of capital calculations) and certain of our Level 3 inputs (forecasted volatilities and credit spreads) are obtained from pricing services. These inputs, or interpolations or extrapolations thereof, are used in our internal models to calculate, among other items, yield curves, forward interest and currency rates and weighted average cost of capital rates. In the normal course of business, we receive market value assessments from the counterparties to our derivative contracts. Although we compare these assessments to our internal</w:t>
      </w:r>
    </w:p>
    <w:p>
      <w:pPr>
        <w:sectPr>
          <w:pgSz w:w="11900" w:h="16838" w:orient="portrait"/>
          <w:cols w:equalWidth="0" w:num="1">
            <w:col w:w="11420"/>
          </w:cols>
          <w:pgMar w:left="240" w:top="279"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9" w:right="2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valuations and investigate unexpected differences, we do not otherwise rely on counterparty quotes to determine the fair values of our derivative instruments.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midpoints of applicable bid and ask ranges generally are used as inputs for our internal valuations.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our investments in ITV, Sumitomo and Lionsgate, the recurring fair value measurements are based on the quoted closing price of the respective shares at each reporting date. Accordingly, the valuations of these investments fall under Level 1 of the fair value hierarchy. Our other investments that we account for at fair value are privately-held companies, and therefore, quoted market prices are unavailable. The valuation technique we use for such investments is a combination of an income approach (discounted cash flow model based on forecasts) and a market approach (market multiples of similar businesses). With the exception of certain inputs for our weighted average cost of capital calculations that are derived from pricing services, the inputs used to value these investments are based on unobservable inputs derived from our assumptions. Therefore, the valuation of our privately-held investments falls under Level 3 of the fair value hierarchy. Any reasonably foreseeable changes in assumed levels of unobservable inputs for the valuations of our Level 3 investments would not be expected to have a material impact on our financial position or results of operations.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recurring fair value measurement of our equity-related derivative instruments are based on binomial option pricing models, which require the input of observable and unobservable variables such as exchange-traded equity prices, risk-free interest rates, dividend yields and forecasted volatilities of the underlying equity securities. The valuations of our equity-related derivative instruments are based on a combination of Level 1 inputs (exchange traded equity prices), Level 2 inputs (interest rate futures and swap rates) and Level 3 inputs (forecasted volatilities). As changes in volatilities could have a significant impact on the overall valuations, we have determined that these valuations fall under Level 3 of the fair value hierarchy. At March 31, 2016, the valuations of the ITV Collar, the Sumitomo Collar, the Virgin Media Capped Calls and the Lionsgate Forward were not significantly impacted by forecasted volatilities.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manage our interest rate and foreign currency exchange risk, we have entered into (i) various derivative instruments and (ii) certain instruments that we classify as debt, as further described in note 4. The recurring fair value measurements of these instruments are determined using discounted cash flow models. Most of the inputs to these discounted cash flow models consist of, or are derived from, observable Level 2 data for substantially the full term of these instruments. This observable data includes most interest rate futures and swap rates, which are retrieved or derived from available market data. Although we may extrapolate or interpolate this data, we do not otherwise alter this data in performing our valuations. We incorporate a credit risk valuation adjustment in our fair value measurements to estimate the impact of both our own nonperformance risk and the nonperformance risk of our counterparties. Our and our counterparties’ credit spreads represent our most significant Level 3 inputs, and these inputs are used to derive the credit risk valuation adjustments with respect to these instruments. As we would not expect changes in our or our counterparties’ credit spreads to have a significant impact on the valuations of these instruments, we have determined that these valuations fall under Level 2 of the fair value hierarchy. Our credit risk valuation adjustments with respect to our cross-currency and interest rate swaps are quantified and further explained in note 4.</w:t>
      </w:r>
    </w:p>
    <w:p>
      <w:pPr>
        <w:spacing w:after="0" w:line="18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Fair value measurements are also used in connection with nonrecurring valuations performed in connection with impairment assessments and acquisition accounting. These nonrecurring valuations include the valuation of reporting units, customer relationship intangible assets, property and equipment and the implied value of goodwill. The valuation of private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All of our nonrecurring valuations use significant unobservable inputs and therefore fall under Level 3 of the fair value hierarchy. During the three months ended March 31, 2016, we performed nonrecurring valuations for the purpose of determining the acquisition accounting for the BASE Acquisition. None of these valuations had a significant impact on our consolidated balance sheet. For additional information, see note 3.</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9"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assets and liabilities that are measured at fair value on a recurring basis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60" w:type="dxa"/>
            <w:vAlign w:val="bottom"/>
            <w:gridSpan w:val="7"/>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Fair value measurements at March 31, 2016 using:</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200" w:type="dxa"/>
            <w:vAlign w:val="bottom"/>
          </w:tcPr>
          <w:p>
            <w:pPr>
              <w:spacing w:after="0"/>
              <w:rPr>
                <w:sz w:val="17"/>
                <w:szCs w:val="17"/>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3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178"/>
        </w:trPr>
        <w:tc>
          <w:tcPr>
            <w:tcW w:w="5160" w:type="dxa"/>
            <w:vAlign w:val="bottom"/>
            <w:gridSpan w:val="3"/>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240" w:type="dxa"/>
            <w:vAlign w:val="bottom"/>
          </w:tcPr>
          <w:p>
            <w:pPr>
              <w:spacing w:after="0"/>
              <w:rPr>
                <w:sz w:val="15"/>
                <w:szCs w:val="15"/>
                <w:color w:val="auto"/>
              </w:rPr>
            </w:pPr>
          </w:p>
        </w:tc>
        <w:tc>
          <w:tcPr>
            <w:tcW w:w="1260" w:type="dxa"/>
            <w:vAlign w:val="bottom"/>
          </w:tcPr>
          <w:p>
            <w:pPr>
              <w:jc w:val="right"/>
              <w:ind w:right="491"/>
              <w:spacing w:after="0" w:line="178" w:lineRule="exact"/>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auto"/>
                <w:w w:val="99"/>
              </w:rPr>
              <w:t>(Level 1)</w:t>
            </w:r>
          </w:p>
        </w:tc>
        <w:tc>
          <w:tcPr>
            <w:tcW w:w="340" w:type="dxa"/>
            <w:vAlign w:val="bottom"/>
          </w:tcPr>
          <w:p>
            <w:pPr>
              <w:spacing w:after="0"/>
              <w:rPr>
                <w:sz w:val="15"/>
                <w:szCs w:val="15"/>
                <w:color w:val="auto"/>
              </w:rPr>
            </w:pPr>
          </w:p>
        </w:tc>
        <w:tc>
          <w:tcPr>
            <w:tcW w:w="1240" w:type="dxa"/>
            <w:vAlign w:val="bottom"/>
            <w:gridSpan w:val="2"/>
          </w:tcPr>
          <w:p>
            <w:pPr>
              <w:jc w:val="center"/>
              <w:ind w:right="440"/>
              <w:spacing w:after="0" w:line="178" w:lineRule="exact"/>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5"/>
                <w:szCs w:val="15"/>
                <w:color w:val="auto"/>
              </w:rPr>
            </w:pPr>
          </w:p>
        </w:tc>
        <w:tc>
          <w:tcPr>
            <w:tcW w:w="1280" w:type="dxa"/>
            <w:vAlign w:val="bottom"/>
          </w:tcPr>
          <w:p>
            <w:pPr>
              <w:jc w:val="center"/>
              <w:ind w:right="112"/>
              <w:spacing w:after="0" w:line="178" w:lineRule="exact"/>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663.4</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663.4</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1,946.8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401.2</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4,824.1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1,946.8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1,064.6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2,125.8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7"/>
          </w:tcPr>
          <w:p>
            <w:pPr>
              <w:jc w:val="center"/>
              <w:ind w:left="1013"/>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28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6"/>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December 31, 2015 using:</w:t>
            </w: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200" w:type="dxa"/>
            <w:vAlign w:val="bottom"/>
          </w:tcPr>
          <w:p>
            <w:pPr>
              <w:spacing w:after="0"/>
              <w:rPr>
                <w:sz w:val="17"/>
                <w:szCs w:val="17"/>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178"/>
        </w:trPr>
        <w:tc>
          <w:tcPr>
            <w:tcW w:w="5160" w:type="dxa"/>
            <w:vAlign w:val="bottom"/>
            <w:gridSpan w:val="3"/>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1620" w:type="dxa"/>
            <w:vAlign w:val="bottom"/>
            <w:gridSpan w:val="3"/>
          </w:tcPr>
          <w:p>
            <w:pPr>
              <w:ind w:left="100"/>
              <w:spacing w:after="0" w:line="178" w:lineRule="exact"/>
              <w:rPr>
                <w:sz w:val="20"/>
                <w:szCs w:val="20"/>
                <w:color w:val="auto"/>
              </w:rPr>
            </w:pPr>
            <w:r>
              <w:rPr>
                <w:rFonts w:ascii="Times New Roman" w:cs="Times New Roman" w:eastAsia="Times New Roman" w:hAnsi="Times New Roman"/>
                <w:sz w:val="16"/>
                <w:szCs w:val="16"/>
                <w:b w:val="1"/>
                <w:bCs w:val="1"/>
                <w:color w:val="auto"/>
              </w:rPr>
              <w:t>December 31, 2015</w:t>
            </w:r>
          </w:p>
        </w:tc>
        <w:tc>
          <w:tcPr>
            <w:tcW w:w="180" w:type="dxa"/>
            <w:vAlign w:val="bottom"/>
          </w:tcPr>
          <w:p>
            <w:pPr>
              <w:spacing w:after="0"/>
              <w:rPr>
                <w:sz w:val="15"/>
                <w:szCs w:val="15"/>
                <w:color w:val="auto"/>
              </w:rPr>
            </w:pPr>
          </w:p>
        </w:tc>
        <w:tc>
          <w:tcPr>
            <w:tcW w:w="1240" w:type="dxa"/>
            <w:vAlign w:val="bottom"/>
          </w:tcPr>
          <w:p>
            <w:pPr>
              <w:jc w:val="center"/>
              <w:ind w:right="33"/>
              <w:spacing w:after="0" w:line="178" w:lineRule="exact"/>
              <w:rPr>
                <w:sz w:val="20"/>
                <w:szCs w:val="20"/>
                <w:color w:val="auto"/>
              </w:rPr>
            </w:pPr>
            <w:r>
              <w:rPr>
                <w:rFonts w:ascii="Times New Roman" w:cs="Times New Roman" w:eastAsia="Times New Roman" w:hAnsi="Times New Roman"/>
                <w:sz w:val="16"/>
                <w:szCs w:val="16"/>
                <w:b w:val="1"/>
                <w:bCs w:val="1"/>
                <w:color w:val="auto"/>
                <w:w w:val="99"/>
              </w:rPr>
              <w:t>(Level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440"/>
              <w:spacing w:after="0" w:line="178" w:lineRule="exact"/>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5"/>
                <w:szCs w:val="15"/>
                <w:color w:val="auto"/>
              </w:rPr>
            </w:pPr>
          </w:p>
        </w:tc>
        <w:tc>
          <w:tcPr>
            <w:tcW w:w="1280" w:type="dxa"/>
            <w:vAlign w:val="bottom"/>
          </w:tcPr>
          <w:p>
            <w:pPr>
              <w:jc w:val="center"/>
              <w:ind w:right="112"/>
              <w:spacing w:after="0" w:line="178" w:lineRule="exact"/>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408.5</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408.5</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334.6</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2,097.6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743.1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 derivative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74.4</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1,594.6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1,520.2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74.4</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our assets and liabilities measured at fair value on a recurring basis using significant unobservable, or Level 3, inputs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Equity-related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of net assets at January 1, 2016</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668.7</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Gains included in net loss (a):</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and unrealized gains on derivative instruments, net</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293.2</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and unrealized gains due to changes in fair values of certain investments, net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 and other, net</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of net assets at March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1,027.4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these net gains relate to assets and liabilities that we continue to carry on our condensed consolidated balance sheet as of March 31, 2016.</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9"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8"/>
          <w:szCs w:val="18"/>
          <w:b w:val="1"/>
          <w:bCs w:val="1"/>
          <w:u w:val="single" w:color="auto"/>
          <w:color w:val="auto"/>
        </w:rPr>
        <w:t>Long-lived Assets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property and equipment and the related accumulated depreciation are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4"/>
            <w:shd w:val="clear" w:color="auto" w:fill="CCEEFF"/>
          </w:tcPr>
          <w:p>
            <w:pPr>
              <w:jc w:val="right"/>
              <w:ind w:right="107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 systems: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24,447.2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1,037.8</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26,854.4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25,485.0</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premises equipment:</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5,651.1</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801.4</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6,452.5</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Support equipment, buildings and land:</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4,461.4</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341.0</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5,180.7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4,802.4</w:t>
            </w:r>
          </w:p>
        </w:tc>
      </w:tr>
      <w:tr>
        <w:trPr>
          <w:trHeight w:val="22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36,528.0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34,559.7</w:t>
            </w:r>
          </w:p>
        </w:tc>
      </w:tr>
      <w:tr>
        <w:trPr>
          <w:trHeight w:val="243"/>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2,180.2</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38,873.4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36,739.9</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(1,336.7)</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(15,055.9)</w:t>
            </w:r>
          </w:p>
        </w:tc>
      </w:tr>
      <w:tr>
        <w:trPr>
          <w:trHeight w:val="22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20,840.5</w:t>
            </w:r>
          </w:p>
        </w:tc>
      </w:tr>
      <w:tr>
        <w:trPr>
          <w:trHeight w:val="243"/>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843.5</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22,787.3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21,684.0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2016 and 2015, we recorded non-cash increases to our property and equipment related to vendor financing arrangements of $438.9 million and $295.0 million, respectively, which exclude related value-added taxes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of $61.1 million and $35.0 million, respectively, that were also financed by our vendors under these arrangements. In addition, during the three months ended March 31, 2016 and 2015, we recorded non-cash increases to our property and equipment related to assets acquired under capital leases of $27.9 million and $62.0 million,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9"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our goodwill during the three months ended March 31, 2016 are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and related</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adjustments and</w:t>
            </w:r>
          </w:p>
        </w:tc>
        <w:tc>
          <w:tcPr>
            <w:tcW w:w="200" w:type="dxa"/>
            <w:vAlign w:val="bottom"/>
          </w:tcPr>
          <w:p>
            <w:pPr>
              <w:spacing w:after="0"/>
              <w:rPr>
                <w:sz w:val="17"/>
                <w:szCs w:val="17"/>
                <w:color w:val="auto"/>
              </w:rPr>
            </w:pPr>
          </w:p>
        </w:tc>
        <w:tc>
          <w:tcPr>
            <w:tcW w:w="11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 2016</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gridSpan w:val="5"/>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European Operations Division: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8,790.7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8,606.4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8,223.5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Belgium</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2,216.4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3,652.6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25,950.4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1,248.0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European Operations Division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27,198.4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26,244.8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27,232.4</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Puerto Rico</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LiLAC Division</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677.1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and other (a)</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37"/>
        </w:trPr>
        <w:tc>
          <w:tcPr>
            <w:tcW w:w="56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798.0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27,020.4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28,030.4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enterprise-level goodwill that is allocated to our Puerto Rico segment for purposes of our impairment tests.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among other factors, (i) our equity values were to decline significantly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9"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Subject to Amortization,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intangible assets subject to amortization are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March 31, 2016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7"/>
        </w:trPr>
        <w:tc>
          <w:tcPr>
            <w:tcW w:w="378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tcPr>
          <w:p>
            <w:pPr>
              <w:spacing w:after="0"/>
              <w:rPr>
                <w:sz w:val="18"/>
                <w:szCs w:val="18"/>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10,649.3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6,858.2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10,285.3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6,874.6</w:t>
            </w: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117.3</w:t>
            </w: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10,798.3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6,971.7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10,434.3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6,991.9</w:t>
            </w: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3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100.5</w:t>
            </w: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517.9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100.6</w:t>
            </w: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 subject to amortization, net:</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3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37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Liberty Global Group</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11,167.0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6,975.1</w:t>
            </w:r>
          </w:p>
        </w:tc>
      </w:tr>
      <w:tr>
        <w:trPr>
          <w:trHeight w:val="243"/>
        </w:trPr>
        <w:tc>
          <w:tcPr>
            <w:tcW w:w="3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LiLAC Group</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117.4</w:t>
            </w: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11,316.2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7,369.7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10,639.8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7,092.5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 and Capital Lease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equivalents of the components of our consolidated third-party debt and capital lease obligations are as follows:</w:t>
      </w:r>
    </w:p>
    <w:p>
      <w:pPr>
        <w:spacing w:after="0" w:line="187" w:lineRule="exact"/>
        <w:rPr>
          <w:sz w:val="20"/>
          <w:szCs w:val="20"/>
          <w:color w:val="auto"/>
        </w:rPr>
      </w:pPr>
    </w:p>
    <w:tbl>
      <w:tblPr>
        <w:tblLayout w:type="fixed"/>
        <w:tblInd w:w="2960" w:type="dxa"/>
        <w:tblCellMar>
          <w:top w:w="0" w:type="dxa"/>
          <w:left w:w="0" w:type="dxa"/>
          <w:bottom w:w="0" w:type="dxa"/>
          <w:right w:w="0" w:type="dxa"/>
        </w:tblCellMar>
      </w:tblPr>
      <w:tr>
        <w:trPr>
          <w:trHeight w:val="212"/>
        </w:trPr>
        <w:tc>
          <w:tcPr>
            <w:tcW w:w="108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08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8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Unused borrowing capacity</w:t>
            </w: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080" w:type="dxa"/>
            <w:vAlign w:val="bottom"/>
            <w:vMerge w:val="continue"/>
          </w:tcPr>
          <w:p>
            <w:pPr>
              <w:spacing w:after="0"/>
              <w:rPr>
                <w:sz w:val="5"/>
                <w:szCs w:val="5"/>
                <w:color w:val="auto"/>
              </w:rPr>
            </w:pPr>
          </w:p>
        </w:tc>
        <w:tc>
          <w:tcPr>
            <w:tcW w:w="1240" w:type="dxa"/>
            <w:vAlign w:val="bottom"/>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rPr>
              <w:t>(b)</w:t>
            </w: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Estimated fair value (c)</w:t>
            </w:r>
          </w:p>
        </w:tc>
        <w:tc>
          <w:tcPr>
            <w:tcW w:w="100" w:type="dxa"/>
            <w:vAlign w:val="bottom"/>
          </w:tcPr>
          <w:p>
            <w:pPr>
              <w:spacing w:after="0"/>
              <w:rPr>
                <w:sz w:val="5"/>
                <w:szCs w:val="5"/>
                <w:color w:val="auto"/>
              </w:rPr>
            </w:pPr>
          </w:p>
        </w:tc>
        <w:tc>
          <w:tcPr>
            <w:tcW w:w="25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0" w:type="dxa"/>
            <w:vAlign w:val="bottom"/>
          </w:tcPr>
          <w:p>
            <w:pPr>
              <w:spacing w:after="0"/>
              <w:rPr>
                <w:sz w:val="1"/>
                <w:szCs w:val="1"/>
                <w:color w:val="auto"/>
              </w:rPr>
            </w:pPr>
          </w:p>
        </w:tc>
      </w:tr>
      <w:tr>
        <w:trPr>
          <w:trHeight w:val="145"/>
        </w:trPr>
        <w:tc>
          <w:tcPr>
            <w:tcW w:w="1080" w:type="dxa"/>
            <w:vAlign w:val="bottom"/>
            <w:vMerge w:val="restart"/>
          </w:tcPr>
          <w:p>
            <w:pPr>
              <w:jc w:val="center"/>
              <w:ind w:right="19"/>
              <w:spacing w:after="0" w:line="17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080" w:type="dxa"/>
            <w:vAlign w:val="bottom"/>
            <w:vMerge w:val="continue"/>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U.S. $</w:t>
            </w:r>
          </w:p>
        </w:tc>
        <w:tc>
          <w:tcPr>
            <w:tcW w:w="1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rate (a)</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1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20955</wp:posOffset>
            </wp:positionV>
            <wp:extent cx="5368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3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Liberty Global Group:</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VM Notes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VM Credit Facility (d)</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Ziggo Credit Facilities (f)</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Ziggo SPE Notes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Ziggo Notes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Unitymedia Notes</w:t>
      </w:r>
    </w:p>
    <w:p>
      <w:pPr>
        <w:spacing w:after="0" w:line="75" w:lineRule="exact"/>
        <w:rPr>
          <w:sz w:val="20"/>
          <w:szCs w:val="20"/>
          <w:color w:val="auto"/>
        </w:rPr>
      </w:pPr>
    </w:p>
    <w:p>
      <w:pPr>
        <w:ind w:left="180" w:right="20"/>
        <w:spacing w:after="0" w:line="331" w:lineRule="auto"/>
        <w:rPr>
          <w:sz w:val="20"/>
          <w:szCs w:val="20"/>
          <w:color w:val="auto"/>
        </w:rPr>
      </w:pPr>
      <w:r>
        <w:rPr>
          <w:rFonts w:ascii="Times New Roman" w:cs="Times New Roman" w:eastAsia="Times New Roman" w:hAnsi="Times New Roman"/>
          <w:sz w:val="17"/>
          <w:szCs w:val="17"/>
          <w:color w:val="auto"/>
        </w:rPr>
        <w:t>Unitymedia Revolving Credit Facilities UPCB SPE Notes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UPC Holding Senior Notes</w:t>
      </w:r>
    </w:p>
    <w:p>
      <w:pPr>
        <w:spacing w:after="0" w:line="75" w:lineRule="exact"/>
        <w:rPr>
          <w:sz w:val="20"/>
          <w:szCs w:val="20"/>
          <w:color w:val="auto"/>
        </w:rPr>
      </w:pPr>
    </w:p>
    <w:p>
      <w:pPr>
        <w:ind w:left="180" w:right="40"/>
        <w:spacing w:after="0" w:line="331" w:lineRule="auto"/>
        <w:rPr>
          <w:sz w:val="20"/>
          <w:szCs w:val="20"/>
          <w:color w:val="auto"/>
        </w:rPr>
      </w:pPr>
      <w:r>
        <w:rPr>
          <w:rFonts w:ascii="Times New Roman" w:cs="Times New Roman" w:eastAsia="Times New Roman" w:hAnsi="Times New Roman"/>
          <w:sz w:val="17"/>
          <w:szCs w:val="17"/>
          <w:color w:val="auto"/>
        </w:rPr>
        <w:t>UPC Broadband Holding Bank Facility Telenet SPE Notes</w:t>
      </w:r>
    </w:p>
    <w:p>
      <w:pPr>
        <w:spacing w:after="0" w:line="1" w:lineRule="exact"/>
        <w:rPr>
          <w:sz w:val="20"/>
          <w:szCs w:val="20"/>
          <w:color w:val="auto"/>
        </w:rPr>
      </w:pPr>
    </w:p>
    <w:p>
      <w:pPr>
        <w:ind w:left="180" w:right="960"/>
        <w:spacing w:after="0" w:line="331" w:lineRule="auto"/>
        <w:rPr>
          <w:sz w:val="20"/>
          <w:szCs w:val="20"/>
          <w:color w:val="auto"/>
        </w:rPr>
      </w:pPr>
      <w:r>
        <w:rPr>
          <w:rFonts w:ascii="Times New Roman" w:cs="Times New Roman" w:eastAsia="Times New Roman" w:hAnsi="Times New Roman"/>
          <w:sz w:val="17"/>
          <w:szCs w:val="17"/>
          <w:color w:val="auto"/>
        </w:rPr>
        <w:t>Telenet Credit Facility (g) Vendor financing (h) ITV Collar Loan Sumitomo Collar Loan Other</w:t>
      </w:r>
    </w:p>
    <w:p>
      <w:pPr>
        <w:spacing w:after="0" w:line="3" w:lineRule="exact"/>
        <w:rPr>
          <w:sz w:val="20"/>
          <w:szCs w:val="20"/>
          <w:color w:val="auto"/>
        </w:rPr>
      </w:pPr>
    </w:p>
    <w:p>
      <w:pPr>
        <w:ind w:left="40" w:right="680" w:firstLine="297"/>
        <w:spacing w:after="0" w:line="339" w:lineRule="auto"/>
        <w:rPr>
          <w:sz w:val="20"/>
          <w:szCs w:val="20"/>
          <w:color w:val="auto"/>
        </w:rPr>
      </w:pPr>
      <w:r>
        <w:rPr>
          <w:rFonts w:ascii="Times New Roman" w:cs="Times New Roman" w:eastAsia="Times New Roman" w:hAnsi="Times New Roman"/>
          <w:sz w:val="17"/>
          <w:szCs w:val="17"/>
          <w:color w:val="auto"/>
        </w:rPr>
        <w:t>Total Liberty Global Group LiLAC Group:</w:t>
      </w:r>
    </w:p>
    <w:p>
      <w:pPr>
        <w:spacing w:after="0" w:line="1" w:lineRule="exact"/>
        <w:rPr>
          <w:sz w:val="20"/>
          <w:szCs w:val="20"/>
          <w:color w:val="auto"/>
        </w:rPr>
      </w:pPr>
    </w:p>
    <w:p>
      <w:pPr>
        <w:ind w:left="180" w:right="280"/>
        <w:spacing w:after="0" w:line="331" w:lineRule="auto"/>
        <w:rPr>
          <w:sz w:val="20"/>
          <w:szCs w:val="20"/>
          <w:color w:val="auto"/>
        </w:rPr>
      </w:pPr>
      <w:r>
        <w:rPr>
          <w:rFonts w:ascii="Times New Roman" w:cs="Times New Roman" w:eastAsia="Times New Roman" w:hAnsi="Times New Roman"/>
          <w:sz w:val="17"/>
          <w:szCs w:val="17"/>
          <w:color w:val="auto"/>
        </w:rPr>
        <w:t>VTR Finance Senior Secured Notes VTR Credit Facility</w:t>
      </w:r>
    </w:p>
    <w:p>
      <w:pPr>
        <w:spacing w:after="0" w:line="1" w:lineRule="exact"/>
        <w:rPr>
          <w:sz w:val="20"/>
          <w:szCs w:val="20"/>
          <w:color w:val="auto"/>
        </w:rPr>
      </w:pPr>
    </w:p>
    <w:p>
      <w:pPr>
        <w:ind w:left="340" w:right="400" w:hanging="161"/>
        <w:spacing w:after="0" w:line="331" w:lineRule="auto"/>
        <w:rPr>
          <w:sz w:val="20"/>
          <w:szCs w:val="20"/>
          <w:color w:val="auto"/>
        </w:rPr>
      </w:pPr>
      <w:r>
        <w:rPr>
          <w:rFonts w:ascii="Times New Roman" w:cs="Times New Roman" w:eastAsia="Times New Roman" w:hAnsi="Times New Roman"/>
          <w:sz w:val="17"/>
          <w:szCs w:val="17"/>
          <w:color w:val="auto"/>
        </w:rPr>
        <w:t>Liberty Puerto Rico Bank Facility Total LiLAC Group</w:t>
      </w:r>
    </w:p>
    <w:p>
      <w:pPr>
        <w:spacing w:after="0" w:line="1" w:lineRule="exact"/>
        <w:rPr>
          <w:sz w:val="20"/>
          <w:szCs w:val="20"/>
          <w:color w:val="auto"/>
        </w:rPr>
      </w:pPr>
    </w:p>
    <w:p>
      <w:pPr>
        <w:ind w:left="660" w:hanging="161"/>
        <w:spacing w:after="0" w:line="259" w:lineRule="auto"/>
        <w:rPr>
          <w:sz w:val="20"/>
          <w:szCs w:val="20"/>
          <w:color w:val="auto"/>
        </w:rPr>
      </w:pPr>
      <w:r>
        <w:rPr>
          <w:rFonts w:ascii="Times New Roman" w:cs="Times New Roman" w:eastAsia="Times New Roman" w:hAnsi="Times New Roman"/>
          <w:sz w:val="17"/>
          <w:szCs w:val="17"/>
          <w:color w:val="auto"/>
        </w:rPr>
        <w:t>Total principal amount of debt before unamortized premiums, discounts and deferred financing costs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380" w:type="dxa"/>
            <w:vAlign w:val="bottom"/>
          </w:tcPr>
          <w:p>
            <w:pPr>
              <w:spacing w:after="0"/>
              <w:rPr>
                <w:sz w:val="19"/>
                <w:szCs w:val="19"/>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10,621.4</w:t>
            </w:r>
          </w:p>
        </w:tc>
        <w:tc>
          <w:tcPr>
            <w:tcW w:w="12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10,594.1</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10,445.0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10,551.5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380" w:type="dxa"/>
            <w:vAlign w:val="bottom"/>
          </w:tcPr>
          <w:p>
            <w:pPr>
              <w:spacing w:after="0"/>
              <w:rPr>
                <w:sz w:val="23"/>
                <w:szCs w:val="23"/>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(e)</w:t>
            </w:r>
          </w:p>
        </w:tc>
        <w:tc>
          <w:tcPr>
            <w:tcW w:w="26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431.0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3,820.4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3,413.7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3,876.0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3,471.1</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800.0</w:t>
            </w:r>
          </w:p>
        </w:tc>
        <w:tc>
          <w:tcPr>
            <w:tcW w:w="26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910.4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5,253.9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5,161.0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5,296.8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5,272.0</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380" w:type="dxa"/>
            <w:vAlign w:val="bottom"/>
          </w:tcPr>
          <w:p>
            <w:pPr>
              <w:spacing w:after="0"/>
              <w:rPr>
                <w:sz w:val="23"/>
                <w:szCs w:val="23"/>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1,735.3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1,582.7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1,765.7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1,703.9</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380" w:type="dxa"/>
            <w:vAlign w:val="bottom"/>
          </w:tcPr>
          <w:p>
            <w:pPr>
              <w:spacing w:after="0"/>
              <w:rPr>
                <w:sz w:val="23"/>
                <w:szCs w:val="23"/>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955.1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927.3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885.4</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380" w:type="dxa"/>
            <w:vAlign w:val="bottom"/>
          </w:tcPr>
          <w:p>
            <w:pPr>
              <w:spacing w:after="0"/>
              <w:rPr>
                <w:sz w:val="23"/>
                <w:szCs w:val="23"/>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8,026.6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7,631.6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7,812.2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7,682.0</w:t>
            </w:r>
          </w:p>
        </w:tc>
      </w:tr>
      <w:tr>
        <w:trPr>
          <w:trHeight w:val="270"/>
        </w:trPr>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500.0</w:t>
            </w:r>
          </w:p>
        </w:tc>
        <w:tc>
          <w:tcPr>
            <w:tcW w:w="26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380" w:type="dxa"/>
            <w:vAlign w:val="bottom"/>
          </w:tcPr>
          <w:p>
            <w:pPr>
              <w:spacing w:after="0"/>
              <w:rPr>
                <w:sz w:val="23"/>
                <w:szCs w:val="23"/>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3,263.4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3,131.7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3,172.9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3,142.0</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380" w:type="dxa"/>
            <w:vAlign w:val="bottom"/>
          </w:tcPr>
          <w:p>
            <w:pPr>
              <w:spacing w:after="0"/>
              <w:rPr>
                <w:sz w:val="23"/>
                <w:szCs w:val="23"/>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1,681.5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1,601.4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1,560.0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1,491.1</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990.1</w:t>
            </w:r>
          </w:p>
        </w:tc>
        <w:tc>
          <w:tcPr>
            <w:tcW w:w="26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1,126.8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1,297.0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1,284.3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1,305.0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1,305.0</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380" w:type="dxa"/>
            <w:vAlign w:val="bottom"/>
          </w:tcPr>
          <w:p>
            <w:pPr>
              <w:spacing w:after="0"/>
              <w:rPr>
                <w:sz w:val="23"/>
                <w:szCs w:val="23"/>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2,274.1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2,155.8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2,196.5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2,097.2</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164.0</w:t>
            </w:r>
          </w:p>
        </w:tc>
        <w:tc>
          <w:tcPr>
            <w:tcW w:w="26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2,875.2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1,443.0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2,929.5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1,474.5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380" w:type="dxa"/>
            <w:vAlign w:val="bottom"/>
          </w:tcPr>
          <w:p>
            <w:pPr>
              <w:spacing w:after="0"/>
              <w:rPr>
                <w:sz w:val="23"/>
                <w:szCs w:val="23"/>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1,690.6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1,688.9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1,690.6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1,688.9</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380" w:type="dxa"/>
            <w:vAlign w:val="bottom"/>
          </w:tcPr>
          <w:p>
            <w:pPr>
              <w:spacing w:after="0"/>
              <w:rPr>
                <w:sz w:val="23"/>
                <w:szCs w:val="23"/>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1,528.6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1,547.9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1,558.0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1,594.7</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380" w:type="dxa"/>
            <w:vAlign w:val="bottom"/>
          </w:tcPr>
          <w:p>
            <w:pPr>
              <w:spacing w:after="0"/>
              <w:rPr>
                <w:sz w:val="23"/>
                <w:szCs w:val="23"/>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859.0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805.6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841.5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787.6</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380" w:type="dxa"/>
            <w:vAlign w:val="bottom"/>
          </w:tcPr>
          <w:p>
            <w:pPr>
              <w:spacing w:after="0"/>
              <w:rPr>
                <w:sz w:val="23"/>
                <w:szCs w:val="23"/>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394.8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291.8</w:t>
            </w:r>
          </w:p>
        </w:tc>
      </w:tr>
      <w:tr>
        <w:trPr>
          <w:trHeight w:val="29"/>
        </w:trPr>
        <w:tc>
          <w:tcPr>
            <w:tcW w:w="9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1"/>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3,223.8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46,330.0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43,391.8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45,734.9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43,438.7</w:t>
            </w:r>
          </w:p>
        </w:tc>
      </w:tr>
      <w:tr>
        <w:trPr>
          <w:trHeight w:val="29"/>
        </w:trPr>
        <w:tc>
          <w:tcPr>
            <w:tcW w:w="9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5"/>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380" w:type="dxa"/>
            <w:vAlign w:val="bottom"/>
          </w:tcPr>
          <w:p>
            <w:pPr>
              <w:spacing w:after="0"/>
              <w:rPr>
                <w:sz w:val="24"/>
                <w:szCs w:val="24"/>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1,371.1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1,301.1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1,400.0</w:t>
            </w:r>
          </w:p>
        </w:tc>
      </w:tr>
      <w:tr>
        <w:trPr>
          <w:trHeight w:val="270"/>
        </w:trPr>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3"/>
                <w:szCs w:val="23"/>
                <w:color w:val="auto"/>
              </w:rPr>
            </w:pPr>
          </w:p>
        </w:tc>
        <w:tc>
          <w:tcPr>
            <w:tcW w:w="86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(i)</w:t>
            </w:r>
          </w:p>
        </w:tc>
        <w:tc>
          <w:tcPr>
            <w:tcW w:w="26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40.0</w:t>
            </w:r>
          </w:p>
        </w:tc>
        <w:tc>
          <w:tcPr>
            <w:tcW w:w="26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899.2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913.0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942.5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942.5</w:t>
            </w:r>
          </w:p>
        </w:tc>
      </w:tr>
      <w:tr>
        <w:trPr>
          <w:trHeight w:val="29"/>
        </w:trPr>
        <w:tc>
          <w:tcPr>
            <w:tcW w:w="9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1"/>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2,270.3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2,214.1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2,342.5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2,342.5</w:t>
            </w:r>
          </w:p>
        </w:tc>
      </w:tr>
      <w:tr>
        <w:trPr>
          <w:trHeight w:val="29"/>
        </w:trPr>
        <w:tc>
          <w:tcPr>
            <w:tcW w:w="9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802"/>
        </w:trPr>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3,456.7</w:t>
            </w:r>
          </w:p>
        </w:tc>
        <w:tc>
          <w:tcPr>
            <w:tcW w:w="120" w:type="dxa"/>
            <w:vAlign w:val="bottom"/>
          </w:tcPr>
          <w:p>
            <w:pPr>
              <w:spacing w:after="0"/>
              <w:rPr>
                <w:sz w:val="24"/>
                <w:szCs w:val="24"/>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48,600.3</w:t>
            </w:r>
          </w:p>
        </w:tc>
        <w:tc>
          <w:tcPr>
            <w:tcW w:w="120" w:type="dxa"/>
            <w:vAlign w:val="bottom"/>
          </w:tcPr>
          <w:p>
            <w:pPr>
              <w:spacing w:after="0"/>
              <w:rPr>
                <w:sz w:val="24"/>
                <w:szCs w:val="24"/>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45,605.9</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48,077.4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45,781.2</w:t>
            </w:r>
          </w:p>
        </w:tc>
      </w:tr>
      <w:tr>
        <w:trPr>
          <w:trHeight w:val="29"/>
        </w:trPr>
        <w:tc>
          <w:tcPr>
            <w:tcW w:w="9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9"/>
        </w:trPr>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140" w:type="dxa"/>
            <w:vAlign w:val="bottom"/>
          </w:tcPr>
          <w:p>
            <w:pPr>
              <w:spacing w:after="0"/>
              <w:rPr>
                <w:sz w:val="18"/>
                <w:szCs w:val="18"/>
                <w:color w:val="auto"/>
              </w:rPr>
            </w:pP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-4531995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-4189095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-3846195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-3503295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-3159760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-2816860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-2473960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-2131060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-1788160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-1436370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-1093470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20955</wp:posOffset>
            </wp:positionV>
            <wp:extent cx="1586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38735</wp:posOffset>
            </wp:positionV>
            <wp:extent cx="7246620" cy="77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60"/>
            <w:col w:w="8460"/>
          </w:cols>
          <w:pgMar w:left="240" w:top="279"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9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 principal amount of debt before unamortized premiums, discounts and deferred financing costs</w:t>
            </w: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48,077.4</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45,781.2</w:t>
            </w:r>
          </w:p>
        </w:tc>
      </w:tr>
      <w:tr>
        <w:trPr>
          <w:trHeight w:val="29"/>
        </w:trPr>
        <w:tc>
          <w:tcPr>
            <w:tcW w:w="8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Unamortized premiums (discounts),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r>
      <w:tr>
        <w:trPr>
          <w:trHeight w:val="241"/>
        </w:trPr>
        <w:tc>
          <w:tcPr>
            <w:tcW w:w="89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Unamortized deferred financing costs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(308.2)</w:t>
            </w:r>
          </w:p>
        </w:tc>
      </w:tr>
      <w:tr>
        <w:trPr>
          <w:trHeight w:val="29"/>
        </w:trPr>
        <w:tc>
          <w:tcPr>
            <w:tcW w:w="8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carrying amount of debt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47,707.9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45,426.3</w:t>
            </w:r>
          </w:p>
        </w:tc>
      </w:tr>
      <w:tr>
        <w:trPr>
          <w:trHeight w:val="241"/>
        </w:trPr>
        <w:tc>
          <w:tcPr>
            <w:tcW w:w="89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Capital lease obligations (j)</w:t>
            </w:r>
          </w:p>
        </w:tc>
        <w:tc>
          <w:tcPr>
            <w:tcW w:w="28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1,364.2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1,322.8</w:t>
            </w:r>
          </w:p>
        </w:tc>
      </w:tr>
      <w:tr>
        <w:trPr>
          <w:trHeight w:val="29"/>
        </w:trPr>
        <w:tc>
          <w:tcPr>
            <w:tcW w:w="8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debt and capital lease obligations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49,072.1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46,749.1</w:t>
            </w:r>
          </w:p>
        </w:tc>
      </w:tr>
      <w:tr>
        <w:trPr>
          <w:trHeight w:val="241"/>
        </w:trPr>
        <w:tc>
          <w:tcPr>
            <w:tcW w:w="89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Current maturities of debt and capital lease obligations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(2,537.9)</w:t>
            </w:r>
          </w:p>
        </w:tc>
      </w:tr>
      <w:tr>
        <w:trPr>
          <w:trHeight w:val="29"/>
        </w:trPr>
        <w:tc>
          <w:tcPr>
            <w:tcW w:w="8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Long-term debt and capital lease obligations</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45,831.8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44,211.2</w:t>
            </w:r>
          </w:p>
        </w:tc>
      </w:tr>
      <w:tr>
        <w:trPr>
          <w:trHeight w:val="20"/>
        </w:trPr>
        <w:tc>
          <w:tcPr>
            <w:tcW w:w="8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9" w:right="2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jc w:val="both"/>
        <w:ind w:left="500" w:hanging="492"/>
        <w:spacing w:after="0" w:line="25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interest rate in effect at March 31, 2016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financing costs, our weighted average interest rate on our aggregate variable- and fixed-rate indebtedness was 4.8% (including 4.7% for the Liberty Global Group and 6.0% for the LiLAC Group) at March 31, 2016. For information regarding our derivative instruments, see note 4.</w:t>
      </w:r>
    </w:p>
    <w:p>
      <w:pPr>
        <w:spacing w:after="0" w:line="187" w:lineRule="exact"/>
        <w:rPr>
          <w:rFonts w:ascii="Times New Roman" w:cs="Times New Roman" w:eastAsia="Times New Roman" w:hAnsi="Times New Roman"/>
          <w:sz w:val="18"/>
          <w:szCs w:val="18"/>
          <w:color w:val="auto"/>
        </w:rPr>
      </w:pPr>
    </w:p>
    <w:p>
      <w:pPr>
        <w:jc w:val="both"/>
        <w:ind w:left="500" w:hanging="492"/>
        <w:spacing w:after="0" w:line="254"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represents the maximum availability under the applicable facility at March 31, 2016 without regard to covenant compliance calculations or other conditions precedent to borrowing. At March 31, 2016, based on the applicable leverage covenants, the full amount of unused borrowing capacity was available to be borrowed under each of the respective subsidiary facilities, and there were no restrictions on the respective subsidiary's ability to make loans or distributions from this availability to other Liberty Global subsidiaries or Liberty Global, except as shown in the table below. In the following table, for each facility that is subject to limitations on borrowing availability, we present (i) the actual borrowing availability under the respective facility and (ii) for each subsidiary where the ability to make loans or distributions from this availability is limited, the amount that can be loaned or distributed to other Liberty Global subsidiaries or to Liberty Global. The amounts presented below assume no changes from March 31, 2016 borrowing levels and are based on the applicable covenant and other limitations in effect within each borrowing group at March 31, 2016, both before and after considering the impact of the completion of the March 31, 2016 compliance requirements.</w:t>
      </w:r>
    </w:p>
    <w:p>
      <w:pPr>
        <w:spacing w:after="0" w:line="15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Limitation on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38735</wp:posOffset>
            </wp:positionV>
            <wp:extent cx="3018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6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3"/>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Upon completion of relevant</w:t>
            </w: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3"/>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31, 2016 compliance</w:t>
            </w:r>
          </w:p>
        </w:tc>
      </w:tr>
      <w:tr>
        <w:trPr>
          <w:trHeight w:val="212"/>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140" w:type="dxa"/>
            <w:vAlign w:val="bottom"/>
          </w:tcPr>
          <w:p>
            <w:pPr>
              <w:spacing w:after="0"/>
              <w:rPr>
                <w:sz w:val="18"/>
                <w:szCs w:val="18"/>
                <w:color w:val="auto"/>
              </w:rPr>
            </w:pPr>
          </w:p>
        </w:tc>
        <w:tc>
          <w:tcPr>
            <w:tcW w:w="2180" w:type="dxa"/>
            <w:vAlign w:val="bottom"/>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reporting requirements</w:t>
            </w:r>
          </w:p>
        </w:tc>
      </w:tr>
      <w:tr>
        <w:trPr>
          <w:trHeight w:val="33"/>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7"/>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2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U.S. $</w:t>
            </w:r>
          </w:p>
        </w:tc>
        <w:tc>
          <w:tcPr>
            <w:tcW w:w="14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240" w:type="dxa"/>
            <w:vAlign w:val="bottom"/>
          </w:tcPr>
          <w:p>
            <w:pPr>
              <w:spacing w:after="0"/>
              <w:rPr>
                <w:sz w:val="18"/>
                <w:szCs w:val="18"/>
                <w:color w:val="auto"/>
              </w:rPr>
            </w:pP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U.S. $</w:t>
            </w:r>
          </w:p>
        </w:tc>
      </w:tr>
      <w:tr>
        <w:trPr>
          <w:trHeight w:val="212"/>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140" w:type="dxa"/>
            <w:vAlign w:val="bottom"/>
          </w:tcPr>
          <w:p>
            <w:pPr>
              <w:spacing w:after="0"/>
              <w:rPr>
                <w:sz w:val="18"/>
                <w:szCs w:val="18"/>
                <w:color w:val="auto"/>
              </w:rPr>
            </w:pP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40" w:type="dxa"/>
            <w:vAlign w:val="bottom"/>
          </w:tcPr>
          <w:p>
            <w:pPr>
              <w:spacing w:after="0"/>
              <w:rPr>
                <w:sz w:val="18"/>
                <w:szCs w:val="18"/>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equivalent</w:t>
            </w:r>
          </w:p>
        </w:tc>
      </w:tr>
      <w:tr>
        <w:trPr>
          <w:trHeight w:val="33"/>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4"/>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Limitation on availability to be borrowed under:</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Ziggo Credit Facilities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438.1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498.6</w:t>
            </w: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UPC Broadband Holding Bank Facility</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779.9</w:t>
            </w:r>
          </w:p>
        </w:tc>
      </w:tr>
      <w:tr>
        <w:trPr>
          <w:trHeight w:val="189"/>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Limitation on availability to be loaned or distributed by: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Ziggo Group Holding</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346.2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95.2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108.3</w:t>
            </w: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Unitymedia</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253.0</w:t>
            </w:r>
          </w:p>
        </w:tc>
      </w:tr>
      <w:tr>
        <w:trPr>
          <w:trHeight w:val="27"/>
        </w:trPr>
        <w:tc>
          <w:tcPr>
            <w:tcW w:w="5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values of our debt instruments are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5.</w:t>
      </w:r>
    </w:p>
    <w:p>
      <w:pPr>
        <w:spacing w:after="0" w:line="180"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2016, VMIH entered into (i) a €75.0 million ($85.4 million) term loan facility, which matures on January 15, 2022, bears interest at a rate of EURIBOR plus 3.0% and has a EURIBOR floor of 0.75% and (ii) a €25.0 million ($28.5 million) term loan facility, which matures on March 31, 2021, bears interest at a rate of EURIBOR plus 3.75% and has a EURIBOR floor of 0.0%.</w:t>
      </w:r>
    </w:p>
    <w:p>
      <w:pPr>
        <w:spacing w:after="0" w:line="172" w:lineRule="exact"/>
        <w:rPr>
          <w:rFonts w:ascii="Times New Roman" w:cs="Times New Roman" w:eastAsia="Times New Roman" w:hAnsi="Times New Roman"/>
          <w:sz w:val="18"/>
          <w:szCs w:val="18"/>
          <w:color w:val="auto"/>
        </w:rPr>
      </w:pPr>
    </w:p>
    <w:p>
      <w:pPr>
        <w:ind w:left="820" w:hanging="812"/>
        <w:spacing w:after="0" w:line="268" w:lineRule="auto"/>
        <w:tabs>
          <w:tab w:leader="none" w:pos="4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Unused borrowing capacity under the VM Credit Facility relates to a multi-currency revolving facility (the </w:t>
      </w:r>
      <w:r>
        <w:rPr>
          <w:rFonts w:ascii="Times New Roman" w:cs="Times New Roman" w:eastAsia="Times New Roman" w:hAnsi="Times New Roman"/>
          <w:sz w:val="18"/>
          <w:szCs w:val="18"/>
          <w:b w:val="1"/>
          <w:bCs w:val="1"/>
          <w:color w:val="auto"/>
        </w:rPr>
        <w:t>VM Revolving Facility</w:t>
      </w:r>
      <w:r>
        <w:rPr>
          <w:rFonts w:ascii="Times New Roman" w:cs="Times New Roman" w:eastAsia="Times New Roman" w:hAnsi="Times New Roman"/>
          <w:sz w:val="18"/>
          <w:szCs w:val="18"/>
          <w:color w:val="auto"/>
        </w:rPr>
        <w:t>) with maximum borrowing capacity equivalent to £675.0 million ($971.6 million). The outstanding balance at March 31, 2016 was €475.0 million ($540.6 million).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9"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hanging="812"/>
        <w:spacing w:after="0" w:line="261" w:lineRule="auto"/>
        <w:tabs>
          <w:tab w:leader="none" w:pos="4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2016, certain subsidiaries of Ziggo Group Holding purchased from a third-party lender certain loans receivable aggregating €100.0 million ($113.9 million) that were owed by (i) another subsidiary of Ziggo Group Holding and (ii) Ziggo Secured Finance B.V. (</w:t>
      </w:r>
      <w:r>
        <w:rPr>
          <w:rFonts w:ascii="Times New Roman" w:cs="Times New Roman" w:eastAsia="Times New Roman" w:hAnsi="Times New Roman"/>
          <w:sz w:val="18"/>
          <w:szCs w:val="18"/>
          <w:b w:val="1"/>
          <w:bCs w:val="1"/>
          <w:color w:val="auto"/>
        </w:rPr>
        <w:t>Ziggo Secured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Finance</w:t>
      </w:r>
      <w:r>
        <w:rPr>
          <w:rFonts w:ascii="Times New Roman" w:cs="Times New Roman" w:eastAsia="Times New Roman" w:hAnsi="Times New Roman"/>
          <w:sz w:val="18"/>
          <w:szCs w:val="18"/>
          <w:color w:val="auto"/>
        </w:rPr>
        <w:t>). Ziggo Secured Finance, which is 100% owned by a third-party, is a special purpose financing entity that was created for the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offering certain senior secured debt. Ziggo Secured Finance is consolidated by Ziggo Group Holding and Liberty Global.</w:t>
      </w:r>
    </w:p>
    <w:p>
      <w:pPr>
        <w:spacing w:after="0" w:line="180" w:lineRule="exact"/>
        <w:rPr>
          <w:rFonts w:ascii="Times New Roman" w:cs="Times New Roman" w:eastAsia="Times New Roman" w:hAnsi="Times New Roman"/>
          <w:sz w:val="18"/>
          <w:szCs w:val="18"/>
          <w:color w:val="auto"/>
        </w:rPr>
      </w:pPr>
    </w:p>
    <w:p>
      <w:pPr>
        <w:ind w:left="820" w:hanging="812"/>
        <w:spacing w:after="0" w:line="258" w:lineRule="auto"/>
        <w:tabs>
          <w:tab w:leader="none" w:pos="4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BASE Acquisition, Telenet borrowed (i) the full €200.0 million ($227.6 million) amount under Telenet Facility Z, a revolving credit facility that bears interest at EURIBOR plus a margin of 2.25%, (ii) the full €800.0 million ($910.4 million) amount under Telenet Facility AA, a term loan facility that bears interest at EURIBOR plus a margin of 3.5% and (iii) €217.0 million ($247.0 million) under Telenet Facility X, a revolving credit facility that bears interest at EURIBOR plus a margin of 2.75%. For information concerning the BASE Acquisition, see note 3.</w:t>
      </w:r>
    </w:p>
    <w:p>
      <w:pPr>
        <w:spacing w:after="0" w:line="183" w:lineRule="exact"/>
        <w:rPr>
          <w:rFonts w:ascii="Times New Roman" w:cs="Times New Roman" w:eastAsia="Times New Roman" w:hAnsi="Times New Roman"/>
          <w:sz w:val="18"/>
          <w:szCs w:val="18"/>
          <w:color w:val="auto"/>
        </w:rPr>
      </w:pPr>
    </w:p>
    <w:p>
      <w:pPr>
        <w:ind w:left="820" w:hanging="812"/>
        <w:spacing w:after="0" w:line="258" w:lineRule="auto"/>
        <w:tabs>
          <w:tab w:leader="none" w:pos="4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owed pursuant to interest-bearing vendor financing arrangements that are used to finance certain of our property and equipment additions, and to a lesser extent, certain of our operating expenses. These obligations are generally due within one year. At March 31, 2016 and December 31, 2015, the amounts owed pursuant to these arrangements include $191.3 million and $189.0 million, respectively, of VAT that was paid on our behalf by the vendor. Repayments of vendor financing obligations are included in repayments and repurchases of debt and capital lease obligations in our condensed consolidated statements of cash flows.</w:t>
      </w:r>
    </w:p>
    <w:p>
      <w:pPr>
        <w:spacing w:after="0" w:line="18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VTR Credit Facility is the senior secured credit facility of VTR and certain of its subsidiaries and comprises a $160.0 million U.S. dollar facility (the </w:t>
      </w:r>
      <w:r>
        <w:rPr>
          <w:rFonts w:ascii="Times New Roman" w:cs="Times New Roman" w:eastAsia="Times New Roman" w:hAnsi="Times New Roman"/>
          <w:sz w:val="18"/>
          <w:szCs w:val="18"/>
          <w:b w:val="1"/>
          <w:bCs w:val="1"/>
          <w:color w:val="auto"/>
        </w:rPr>
        <w:t>VTR Dollar Credit Facility</w:t>
      </w:r>
      <w:r>
        <w:rPr>
          <w:rFonts w:ascii="Times New Roman" w:cs="Times New Roman" w:eastAsia="Times New Roman" w:hAnsi="Times New Roman"/>
          <w:sz w:val="18"/>
          <w:szCs w:val="18"/>
          <w:color w:val="auto"/>
        </w:rPr>
        <w:t xml:space="preserve">) and a CLP 22.0 billion ($32.9 million) Chilean peso facility (the </w:t>
      </w:r>
      <w:r>
        <w:rPr>
          <w:rFonts w:ascii="Times New Roman" w:cs="Times New Roman" w:eastAsia="Times New Roman" w:hAnsi="Times New Roman"/>
          <w:sz w:val="18"/>
          <w:szCs w:val="18"/>
          <w:b w:val="1"/>
          <w:bCs w:val="1"/>
          <w:color w:val="auto"/>
        </w:rPr>
        <w:t>VTR Peso Credit Facility</w:t>
      </w:r>
      <w:r>
        <w:rPr>
          <w:rFonts w:ascii="Times New Roman" w:cs="Times New Roman" w:eastAsia="Times New Roman" w:hAnsi="Times New Roman"/>
          <w:sz w:val="18"/>
          <w:szCs w:val="18"/>
          <w:color w:val="auto"/>
        </w:rPr>
        <w:t>), each of which were undrawn at March 31, 2016.</w:t>
      </w:r>
    </w:p>
    <w:p>
      <w:pPr>
        <w:spacing w:after="0" w:line="176"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dollar equivalents of our consolidated capital lease obligations are as follows:</w:t>
      </w:r>
    </w:p>
    <w:p>
      <w:pPr>
        <w:spacing w:after="0" w:line="174" w:lineRule="exact"/>
        <w:rPr>
          <w:sz w:val="20"/>
          <w:szCs w:val="20"/>
          <w:color w:val="auto"/>
        </w:rPr>
      </w:pPr>
    </w:p>
    <w:tbl>
      <w:tblPr>
        <w:tblLayout w:type="fixed"/>
        <w:tblInd w:w="80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72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14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7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r>
      <w:tr>
        <w:trPr>
          <w:trHeight w:val="217"/>
        </w:trPr>
        <w:tc>
          <w:tcPr>
            <w:tcW w:w="7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33"/>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Group:</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Unitymedia</w:t>
            </w: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703.1</w:t>
            </w:r>
          </w:p>
        </w:tc>
      </w:tr>
      <w:tr>
        <w:trPr>
          <w:trHeight w:val="27"/>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Telenet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371.1</w:t>
            </w:r>
          </w:p>
        </w:tc>
      </w:tr>
      <w:tr>
        <w:trPr>
          <w:trHeight w:val="243"/>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Virgin Media</w:t>
            </w: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159.5</w:t>
            </w:r>
          </w:p>
        </w:tc>
      </w:tr>
      <w:tr>
        <w:trPr>
          <w:trHeight w:val="27"/>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subsidiaries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88.2</w:t>
            </w:r>
          </w:p>
        </w:tc>
      </w:tr>
      <w:tr>
        <w:trPr>
          <w:trHeight w:val="237"/>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Liberty Global Group capital lease obligations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1,363.5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1,321.9</w:t>
            </w:r>
          </w:p>
        </w:tc>
      </w:tr>
      <w:tr>
        <w:trPr>
          <w:trHeight w:val="27"/>
        </w:trPr>
        <w:tc>
          <w:tcPr>
            <w:tcW w:w="7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LiLAC Group:</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Liberty Puerto Rico</w:t>
            </w: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VTR</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LiLAC Group capital lease obligations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7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capital lease obligations</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1,322.8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Unitymedia Notes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December 23, 2015, Unitymedia Hessen and Unitymedia NRW GmbH, each a subsidiary of Unitymedia, issued €420.0 million ($478.0 million) of 4.625% senior secured notes due February 15, 2026 (the </w:t>
      </w:r>
      <w:r>
        <w:rPr>
          <w:rFonts w:ascii="Times New Roman" w:cs="Times New Roman" w:eastAsia="Times New Roman" w:hAnsi="Times New Roman"/>
          <w:sz w:val="18"/>
          <w:szCs w:val="18"/>
          <w:b w:val="1"/>
          <w:bCs w:val="1"/>
          <w:color w:val="auto"/>
        </w:rPr>
        <w:t>2026 UM Senior Secured Notes</w:t>
      </w:r>
      <w:r>
        <w:rPr>
          <w:rFonts w:ascii="Times New Roman" w:cs="Times New Roman" w:eastAsia="Times New Roman" w:hAnsi="Times New Roman"/>
          <w:sz w:val="18"/>
          <w:szCs w:val="18"/>
          <w:color w:val="auto"/>
        </w:rPr>
        <w:t>). A portion of the net proceeds from the 2026 UM Senior Secured Notes, which were held in escrow at December 31, 2015 as cash collateral, were used in January 2016 to redeem 10% of the principal amount of each of the following series of notes: (i) the €585.0 million ($665.8 million) outstanding principal amount of 5.5% senior secured notes due September 15, 2022 and (ii) the €450.0 million ($512.1 million) outstanding principal amount of 5.125% senior secured notes due January 21, 2023, each at a redemption price equal to 103% of the applicable redeemed principal amount in accordance with the indentures governing each of the notes. In connection with these transactions, we recognized a loss on debt modification and extinguishment, net, of $4.3 million. This loss includes (a) the payment of $3.4 million of redemption premium and (b) the write-off of $0.9 million of deferred financing costs.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9"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Maturities of Debt and Capital Lease Obligations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Maturities of our debt and capital lease obligations as of March 31, 2016 are presented below for the named entity and its subsidiaries, unless otherwise noted. Amounts presented below represent U.S. dollar equivalents based on March 31, 2016 exchange rates: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Liberty Global Group</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LiLAC Group</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Ziggo</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UPC</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Total Liberty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Liberty</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Virgin Media</w:t>
            </w: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14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Unitymedia</w:t>
            </w: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Telenet (c)</w:t>
            </w:r>
          </w:p>
        </w:tc>
        <w:tc>
          <w:tcPr>
            <w:tcW w:w="14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Global</w:t>
            </w:r>
          </w:p>
        </w:tc>
        <w:tc>
          <w:tcPr>
            <w:tcW w:w="1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VTR</w:t>
            </w:r>
          </w:p>
        </w:tc>
        <w:tc>
          <w:tcPr>
            <w:tcW w:w="12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Puerto</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LiLAC</w:t>
            </w:r>
          </w:p>
        </w:tc>
        <w:tc>
          <w:tcPr>
            <w:tcW w:w="14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Holding (a)</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Holding (b)</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Rico</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5"/>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0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Year ending</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December 31: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2016</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(remainder</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1,217.1</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182.1</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139.3</w:t>
            </w:r>
          </w:p>
        </w:tc>
        <w:tc>
          <w:tcPr>
            <w:tcW w:w="12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524.0</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483.0</w:t>
            </w:r>
          </w:p>
        </w:tc>
        <w:tc>
          <w:tcPr>
            <w:tcW w:w="120" w:type="dxa"/>
            <w:vAlign w:val="bottom"/>
          </w:tcPr>
          <w:p>
            <w:pPr>
              <w:spacing w:after="0"/>
              <w:rPr>
                <w:sz w:val="12"/>
                <w:szCs w:val="12"/>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380.6</w:t>
            </w:r>
          </w:p>
        </w:tc>
        <w:tc>
          <w:tcPr>
            <w:tcW w:w="100" w:type="dxa"/>
            <w:vAlign w:val="bottom"/>
          </w:tcPr>
          <w:p>
            <w:pPr>
              <w:spacing w:after="0"/>
              <w:rPr>
                <w:sz w:val="12"/>
                <w:szCs w:val="12"/>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2,926.1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2,926.1</w:t>
            </w:r>
          </w:p>
        </w:tc>
        <w:tc>
          <w:tcPr>
            <w:tcW w:w="0" w:type="dxa"/>
            <w:vAlign w:val="bottom"/>
          </w:tcPr>
          <w:p>
            <w:pPr>
              <w:spacing w:after="0"/>
              <w:rPr>
                <w:sz w:val="1"/>
                <w:szCs w:val="1"/>
                <w:color w:val="auto"/>
              </w:rPr>
            </w:pPr>
          </w:p>
        </w:tc>
      </w:tr>
      <w:tr>
        <w:trPr>
          <w:trHeight w:val="193"/>
        </w:trPr>
        <w:tc>
          <w:tcPr>
            <w:tcW w:w="1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of year)</w:t>
            </w:r>
          </w:p>
        </w:tc>
        <w:tc>
          <w:tcPr>
            <w:tcW w:w="2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2017</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696.6</w:t>
            </w:r>
          </w:p>
        </w:tc>
        <w:tc>
          <w:tcPr>
            <w:tcW w:w="0" w:type="dxa"/>
            <w:vAlign w:val="bottom"/>
          </w:tcPr>
          <w:p>
            <w:pPr>
              <w:spacing w:after="0"/>
              <w:rPr>
                <w:sz w:val="1"/>
                <w:szCs w:val="1"/>
                <w:color w:val="auto"/>
              </w:rPr>
            </w:pPr>
          </w:p>
        </w:tc>
      </w:tr>
      <w:tr>
        <w:trPr>
          <w:trHeight w:val="78"/>
        </w:trPr>
        <w:tc>
          <w:tcPr>
            <w:tcW w:w="10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2018</w:t>
            </w:r>
          </w:p>
        </w:tc>
        <w:tc>
          <w:tcPr>
            <w:tcW w:w="22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1,251.0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1,259.9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1,259.9</w:t>
            </w: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2019</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365.8</w:t>
            </w:r>
          </w:p>
        </w:tc>
        <w:tc>
          <w:tcPr>
            <w:tcW w:w="0" w:type="dxa"/>
            <w:vAlign w:val="bottom"/>
          </w:tcPr>
          <w:p>
            <w:pPr>
              <w:spacing w:after="0"/>
              <w:rPr>
                <w:sz w:val="1"/>
                <w:szCs w:val="1"/>
                <w:color w:val="auto"/>
              </w:rPr>
            </w:pPr>
          </w:p>
        </w:tc>
      </w:tr>
      <w:tr>
        <w:trPr>
          <w:trHeight w:val="78"/>
        </w:trPr>
        <w:tc>
          <w:tcPr>
            <w:tcW w:w="10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122.5</w:t>
            </w: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3,706.4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7,250.2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7,250.2</w:t>
            </w:r>
          </w:p>
        </w:tc>
        <w:tc>
          <w:tcPr>
            <w:tcW w:w="0" w:type="dxa"/>
            <w:vAlign w:val="bottom"/>
          </w:tcPr>
          <w:p>
            <w:pPr>
              <w:spacing w:after="0"/>
              <w:rPr>
                <w:sz w:val="1"/>
                <w:szCs w:val="1"/>
                <w:color w:val="auto"/>
              </w:rPr>
            </w:pPr>
          </w:p>
        </w:tc>
      </w:tr>
      <w:tr>
        <w:trPr>
          <w:trHeight w:val="78"/>
        </w:trPr>
        <w:tc>
          <w:tcPr>
            <w:tcW w:w="10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10,128.4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7,152.3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7,812.2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4,057.9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3,935.4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33,113.8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9"/>
              </w:rPr>
              <w:t>1,400.0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942.5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2,342.5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35,456.3</w:t>
            </w:r>
          </w:p>
        </w:tc>
        <w:tc>
          <w:tcPr>
            <w:tcW w:w="0" w:type="dxa"/>
            <w:vAlign w:val="bottom"/>
          </w:tcPr>
          <w:p>
            <w:pPr>
              <w:spacing w:after="0"/>
              <w:rPr>
                <w:sz w:val="1"/>
                <w:szCs w:val="1"/>
                <w:color w:val="auto"/>
              </w:rPr>
            </w:pPr>
          </w:p>
        </w:tc>
      </w:tr>
      <w:tr>
        <w:trPr>
          <w:trHeight w:val="73"/>
        </w:trPr>
        <w:tc>
          <w:tcPr>
            <w:tcW w:w="10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04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15,060.3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8,171.9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7,963.0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6,696.9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5,275.0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2,567.8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45,734.9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99"/>
              </w:rPr>
              <w:t>1,400.0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942.5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2,342.5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48,077.4</w:t>
            </w:r>
          </w:p>
        </w:tc>
        <w:tc>
          <w:tcPr>
            <w:tcW w:w="0" w:type="dxa"/>
            <w:vAlign w:val="bottom"/>
          </w:tcPr>
          <w:p>
            <w:pPr>
              <w:spacing w:after="0"/>
              <w:rPr>
                <w:sz w:val="1"/>
                <w:szCs w:val="1"/>
                <w:color w:val="auto"/>
              </w:rPr>
            </w:pPr>
          </w:p>
        </w:tc>
      </w:tr>
      <w:tr>
        <w:trPr>
          <w:trHeight w:val="198"/>
        </w:trPr>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maturities</w:t>
            </w: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Unamortized</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premium</w:t>
            </w:r>
          </w:p>
        </w:tc>
        <w:tc>
          <w:tcPr>
            <w:tcW w:w="2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93"/>
        </w:trPr>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(discount)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Unamortized</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0" w:type="dxa"/>
            <w:vAlign w:val="bottom"/>
          </w:tcPr>
          <w:p>
            <w:pPr>
              <w:spacing w:after="0"/>
              <w:rPr>
                <w:sz w:val="1"/>
                <w:szCs w:val="1"/>
                <w:color w:val="auto"/>
              </w:rPr>
            </w:pPr>
          </w:p>
        </w:tc>
      </w:tr>
      <w:tr>
        <w:trPr>
          <w:trHeight w:val="198"/>
        </w:trPr>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financing costs</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14,955.4</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8,169.5</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7,905.9</w:t>
            </w:r>
          </w:p>
        </w:tc>
        <w:tc>
          <w:tcPr>
            <w:tcW w:w="12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6,651.7</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5,220.3</w:t>
            </w:r>
          </w:p>
        </w:tc>
        <w:tc>
          <w:tcPr>
            <w:tcW w:w="120" w:type="dxa"/>
            <w:vAlign w:val="bottom"/>
          </w:tcPr>
          <w:p>
            <w:pPr>
              <w:spacing w:after="0"/>
              <w:rPr>
                <w:sz w:val="15"/>
                <w:szCs w:val="15"/>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2,504.9</w:t>
            </w:r>
          </w:p>
        </w:tc>
        <w:tc>
          <w:tcPr>
            <w:tcW w:w="100" w:type="dxa"/>
            <w:vAlign w:val="bottom"/>
          </w:tcPr>
          <w:p>
            <w:pPr>
              <w:spacing w:after="0"/>
              <w:rPr>
                <w:sz w:val="15"/>
                <w:szCs w:val="15"/>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45,407.7</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9"/>
              </w:rPr>
              <w:t>1,374.8</w:t>
            </w:r>
          </w:p>
        </w:tc>
        <w:tc>
          <w:tcPr>
            <w:tcW w:w="12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925.4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2,300.2</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47,707.9</w:t>
            </w:r>
          </w:p>
        </w:tc>
        <w:tc>
          <w:tcPr>
            <w:tcW w:w="0" w:type="dxa"/>
            <w:vAlign w:val="bottom"/>
          </w:tcPr>
          <w:p>
            <w:pPr>
              <w:spacing w:after="0"/>
              <w:rPr>
                <w:sz w:val="1"/>
                <w:szCs w:val="1"/>
                <w:color w:val="auto"/>
              </w:rPr>
            </w:pPr>
          </w:p>
        </w:tc>
      </w:tr>
      <w:tr>
        <w:trPr>
          <w:trHeight w:val="99"/>
        </w:trPr>
        <w:tc>
          <w:tcPr>
            <w:tcW w:w="104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040" w:type="dxa"/>
            <w:vAlign w:val="bottom"/>
            <w:shd w:val="clear" w:color="auto" w:fill="CCEEFF"/>
          </w:tcPr>
          <w:p>
            <w:pPr>
              <w:ind w:left="40"/>
              <w:spacing w:after="0" w:line="111" w:lineRule="exact"/>
              <w:rPr>
                <w:sz w:val="20"/>
                <w:szCs w:val="20"/>
                <w:color w:val="auto"/>
              </w:rPr>
            </w:pPr>
            <w:r>
              <w:rPr>
                <w:rFonts w:ascii="Times New Roman" w:cs="Times New Roman" w:eastAsia="Times New Roman" w:hAnsi="Times New Roman"/>
                <w:sz w:val="12"/>
                <w:szCs w:val="12"/>
                <w:color w:val="auto"/>
              </w:rPr>
              <w:t>Current portion</w:t>
            </w: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1,224.1</w:t>
            </w:r>
          </w:p>
        </w:tc>
        <w:tc>
          <w:tcPr>
            <w:tcW w:w="1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182.1</w:t>
            </w:r>
          </w:p>
        </w:tc>
        <w:tc>
          <w:tcPr>
            <w:tcW w:w="12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150.8</w:t>
            </w: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659.0</w:t>
            </w:r>
          </w:p>
        </w:tc>
        <w:tc>
          <w:tcPr>
            <w:tcW w:w="12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483.0</w:t>
            </w:r>
          </w:p>
        </w:tc>
        <w:tc>
          <w:tcPr>
            <w:tcW w:w="12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385.2</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3,084.2</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3,084.2</w:t>
            </w:r>
          </w:p>
        </w:tc>
        <w:tc>
          <w:tcPr>
            <w:tcW w:w="0" w:type="dxa"/>
            <w:vAlign w:val="bottom"/>
          </w:tcPr>
          <w:p>
            <w:pPr>
              <w:spacing w:after="0"/>
              <w:rPr>
                <w:sz w:val="1"/>
                <w:szCs w:val="1"/>
                <w:color w:val="auto"/>
              </w:rPr>
            </w:pPr>
          </w:p>
        </w:tc>
      </w:tr>
      <w:tr>
        <w:trPr>
          <w:trHeight w:val="185"/>
        </w:trPr>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2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bottom w:val="single" w:sz="8" w:color="CCEEFF"/>
            </w:tcBorders>
            <w:vMerge w:val="restart"/>
          </w:tcPr>
          <w:p>
            <w:pPr>
              <w:ind w:left="40"/>
              <w:spacing w:after="0" w:line="147" w:lineRule="exact"/>
              <w:rPr>
                <w:sz w:val="20"/>
                <w:szCs w:val="20"/>
                <w:color w:val="auto"/>
              </w:rPr>
            </w:pPr>
            <w:r>
              <w:rPr>
                <w:rFonts w:ascii="Times New Roman" w:cs="Times New Roman" w:eastAsia="Times New Roman" w:hAnsi="Times New Roman"/>
                <w:sz w:val="14"/>
                <w:szCs w:val="14"/>
                <w:color w:val="auto"/>
              </w:rPr>
              <w:t>Noncurrent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040" w:type="dxa"/>
            <w:vAlign w:val="bottom"/>
            <w:vMerge w:val="continue"/>
          </w:tcPr>
          <w:p>
            <w:pPr>
              <w:spacing w:after="0"/>
              <w:rPr>
                <w:sz w:val="9"/>
                <w:szCs w:val="9"/>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13,731.3</w:t>
            </w:r>
          </w:p>
        </w:tc>
        <w:tc>
          <w:tcPr>
            <w:tcW w:w="12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7,987.4</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7,755.1</w:t>
            </w:r>
          </w:p>
        </w:tc>
        <w:tc>
          <w:tcPr>
            <w:tcW w:w="12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5,992.7</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4,737.3</w:t>
            </w:r>
          </w:p>
        </w:tc>
        <w:tc>
          <w:tcPr>
            <w:tcW w:w="120" w:type="dxa"/>
            <w:vAlign w:val="bottom"/>
          </w:tcPr>
          <w:p>
            <w:pPr>
              <w:spacing w:after="0"/>
              <w:rPr>
                <w:sz w:val="9"/>
                <w:szCs w:val="9"/>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2,119.7</w:t>
            </w:r>
          </w:p>
        </w:tc>
        <w:tc>
          <w:tcPr>
            <w:tcW w:w="100" w:type="dxa"/>
            <w:vAlign w:val="bottom"/>
          </w:tcPr>
          <w:p>
            <w:pPr>
              <w:spacing w:after="0"/>
              <w:rPr>
                <w:sz w:val="9"/>
                <w:szCs w:val="9"/>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42,323.5</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9"/>
              </w:rPr>
              <w:t>1,374.8</w:t>
            </w:r>
          </w:p>
        </w:tc>
        <w:tc>
          <w:tcPr>
            <w:tcW w:w="12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925.4</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2,300.2</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44,623.7</w:t>
            </w:r>
          </w:p>
        </w:tc>
        <w:tc>
          <w:tcPr>
            <w:tcW w:w="0" w:type="dxa"/>
            <w:vAlign w:val="bottom"/>
          </w:tcPr>
          <w:p>
            <w:pPr>
              <w:spacing w:after="0"/>
              <w:rPr>
                <w:sz w:val="1"/>
                <w:szCs w:val="1"/>
                <w:color w:val="auto"/>
              </w:rPr>
            </w:pPr>
          </w:p>
        </w:tc>
      </w:tr>
      <w:tr>
        <w:trPr>
          <w:trHeight w:val="185"/>
        </w:trPr>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portion</w:t>
            </w:r>
          </w:p>
        </w:tc>
        <w:tc>
          <w:tcPr>
            <w:tcW w:w="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7" w:lineRule="exact"/>
        <w:rPr>
          <w:sz w:val="20"/>
          <w:szCs w:val="20"/>
          <w:color w:val="auto"/>
        </w:rPr>
      </w:pPr>
    </w:p>
    <w:p>
      <w:pPr>
        <w:ind w:left="50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certain senior and senior secured notes issued by special purpose financing entities that are consolidated by Ziggo Group Holding and Liberty Global.</w:t>
      </w:r>
    </w:p>
    <w:p>
      <w:pPr>
        <w:spacing w:after="0" w:line="16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certain senior and senior secured notes issued by special purpose financing entities that are consolidated by UPC Holding and Liberty Global.</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certain senior and senior secured notes issued by special purpose financing entities that are consolidated by Telenet and Liberty Global.</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amounts of our subsidiaries’ revolving credit facilities are included in our current debt maturities.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9"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lease obligations: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Liberty Global Group</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Virgin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Total Liberty</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LiLAC</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Unitymedia</w:t>
            </w: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Telenet</w:t>
            </w:r>
          </w:p>
        </w:tc>
        <w:tc>
          <w:tcPr>
            <w:tcW w:w="18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Media</w:t>
            </w:r>
          </w:p>
        </w:tc>
        <w:tc>
          <w:tcPr>
            <w:tcW w:w="1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2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 (remainder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741.3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1,173.2</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principal and interest payments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1,221.4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2,185.8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representing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729.8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1,363.5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1,364.2</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Current portion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Noncurrent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701.7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Non-cash Refinancing Transactions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2016 and 2015, certain of our refinancing transactions included non-cash borrowings and repayments of debt aggregating $113.8 million and $1,484.3 million,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9"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Computed “expected” tax benefit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allowances (b):</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effect of intercompany financing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rate differences (b) (c):</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 (b):</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Recognition of previously unrecognized tax benefits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Basis and other differences in the treatment of items associated with investments in subsidiaries and affiliates (b):</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Non-deductible or non-taxable interest and other expenses (b):</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income tax benefit</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20.0% and 20.25% for the three months ended March 31, 2016 and 2015, respectively. During 2015, the U.K. enacted legislation that will change the corporate income tax rate from the current rate of 20.0% to 19.0% in April 2017 and 18.0% in April 2020. Substantially all of the impact of these rate changes on our deferred tax balances was recorded in the fourth quarter of 2015 when the change in law was enacted.</w:t>
      </w:r>
    </w:p>
    <w:p>
      <w:pPr>
        <w:spacing w:after="0" w:line="180"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jurisdictions giving rise to increases are grouped together and shown separately from country jurisdictions giving rise to decreases.</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an increase or a decrease) to “expected” tax benefit for statutory rates in jurisdictions in which we operate outside of the U.K.</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March 31, 2016, our unrecognized tax benefits of $669.0 million included $292.7 million of tax benefits that would have a favorable impact on our effective income tax rate if ultimately recognized, after considering amounts that we would expect to be offset by valuation allowances and other factors.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currently undergoing income tax audits in Chile, the Czech Republic, Germany, Hungary, the Netherlands, Poland, Slovakia, Switzerland and the U.S. Except as noted below, any adjustments that might arise from the foregoing examinations are not expected to have a material impact on our consolidated financial position or results of operations. In the U.S., we have received</w:t>
      </w:r>
    </w:p>
    <w:p>
      <w:pPr>
        <w:sectPr>
          <w:pgSz w:w="11900" w:h="16838" w:orient="portrait"/>
          <w:cols w:equalWidth="0" w:num="1">
            <w:col w:w="11420"/>
          </w:cols>
          <w:pgMar w:left="240" w:top="279"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9" w:right="2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notices of adjustment from the Internal Revenue Service with respect to our 2010 and 2009 income tax returns, as well as a proposed adjustment to our 2013 withholding tax return. We have entered into the appeals process with respect to the 2013, 2010 and 2009 matters. While we believe that the ultimate resolution of these proposed adjustments will not have a material impact on our consolidated financial position, results of operations or cash flows, no assurance can be given that this will be the case given the amounts involved and the complex nature of the related issues. During the next 12 months, it is reasonably possible that the resolution of ongoing examinations by tax authorities as well as expiration of statutes of limitation could result in significant reductions to our unrecognized tax benefits related to tax positions taken as of March 31, 2016. The amount of any such reductions could range up to $250 million.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185" w:lineRule="exact"/>
        <w:rPr>
          <w:sz w:val="20"/>
          <w:szCs w:val="20"/>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Liberty Global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changes in our share capital during the three months ended March 31, 2016 is set forth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Liberty Global Shares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LiLAC Shares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4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4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12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Class C</w:t>
            </w: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6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January 1, 2016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call option contracts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we purchased a total of 7,641,137 Class C Liberty Global Shares at a weighted average price of $37.49 for an aggregate purchase price of $286.4 million, including direct acquisition costs and the effects of derivative instruments. At March 31, 2016, the remaining amount authorized for share repurchases was $3,715.1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9"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0" w:hanging="472"/>
        <w:spacing w:after="0"/>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primarily relates to the share-based incentive awards issued by Liberty Global to our and our subsidiaries’ employees. A summary of the aggregate share-based compensation expense that is included in our operating and SG&amp;A expenses is set forth below:</w:t>
      </w:r>
    </w:p>
    <w:p>
      <w:pPr>
        <w:spacing w:after="0" w:line="110"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6"/>
          <w:szCs w:val="16"/>
          <w:b w:val="1"/>
          <w:bCs w:val="1"/>
          <w:color w:val="auto"/>
        </w:rPr>
        <w:t>Three months ended March</w:t>
      </w:r>
    </w:p>
    <w:p>
      <w:pPr>
        <w:spacing w:after="0" w:line="28"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3"/>
              </w:rPr>
              <w:t>2015</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Performance-based incentive awards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share-based incentive awards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Liberty Global</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Telenet share-based incentive awards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2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Included 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SG&amp;A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SG&amp;A expense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500" w:hanging="492"/>
        <w:spacing w:after="0" w:line="26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share-based compensation expense related to (i) Liberty Global performance-based restricted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xml:space="preserve">), including amounts resulting from the 2016 PSUs, as described and defined below, (ii) a challenge performance award plan for certain executive officers and key employees (the </w:t>
      </w:r>
      <w:r>
        <w:rPr>
          <w:rFonts w:ascii="Times New Roman" w:cs="Times New Roman" w:eastAsia="Times New Roman" w:hAnsi="Times New Roman"/>
          <w:sz w:val="18"/>
          <w:szCs w:val="18"/>
          <w:b w:val="1"/>
          <w:bCs w:val="1"/>
          <w:color w:val="auto"/>
        </w:rPr>
        <w:t>Challenge Performance Awards</w:t>
      </w:r>
      <w:r>
        <w:rPr>
          <w:rFonts w:ascii="Times New Roman" w:cs="Times New Roman" w:eastAsia="Times New Roman" w:hAnsi="Times New Roman"/>
          <w:sz w:val="18"/>
          <w:szCs w:val="18"/>
          <w:color w:val="auto"/>
        </w:rPr>
        <w:t>) and (iii) the May 2014 grant of performance grant units (</w:t>
      </w:r>
      <w:r>
        <w:rPr>
          <w:rFonts w:ascii="Times New Roman" w:cs="Times New Roman" w:eastAsia="Times New Roman" w:hAnsi="Times New Roman"/>
          <w:sz w:val="18"/>
          <w:szCs w:val="18"/>
          <w:b w:val="1"/>
          <w:bCs w:val="1"/>
          <w:color w:val="auto"/>
        </w:rPr>
        <w:t>PGUs</w:t>
      </w:r>
      <w:r>
        <w:rPr>
          <w:rFonts w:ascii="Times New Roman" w:cs="Times New Roman" w:eastAsia="Times New Roman" w:hAnsi="Times New Roman"/>
          <w:sz w:val="18"/>
          <w:szCs w:val="18"/>
          <w:color w:val="auto"/>
        </w:rPr>
        <w:t>) to our Chief Executive Officer. The Challenge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Awards include performance-based share appreciation rights (</w:t>
      </w:r>
      <w:r>
        <w:rPr>
          <w:rFonts w:ascii="Times New Roman" w:cs="Times New Roman" w:eastAsia="Times New Roman" w:hAnsi="Times New Roman"/>
          <w:sz w:val="18"/>
          <w:szCs w:val="18"/>
          <w:b w:val="1"/>
          <w:bCs w:val="1"/>
          <w:color w:val="auto"/>
        </w:rPr>
        <w:t>PSARs</w:t>
      </w:r>
      <w:r>
        <w:rPr>
          <w:rFonts w:ascii="Times New Roman" w:cs="Times New Roman" w:eastAsia="Times New Roman" w:hAnsi="Times New Roman"/>
          <w:sz w:val="18"/>
          <w:szCs w:val="18"/>
          <w:color w:val="auto"/>
        </w:rPr>
        <w:t>) and PSUs.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certain information related to share-based compensation not yet recognized for share-based incentive awards related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Global ordinary shares as of March 31, 2016: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Non-performance-based</w:t>
            </w:r>
          </w:p>
        </w:tc>
        <w:tc>
          <w:tcPr>
            <w:tcW w:w="200" w:type="dxa"/>
            <w:vAlign w:val="bottom"/>
          </w:tcPr>
          <w:p>
            <w:pPr>
              <w:spacing w:after="0"/>
              <w:rPr>
                <w:sz w:val="17"/>
                <w:szCs w:val="17"/>
                <w:color w:val="auto"/>
              </w:rPr>
            </w:pPr>
          </w:p>
        </w:tc>
        <w:tc>
          <w:tcPr>
            <w:tcW w:w="17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0" w:type="dxa"/>
            <w:vAlign w:val="bottom"/>
          </w:tcPr>
          <w:p>
            <w:pPr>
              <w:spacing w:after="0"/>
              <w:rPr>
                <w:sz w:val="1"/>
                <w:szCs w:val="1"/>
                <w:color w:val="auto"/>
              </w:rPr>
            </w:pPr>
          </w:p>
        </w:tc>
      </w:tr>
      <w:tr>
        <w:trPr>
          <w:trHeight w:val="212"/>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awards (a)</w:t>
            </w:r>
          </w:p>
        </w:tc>
        <w:tc>
          <w:tcPr>
            <w:tcW w:w="200" w:type="dxa"/>
            <w:vAlign w:val="bottom"/>
          </w:tcPr>
          <w:p>
            <w:pPr>
              <w:spacing w:after="0"/>
              <w:rPr>
                <w:sz w:val="18"/>
                <w:szCs w:val="18"/>
                <w:color w:val="auto"/>
              </w:rPr>
            </w:pPr>
          </w:p>
        </w:tc>
        <w:tc>
          <w:tcPr>
            <w:tcW w:w="1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based awards (a) (b)</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compensation expense not yet recognized (in millions)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period remaining for expense recognition (in years)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7440" w:type="dxa"/>
            <w:vAlign w:val="bottom"/>
            <w:vMerge w:val="restart"/>
          </w:tcPr>
          <w:p>
            <w:pPr>
              <w:jc w:val="right"/>
              <w:ind w:right="5930"/>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relate to awards granted or assumed by Liberty Global under (i) the Liberty Global 2014 Incentive Plan (as amended and restated effective February 24, 2015), (ii) the Liberty Global 2014 Nonemployee Director Incentive Plan, (iii) the Liberty Global, Inc. 2005 Incentive Plan (as amended and restated effective June 7, 2013), (iv) the Liberty Global, Inc. 2005 Nonemployee Director Incentive Plan (as amended and restated effective June 7, 2013) and (v) certain other incentive</w:t>
      </w:r>
    </w:p>
    <w:p>
      <w:pPr>
        <w:sectPr>
          <w:pgSz w:w="11900" w:h="16838" w:orient="portrait"/>
          <w:cols w:equalWidth="0" w:num="1">
            <w:col w:w="11420"/>
          </w:cols>
          <w:pgMar w:left="240" w:top="279"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9" w:right="23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spacing w:after="0" w:line="329" w:lineRule="auto"/>
        <w:rPr>
          <w:sz w:val="20"/>
          <w:szCs w:val="20"/>
          <w:color w:val="auto"/>
        </w:rPr>
      </w:pPr>
      <w:r>
        <w:rPr>
          <w:rFonts w:ascii="Times New Roman" w:cs="Times New Roman" w:eastAsia="Times New Roman" w:hAnsi="Times New Roman"/>
          <w:sz w:val="18"/>
          <w:szCs w:val="18"/>
          <w:color w:val="auto"/>
        </w:rPr>
        <w:t>plans of Virgin Media, including Virgin Media’s 2010 stock incentive plan. All new awards are granted under the Liberty Global 2014 Incentive Plan or the Liberty Global 2014 Nonemployee Director Incentive Plan.</w:t>
      </w:r>
    </w:p>
    <w:p>
      <w:pPr>
        <w:spacing w:after="0" w:line="135"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relate to (i) the Challenge Performance Awards, (ii) PSUs, including $191.2 million related to the 2016 PSUs, and (iii) the PGUs.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2016 PSUs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compensation committee of our board of directors approved the grant of PSUs to executive officers and key employees (the </w:t>
      </w:r>
      <w:r>
        <w:rPr>
          <w:rFonts w:ascii="Times New Roman" w:cs="Times New Roman" w:eastAsia="Times New Roman" w:hAnsi="Times New Roman"/>
          <w:sz w:val="18"/>
          <w:szCs w:val="18"/>
          <w:b w:val="1"/>
          <w:bCs w:val="1"/>
          <w:color w:val="auto"/>
        </w:rPr>
        <w:t>2016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pursuant to a performance plan that is based on the achievement of a specified Adjusted OIBDA CAGR during the three-year period ended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2018. The 2016 PSUs require delivery of a compound annual growth rate of our consolidated operating cash flow (</w:t>
      </w:r>
      <w:r>
        <w:rPr>
          <w:rFonts w:ascii="Times New Roman" w:cs="Times New Roman" w:eastAsia="Times New Roman" w:hAnsi="Times New Roman"/>
          <w:sz w:val="18"/>
          <w:szCs w:val="18"/>
          <w:b w:val="1"/>
          <w:bCs w:val="1"/>
          <w:color w:val="auto"/>
        </w:rPr>
        <w:t>OCF CAGR</w:t>
      </w:r>
      <w:r>
        <w:rPr>
          <w:rFonts w:ascii="Times New Roman" w:cs="Times New Roman" w:eastAsia="Times New Roman" w:hAnsi="Times New Roman"/>
          <w:sz w:val="18"/>
          <w:szCs w:val="18"/>
          <w:color w:val="auto"/>
        </w:rPr>
        <w:t>) of 6.0% during the three-year performance period ending December 31, 2018, with over- and under-performance payout opportunities should the OCF CAGR exceed or fail to meet the target, as applicable. A performance range of 75% to 167.5% of the target OCF CAGR will generally result in award recipients earning 75% to 300% of their target 2016 PSUs, subject to reduction or forfeiture based on individual performance. The earned 2016 PSUs will vest 50% each on April 1, 2019 and October 1, 2019. During the first quarter of 2016, 6.3 million 2016 PSUs were granted with a weighted average grant-date fair value of $34.04.</w:t>
      </w:r>
    </w:p>
    <w:p>
      <w:pPr>
        <w:spacing w:after="0" w:line="183"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Liability</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the changes in our restructuring liability during the three months ended March 31, 2016 is set forth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and</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Office</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termination and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closures</w:t>
            </w:r>
          </w:p>
        </w:tc>
        <w:tc>
          <w:tcPr>
            <w:tcW w:w="32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liability as of January 1, 2016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liability as of March 31, 2016</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125.1</w:t>
            </w: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170"/>
        </w:trPr>
        <w:tc>
          <w:tcPr>
            <w:tcW w:w="6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77.4</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47.7</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125.1</w:t>
            </w: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restructuring charges during the three months ended March 31, 2016 include employee severance and termination costs related to certain reorganization and integration activities of $7.0 million in the European Operations Division’s central operations, $4.4 million in U.K./Ireland and $3.9 million in the Netherlands.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record significant restructuring charges during the remainder of 2016, due largely to our ongoing company-wide effort to optimize our operating model. In addition, we expect to undertake restructuring programs in certain of our operating segments, including programs to be undertaken in connection with the integration of acquired entities.</w:t>
      </w:r>
    </w:p>
    <w:p>
      <w:pPr>
        <w:spacing w:after="0" w:line="172"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or Loss per Share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Basic earnings or loss per share (</w:t>
      </w:r>
      <w:r>
        <w:rPr>
          <w:rFonts w:ascii="Times New Roman" w:cs="Times New Roman" w:eastAsia="Times New Roman" w:hAnsi="Times New Roman"/>
          <w:sz w:val="18"/>
          <w:szCs w:val="18"/>
          <w:b w:val="1"/>
          <w:bCs w:val="1"/>
          <w:color w:val="auto"/>
        </w:rPr>
        <w:t>EPS</w:t>
      </w:r>
      <w:r>
        <w:rPr>
          <w:rFonts w:ascii="Times New Roman" w:cs="Times New Roman" w:eastAsia="Times New Roman" w:hAnsi="Times New Roman"/>
          <w:sz w:val="18"/>
          <w:szCs w:val="18"/>
          <w:color w:val="auto"/>
        </w:rPr>
        <w:t>) is computed by dividing net earnings or loss by the weighted average number of shares outstanding for the period.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earnings or loss per share presents the dilutive effect, if any, on a per share basis of potential shares (e.g., options, share appreciation rights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PSARs, restricted share units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s) and convertible securities) as if they had been exercised, vested or converted at the beginning of the periods presented.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79"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net loss attributable to holders of Liberty Global Shares, LiLAC Shares and Old Liberty Global Shares are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57"/>
        </w:trPr>
        <w:tc>
          <w:tcPr>
            <w:tcW w:w="9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3"/>
          </w:tcPr>
          <w:p>
            <w:pPr>
              <w:jc w:val="center"/>
              <w:ind w:left="374"/>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80" w:type="dxa"/>
            <w:vAlign w:val="bottom"/>
          </w:tcPr>
          <w:p>
            <w:pPr>
              <w:spacing w:after="0"/>
              <w:rPr>
                <w:sz w:val="22"/>
                <w:szCs w:val="22"/>
                <w:color w:val="auto"/>
              </w:rPr>
            </w:pP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9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w w:val="93"/>
              </w:rPr>
              <w:t>2015</w:t>
            </w: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center"/>
              <w:ind w:left="39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holders of:</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Liberty Global Shares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LiLAC Shares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Old Liberty Global Shares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loss attributable to Liberty Global shareholders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Liberty Global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reported a loss attributable to holders of Liberty Global Shares for the three months ended March 31, 2016. Therefore, the potentially dilutive effect at March 31, 2016 of the following items was not included in the computation of diluted loss per share attributable to holders of Liberty Global Shares because their inclusion would have been anti-dilutive to the computation or, in the case of certain PSUs and PGUs, because such awards had not yet met the applicable performance criteria: (i) the aggregate number of shares issuable pursuant to outstanding options, SARs, PSARs and RSUs of approximately 41.9 million, (ii) the aggregate number of shares issuable pursuant to PSUs and PGUs of approximately 10.0 million and (iii) the aggregate number of shares issuable pursuant to obligations that may be settled in cash or shares of approximately 2.7 million.</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LiLAC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reported a loss attributable to holders of LiLAC Shares for the three months ended March 31, 2016. Therefore, the potentially dilutive effect at March 31, 2016 of the following items was not included in the computation of diluted loss per share attributable to holders of LiLAC Shares because their inclusion would have been anti-dilutive to the computation or, in the case of certain PSUs because such awards had not yet met the applicable performance criteria: (i) the aggregate number of shares issuable pursuant to outstanding options, SARs, PSARs and RSUs of approximately 1.4 million and (ii) the aggregate number of shares issuable pursuant to PSUs of approximately 0.4 million.</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Old Liberty Global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reported a loss attributable to holders of Old Liberty Global Shares for the three months ended March 31, 2015. Therefore, the potentially dilutive effect at March 31, 2015 of the following items was not included in the computation of diluted loss per share attributable to holders of Old Liberty Global Shares because their inclusion would have been anti-dilutive to the computation or, in the case of certain PSUs and PGUs, because such awards had not yet met the applicable performance criteria: (i) the aggregate number of shares issuable pursuant to outstanding options, SARs, PSARs and RSUs of approximately 36.1 million, (ii) the number of shares issuable pursuant to PSUs and PGUs of approximately 4.7 million and (iii) the aggregate number of shares issuable pursuant to obligations that may be settled in cash or shares of approximately 2.6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79"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have entered into agreements that commit our company to make cash payments in future periods with respect to programming contracts, network and connectivity commitments, purchases of customer premises and other equipment and services, non-cancellable operating leases and other items. The following table sets forth the U.S. dollar equivalents of such commitments as of March 31, 2016: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Payments due during: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Remainder</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 2016</w:t>
            </w: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Programming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2,891.3</w:t>
            </w:r>
          </w:p>
        </w:tc>
        <w:tc>
          <w:tcPr>
            <w:tcW w:w="0" w:type="dxa"/>
            <w:vAlign w:val="bottom"/>
          </w:tcPr>
          <w:p>
            <w:pPr>
              <w:spacing w:after="0"/>
              <w:rPr>
                <w:sz w:val="1"/>
                <w:szCs w:val="1"/>
                <w:color w:val="auto"/>
              </w:rPr>
            </w:pPr>
          </w:p>
        </w:tc>
      </w:tr>
      <w:tr>
        <w:trPr>
          <w:trHeight w:val="225"/>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Network and connectivity</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commitments</w:t>
            </w: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2,235.4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1,547.9</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843.4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commitments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37"/>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2,764.3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1,657.0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1,193.8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568.6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1,223.1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7,755.3</w:t>
            </w:r>
          </w:p>
        </w:tc>
        <w:tc>
          <w:tcPr>
            <w:tcW w:w="0" w:type="dxa"/>
            <w:vAlign w:val="bottom"/>
          </w:tcPr>
          <w:p>
            <w:pPr>
              <w:spacing w:after="0"/>
              <w:rPr>
                <w:sz w:val="1"/>
                <w:szCs w:val="1"/>
                <w:color w:val="auto"/>
              </w:rPr>
            </w:pPr>
          </w:p>
        </w:tc>
      </w:tr>
      <w:tr>
        <w:trPr>
          <w:trHeight w:val="27"/>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included in this table do not reflect any liabilities that are included in our March 31, 2016 condensed consolidated balance sheet.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In addition,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that this will continue to be the case in future periods. In this regard, our total programming and copyright costs aggregated $599.5 million (including $534.1 million for the Liberty Global Group and $65.4 million for the LiLAC Group) and $561.5 million (including $502.6 million for the Liberty Global Group and $58.9 million for the LiLAC Group) during the three months ended March 31, 2016 and 2015, respectively.</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Network and connectivity commitments include (i) Telenet’s commitments for certain operating costs associated with its leased network, (ii) service commitments associated with our network extension projects, primarily in the U.K., (iii) commitments associated with our mobile virtual network operator (</w:t>
      </w:r>
      <w:r>
        <w:rPr>
          <w:rFonts w:ascii="Times New Roman" w:cs="Times New Roman" w:eastAsia="Times New Roman" w:hAnsi="Times New Roman"/>
          <w:sz w:val="18"/>
          <w:szCs w:val="18"/>
          <w:b w:val="1"/>
          <w:bCs w:val="1"/>
          <w:color w:val="auto"/>
        </w:rPr>
        <w:t>MVNO</w:t>
      </w:r>
      <w:r>
        <w:rPr>
          <w:rFonts w:ascii="Times New Roman" w:cs="Times New Roman" w:eastAsia="Times New Roman" w:hAnsi="Times New Roman"/>
          <w:sz w:val="18"/>
          <w:szCs w:val="18"/>
          <w:color w:val="auto"/>
        </w:rPr>
        <w:t>) agreements and (iv) certain repair and maintenance, fiber capacity and energy commitments of Unitymedia.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MVNO commitments represent fixed minimum amounts payable under these agreements and, therefore, may be significantly less than the actual amounts we ultimately pay in these periods.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Commitments arising from acquisition agreements are not reflected in the above table. For information regarding our commitments under acquisition agreements, see note 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279"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three months ended March 31, 2016 and 2015, see note 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Credit Enhancements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Proceedings and Other Contingencies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Interkabel Acquisition. </w:t>
      </w:r>
      <w:r>
        <w:rPr>
          <w:rFonts w:ascii="Times New Roman" w:cs="Times New Roman" w:eastAsia="Times New Roman" w:hAnsi="Times New Roman"/>
          <w:sz w:val="18"/>
          <w:szCs w:val="18"/>
          <w:color w:val="auto"/>
        </w:rPr>
        <w:t>On November 26, 2007, Telenet and four associations of municipalities in Belgium, which we refer to as the pure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intercommunales or the “</w:t>
      </w:r>
      <w:r>
        <w:rPr>
          <w:rFonts w:ascii="Times New Roman" w:cs="Times New Roman" w:eastAsia="Times New Roman" w:hAnsi="Times New Roman"/>
          <w:sz w:val="18"/>
          <w:szCs w:val="18"/>
          <w:b w:val="1"/>
          <w:bCs w:val="1"/>
          <w:color w:val="auto"/>
        </w:rPr>
        <w:t>PICs</w:t>
      </w:r>
      <w:r>
        <w:rPr>
          <w:rFonts w:ascii="Times New Roman" w:cs="Times New Roman" w:eastAsia="Times New Roman" w:hAnsi="Times New Roman"/>
          <w:sz w:val="18"/>
          <w:szCs w:val="18"/>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 w:cs="Times New Roman" w:eastAsia="Times New Roman" w:hAnsi="Times New Roman"/>
          <w:sz w:val="18"/>
          <w:szCs w:val="18"/>
          <w:b w:val="1"/>
          <w:bCs w:val="1"/>
          <w:color w:val="auto"/>
        </w:rPr>
        <w:t>2008 PICs Agreement</w:t>
      </w:r>
      <w:r>
        <w:rPr>
          <w:rFonts w:ascii="Times New Roman" w:cs="Times New Roman" w:eastAsia="Times New Roman" w:hAnsi="Times New Roman"/>
          <w:sz w:val="18"/>
          <w:szCs w:val="18"/>
          <w:color w:val="auto"/>
        </w:rPr>
        <w:t>), which closed effective October 1, 2008. Beginning in December 2007, Proximus NV/SA (</w:t>
      </w:r>
      <w:r>
        <w:rPr>
          <w:rFonts w:ascii="Times New Roman" w:cs="Times New Roman" w:eastAsia="Times New Roman" w:hAnsi="Times New Roman"/>
          <w:sz w:val="18"/>
          <w:szCs w:val="18"/>
          <w:b w:val="1"/>
          <w:bCs w:val="1"/>
          <w:color w:val="auto"/>
        </w:rPr>
        <w:t>Proximus</w:t>
      </w:r>
      <w:r>
        <w:rPr>
          <w:rFonts w:ascii="Times New Roman" w:cs="Times New Roman" w:eastAsia="Times New Roman" w:hAnsi="Times New Roman"/>
          <w:sz w:val="18"/>
          <w:szCs w:val="18"/>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Times New Roman" w:cs="Times New Roman" w:eastAsia="Times New Roman" w:hAnsi="Times New Roman"/>
          <w:sz w:val="18"/>
          <w:szCs w:val="18"/>
          <w:b w:val="1"/>
          <w:bCs w:val="1"/>
          <w:color w:val="auto"/>
        </w:rPr>
        <w:t>Belgian Supreme Court</w:t>
      </w:r>
      <w:r>
        <w:rPr>
          <w:rFonts w:ascii="Times New Roman" w:cs="Times New Roman" w:eastAsia="Times New Roman" w:hAnsi="Times New Roman"/>
          <w:sz w:val="18"/>
          <w:szCs w:val="18"/>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should the 2008 PICs Agreement not be rescinded.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w:t>
      </w:r>
    </w:p>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Telenet is in the process of evaluating the resumed proceedings and claim for damages and intends to defend itself vigorously. No assurance can be given as to the outcome of these or other proceedings. However, an unfavorable outcome of existing or future proceedings could potentially lead to the annulment of the 2008 PICs Agreement and/or to an obligation of Telenet to pay compensation for damages, subject to the relevant provisions of the 2008 PICs Agreement, which stipulate that Telenet is responsible for damages in excess of €20.0 million ($22.8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8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Deutsche Telekom Litigation. </w:t>
      </w:r>
      <w:r>
        <w:rPr>
          <w:rFonts w:ascii="Times New Roman" w:cs="Times New Roman" w:eastAsia="Times New Roman" w:hAnsi="Times New Roman"/>
          <w:sz w:val="18"/>
          <w:szCs w:val="18"/>
          <w:color w:val="auto"/>
        </w:rPr>
        <w:t>On December 28, 2012, Unitymedia filed a lawsuit against Telekom Deutschland GmbH (</w:t>
      </w:r>
      <w:r>
        <w:rPr>
          <w:rFonts w:ascii="Times New Roman" w:cs="Times New Roman" w:eastAsia="Times New Roman" w:hAnsi="Times New Roman"/>
          <w:sz w:val="18"/>
          <w:szCs w:val="18"/>
          <w:b w:val="1"/>
          <w:bCs w:val="1"/>
          <w:color w:val="auto"/>
        </w:rPr>
        <w:t>Deutsche Telekom</w:t>
      </w:r>
      <w:r>
        <w:rPr>
          <w:rFonts w:ascii="Times New Roman" w:cs="Times New Roman" w:eastAsia="Times New Roman" w:hAnsi="Times New Roman"/>
          <w:sz w:val="18"/>
          <w:szCs w:val="18"/>
          <w:color w:val="auto"/>
        </w:rPr>
        <w: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subsidiary of Deutsche Telekom AG, in which Unitymedia asserts that it pays excessive prices for the co-use of Deutsche Telekom’s cable ducts in Unitymedia’s footprint. The Federal Network Agency approved rates for the co-use of certain ducts of Deutsche Telekom in March 2011. Based in part on these approved rates, Unitymedia is seeking a reduction of the annual lease fees (approximately €76 million ($86 million) for 2012) by approximately two-thirds and the return of similarly calculated overpayments from 2009 through the ultimate settlement date, plus accrued interest. While we expect a decision by the court of first instance during 2016, the resolution of this matter may take several years and no assurance can be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79"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that Unitymedia’s claims will be successful. Any recovery by Unitymedia will not be reflected in our consolidated financial statements until such time as the final disposition of this matter has been reached.</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Vivendi Litigation. </w:t>
      </w:r>
      <w:r>
        <w:rPr>
          <w:rFonts w:ascii="Times New Roman" w:cs="Times New Roman" w:eastAsia="Times New Roman" w:hAnsi="Times New Roman"/>
          <w:sz w:val="18"/>
          <w:szCs w:val="18"/>
          <w:color w:val="auto"/>
        </w:rPr>
        <w:t>A wholly-owned subsidiary of our company was a plaintiff in certain litigation titled Liberty Media Corporation, et. al. v. Vivendi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 and Universal Studios. A predecessor of Liberty Global was a subsidiary of Liberty Media Corporation (</w:t>
      </w:r>
      <w:r>
        <w:rPr>
          <w:rFonts w:ascii="Times New Roman" w:cs="Times New Roman" w:eastAsia="Times New Roman" w:hAnsi="Times New Roman"/>
          <w:sz w:val="18"/>
          <w:szCs w:val="18"/>
          <w:b w:val="1"/>
          <w:bCs w:val="1"/>
          <w:color w:val="auto"/>
        </w:rPr>
        <w:t>Liberty Media</w:t>
      </w:r>
      <w:r>
        <w:rPr>
          <w:rFonts w:ascii="Times New Roman" w:cs="Times New Roman" w:eastAsia="Times New Roman" w:hAnsi="Times New Roman"/>
          <w:sz w:val="18"/>
          <w:szCs w:val="18"/>
          <w:color w:val="auto"/>
        </w:rPr>
        <w:t>) through June 6, 2004. In connection with Liberty Media’s prosecution of the action, our subsidiary assigned its rights to Liberty Media in exchange for a contingent payout in the event Liberty Media recovered any amounts as a result of the action. In February 2016, Vivendi S.A. (</w:t>
      </w:r>
      <w:r>
        <w:rPr>
          <w:rFonts w:ascii="Times New Roman" w:cs="Times New Roman" w:eastAsia="Times New Roman" w:hAnsi="Times New Roman"/>
          <w:sz w:val="18"/>
          <w:szCs w:val="18"/>
          <w:b w:val="1"/>
          <w:bCs w:val="1"/>
          <w:color w:val="auto"/>
        </w:rPr>
        <w:t>Vivendi</w:t>
      </w:r>
      <w:r>
        <w:rPr>
          <w:rFonts w:ascii="Times New Roman" w:cs="Times New Roman" w:eastAsia="Times New Roman" w:hAnsi="Times New Roman"/>
          <w:sz w:val="18"/>
          <w:szCs w:val="18"/>
          <w:color w:val="auto"/>
        </w:rPr>
        <w:t>) and Liberty Media settled the litigation and, as a result of such settlement, our subsidiary received a cash payment of $69.8 million, which is included in other income (expense), net, in our condensed consolidated statement of operations and other investing activities, net, in our condensed consolidated statement of cash flows. We consider this matter to be closed.</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Liberty Puerto Rico Matter. </w:t>
      </w:r>
      <w:r>
        <w:rPr>
          <w:rFonts w:ascii="Times New Roman" w:cs="Times New Roman" w:eastAsia="Times New Roman" w:hAnsi="Times New Roman"/>
          <w:sz w:val="18"/>
          <w:szCs w:val="18"/>
          <w:color w:val="auto"/>
        </w:rPr>
        <w:t>In November 2012, we completed a business combination that resulted in, among other matters, the combination of our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subsidiary in Puerto Rico with San Juan Cable, LLC dba OneLink Communications (</w:t>
      </w:r>
      <w:r>
        <w:rPr>
          <w:rFonts w:ascii="Times New Roman" w:cs="Times New Roman" w:eastAsia="Times New Roman" w:hAnsi="Times New Roman"/>
          <w:sz w:val="18"/>
          <w:szCs w:val="18"/>
          <w:b w:val="1"/>
          <w:bCs w:val="1"/>
          <w:color w:val="auto"/>
        </w:rPr>
        <w:t>OneLink</w:t>
      </w:r>
      <w:r>
        <w:rPr>
          <w:rFonts w:ascii="Times New Roman" w:cs="Times New Roman" w:eastAsia="Times New Roman" w:hAnsi="Times New Roman"/>
          <w:sz w:val="18"/>
          <w:szCs w:val="18"/>
          <w:color w:val="auto"/>
        </w:rPr>
        <w:t xml:space="preserve">). In connection with this transaction (the </w:t>
      </w:r>
      <w:r>
        <w:rPr>
          <w:rFonts w:ascii="Times New Roman" w:cs="Times New Roman" w:eastAsia="Times New Roman" w:hAnsi="Times New Roman"/>
          <w:sz w:val="18"/>
          <w:szCs w:val="18"/>
          <w:b w:val="1"/>
          <w:bCs w:val="1"/>
          <w:color w:val="auto"/>
        </w:rPr>
        <w:t>OneLink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Liberty Puerto Rico, as the surviving entity, became a party to certain claims previously asserted by the incumbent telephone operator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OneLink based on alleged conduct of OneLink that occurred prior to the OneLink Acquisition (the </w:t>
      </w:r>
      <w:r>
        <w:rPr>
          <w:rFonts w:ascii="Times New Roman" w:cs="Times New Roman" w:eastAsia="Times New Roman" w:hAnsi="Times New Roman"/>
          <w:sz w:val="18"/>
          <w:szCs w:val="18"/>
          <w:b w:val="1"/>
          <w:bCs w:val="1"/>
          <w:color w:val="auto"/>
        </w:rPr>
        <w:t>PRTC Claim</w:t>
      </w:r>
      <w:r>
        <w:rPr>
          <w:rFonts w:ascii="Times New Roman" w:cs="Times New Roman" w:eastAsia="Times New Roman" w:hAnsi="Times New Roman"/>
          <w:sz w:val="18"/>
          <w:szCs w:val="18"/>
          <w:color w:val="auto"/>
        </w:rPr>
        <w:t xml:space="preserve">). The PRTC Claim includes an allegation that OneLink acted in an anticompetitive manner in connection with a series of legal and regulatory proceedings it initiated against the incumbent telephone operator in Puerto Rico beginning in 2009. In March 2014, a separate class action claim was filed in Puerto Rico (the </w:t>
      </w:r>
      <w:r>
        <w:rPr>
          <w:rFonts w:ascii="Times New Roman" w:cs="Times New Roman" w:eastAsia="Times New Roman" w:hAnsi="Times New Roman"/>
          <w:sz w:val="18"/>
          <w:szCs w:val="18"/>
          <w:b w:val="1"/>
          <w:bCs w:val="1"/>
          <w:color w:val="auto"/>
        </w:rPr>
        <w:t>Class Action Claim</w:t>
      </w:r>
      <w:r>
        <w:rPr>
          <w:rFonts w:ascii="Times New Roman" w:cs="Times New Roman" w:eastAsia="Times New Roman" w:hAnsi="Times New Roman"/>
          <w:sz w:val="18"/>
          <w:szCs w:val="18"/>
          <w:color w:val="auto"/>
        </w:rPr>
        <w:t>) containing allegations substantially similar to those asserted in the PRTC Claim, but alleging ongoing injury on behalf of a consumer class (as opposed to harm to a competitor). The former owners of OneLink have partially indemnified us through November 8, 2016 for any losses we may incur in connection with the PRTC Claim up to a specified maximum amount. However, the indemnity does not cover any potential losses resulting from the Class Action Claim. Liberty Puerto Rico has recorded a provision and a related indemnification asset representing its best estimate of the net loss that it may incur upon the ultimate resolution of the PRTC Claim. While Liberty Puerto Rico expects that the net amount required to satisfy these contingencies will not materially differ from the estimated amount it has accrued, no assurance can be given that the ultimate resolution of these matters will not have an adverse impact on our results of operations, cash flows or financial position in any given period.</w:t>
      </w:r>
    </w:p>
    <w:p>
      <w:pPr>
        <w:spacing w:after="0" w:line="18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Belgium Regulatory Developments. </w:t>
      </w:r>
      <w:r>
        <w:rPr>
          <w:rFonts w:ascii="Times New Roman" w:cs="Times New Roman" w:eastAsia="Times New Roman" w:hAnsi="Times New Roman"/>
          <w:sz w:val="18"/>
          <w:szCs w:val="18"/>
          <w:color w:val="auto"/>
        </w:rPr>
        <w:t>In December 2010, the Belgisch Instituut voor Post en Telecommunicatie and the regional regulators for the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sectors (together, the </w:t>
      </w:r>
      <w:r>
        <w:rPr>
          <w:rFonts w:ascii="Times New Roman" w:cs="Times New Roman" w:eastAsia="Times New Roman" w:hAnsi="Times New Roman"/>
          <w:sz w:val="18"/>
          <w:szCs w:val="18"/>
          <w:b w:val="1"/>
          <w:bCs w:val="1"/>
          <w:color w:val="auto"/>
        </w:rPr>
        <w:t>Belgium Regulatory Authorities</w:t>
      </w:r>
      <w:r>
        <w:rPr>
          <w:rFonts w:ascii="Times New Roman" w:cs="Times New Roman" w:eastAsia="Times New Roman" w:hAnsi="Times New Roman"/>
          <w:sz w:val="18"/>
          <w:szCs w:val="18"/>
          <w:color w:val="auto"/>
        </w:rPr>
        <w:t>) published their respective draft decisions reflecting the results of their joint analysis of the broadcasting market in Belgium.</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Belgium Regulatory Authorities adopted a final decision on July 1, 2011 (the </w:t>
      </w:r>
      <w:r>
        <w:rPr>
          <w:rFonts w:ascii="Times New Roman" w:cs="Times New Roman" w:eastAsia="Times New Roman" w:hAnsi="Times New Roman"/>
          <w:sz w:val="18"/>
          <w:szCs w:val="18"/>
          <w:b w:val="1"/>
          <w:bCs w:val="1"/>
          <w:color w:val="auto"/>
        </w:rPr>
        <w:t>July 2011 Decision</w:t>
      </w:r>
      <w:r>
        <w:rPr>
          <w:rFonts w:ascii="Times New Roman" w:cs="Times New Roman" w:eastAsia="Times New Roman" w:hAnsi="Times New Roman"/>
          <w:sz w:val="18"/>
          <w:szCs w:val="18"/>
          <w:color w:val="auto"/>
        </w:rPr>
        <w:t>) with some minor revisions. The regulatory obligations imposed by the July 2011 Decision include (i) an obligation to make a resale offer at “retail minus’’ of the cable analog package available to third-party operators (including Proximus), (ii) an obligation to grant third-party operators (except Proximus) access to digital television platforms (including the basic digital video package) at “retail minus” and (iii) an obligation to make a resale offer at “retail minus’’ of broadband internet access available to beneficiaries of the digital television access obligation that wish to offer bundles of digital video and broadband internet services to their customers (except Proximus).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2012, Telenet submitted draft reference offers regarding the obligations described above, and the Belgium Regulatory Authorities published the final decision on September 9, 2013. Telenet has implemented the access obligations as described in its reference offers and, on March 1, 2016, Mobistar SA (</w:t>
      </w:r>
      <w:r>
        <w:rPr>
          <w:rFonts w:ascii="Times New Roman" w:cs="Times New Roman" w:eastAsia="Times New Roman" w:hAnsi="Times New Roman"/>
          <w:sz w:val="18"/>
          <w:szCs w:val="18"/>
          <w:b w:val="1"/>
          <w:bCs w:val="1"/>
          <w:color w:val="auto"/>
        </w:rPr>
        <w:t>Mobistar</w:t>
      </w:r>
      <w:r>
        <w:rPr>
          <w:rFonts w:ascii="Times New Roman" w:cs="Times New Roman" w:eastAsia="Times New Roman" w:hAnsi="Times New Roman"/>
          <w:sz w:val="18"/>
          <w:szCs w:val="18"/>
          <w:color w:val="auto"/>
        </w:rPr>
        <w:t>) launched a commercial offer combining a cable TV package and broadband internet access for certain of their mobile customers. In addition, as a result of the November 2014 decision by the Brussels Court of Appeal described below, on November 14, 2014, Proximus submitted a request to Telenet to commence access negotiations. Telenet contests this request and has asked the Belgium Regulatory Authorities to assess the reasonableness of the Proximus request. The timing for a decision regarding this assessment by the Belgium Regulatory Authorities is not known.</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14, 2015, the Belgium Regulatory Authorities published a draft decision, which amended previously-issued decisions and sets forth the “retail-minus” tariffs of minus 26% for basic television (basic analog and digital video package) and minus 18% for the bundle of basic television and broadband internet services during an initial two-year period. Following this two-year period, the tariffs would change to minus 15% and 7%, respectively. The draft decision was notified to the European Commission and a final decision was adopted on February 19, 2016. On April 25, 2016, Telenet filed an appeal challenging this decision with Court of Appeals in Brussels. A “retail-minus” method of pricing involves a wholesale tariff calculated as the retail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279"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price for the offered service by Telenet, excluding VAT and copyrights, and further deducting the retail costs avoided by offering the wholesale service (such as costs for billing, franchise, consumer service, marketing and sales).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Telenet filed an appeal against the July 2011 Decision with the Brussels Court of Appeal. On November 12, 2014, the Brussels Court of Appeal rejected Telenet’s appeal of the July 2011 Decision and accepted Proximus’s claim that Proximus should be allowed access to Telenet’s, among other operators, digital television platform and the resale of bundles of digital video and broadband internet services. On November 30, 2015, Telenet filed an appeal of this decision with the Belgian Supreme Court. In 2015, Telenet and wireless operator Mobistar each filed an appeal with the Brussels Court of Appeal against the decision regarding the quantitative aspects of the reference offers. A decision with respect to these appeals is expected during 2016. There can be no certainty that Telenet’s appeals will be successful.</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July 2011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ultimately afforded to Telenet’s network and other competitive factors or market developments.</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Financial Transactions Tax. </w:t>
      </w:r>
      <w:r>
        <w:rPr>
          <w:rFonts w:ascii="Times New Roman" w:cs="Times New Roman" w:eastAsia="Times New Roman" w:hAnsi="Times New Roman"/>
          <w:sz w:val="18"/>
          <w:szCs w:val="18"/>
          <w:color w:val="auto"/>
        </w:rPr>
        <w:t>Certain countries in the EU, including Germany, Austria and Slovakia, are participating in an enhanced cooperation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procedure to introduce a financial transactions tax (the </w:t>
      </w:r>
      <w:r>
        <w:rPr>
          <w:rFonts w:ascii="Times New Roman" w:cs="Times New Roman" w:eastAsia="Times New Roman" w:hAnsi="Times New Roman"/>
          <w:sz w:val="18"/>
          <w:szCs w:val="18"/>
          <w:b w:val="1"/>
          <w:bCs w:val="1"/>
          <w:color w:val="auto"/>
        </w:rPr>
        <w:t>FTT</w:t>
      </w:r>
      <w:r>
        <w:rPr>
          <w:rFonts w:ascii="Times New Roman" w:cs="Times New Roman" w:eastAsia="Times New Roman" w:hAnsi="Times New Roman"/>
          <w:sz w:val="18"/>
          <w:szCs w:val="18"/>
          <w:color w:val="auto"/>
        </w:rPr>
        <w:t>). Under the draft language of the FTT proposal, a wide range of financial transactions could be taxed at rates of at least 0.01% for derivative transactions based on the notional amount and 0.1% for other covered financial transactions based on the underlying transaction price. Each of the individual countries would be permitted to determine an exact rate, which could be higher than the proposed rates of 0.01% and 0.1%. Any implementation of the FTT could have a global impact because it would apply to all financial transactions where a financial institution is involved (including unregulated entities that engage in certain types of covered activity) and either of the parties (whether the financial institution or its counterparty) is in one of the participating countries. Although there continues to be ongoing discussions in the relevant countries around the FTT, uncertainty remains as to if and when the FTT will be implemented and the breadth of its application. Based on our understanding of the current status of the potential FTT, we do not expect that any implementation of the FTT would occur before January 2017. Any imposition of the FTT could increase banking fees and introduce taxes on internal transactions that we currently perform. Due to the uncertainty regarding the FTT, we are currently unable to estimate the financial impact that the FTT could have on our results of operations, cash flows or financial position.</w:t>
      </w:r>
    </w:p>
    <w:p>
      <w:pPr>
        <w:spacing w:after="0" w:line="1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Virgin Media VAT Matters. </w:t>
      </w:r>
      <w:r>
        <w:rPr>
          <w:rFonts w:ascii="Times New Roman" w:cs="Times New Roman" w:eastAsia="Times New Roman" w:hAnsi="Times New Roman"/>
          <w:sz w:val="18"/>
          <w:szCs w:val="18"/>
          <w:color w:val="auto"/>
        </w:rPr>
        <w:t>Virgin Media’s application of VAT with respect to certain revenue generating activities has been challenged by the U.K.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 Virgin Media has estimated its maximum exposure in the event of an unfavorable outcome to be £46.1 million ($66.4 million) as of March 31, 2016. No portion of this exposure has been accrued by Virgin Media as the likelihood of loss is not considered to be probable. A court hearing was held at the end of September 2014 in relation to the U.K. tax authorities’ challenge and the court’s decision is expected prior to June 30, 2016.</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The U.K. tax authority issued a decision in the fourth quarter of 2015 challenging our application of the prompt payment discount rules prior to the May 1, 2014 change in legislation. We have appealed this decision. As part of the appeal process, we were required to make aggregate payments of £67.0 million ($99.1 million at the respective transaction dates), which included the challenged amount of £63.7 million and related interest of £3.3 million. The aggregate amount paid does not include penalties, which could be significant in the unlikely event that penalties were to be assessed. This matter will likely be subject to court proceedings that could delay the ultimate resolution for an extended period of time. No portion of this potential exposure has been accrued by our company as the likelihood of loss is not considered to be probable.</w:t>
      </w:r>
    </w:p>
    <w:p>
      <w:pPr>
        <w:spacing w:after="0" w:line="18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Hungary VAT Matter. </w:t>
      </w:r>
      <w:r>
        <w:rPr>
          <w:rFonts w:ascii="Times New Roman" w:cs="Times New Roman" w:eastAsia="Times New Roman" w:hAnsi="Times New Roman"/>
          <w:sz w:val="18"/>
          <w:szCs w:val="18"/>
          <w:color w:val="auto"/>
        </w:rPr>
        <w:t>In February 2016, our direct-to-home satellite (</w:t>
      </w:r>
      <w:r>
        <w:rPr>
          <w:rFonts w:ascii="Times New Roman" w:cs="Times New Roman" w:eastAsia="Times New Roman" w:hAnsi="Times New Roman"/>
          <w:sz w:val="18"/>
          <w:szCs w:val="18"/>
          <w:b w:val="1"/>
          <w:bCs w:val="1"/>
          <w:color w:val="auto"/>
        </w:rPr>
        <w:t>DTH</w:t>
      </w:r>
      <w:r>
        <w:rPr>
          <w:rFonts w:ascii="Times New Roman" w:cs="Times New Roman" w:eastAsia="Times New Roman" w:hAnsi="Times New Roman"/>
          <w:sz w:val="18"/>
          <w:szCs w:val="18"/>
          <w:color w:val="auto"/>
        </w:rPr>
        <w:t>) operations in Luxembourg received a second instance decision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Hungarian tax authorities as a result of an audit with respect to VAT payments that the Hungarian tax authorities conducted for the years 2010 through 2012. The Hungarian tax authorities have assessed our DTH operations with an obligation to pay VAT for the years audited of HUF 5,413.2 million ($19.6 million), excluding interest and penalties, which could be significant. We believe that our DTH operations have operated in compliance with all applicable rules, regulations and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279"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interpretations thereof, including a binding tax ruling that we received from the Hungarian government in 2010. Although under applicable law the full amount of the assessment was due on March 1, 2016, we have filed a request for suspension of payment and, accordingly, no payment has been made. We expect a decision on our request for suspension of payment in the coming months, at which time we may be required to make a payment equal to the assessed amount. No portion of this exposure has been accrued by us as the likelihood of loss is not considered to be probable.</w:t>
      </w:r>
    </w:p>
    <w:p>
      <w:pPr>
        <w:spacing w:after="0" w:line="1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Telenet MVNO Matter. </w:t>
      </w:r>
      <w:r>
        <w:rPr>
          <w:rFonts w:ascii="Times New Roman" w:cs="Times New Roman" w:eastAsia="Times New Roman" w:hAnsi="Times New Roman"/>
          <w:sz w:val="18"/>
          <w:szCs w:val="18"/>
          <w:color w:val="auto"/>
        </w:rPr>
        <w:t>Telenet and Mobistar are currently in dispute over amounts payable to Mobistar with respect to certain provisions of Telenet’s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MVNO agreement with Mobistar (the </w:t>
      </w:r>
      <w:r>
        <w:rPr>
          <w:rFonts w:ascii="Times New Roman" w:cs="Times New Roman" w:eastAsia="Times New Roman" w:hAnsi="Times New Roman"/>
          <w:sz w:val="18"/>
          <w:szCs w:val="18"/>
          <w:b w:val="1"/>
          <w:bCs w:val="1"/>
          <w:color w:val="auto"/>
        </w:rPr>
        <w:t>Mobistar MVNO Agreement</w:t>
      </w:r>
      <w:r>
        <w:rPr>
          <w:rFonts w:ascii="Times New Roman" w:cs="Times New Roman" w:eastAsia="Times New Roman" w:hAnsi="Times New Roman"/>
          <w:sz w:val="18"/>
          <w:szCs w:val="18"/>
          <w:color w:val="auto"/>
        </w:rPr>
        <w:t>). As part of this dispute, Mobistar initiated legal proceedings against Telenet claiming, among other things, that the migration period after termination or expiration of the Mobistar MVNO Agreement should be shortened from 24 months to six months. Telenet believes it has strong arguments against Mobistar’s claims and intends to defend itself vigorously. We cannot currently predict the outcome of these proceedings; however, in the unlikely event that the migration period is shortened, Telenet’s mobile business could be adversely impacted. The oral hearing in this matter is currently scheduled for September 23, 2016.</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Regulatory Issues. </w:t>
      </w:r>
      <w:r>
        <w:rPr>
          <w:rFonts w:ascii="Times New Roman" w:cs="Times New Roman" w:eastAsia="Times New Roman" w:hAnsi="Times New Roman"/>
          <w:sz w:val="18"/>
          <w:szCs w:val="18"/>
          <w:color w:val="auto"/>
        </w:rPr>
        <w:t>Video distribution, broadband internet, fixed-line telephony, mobile and content businesses are regulated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in which we operate. The scope of regulation varies from country to country, although in some significant respects regulation in European markets is harmonized under the regulatory structure of the EU.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security accreditations across a range of B2B products and services in order to increase our offerings to public sector organizations in the U.K. These accreditations are granted subject to periodic reviews of our policies and procedures by U.K. governmental authorities. If we were to fail to maintain these accreditations or obtain new accreditations when required, it could impact our ability to provide certain offerings to the public sector.</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foregoing items, we have contingent liabilities related to matters arising in the ordinary course of business, including (i) legal proceedings, (ii) issues involving VAT and wage, property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131"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identify our reportable segments as those consolidated subsidiaries that represent 10% or more of our revenue, Adjusted OIBDA (as defined below) or total assets.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OIBDA. In addition, we review non-financial measures such as subscriber growth, as appropriate.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Adjusted operating income before depreciation and amortization (</w:t>
      </w:r>
      <w:r>
        <w:rPr>
          <w:rFonts w:ascii="Times New Roman" w:cs="Times New Roman" w:eastAsia="Times New Roman" w:hAnsi="Times New Roman"/>
          <w:sz w:val="18"/>
          <w:szCs w:val="18"/>
          <w:b w:val="1"/>
          <w:bCs w:val="1"/>
          <w:color w:val="auto"/>
        </w:rPr>
        <w:t>Adjusted OIBDA</w:t>
      </w:r>
      <w:r>
        <w:rPr>
          <w:rFonts w:ascii="Times New Roman" w:cs="Times New Roman" w:eastAsia="Times New Roman" w:hAnsi="Times New Roman"/>
          <w:sz w:val="18"/>
          <w:szCs w:val="18"/>
          <w:color w:val="auto"/>
        </w:rPr>
        <w:t>) is the primary measure used by our chief operating decision maker to evaluate segment operating performance. Adjusted OIBDA is also a key factor that is used by our internal decision makers to (i) determine how to allocate resources to segments and (ii) evaluate the effectiveness of our management for purposes of annual and other incentive compensation plans. As we use the term, Adjusted OIBDA is defined as operating income before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OIBDA is a meaningful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279" w:right="2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measure and is superior to available GAAP measures because it represents a transparent view of our recurring operating performance that is unaffected by our capital structure and allows management to (1) readily view operating trends, (2) perform analytical comparisons and benchmarking between segments and</w:t>
      </w:r>
    </w:p>
    <w:p>
      <w:pPr>
        <w:jc w:val="both"/>
        <w:ind w:firstLine="8"/>
        <w:spacing w:after="0" w:line="253" w:lineRule="auto"/>
        <w:tabs>
          <w:tab w:leader="none" w:pos="2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strategies to improve operating performance in the different countries in which we operate. We believe our Adjusted OIBDA measure is useful to investors because it is one of the bases for comparing our performance with the performance of other companies in the same or similar industries, although our measure may not be directly comparable to similar measures used by other public companies. Adjusted OIBDA should be viewed as a measure of operating performance that is a supplement to, and not a substitute for, operating income, net earnings or loss, cash flow from operating activities and other GAAP measures of income or cash flows. A reconciliation of total segment Adjusted OIBDA to our loss before income taxes is presented below.</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began presenting our operating segment in Puerto Rico as a separate reportable segment during the second quarter of 2015 in anticipation of the issuance of the LiLAC Shares. Previously, this operating segment was included in our corporate and other category. Segment information for all periods presented reflects the above-described change.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2016, our reportable segments are as follows:</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Operations Division:</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U.K./Ireland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Netherlands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Germany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Belgium</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Switzerland/Austria</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and Eastern Europe</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LiLAC Division:</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Puerto Rico</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of the reportable segments set forth above derive their revenue primarily from broadband communications services, including video, broadband internet and fixed-line telephony services. Most of our reportable segments also provide B2B and mobile services. At March 31, 2016, our operating segments in the European Operations Division provided broadband communications services in 12 European countries and DTH services to customers in the Czech Republic, Hungary, Romania and Slovakia through a Luxembourg-based organization that we refer to as “</w:t>
      </w:r>
      <w:r>
        <w:rPr>
          <w:rFonts w:ascii="Times New Roman" w:cs="Times New Roman" w:eastAsia="Times New Roman" w:hAnsi="Times New Roman"/>
          <w:sz w:val="18"/>
          <w:szCs w:val="18"/>
          <w:b w:val="1"/>
          <w:bCs w:val="1"/>
          <w:color w:val="auto"/>
        </w:rPr>
        <w:t>UPC DTH</w:t>
      </w:r>
      <w:r>
        <w:rPr>
          <w:rFonts w:ascii="Times New Roman" w:cs="Times New Roman" w:eastAsia="Times New Roman" w:hAnsi="Times New Roman"/>
          <w:sz w:val="18"/>
          <w:szCs w:val="18"/>
          <w:color w:val="auto"/>
        </w:rPr>
        <w:t>.” In addition to UPC DTH, our Central and Eastern Europe segment includes our broadband communications operations in the Czech Republic, Hungary, Poland, Romania and Slovakia. The European Operations Division’s central and other category includes (i) costs associated with certain centralized functions, including billing systems, network operations, technology, marketing, facilities, finance and other administrative functions, and (ii) intersegment eliminations within the European Operations Division. The corporate and other category for the Liberty Global Group includes less significant consolidated operating segments that provide programming and other services. Intersegment eliminations primarily represent the elimination of intercompany transactions between our broadband communications and programming operations.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279"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Measures of Our Reportable Segments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amounts presented below represent 100% of each of our reportable segment’s revenue and Adjusted OIBDA. As we have the ability to control Telenet and Liberty Puerto Rico, we consolidate 100% of the revenue and expenses of these entities in our condensed consolidated statements of operations despite the fact that third parties own significant interests in these entities. The noncontrolling owners’ interests in the operating results of Telenet, Liberty Puerto Rico and other less significant majority-owned subsidiaries are reflected in net earnings or loss attributable to noncontrolling interests in our condensed consolidated statements of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Operations Division:</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1,711.4</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707.4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597.9</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439.3</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4,017.0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3,958.7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European Operations Division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4,224.1</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Intersegment eliminations (b)</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7"/>
        </w:trPr>
        <w:tc>
          <w:tcPr>
            <w:tcW w:w="9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4,284.1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4,229.1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Chile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Puerto Rico (c)</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37"/>
        </w:trPr>
        <w:tc>
          <w:tcPr>
            <w:tcW w:w="9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4,588.0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4,516.9</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includes the post-acquisition revenue of BASE from February 12, 2016 through March 31, 2016.</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primarily related to transactions between our European Operations Division and our programming operations.</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2015 period excludes the revenue of Choice, which was acquired on June 3,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279"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center"/>
              <w:ind w:right="150"/>
              <w:spacing w:after="0"/>
              <w:rPr>
                <w:sz w:val="20"/>
                <w:szCs w:val="20"/>
                <w:color w:val="auto"/>
              </w:rPr>
            </w:pPr>
            <w:r>
              <w:rPr>
                <w:rFonts w:ascii="Times New Roman" w:cs="Times New Roman" w:eastAsia="Times New Roman" w:hAnsi="Times New Roman"/>
                <w:sz w:val="16"/>
                <w:szCs w:val="16"/>
                <w:b w:val="1"/>
                <w:bCs w:val="1"/>
                <w:color w:val="auto"/>
              </w:rPr>
              <w:t>Adjusted OIBDA</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European Operations Division: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1,991.0</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European Operations Division</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2,046.4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2,041.2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37"/>
        </w:trPr>
        <w:tc>
          <w:tcPr>
            <w:tcW w:w="9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1,993.6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1,989.1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Puerto Rico (b)</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LiLAC Division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37"/>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2,115.5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2,097.3</w:t>
            </w:r>
          </w:p>
        </w:tc>
        <w:tc>
          <w:tcPr>
            <w:tcW w:w="0" w:type="dxa"/>
            <w:vAlign w:val="bottom"/>
          </w:tcPr>
          <w:p>
            <w:pPr>
              <w:spacing w:after="0"/>
              <w:rPr>
                <w:sz w:val="1"/>
                <w:szCs w:val="1"/>
                <w:color w:val="auto"/>
              </w:rPr>
            </w:pPr>
          </w:p>
        </w:tc>
      </w:tr>
      <w:tr>
        <w:trPr>
          <w:trHeight w:val="27"/>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includes the post-acquisition Adjusted OIBDA of BASE from February 12, 2016 through March 31, 2016.</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2015 period excludes the Adjusted OIBDA of Choice, which was acquired on June 3, 2015.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279"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total segment Adjusted OIBDA to loss before income taxes:</w:t>
      </w:r>
    </w:p>
    <w:p>
      <w:pPr>
        <w:spacing w:after="0" w:line="174"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segment Adjusted OIBDA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2,097.3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7"/>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557.5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gains (losses) on derivative instruments,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618.5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gains (losses) due to changes in fair values of certain investments,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on debt modification and extinguishment,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Additions of our Reportable Segments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property and equipment additions of our reportable segments (including capital additions financed under vendor financing or capital lease arrangements) are presented below and reconciled to the capital expenditure amounts included in our condensed consolidated statements of cash flows. For additional information concerning capital additions financed under vendor financing and capital lease arrangements, see note 7.</w:t>
      </w:r>
    </w:p>
    <w:p>
      <w:pPr>
        <w:spacing w:after="0" w:line="125"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Operations Division:</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730.8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other</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European Operations Division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829.7</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868.8</w:t>
            </w:r>
          </w:p>
        </w:tc>
        <w:tc>
          <w:tcPr>
            <w:tcW w:w="0" w:type="dxa"/>
            <w:vAlign w:val="bottom"/>
          </w:tcPr>
          <w:p>
            <w:pPr>
              <w:spacing w:after="0"/>
              <w:rPr>
                <w:sz w:val="1"/>
                <w:szCs w:val="1"/>
                <w:color w:val="auto"/>
              </w:rPr>
            </w:pPr>
          </w:p>
        </w:tc>
      </w:tr>
      <w:tr>
        <w:trPr>
          <w:trHeight w:val="22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Chile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Puerto Rico (b)</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LiLAC Group</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property and equipment additions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924.9</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acquired under capital-related vendor financing arrangements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acquired under capital leases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current liabilities related to capital expenditures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661.2</w:t>
            </w:r>
          </w:p>
        </w:tc>
        <w:tc>
          <w:tcPr>
            <w:tcW w:w="0" w:type="dxa"/>
            <w:vAlign w:val="bottom"/>
          </w:tcPr>
          <w:p>
            <w:pPr>
              <w:spacing w:after="0"/>
              <w:rPr>
                <w:sz w:val="1"/>
                <w:szCs w:val="1"/>
                <w:color w:val="auto"/>
              </w:rPr>
            </w:pPr>
          </w:p>
        </w:tc>
      </w:tr>
      <w:tr>
        <w:trPr>
          <w:trHeight w:val="27"/>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includes the post-acquisition property and equipment additions of BASE from February 12, 2016 through March 31, 2016.</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2015 period excludes the property and equipment additions of Choice, which was acquired on June 3, 2015.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9"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by Major Category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by major category is set forth below:</w:t>
      </w:r>
    </w:p>
    <w:p>
      <w:pPr>
        <w:spacing w:after="0" w:line="174"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 revenue (a):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1,605.8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Broadband internet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1,232.9</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Fixed-line telephony</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796.2</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Cable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3,634.9</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Mobile (b)</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3,893.9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3,886.6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B2B revenue (c)</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revenue (b) (d)</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4,588.0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4,516.9</w:t>
            </w:r>
          </w:p>
        </w:tc>
        <w:tc>
          <w:tcPr>
            <w:tcW w:w="0" w:type="dxa"/>
            <w:vAlign w:val="bottom"/>
          </w:tcPr>
          <w:p>
            <w:pPr>
              <w:spacing w:after="0"/>
              <w:rPr>
                <w:sz w:val="1"/>
                <w:szCs w:val="1"/>
                <w:color w:val="auto"/>
              </w:rPr>
            </w:pPr>
          </w:p>
        </w:tc>
      </w:tr>
      <w:tr>
        <w:trPr>
          <w:trHeight w:val="27"/>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includes amounts received from subscribers for ongoing services, excluding installation fees and late fees.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80"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subscription revenue excludes mobile interconnect revenue of $65.0 million and $54.4 million during the three months ended March 31, 2016 and 2015, respectively. Mobile interconnect revenue and revenue from mobile handset sales are included in other revenue.</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revenue includes revenue from business broadband internet, video, voice, mobile and data services offered to medium to large enterprises and, on a wholesale basis, to other operators. We also provide services to certain small or home office (</w:t>
      </w:r>
      <w:r>
        <w:rPr>
          <w:rFonts w:ascii="Times New Roman" w:cs="Times New Roman" w:eastAsia="Times New Roman" w:hAnsi="Times New Roman"/>
          <w:sz w:val="18"/>
          <w:szCs w:val="18"/>
          <w:b w:val="1"/>
          <w:bCs w:val="1"/>
          <w:color w:val="auto"/>
        </w:rPr>
        <w:t>SOHO</w:t>
      </w:r>
      <w:r>
        <w:rPr>
          <w:rFonts w:ascii="Times New Roman" w:cs="Times New Roman" w:eastAsia="Times New Roman" w:hAnsi="Times New Roman"/>
          <w:sz w:val="18"/>
          <w:szCs w:val="18"/>
          <w:color w:val="auto"/>
        </w:rPr>
        <w:t>) subscribers. SOHO subscribers pay a premium price to receive expanded service levels along with video, broadband internet, fixed-line telephony or mobile services that are the same or similar to the mass marketed products offered to our residential subscribers. Revenue from SOHO subscribers, which is included in cable subscription revenue, aggregated $86.8 million and $62.6 million during the three months ended March 31, 2016 and 2015, respectively.</w:t>
      </w:r>
    </w:p>
    <w:p>
      <w:pPr>
        <w:spacing w:after="0" w:line="18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among other items, interconnect, mobile handset sales, channel carriage fee and installation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279"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Geographic Segments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revenue of our geographic segments is set forth below:</w:t>
      </w:r>
    </w:p>
    <w:p>
      <w:pPr>
        <w:spacing w:after="0" w:line="174"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Operations Division:</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1,612.0</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597.9</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Switzerland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Ireland</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Poland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Austria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Hungary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Czech Republic</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Romania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Slovakia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European Operations Division</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4,280.7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4,224.1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including 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4,284.1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4,229.1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Chile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Puerto Rico (b)</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LiLAC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4,588.0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4,516.9</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includes the post-acquisition revenue of BASE from February 12, 2016 through March 31, 2016.</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2015 period excludes the revenue of Choice, which was acquired on June 3, 2015.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279"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Virgin Media Refinancing Transaction</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On April 26, 2016, Virgin Media Secured Finance PLC (</w:t>
      </w:r>
      <w:r>
        <w:rPr>
          <w:rFonts w:ascii="Times New Roman" w:cs="Times New Roman" w:eastAsia="Times New Roman" w:hAnsi="Times New Roman"/>
          <w:sz w:val="18"/>
          <w:szCs w:val="18"/>
          <w:b w:val="1"/>
          <w:bCs w:val="1"/>
          <w:color w:val="auto"/>
        </w:rPr>
        <w:t>Virgin Media Secured Finance</w:t>
      </w:r>
      <w:r>
        <w:rPr>
          <w:rFonts w:ascii="Times New Roman" w:cs="Times New Roman" w:eastAsia="Times New Roman" w:hAnsi="Times New Roman"/>
          <w:sz w:val="18"/>
          <w:szCs w:val="18"/>
          <w:color w:val="auto"/>
        </w:rPr>
        <w:t xml:space="preserve">) issued $750.0 million principal amount of 5.5% senior secured notes due August 15, 2026 (the </w:t>
      </w:r>
      <w:r>
        <w:rPr>
          <w:rFonts w:ascii="Times New Roman" w:cs="Times New Roman" w:eastAsia="Times New Roman" w:hAnsi="Times New Roman"/>
          <w:sz w:val="18"/>
          <w:szCs w:val="18"/>
          <w:b w:val="1"/>
          <w:bCs w:val="1"/>
          <w:color w:val="auto"/>
        </w:rPr>
        <w:t>August 2026 VM Senior Secured Notes</w:t>
      </w:r>
      <w:r>
        <w:rPr>
          <w:rFonts w:ascii="Times New Roman" w:cs="Times New Roman" w:eastAsia="Times New Roman" w:hAnsi="Times New Roman"/>
          <w:sz w:val="18"/>
          <w:szCs w:val="18"/>
          <w:color w:val="auto"/>
        </w:rPr>
        <w:t>). The net proceeds from the August 2026 VM Senior Secured Notes were used to repay in full the outstanding amount under the VM Revolving Facility, and the remainder will be used for general corporate purposes.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circumstances described below, the August 2026 VM Senior Secured Notes are non-callable until August 15, 2021. At any time prior to August 15, 2021, Virgin Media Secured Finance may redeem some or all of the August 2026 VM Senior Secured Notes by paying a “make-whole” premium, which is the present value of all remaining scheduled interest payments to August 15, 2021 using the discount rate (as specified in the indenture) as of the redemption date plus 50 basis points.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Virgin Media Secured Finance may redeem some or all of the August 2026 VM Senior Secured Notes at the following redemption prices (expressed as a percentage of the principal amount) plus accrued and unpaid interest and additional amounts (as specified in the indenture), if any, to the applicable redemption date, as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Redemption price</w:t>
            </w:r>
          </w:p>
        </w:tc>
        <w:tc>
          <w:tcPr>
            <w:tcW w:w="0" w:type="dxa"/>
            <w:vAlign w:val="bottom"/>
          </w:tcPr>
          <w:p>
            <w:pPr>
              <w:spacing w:after="0"/>
              <w:rPr>
                <w:sz w:val="1"/>
                <w:szCs w:val="1"/>
                <w:color w:val="auto"/>
              </w:rPr>
            </w:pPr>
          </w:p>
        </w:tc>
      </w:tr>
      <w:tr>
        <w:trPr>
          <w:trHeight w:val="33"/>
        </w:trPr>
        <w:tc>
          <w:tcPr>
            <w:tcW w:w="9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12-month period commencing August 15:</w:t>
            </w: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92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102.750%</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101.375%</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100.688%</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and thereafter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100.000%</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Telenet Refinancing Transaction</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 2016, Telenet Financing USD LLC, a wholly-owned subsidiary of Telenet, entered into a new $850.0 million term loan facility (</w:t>
      </w:r>
      <w:r>
        <w:rPr>
          <w:rFonts w:ascii="Times New Roman" w:cs="Times New Roman" w:eastAsia="Times New Roman" w:hAnsi="Times New Roman"/>
          <w:sz w:val="18"/>
          <w:szCs w:val="18"/>
          <w:b w:val="1"/>
          <w:bCs w:val="1"/>
          <w:color w:val="auto"/>
        </w:rPr>
        <w:t>Telenet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Facility AD</w:t>
      </w:r>
      <w:r>
        <w:rPr>
          <w:rFonts w:ascii="Times New Roman" w:cs="Times New Roman" w:eastAsia="Times New Roman" w:hAnsi="Times New Roman"/>
          <w:sz w:val="18"/>
          <w:szCs w:val="18"/>
          <w:color w:val="auto"/>
        </w:rPr>
        <w:t>). Telenet Facility AD was issued at 99.5% of par, matures on June 30, 2024, bears interest at a rate of LIBOR plus 3.50% and has a LIBOR floor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0.75%. The net proceeds from Telenet Facility AD will be used to repay in full (i) the €400.0 million ($455.2 million) principal amount of Telenet Facility P, together with accrued and unpaid interest and the related prepayment premium, to Telenet Finance IV Luxembourg S.C.A. (</w:t>
      </w:r>
      <w:r>
        <w:rPr>
          <w:rFonts w:ascii="Times New Roman" w:cs="Times New Roman" w:eastAsia="Times New Roman" w:hAnsi="Times New Roman"/>
          <w:sz w:val="18"/>
          <w:szCs w:val="18"/>
          <w:b w:val="1"/>
          <w:bCs w:val="1"/>
          <w:color w:val="auto"/>
        </w:rPr>
        <w:t>Telenet Finance IV</w:t>
      </w:r>
      <w:r>
        <w:rPr>
          <w:rFonts w:ascii="Times New Roman" w:cs="Times New Roman" w:eastAsia="Times New Roman" w:hAnsi="Times New Roman"/>
          <w:sz w:val="18"/>
          <w:szCs w:val="18"/>
          <w:color w:val="auto"/>
        </w:rPr>
        <w:t>) and, in turn, Telenet Finance IV will use such proceeds to fully redeem the €400.0 million ($455.2 million) principal amount of its senior secured floating rate notes and (ii) the €300.0 million ($341.4 million) principal amount of Telenet Facility O, together with accrued and unpaid interest and the related prepayment premium, to Telenet Finance III Luxembourg S.C.A. (</w:t>
      </w:r>
      <w:r>
        <w:rPr>
          <w:rFonts w:ascii="Times New Roman" w:cs="Times New Roman" w:eastAsia="Times New Roman" w:hAnsi="Times New Roman"/>
          <w:sz w:val="18"/>
          <w:szCs w:val="18"/>
          <w:b w:val="1"/>
          <w:bCs w:val="1"/>
          <w:color w:val="auto"/>
        </w:rPr>
        <w:t>Telenet Finance III</w:t>
      </w:r>
      <w:r>
        <w:rPr>
          <w:rFonts w:ascii="Times New Roman" w:cs="Times New Roman" w:eastAsia="Times New Roman" w:hAnsi="Times New Roman"/>
          <w:sz w:val="18"/>
          <w:szCs w:val="18"/>
          <w:color w:val="auto"/>
        </w:rPr>
        <w:t>) and, in turn, Telenet Finance III will use such proceeds to fully redeem the €300.0 million ($341.4 million) principal amount of its 6.625% senior 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279"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which should be read in conjunction with our condensed consolidated financial statements and the discussion and analysis included in our 2015 Annual Report on Form 10-K, is intended to assist in providing an understanding of our financial condition, changes in financial condition and results of operations and is organized as follows:</w:t>
      </w:r>
    </w:p>
    <w:p>
      <w:pPr>
        <w:spacing w:after="0" w:line="174" w:lineRule="exact"/>
        <w:rPr>
          <w:sz w:val="20"/>
          <w:szCs w:val="20"/>
          <w:color w:val="auto"/>
        </w:rPr>
      </w:pPr>
    </w:p>
    <w:p>
      <w:pPr>
        <w:ind w:left="660" w:hanging="328"/>
        <w:spacing w:after="0" w:line="284"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This section provides a description of certain factors that could cause actual results or events to differ materially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anticipated results or events.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our business and recent events.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Changes in Results of Operations. </w:t>
      </w:r>
      <w:r>
        <w:rPr>
          <w:rFonts w:ascii="Times New Roman" w:cs="Times New Roman" w:eastAsia="Times New Roman" w:hAnsi="Times New Roman"/>
          <w:sz w:val="18"/>
          <w:szCs w:val="18"/>
          <w:color w:val="auto"/>
        </w:rPr>
        <w:t>This section provides an analysis of our results of operations for the three months ended March 31,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2015.</w:t>
      </w:r>
    </w:p>
    <w:p>
      <w:pPr>
        <w:spacing w:after="0" w:line="50"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Changes in Financial Condition. </w:t>
      </w:r>
      <w:r>
        <w:rPr>
          <w:rFonts w:ascii="Times New Roman" w:cs="Times New Roman" w:eastAsia="Times New Roman" w:hAnsi="Times New Roman"/>
          <w:sz w:val="18"/>
          <w:szCs w:val="18"/>
          <w:color w:val="auto"/>
        </w:rPr>
        <w:t>This section provides an analysis of our corporate and subsidiary liquidity, condensed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cash flows and contractual commitments.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Quantitative and Qualitative Disclosures about Market Risk. </w:t>
      </w:r>
      <w:r>
        <w:rPr>
          <w:rFonts w:ascii="Times New Roman" w:cs="Times New Roman" w:eastAsia="Times New Roman" w:hAnsi="Times New Roman"/>
          <w:sz w:val="18"/>
          <w:szCs w:val="18"/>
          <w:color w:val="auto"/>
        </w:rPr>
        <w:t>This section provides discussion and analysis of the foreign currency, interest 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market risk that our company faces.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convenience translations into U.S. dollars are calculated as of March 31,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may contain forward-looking statements, including statements regarding our business, product,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finance strategies, our property and equipment additions,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target leverage levels,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addition to the risk factors described in our 2015 Annual Report on Form 10-K, the following are some but not all of the factors that could cause actual results or events to differ materially from anticipated results or events:</w:t>
      </w:r>
    </w:p>
    <w:p>
      <w:pPr>
        <w:spacing w:after="0" w:line="18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operate;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the industries in the countries in which we operate, including competitor responses to our products and services;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global financial markets, including sovereign debt issues and related fiscal reforms;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disposable income and spending levels, including the availability and amount of individual consumer debt;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television viewing preferences and habits;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360" w:right="239" w:bottom="1440" w:gutter="0" w:footer="0" w:header="0"/>
        </w:sectPr>
      </w:pPr>
    </w:p>
    <w:bookmarkStart w:id="55" w:name="page56"/>
    <w:bookmarkEnd w:id="55"/>
    <w:p>
      <w:pPr>
        <w:ind w:left="328" w:hanging="328"/>
        <w:spacing w:after="0" w:line="282"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rapid technological changes;</w:t>
      </w:r>
    </w:p>
    <w:p>
      <w:pPr>
        <w:spacing w:after="0" w:line="184"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the number of subscriptions to our cable television, broadband internet, fixed-line telephony and mobile service offerings and our average revenue per household;</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satisfactory customer service, including support for new and evolving products and services;</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rates to our subscribers or to pass through increased costs to our subscribers;</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future financial performance, or market conditions generally, on the availability, terms and deployment of capital;</w:t>
      </w:r>
    </w:p>
    <w:p>
      <w:pPr>
        <w:spacing w:after="0" w:line="184"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or inability to comply with, government regulations in the countries in which we operate and adverse outcomes from regulatory proceedings;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intervention that opens our broadband distribution networks to competitors, such as the obligations imposed in Belgium;</w:t>
      </w:r>
    </w:p>
    <w:p>
      <w:pPr>
        <w:spacing w:after="0" w:line="184"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and satisfy other conditions necessary to close acquisitions and dispositions, and the impact of conditions imposed by competition and other regulatory authorities in connection with acquisitions;</w:t>
      </w:r>
    </w:p>
    <w:p>
      <w:pPr>
        <w:spacing w:after="0" w:line="12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and, if acquired, to integrate, realize anticipated efficiencies from and implement our business plan with respect to the businesses we have acquired, such as Ziggo (as defined below), Choice and BASE, or we expect to acquire, such as CWC;</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treaties relating to taxation, or the interpretation thereof, in the U.K., U.S. or in other countries in which we operate;</w:t>
      </w:r>
    </w:p>
    <w:p>
      <w:pPr>
        <w:spacing w:after="0" w:line="184"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government regulations that may impact the availability and cost of capital and the derivative instruments that hedge certain of our financial risks;</w:t>
      </w:r>
    </w:p>
    <w:p>
      <w:pPr>
        <w:spacing w:after="0" w:line="12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suppliers and vendors (including our third-party wireless network providers under our MVNO arrangements) to timely deliver quality products, equipment, software, services and access;</w:t>
      </w:r>
    </w:p>
    <w:p>
      <w:pPr>
        <w:spacing w:after="0" w:line="12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programming for our digital video services and the costs associated with such programming, including retransmission and copyright fees payable to public and private broadcasters;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inherent in the development and integration of new business lines and business strategies;</w:t>
      </w:r>
    </w:p>
    <w:p>
      <w:pPr>
        <w:spacing w:after="0" w:line="184"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forecast and plan future network requirements, including the costs and benefits associated with our network extension programs;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for the acquisition and/or development of telecommunications networks and services;</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we may discover post-closing with the operations, including the internal controls and financial reporting process, of businesses we acquire;</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leakage of sensitive customer data;</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threatened litigation;</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and the availability of qualified personnel;</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of key strategic relationships with partners and joint venturers;</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capital structure; and</w:t>
      </w: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8"/>
          </w:cols>
          <w:pgMar w:left="572" w:top="364" w:right="239" w:bottom="1440" w:gutter="0" w:footer="0" w:header="0"/>
        </w:sectPr>
      </w:pPr>
    </w:p>
    <w:bookmarkStart w:id="56" w:name="page57"/>
    <w:bookmarkEnd w:id="56"/>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are outside of our control, such as political unrest in international markets, terrorist attacks, malicious human acts, natural disasters, pandemics and other similar events.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international provider of video, broadband internet, fixed-line telephony and mobile services, with consolidated operations at March 31, 2016 in 14 countries. Through Virgin Media, we provide video, broadband internet, fixed-line telephony and mobile services in the U.K. and Ireland. Through Ziggo Group Holding, Unitymedia and Telenet, we provide video, broadband internet, fixed-line telephony and mobile services in the Netherlands, Germany and Belgium, respectively. Through UPC Holding, we provide (i) video, broadband internet and fixed-line telephony services in seven other European countries and (ii) mobile services in four other European countries. The operations of Virgin Media, Ziggo Group Holding, Unitymedia, Telenet and UPC Holding are collectively referred to herein as the “European Operations Division.” In Chile, we provide video, broadband internet, fixed-line telephony and mobile services through VTR. In Puerto Rico, we provide video, broadband internet and fixed-line telephony services through Liberty Puerto Rico.</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1, 2015, we completed the LiLAC Transaction, pursuant to which we (i) reclassified our then outstanding Old Liberty Global Shares into Liberty Global Shares and (ii) distributed LiLAC Shares to holders of our Old Liberty Global Shares. The Liberty Global Shares and the LiLAC Shares are intended to reflect or “track” the economic performance of the Liberty Global Group and the LiLAC Group, respectively. For additional information, see note 1 to our condensed consolidated financial statements.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completed a number of transactions that impact the comparability of our 2016 and 2015 results of operations, including the BASE Acquisition on February 11, 2016 and the Choice Acquisition on June 3, 2015. For further information regarding our pending and completed acquisitions, see note 3 to our condensed consolidated financial statements.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Through our subsidiaries and affiliates, we are the largest international broadband communications operator in terms of customers. At March 31, 2016, we owned and operated networks that passed 53,607,400 homes and served 57,161,400 revenue generating units (</w:t>
      </w:r>
      <w:r>
        <w:rPr>
          <w:rFonts w:ascii="Times New Roman" w:cs="Times New Roman" w:eastAsia="Times New Roman" w:hAnsi="Times New Roman"/>
          <w:sz w:val="18"/>
          <w:szCs w:val="18"/>
          <w:b w:val="1"/>
          <w:bCs w:val="1"/>
          <w:color w:val="auto"/>
        </w:rPr>
        <w:t>RGU</w:t>
      </w:r>
      <w:r>
        <w:rPr>
          <w:rFonts w:ascii="Times New Roman" w:cs="Times New Roman" w:eastAsia="Times New Roman" w:hAnsi="Times New Roman"/>
          <w:sz w:val="18"/>
          <w:szCs w:val="18"/>
          <w:color w:val="auto"/>
        </w:rPr>
        <w:t>s), consisting of 23,873,700 video subscribers, 18,293,100 broadband internet subscribers and 14,994,600 fixed-line telephony subscribers. In addition, at March 31, 2016, we served 6,816,900 mobile subscribers.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Including the effect of acquisitions, we added a total of 170,700 RGUs during the three months ended March 31, 2016. Excluding the effect of acquisitions (RGUs added on the acquisition date), but including post-acquisition date changes in RGUs, we added 155,900 RGUs on an organic basis during the three months ended March 31, 2016 as compared to 71,100 RGUs added on an organic basis during the corresponding prior-year period. The organic RGU growth during the three months ended March 31, 2016 is primarily attributable to the net effect of (i) an increase of 178,200 broadband internet RGUs,</w:t>
      </w:r>
    </w:p>
    <w:p>
      <w:pPr>
        <w:spacing w:after="0" w:line="3" w:lineRule="exact"/>
        <w:rPr>
          <w:sz w:val="20"/>
          <w:szCs w:val="20"/>
          <w:color w:val="auto"/>
        </w:rPr>
      </w:pPr>
    </w:p>
    <w:p>
      <w:pPr>
        <w:jc w:val="both"/>
        <w:ind w:firstLine="8"/>
        <w:spacing w:after="0" w:line="255" w:lineRule="auto"/>
        <w:tabs>
          <w:tab w:leader="none" w:pos="2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161,000 basic video RGUs, (iii) an increase of 116,000 fixed-line telephony RGUs and (iv) an increase of 26,400 enhanced video RGUs. In addition, excluding the effect of acquisitions, we added 32,300 mobile subscribers during the three months ended March 31, 2016</w:t>
      </w:r>
      <w:r>
        <w:rPr>
          <w:rFonts w:ascii="Times New Roman" w:cs="Times New Roman" w:eastAsia="Times New Roman" w:hAnsi="Times New Roman"/>
          <w:sz w:val="18"/>
          <w:szCs w:val="18"/>
          <w:color w:val="2C2C2C"/>
        </w:rPr>
        <w:t>, including an increase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C2C2C"/>
        </w:rPr>
        <w:t>postpaid mobile subscribers of 99,800 and a decrease in prepaid mobile subscribers of 67,500.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364" w:right="239" w:bottom="1440" w:gutter="0" w:footer="0" w:header="0"/>
        </w:sectPr>
      </w:pPr>
    </w:p>
    <w:bookmarkStart w:id="57" w:name="page58"/>
    <w:bookmarkEnd w:id="5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experiencing significant competition from incumbent telecommunications operators (particularly in the Netherlands and, to a lesser extent, Switzerland, where the incumbent telecommunications operators are overbuilding our networks with fiber-to-the-home, -cabinet, -building or -node and advanced digital subscriber line technologies), DTH operators and/or other providers in all of our broadband communications markets. In certain of our markets, this significant competition, together with the maturation of these markets, has contributed to organic declines in revenue, RGUs and/or average monthly subscription revenue per average cable RGU or mobile subscriber, as applicable, (</w:t>
      </w:r>
      <w:r>
        <w:rPr>
          <w:rFonts w:ascii="Times New Roman" w:cs="Times New Roman" w:eastAsia="Times New Roman" w:hAnsi="Times New Roman"/>
          <w:sz w:val="18"/>
          <w:szCs w:val="18"/>
          <w:b w:val="1"/>
          <w:bCs w:val="1"/>
          <w:color w:val="auto"/>
        </w:rPr>
        <w:t>ARPU</w:t>
      </w:r>
      <w:r>
        <w:rPr>
          <w:rFonts w:ascii="Times New Roman" w:cs="Times New Roman" w:eastAsia="Times New Roman" w:hAnsi="Times New Roman"/>
          <w:sz w:val="18"/>
          <w:szCs w:val="18"/>
          <w:color w:val="auto"/>
        </w:rPr>
        <w:t>), the more notable of which include:</w:t>
      </w:r>
    </w:p>
    <w:p>
      <w:pPr>
        <w:spacing w:after="0" w:line="184" w:lineRule="exact"/>
        <w:rPr>
          <w:sz w:val="20"/>
          <w:szCs w:val="20"/>
          <w:color w:val="auto"/>
        </w:rPr>
      </w:pPr>
    </w:p>
    <w:p>
      <w:pPr>
        <w:ind w:left="820" w:right="20" w:hanging="420"/>
        <w:spacing w:after="0" w:line="282"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declines in cable subscription and overall revenue in the Netherlands during the first quarter of 2016, as compared to the first quarter of 2015;</w:t>
      </w:r>
    </w:p>
    <w:p>
      <w:pPr>
        <w:spacing w:after="0" w:line="161" w:lineRule="exact"/>
        <w:rPr>
          <w:rFonts w:ascii="Times New Roman" w:cs="Times New Roman" w:eastAsia="Times New Roman" w:hAnsi="Times New Roman"/>
          <w:sz w:val="18"/>
          <w:szCs w:val="18"/>
          <w:color w:val="auto"/>
        </w:rPr>
      </w:pPr>
    </w:p>
    <w:p>
      <w:pPr>
        <w:jc w:val="both"/>
        <w:ind w:left="820" w:hanging="420"/>
        <w:spacing w:after="0" w:line="266"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declines during the first quarter of 2016 in (a) video RGUs in the majority of our markets, as declines in our basic video RGUs generally exceeded additions to our enhanced video RGUs (including migrations from basic video) in these markets, (b) fixed-line telephony RGUs in Chile and the Netherlands and (c) total RGUs in the Netherlands and Switzerland/Austria; and</w:t>
      </w:r>
    </w:p>
    <w:p>
      <w:pPr>
        <w:spacing w:after="0" w:line="176" w:lineRule="exact"/>
        <w:rPr>
          <w:rFonts w:ascii="Times New Roman" w:cs="Times New Roman" w:eastAsia="Times New Roman" w:hAnsi="Times New Roman"/>
          <w:sz w:val="18"/>
          <w:szCs w:val="18"/>
          <w:color w:val="auto"/>
        </w:rPr>
      </w:pPr>
    </w:p>
    <w:p>
      <w:pPr>
        <w:ind w:left="820" w:right="20" w:hanging="420"/>
        <w:spacing w:after="0" w:line="282"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declines in overall cable ARPU in the Netherlands and many of our other markets during the first quarter of 2016, as compared to the first quarter of 2015.</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Concerns also exist with respect to the Puerto Rico government’s cash flows and, accordingly, its ability to meet its debt obligations. On May 1, 2016, Puerto Rico’s government failed to pay $367.0 million of the $422.8 million of debt obligations that were due as of such date, and on July 1, 2016, another $1.9 billion will become due. During 2015, the Puerto Rico government enacted a new tax law that, among other things, (i) increased the sales and use tax rate from 7.0% to 11.5%, effective July 1, 2015, and (ii) provided for the taxing of services between businesses at a rate of 4.0%, effective October 1, 2015. Prior to the new tax law, such services were exempt from taxation. Effective June 1, 2016, the aforementioned sales and use tax will be replaced with a VAT of 10.5% and a sales and use tax of 1.0%. The 10.5% VAT will also apply to services between business, which represents a significant increase in the tax rate. More changes to the Puerto Rico tax system are expected during 2016. Currently, there is legislation under analysis in Puerto Rico to postpone or eliminate the application of the new tax regime, including the VAT and the taxation of business-to-business transactions. Puerto Rico’s government is also implementing austerity and a number of other measures to improve its solvency. It remains possible, if not likely, that Puerto Rico will be required to restructure its debt obligations. If the fiscal and economic conditions in Puerto Rico were to worsen as a result of these or other factors, (a) the population of Puerto Rico could continue to decline, reducing the future demand for Liberty Puerto Rico’s services, and (b) the demand and ability of customers to pay for Liberty Puerto Rico’s services could be impaired, which could have a negative impact on Liberty Puerto Rico’s results of operations, cash flows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noted under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above, the comparability of our operating results during 2016 and 2015 is affected by acquisitions. In the following discussion, we quantify the estimated impact of acquisitions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months following the acquisition date such that changes from those operating results in subsequent periods are considered to be organic changes. Accordingly, in the following discussion, variances attributed to an acquired entity during the first 12 months following the acquisition date represent differences between the estimated acquisition impact and the actual results. Our organic growth percentages may be impacted by the fact that the numerator for the organic growth percentages includes the organic growth of the acquired entity, while the denominator may not include any amounts related to the acquired entity.</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Changes in foreign currency exchange rates have a significant impact on our reported operating results as all of our operating segments, except for Puerto Rico, have functional currencies other than the U.S. dollar. Our primary exposure to foreign currency translation effects (</w:t>
      </w:r>
      <w:r>
        <w:rPr>
          <w:rFonts w:ascii="Times New Roman" w:cs="Times New Roman" w:eastAsia="Times New Roman" w:hAnsi="Times New Roman"/>
          <w:sz w:val="18"/>
          <w:szCs w:val="18"/>
          <w:b w:val="1"/>
          <w:bCs w:val="1"/>
          <w:color w:val="auto"/>
        </w:rPr>
        <w:t>FX</w:t>
      </w:r>
      <w:r>
        <w:rPr>
          <w:rFonts w:ascii="Times New Roman" w:cs="Times New Roman" w:eastAsia="Times New Roman" w:hAnsi="Times New Roman"/>
          <w:sz w:val="18"/>
          <w:szCs w:val="18"/>
          <w:color w:val="auto"/>
        </w:rPr>
        <w:t xml:space="preserve">) risk during the three months ended March 31, 2016 was to the euro and British pound sterling as 46.5% and 34.4% of our U.S. dollar revenue during the period was derived from subsidiaries whose functional currencies are the euro and British pound sterling, respectively. In addition, our reported operating results are impacted by changes in the exchange rates for the Swiss franc and other local currencies in Europe, as well as the Chilean peso. The portions of the changes in the various components of our results of operations that are attributable to changes in FX are highlighted under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Discussion and Analysis of our Consolidated Operating Results </w:t>
      </w:r>
      <w:r>
        <w:rPr>
          <w:rFonts w:ascii="Times New Roman" w:cs="Times New Roman" w:eastAsia="Times New Roman" w:hAnsi="Times New Roman"/>
          <w:sz w:val="18"/>
          <w:szCs w:val="18"/>
          <w:color w:val="auto"/>
        </w:rPr>
        <w:t>below. For information concerning applicable foreign currency exchange rates in effect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periods covered by this Quarterly Report, see </w:t>
      </w:r>
      <w:r>
        <w:rPr>
          <w:rFonts w:ascii="Times New Roman" w:cs="Times New Roman" w:eastAsia="Times New Roman" w:hAnsi="Times New Roman"/>
          <w:sz w:val="18"/>
          <w:szCs w:val="18"/>
          <w:i w:val="1"/>
          <w:iCs w:val="1"/>
          <w:color w:val="auto"/>
        </w:rPr>
        <w:t>Quantitative and Qualitative Disclosures about Market Risk — Foreign Currency Exchange Rates</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364" w:right="239" w:bottom="1440" w:gutter="0" w:footer="0" w:header="0"/>
        </w:sectPr>
      </w:pPr>
    </w:p>
    <w:bookmarkStart w:id="58" w:name="page59"/>
    <w:bookmarkEnd w:id="5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operating segment’s revenue and Adjusted OIBDA. As we have the ability to control Telenet and Liberty Puerto Rico, we consolidate 100% of the revenue and expenses of these entities in our condensed consolidated statements of operations despite the fact that third parties own significant interests in these entities. The noncontrolling owners’ interests in the operating results of Telenet, Liberty Puerto Rico and other less significant majority-owned subsidiaries are reflected in net earnings or loss attributable to noncontrolling interests in our condensed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Reportable Segments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the reportable segments set forth below derive their revenue primarily from broadband communications services, including video, broadband internet and fixed-line telephony services. Most of our reportable segments also provide B2B and mobile services. For detailed information regarding the composition of our reportable segments, including information regarding a change we made to our reportable segments during the second quarter of 2015, see note 14 to our condensed consolidated financial statements.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tables presented below in this section provide a separate analysis of each of the line items that comprise Adjusted OIBDA, as further discussed in note 14 to our condensed consolidated financial statements, as well as an analysis of Adjusted OIBDA by reportable segment for the three months ended March 31, 2016 and 2015. These tables present (i) the amounts reported by each of our reportable segments for the current and comparative periods, (ii) the U.S. dollar change and percentage change from period to period and (iii) the organic percentage change from period to period (percentage change after removing FX and the estimated impacts of acquisitions and dispositions). The comparisons that exclude FX assume that exchange rates remained constant at the prior-year rate during the comparative periods that are included in each table. We also provide a table showing the Adjusted OIBDA margins of our reportable segments for the three months ended March 31, 2016 and 2015 at the end of this section.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revenue of our reportable segments includes revenue earned from (i) subscribers to our broadband communications and mobile services and (ii) B2B services, interconnect fees, mobile handset sales, channel carriage fees, installation fees, late fees and advertising revenue. Consistent with the presentation of our revenue categories in note 14 to our condensed consolidated financial statements, we use the term “subscription revenue” in the following discussion to refer to amounts received from subscribers for ongoing services, excluding installation fees and late fees. In the following tables, mobile subscription revenue excludes the related interconnect revenue.</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the U.K. and Belgium, we now offer our customers the option to purchase a mobile handset pursuant to a contract that is independent of a mobile airtime services contract (a </w:t>
      </w:r>
      <w:r>
        <w:rPr>
          <w:rFonts w:ascii="Times New Roman" w:cs="Times New Roman" w:eastAsia="Times New Roman" w:hAnsi="Times New Roman"/>
          <w:sz w:val="18"/>
          <w:szCs w:val="18"/>
          <w:b w:val="1"/>
          <w:bCs w:val="1"/>
          <w:color w:val="auto"/>
        </w:rPr>
        <w:t>Split-contract Program</w:t>
      </w:r>
      <w:r>
        <w:rPr>
          <w:rFonts w:ascii="Times New Roman" w:cs="Times New Roman" w:eastAsia="Times New Roman" w:hAnsi="Times New Roman"/>
          <w:sz w:val="18"/>
          <w:szCs w:val="18"/>
          <w:color w:val="auto"/>
        </w:rPr>
        <w:t>). Revenue associated with handsets sold under a Split-contract Program is recognized upfront and included in other non-subscription revenue. We generally recognize the full sales price for the mobile handset upon delivery, regardless of whether the sales price is received upfront or in installments. Prior to the Split-contract Programs, all revenue from handset sales that was contingent upon delivering future airtime services was recognized over the life of the customer contract as part of the monthly fee and included in subscription revenue.</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Most of our revenue is derived from jurisdictions that administer VAT or similar revenue-based taxes. Any increases in these taxes could have an adverse impact on our ability to maintain or increase our revenue to the extent that we are unable to pass such tax increases on to our customers. In the case of revenue-based taxes for which we are the ultimate taxpayer, we will also experience increases in our operating expenses and corresponding declines in our Adjusted OIBDA and Adjusted OIBDA margins to the extent of any such tax increases.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pay interconnection fees to other telephony providers when calls or text messages from our subscribers terminate on another network, and we receive similar fees from such providers when calls or text messages from their customers terminate on our networks or networks that we access through MVNO or other arrangements. The amounts we charge and incur with respect to fixed-line telephony and mobile interconnection fees are subject to regulatory oversight in many of our markets. To the extent that regulatory authorities introduce fixed-line or mobile termination rate changes, we would experience prospective changes and, in very limited cases, we could experience retroactive changes in our interconnect revenue and/or costs. The ultimate impact of any such changes in termination rates on our Adjusted OIBDA would be dependent on the call or text messaging patterns that are subject to the changed termination rates.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364" w:right="239" w:bottom="1440" w:gutter="0" w:footer="0" w:header="0"/>
        </w:sectPr>
      </w:pPr>
    </w:p>
    <w:bookmarkStart w:id="59" w:name="page60"/>
    <w:bookmarkEnd w:id="59"/>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of our Reportable Segments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Organic increase</w:t>
            </w:r>
          </w:p>
        </w:tc>
        <w:tc>
          <w:tcPr>
            <w:tcW w:w="0" w:type="dxa"/>
            <w:vAlign w:val="bottom"/>
          </w:tcPr>
          <w:p>
            <w:pPr>
              <w:spacing w:after="0"/>
              <w:rPr>
                <w:sz w:val="1"/>
                <w:szCs w:val="1"/>
                <w:color w:val="auto"/>
              </w:rPr>
            </w:pPr>
          </w:p>
        </w:tc>
      </w:tr>
      <w:tr>
        <w:trPr>
          <w:trHeight w:val="212"/>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20" w:type="dxa"/>
            <w:vAlign w:val="bottom"/>
          </w:tcPr>
          <w:p>
            <w:pPr>
              <w:spacing w:after="0"/>
              <w:rPr>
                <w:sz w:val="18"/>
                <w:szCs w:val="18"/>
                <w:color w:val="auto"/>
              </w:rPr>
            </w:pPr>
          </w:p>
        </w:tc>
        <w:tc>
          <w:tcPr>
            <w:tcW w:w="212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Operations Division:</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4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4,017.0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3,958.7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other</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European Operations Division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4,280.7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4,224.1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4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4,284.1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4,229.1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Chile</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Puerto Rico (b)</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4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4,516.9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includes the post-acquisition revenue of BASE from February 12, 2016 through March 31, 2016.</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2015 period excludes the revenue of Choice, which was acquired on June 3,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While not specifically discussed in the below explanations of the changes in the revenue of our reportable segments, we are experiencing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competition in all of our broadband communications markets. This competition has an adverse impact on our ability to increase or maintain our RGUs and/or ARPU. For a description of the more notable recent impacts of this competition on our broadband communications markets, see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above.</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Variances in the subscription revenue that we receive from our customers are a function of (i) changes in the number of RGUs or mobile subscribers outstanding during the period and (ii) changes in ARPU. Changes in ARPU can be attributable to (a) price increases, (b) changes in bundling or promotional discounts, (c) changes in the tier of services selected, (d) variances in subscriber usage patterns and (e) the overall mix of cable and mobile products within a segment during the period. In the following discussion, we provide the net impact of the above factors on the ARPU that is derived from our video, broadband internet, fixed-line telephony and mobile products.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360" w:right="239" w:bottom="1440" w:gutter="0" w:footer="0" w:header="0"/>
        </w:sectPr>
      </w:pPr>
    </w:p>
    <w:bookmarkStart w:id="60" w:name="page61"/>
    <w:bookmarkEnd w:id="60"/>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U.K./Ireland. </w:t>
      </w:r>
      <w:r>
        <w:rPr>
          <w:rFonts w:ascii="Times New Roman" w:cs="Times New Roman" w:eastAsia="Times New Roman" w:hAnsi="Times New Roman"/>
          <w:sz w:val="18"/>
          <w:szCs w:val="18"/>
          <w:color w:val="auto"/>
        </w:rPr>
        <w:t>The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C2C2C"/>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U.K./Ireland</w:t>
      </w:r>
      <w:r>
        <w:rPr>
          <w:rFonts w:ascii="Times New Roman" w:cs="Times New Roman" w:eastAsia="Times New Roman" w:hAnsi="Times New Roman"/>
          <w:sz w:val="18"/>
          <w:szCs w:val="18"/>
          <w:color w:val="2C2C2C"/>
        </w:rPr>
        <w:t>’s revenue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2016</w:t>
      </w:r>
      <w:r>
        <w:rPr>
          <w:rFonts w:ascii="Times New Roman" w:cs="Times New Roman" w:eastAsia="Times New Roman" w:hAnsi="Times New Roman"/>
          <w:sz w:val="18"/>
          <w:szCs w:val="18"/>
          <w:color w:val="2C2C2C"/>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corresponding period in 2015</w:t>
      </w:r>
      <w:r>
        <w:rPr>
          <w:rFonts w:ascii="Times New Roman" w:cs="Times New Roman" w:eastAsia="Times New Roman" w:hAnsi="Times New Roman"/>
          <w:sz w:val="18"/>
          <w:szCs w:val="18"/>
          <w:color w:val="2C2C2C"/>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C2C2C"/>
        </w:rPr>
        <w:t xml:space="preserve">includes (i) an organic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C2C2C"/>
        </w:rPr>
        <w:t xml:space="preserve"> of </w:t>
      </w:r>
      <w:r>
        <w:rPr>
          <w:rFonts w:ascii="Times New Roman" w:cs="Times New Roman" w:eastAsia="Times New Roman" w:hAnsi="Times New Roman"/>
          <w:sz w:val="18"/>
          <w:szCs w:val="18"/>
          <w:color w:val="000000"/>
        </w:rPr>
        <w:t>$62.6 million</w:t>
      </w:r>
      <w:r>
        <w:rPr>
          <w:rFonts w:ascii="Times New Roman" w:cs="Times New Roman" w:eastAsia="Times New Roman" w:hAnsi="Times New Roman"/>
          <w:sz w:val="18"/>
          <w:szCs w:val="18"/>
          <w:color w:val="2C2C2C"/>
        </w:rPr>
        <w:t xml:space="preserve"> or </w:t>
      </w:r>
      <w:r>
        <w:rPr>
          <w:rFonts w:ascii="Times New Roman" w:cs="Times New Roman" w:eastAsia="Times New Roman" w:hAnsi="Times New Roman"/>
          <w:sz w:val="18"/>
          <w:szCs w:val="18"/>
          <w:color w:val="000000"/>
        </w:rPr>
        <w:t>3.7%</w:t>
      </w:r>
      <w:r>
        <w:rPr>
          <w:rFonts w:ascii="Times New Roman" w:cs="Times New Roman" w:eastAsia="Times New Roman" w:hAnsi="Times New Roman"/>
          <w:sz w:val="18"/>
          <w:szCs w:val="18"/>
          <w:color w:val="2C2C2C"/>
        </w:rPr>
        <w:t xml:space="preserve">, (ii) the impact of an acquisition, (iii) the impact of disposals and (iv) the impact of </w:t>
      </w:r>
      <w:r>
        <w:rPr>
          <w:rFonts w:ascii="Times New Roman" w:cs="Times New Roman" w:eastAsia="Times New Roman" w:hAnsi="Times New Roman"/>
          <w:sz w:val="18"/>
          <w:szCs w:val="18"/>
          <w:color w:val="000000"/>
        </w:rPr>
        <w:t>FX</w:t>
      </w:r>
      <w:r>
        <w:rPr>
          <w:rFonts w:ascii="Times New Roman" w:cs="Times New Roman" w:eastAsia="Times New Roman" w:hAnsi="Times New Roman"/>
          <w:sz w:val="18"/>
          <w:szCs w:val="18"/>
          <w:color w:val="2C2C2C"/>
        </w:rPr>
        <w:t>, as set f</w:t>
      </w:r>
      <w:r>
        <w:rPr>
          <w:rFonts w:ascii="Times New Roman" w:cs="Times New Roman" w:eastAsia="Times New Roman" w:hAnsi="Times New Roman"/>
          <w:sz w:val="18"/>
          <w:szCs w:val="18"/>
          <w:color w:val="000000"/>
        </w:rPr>
        <w:t>orth</w:t>
      </w:r>
      <w:r>
        <w:rPr>
          <w:rFonts w:ascii="Times New Roman" w:cs="Times New Roman" w:eastAsia="Times New Roman" w:hAnsi="Times New Roman"/>
          <w:sz w:val="18"/>
          <w:szCs w:val="18"/>
          <w:color w:val="2C2C2C"/>
        </w:rPr>
        <w:t xml:space="preserve"> </w:t>
      </w:r>
      <w:r>
        <w:rPr>
          <w:rFonts w:ascii="Times New Roman" w:cs="Times New Roman" w:eastAsia="Times New Roman" w:hAnsi="Times New Roman"/>
          <w:sz w:val="18"/>
          <w:szCs w:val="18"/>
          <w:color w:val="000000"/>
        </w:rPr>
        <w:t>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mobile subscription revenue (c)</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B2B revenue (d)</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other revenue (e)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an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disposals (f)</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5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right="20" w:hanging="492"/>
        <w:spacing w:after="0" w:line="266"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in cable subscription revenue related </w:t>
      </w:r>
      <w:r>
        <w:rPr>
          <w:rFonts w:ascii="Times New Roman" w:cs="Times New Roman" w:eastAsia="Times New Roman" w:hAnsi="Times New Roman"/>
          <w:sz w:val="18"/>
          <w:szCs w:val="18"/>
          <w:color w:val="2C2C2C"/>
        </w:rPr>
        <w:t>to a change in the average number of</w:t>
      </w:r>
      <w:r>
        <w:rPr>
          <w:rFonts w:ascii="Times New Roman" w:cs="Times New Roman" w:eastAsia="Times New Roman" w:hAnsi="Times New Roman"/>
          <w:sz w:val="18"/>
          <w:szCs w:val="18"/>
          <w:color w:val="auto"/>
        </w:rPr>
        <w:t xml:space="preserve"> RGU</w:t>
      </w:r>
      <w:r>
        <w:rPr>
          <w:rFonts w:ascii="Times New Roman" w:cs="Times New Roman" w:eastAsia="Times New Roman" w:hAnsi="Times New Roman"/>
          <w:sz w:val="18"/>
          <w:szCs w:val="18"/>
          <w:color w:val="2C2C2C"/>
        </w:rPr>
        <w:t>s is attributable to an increase in the average numbers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C2C2C"/>
        </w:rPr>
        <w:t xml:space="preserve">broadband internet and fixed-line telephony </w:t>
      </w:r>
      <w:r>
        <w:rPr>
          <w:rFonts w:ascii="Times New Roman" w:cs="Times New Roman" w:eastAsia="Times New Roman" w:hAnsi="Times New Roman"/>
          <w:sz w:val="18"/>
          <w:szCs w:val="18"/>
          <w:color w:val="000000"/>
        </w:rPr>
        <w:t>RGU</w:t>
      </w:r>
      <w:r>
        <w:rPr>
          <w:rFonts w:ascii="Times New Roman" w:cs="Times New Roman" w:eastAsia="Times New Roman" w:hAnsi="Times New Roman"/>
          <w:sz w:val="18"/>
          <w:szCs w:val="18"/>
          <w:color w:val="2C2C2C"/>
        </w:rPr>
        <w:t xml:space="preserve">s that was only partially offset by a decline in (i) the average number of enhanced video </w:t>
      </w:r>
      <w:r>
        <w:rPr>
          <w:rFonts w:ascii="Times New Roman" w:cs="Times New Roman" w:eastAsia="Times New Roman" w:hAnsi="Times New Roman"/>
          <w:sz w:val="18"/>
          <w:szCs w:val="18"/>
          <w:color w:val="000000"/>
        </w:rPr>
        <w:t>RGU</w:t>
      </w:r>
      <w:r>
        <w:rPr>
          <w:rFonts w:ascii="Times New Roman" w:cs="Times New Roman" w:eastAsia="Times New Roman" w:hAnsi="Times New Roman"/>
          <w:sz w:val="18"/>
          <w:szCs w:val="18"/>
          <w:color w:val="2C2C2C"/>
        </w:rPr>
        <w:t xml:space="preserve">s and (ii) the average number of basic video </w:t>
      </w:r>
      <w:r>
        <w:rPr>
          <w:rFonts w:ascii="Times New Roman" w:cs="Times New Roman" w:eastAsia="Times New Roman" w:hAnsi="Times New Roman"/>
          <w:sz w:val="18"/>
          <w:szCs w:val="18"/>
          <w:color w:val="000000"/>
        </w:rPr>
        <w:t>RGU</w:t>
      </w:r>
      <w:r>
        <w:rPr>
          <w:rFonts w:ascii="Times New Roman" w:cs="Times New Roman" w:eastAsia="Times New Roman" w:hAnsi="Times New Roman"/>
          <w:sz w:val="18"/>
          <w:szCs w:val="18"/>
          <w:color w:val="2C2C2C"/>
        </w:rPr>
        <w:t xml:space="preserve">s in </w:t>
      </w:r>
      <w:r>
        <w:rPr>
          <w:rFonts w:ascii="Times New Roman" w:cs="Times New Roman" w:eastAsia="Times New Roman" w:hAnsi="Times New Roman"/>
          <w:sz w:val="18"/>
          <w:szCs w:val="18"/>
          <w:color w:val="000000"/>
        </w:rPr>
        <w:t>Ireland.</w:t>
      </w:r>
    </w:p>
    <w:p>
      <w:pPr>
        <w:spacing w:after="0" w:line="176"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w:t>
      </w:r>
      <w:r>
        <w:rPr>
          <w:rFonts w:ascii="Times New Roman" w:cs="Times New Roman" w:eastAsia="Times New Roman" w:hAnsi="Times New Roman"/>
          <w:sz w:val="18"/>
          <w:szCs w:val="18"/>
          <w:color w:val="2C2C2C"/>
        </w:rPr>
        <w:t>on revenue related to a change in</w:t>
      </w:r>
      <w:r>
        <w:rPr>
          <w:rFonts w:ascii="Times New Roman" w:cs="Times New Roman" w:eastAsia="Times New Roman" w:hAnsi="Times New Roman"/>
          <w:sz w:val="18"/>
          <w:szCs w:val="18"/>
          <w:color w:val="auto"/>
        </w:rPr>
        <w:t xml:space="preserve"> ARPU </w:t>
      </w:r>
      <w:r>
        <w:rPr>
          <w:rFonts w:ascii="Times New Roman" w:cs="Times New Roman" w:eastAsia="Times New Roman" w:hAnsi="Times New Roman"/>
          <w:sz w:val="18"/>
          <w:szCs w:val="18"/>
          <w:color w:val="2C2C2C"/>
        </w:rPr>
        <w:t>is attributable to the net effect of (i) a net increase primarily due to (a) higher</w:t>
      </w:r>
      <w:r>
        <w:rPr>
          <w:rFonts w:ascii="Times New Roman" w:cs="Times New Roman" w:eastAsia="Times New Roman" w:hAnsi="Times New Roman"/>
          <w:sz w:val="18"/>
          <w:szCs w:val="18"/>
          <w:color w:val="auto"/>
        </w:rPr>
        <w:t xml:space="preserve"> ARPU </w:t>
      </w:r>
      <w:r>
        <w:rPr>
          <w:rFonts w:ascii="Times New Roman" w:cs="Times New Roman" w:eastAsia="Times New Roman" w:hAnsi="Times New Roman"/>
          <w:sz w:val="18"/>
          <w:szCs w:val="18"/>
          <w:color w:val="2C2C2C"/>
        </w:rPr>
        <w:t>from broadband internet services, (b) lower</w:t>
      </w:r>
      <w:r>
        <w:rPr>
          <w:rFonts w:ascii="Times New Roman" w:cs="Times New Roman" w:eastAsia="Times New Roman" w:hAnsi="Times New Roman"/>
          <w:sz w:val="18"/>
          <w:szCs w:val="18"/>
          <w:color w:val="auto"/>
        </w:rPr>
        <w:t xml:space="preserve"> ARPU </w:t>
      </w:r>
      <w:r>
        <w:rPr>
          <w:rFonts w:ascii="Times New Roman" w:cs="Times New Roman" w:eastAsia="Times New Roman" w:hAnsi="Times New Roman"/>
          <w:sz w:val="18"/>
          <w:szCs w:val="18"/>
          <w:color w:val="2C2C2C"/>
        </w:rPr>
        <w:t>from fixed-line telephony services in the U.K. and (c) higher</w:t>
      </w:r>
      <w:r>
        <w:rPr>
          <w:rFonts w:ascii="Times New Roman" w:cs="Times New Roman" w:eastAsia="Times New Roman" w:hAnsi="Times New Roman"/>
          <w:sz w:val="18"/>
          <w:szCs w:val="18"/>
          <w:color w:val="auto"/>
        </w:rPr>
        <w:t xml:space="preserve"> ARPU </w:t>
      </w:r>
      <w:r>
        <w:rPr>
          <w:rFonts w:ascii="Times New Roman" w:cs="Times New Roman" w:eastAsia="Times New Roman" w:hAnsi="Times New Roman"/>
          <w:sz w:val="18"/>
          <w:szCs w:val="18"/>
          <w:color w:val="2C2C2C"/>
        </w:rPr>
        <w:t>from video services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C2C2C"/>
        </w:rPr>
        <w:t xml:space="preserve">the U.K. and (ii) an adverse change in </w:t>
      </w:r>
      <w:r>
        <w:rPr>
          <w:rFonts w:ascii="Times New Roman" w:cs="Times New Roman" w:eastAsia="Times New Roman" w:hAnsi="Times New Roman"/>
          <w:sz w:val="18"/>
          <w:szCs w:val="18"/>
          <w:color w:val="000000"/>
        </w:rPr>
        <w:t>RGU</w:t>
      </w:r>
      <w:r>
        <w:rPr>
          <w:rFonts w:ascii="Times New Roman" w:cs="Times New Roman" w:eastAsia="Times New Roman" w:hAnsi="Times New Roman"/>
          <w:sz w:val="18"/>
          <w:szCs w:val="18"/>
          <w:color w:val="2C2C2C"/>
        </w:rPr>
        <w:t xml:space="preserve"> mix</w:t>
      </w:r>
      <w:r>
        <w:rPr>
          <w:rFonts w:ascii="Times New Roman" w:cs="Times New Roman" w:eastAsia="Times New Roman" w:hAnsi="Times New Roman"/>
          <w:sz w:val="18"/>
          <w:szCs w:val="18"/>
          <w:color w:val="000000"/>
        </w:rPr>
        <w:t>.</w:t>
      </w:r>
    </w:p>
    <w:p>
      <w:pPr>
        <w:spacing w:after="0" w:line="176"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decrease in mobile subscription revenue relates to the U.K. and is due to (i) lower ARPU, including a decline of $21.4 million in postpaid mobile services revenue due to the continued growth of the Split-contract Program, and (ii) a decrease in the </w:t>
      </w:r>
      <w:r>
        <w:rPr>
          <w:rFonts w:ascii="Times New Roman" w:cs="Times New Roman" w:eastAsia="Times New Roman" w:hAnsi="Times New Roman"/>
          <w:sz w:val="18"/>
          <w:szCs w:val="18"/>
          <w:color w:val="2C2C2C"/>
        </w:rPr>
        <w:t>average number of subscribers, as a decrease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C2C2C"/>
        </w:rPr>
        <w:t>the average number of prepaid subscribers more than offset the increase in the average number of postpaid subscribers</w:t>
      </w:r>
      <w:r>
        <w:rPr>
          <w:rFonts w:ascii="Times New Roman" w:cs="Times New Roman" w:eastAsia="Times New Roman" w:hAnsi="Times New Roman"/>
          <w:sz w:val="18"/>
          <w:szCs w:val="18"/>
          <w:color w:val="000000"/>
        </w:rPr>
        <w:t>.</w:t>
      </w:r>
    </w:p>
    <w:p>
      <w:pPr>
        <w:spacing w:after="0" w:line="176" w:lineRule="exact"/>
        <w:rPr>
          <w:rFonts w:ascii="Times New Roman" w:cs="Times New Roman" w:eastAsia="Times New Roman" w:hAnsi="Times New Roman"/>
          <w:sz w:val="18"/>
          <w:szCs w:val="18"/>
          <w:color w:val="auto"/>
        </w:rPr>
      </w:pPr>
    </w:p>
    <w:p>
      <w:pPr>
        <w:jc w:val="both"/>
        <w:ind w:left="500" w:right="20" w:hanging="492"/>
        <w:spacing w:after="0" w:line="266"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B2B revenue is primarily due to the net effect of (i) an increase in data revenue, primarily attributable to (a) higher volumes and (b) an increase of $4.4 million in the U.K.’s amortization of deferred upfront fees on B2B contracts, (ii) lower voice revenue in the U.K., primarily attributable to a decline in usage, and (iii) an increase in low-margin equipment sales in the U.K.</w:t>
      </w:r>
    </w:p>
    <w:p>
      <w:pPr>
        <w:spacing w:after="0" w:line="176"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in other revenue is primarily due to the net effect of (i) an increase in mobile handset sales, primarily attributable to a $29.1 million increase associated with the continued growth of the Split-contract Program in the U.K., and (ii) a decrease in interconnect revenue of $3.7 million, primarily due to (a) lower mobile termination rates and volume in the U.K. and (b) a decline in mobile short message service (or </w:t>
      </w:r>
      <w:r>
        <w:rPr>
          <w:rFonts w:ascii="Times New Roman" w:cs="Times New Roman" w:eastAsia="Times New Roman" w:hAnsi="Times New Roman"/>
          <w:sz w:val="18"/>
          <w:szCs w:val="18"/>
          <w:b w:val="1"/>
          <w:bCs w:val="1"/>
          <w:color w:val="auto"/>
        </w:rPr>
        <w:t>SMS</w:t>
      </w:r>
      <w:r>
        <w:rPr>
          <w:rFonts w:ascii="Times New Roman" w:cs="Times New Roman" w:eastAsia="Times New Roman" w:hAnsi="Times New Roman"/>
          <w:sz w:val="18"/>
          <w:szCs w:val="18"/>
          <w:color w:val="auto"/>
        </w:rPr>
        <w:t>) termination volumes in the U.K.</w:t>
      </w:r>
    </w:p>
    <w:p>
      <w:pPr>
        <w:spacing w:after="0" w:line="176" w:lineRule="exact"/>
        <w:rPr>
          <w:rFonts w:ascii="Times New Roman" w:cs="Times New Roman" w:eastAsia="Times New Roman" w:hAnsi="Times New Roman"/>
          <w:sz w:val="18"/>
          <w:szCs w:val="18"/>
          <w:color w:val="auto"/>
        </w:rPr>
      </w:pPr>
    </w:p>
    <w:p>
      <w:pPr>
        <w:jc w:val="both"/>
        <w:ind w:left="500" w:hanging="492"/>
        <w:spacing w:after="0" w:line="268"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estimated impact of (i) the non-cable subscribers in the U.K. that we sold in the fourth quarter of 2014 (the </w:t>
      </w:r>
      <w:r>
        <w:rPr>
          <w:rFonts w:ascii="Times New Roman" w:cs="Times New Roman" w:eastAsia="Times New Roman" w:hAnsi="Times New Roman"/>
          <w:sz w:val="18"/>
          <w:szCs w:val="18"/>
          <w:b w:val="1"/>
          <w:bCs w:val="1"/>
          <w:color w:val="auto"/>
        </w:rPr>
        <w:t>U.K. Non-Cable Disposal</w:t>
      </w:r>
      <w:r>
        <w:rPr>
          <w:rFonts w:ascii="Times New Roman" w:cs="Times New Roman" w:eastAsia="Times New Roman" w:hAnsi="Times New Roman"/>
          <w:sz w:val="18"/>
          <w:szCs w:val="18"/>
          <w:color w:val="auto"/>
        </w:rPr>
        <w:t xml:space="preserve">) and (ii) the </w:t>
      </w:r>
      <w:r>
        <w:rPr>
          <w:rFonts w:ascii="Times New Roman" w:cs="Times New Roman" w:eastAsia="Times New Roman" w:hAnsi="Times New Roman"/>
          <w:sz w:val="18"/>
          <w:szCs w:val="18"/>
          <w:color w:val="2C2C2C"/>
        </w:rPr>
        <w:t>multi-channel multi-point (microwave) distribution system subscribers in Ireland that have disconnected since we announced the switch-off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C2C2C"/>
        </w:rPr>
        <w:t>of this service effective April 2016</w:t>
      </w:r>
      <w:r>
        <w:rPr>
          <w:rFonts w:ascii="Times New Roman" w:cs="Times New Roman" w:eastAsia="Times New Roman" w:hAnsi="Times New Roman"/>
          <w:sz w:val="18"/>
          <w:szCs w:val="18"/>
          <w:color w:val="000000"/>
        </w:rPr>
        <w:t>. The non-cable subscribers were migrated to a third party during the first nine months of 2015.</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362" w:right="239" w:bottom="1440" w:gutter="0" w:footer="0" w:header="0"/>
        </w:sectPr>
      </w:pPr>
    </w:p>
    <w:bookmarkStart w:id="61" w:name="page62"/>
    <w:bookmarkEnd w:id="6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reduced certain fees we charge to customers in the U.K. as a result of a regulatory change, with the largest reduction implemented effective April 1, 2016. We estimate that these reduced charges will result in a £15 million ($22 million) reduction of the U.K.’s cable subscription revenue and operating income for the remainder of 2016 when compared to the corresponding prior-year period.</w:t>
      </w:r>
    </w:p>
    <w:p>
      <w:pPr>
        <w:spacing w:after="0" w:line="174"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The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C2C2C"/>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Netherlands’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C2C2C"/>
        </w:rPr>
        <w:t>revenue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2016</w:t>
      </w:r>
      <w:r>
        <w:rPr>
          <w:rFonts w:ascii="Times New Roman" w:cs="Times New Roman" w:eastAsia="Times New Roman" w:hAnsi="Times New Roman"/>
          <w:sz w:val="18"/>
          <w:szCs w:val="18"/>
          <w:color w:val="2C2C2C"/>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corresponding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w:t>
      </w:r>
      <w:r>
        <w:rPr>
          <w:rFonts w:ascii="Times New Roman" w:cs="Times New Roman" w:eastAsia="Times New Roman" w:hAnsi="Times New Roman"/>
          <w:sz w:val="18"/>
          <w:szCs w:val="18"/>
          <w:color w:val="2C2C2C"/>
        </w:rPr>
        <w:t>, includes (i) an organic decrease of $23.2 million or 3.3% and (ii) the impact of</w:t>
      </w:r>
      <w:r>
        <w:rPr>
          <w:rFonts w:ascii="Times New Roman" w:cs="Times New Roman" w:eastAsia="Times New Roman" w:hAnsi="Times New Roman"/>
          <w:sz w:val="18"/>
          <w:szCs w:val="18"/>
          <w:color w:val="auto"/>
        </w:rPr>
        <w:t xml:space="preserve"> FX</w:t>
      </w:r>
      <w:r>
        <w:rPr>
          <w:rFonts w:ascii="Times New Roman" w:cs="Times New Roman" w:eastAsia="Times New Roman" w:hAnsi="Times New Roman"/>
          <w:sz w:val="18"/>
          <w:szCs w:val="18"/>
          <w:color w:val="2C2C2C"/>
        </w:rPr>
        <w:t>, as set f</w:t>
      </w:r>
      <w:r>
        <w:rPr>
          <w:rFonts w:ascii="Times New Roman" w:cs="Times New Roman" w:eastAsia="Times New Roman" w:hAnsi="Times New Roman"/>
          <w:sz w:val="18"/>
          <w:szCs w:val="18"/>
          <w:color w:val="auto"/>
        </w:rPr>
        <w:t>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mobile subscription revenue (c)</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B2B revenue</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other revenue (d)</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organic decrease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57"/>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cable subscription revenue related to a change in the average num</w:t>
      </w:r>
      <w:r>
        <w:rPr>
          <w:rFonts w:ascii="Times New Roman" w:cs="Times New Roman" w:eastAsia="Times New Roman" w:hAnsi="Times New Roman"/>
          <w:sz w:val="18"/>
          <w:szCs w:val="18"/>
          <w:color w:val="2C2C2C"/>
        </w:rPr>
        <w:t>ber of</w:t>
      </w:r>
      <w:r>
        <w:rPr>
          <w:rFonts w:ascii="Times New Roman" w:cs="Times New Roman" w:eastAsia="Times New Roman" w:hAnsi="Times New Roman"/>
          <w:sz w:val="18"/>
          <w:szCs w:val="18"/>
          <w:color w:val="auto"/>
        </w:rPr>
        <w:t xml:space="preserve"> RGU</w:t>
      </w:r>
      <w:r>
        <w:rPr>
          <w:rFonts w:ascii="Times New Roman" w:cs="Times New Roman" w:eastAsia="Times New Roman" w:hAnsi="Times New Roman"/>
          <w:sz w:val="18"/>
          <w:szCs w:val="18"/>
          <w:color w:val="2C2C2C"/>
        </w:rPr>
        <w:t>s is attributable to a decline in the average numbers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C2C2C"/>
        </w:rPr>
        <w:t xml:space="preserve">basic video, enhanced video and fixed-line telephony </w:t>
      </w:r>
      <w:r>
        <w:rPr>
          <w:rFonts w:ascii="Times New Roman" w:cs="Times New Roman" w:eastAsia="Times New Roman" w:hAnsi="Times New Roman"/>
          <w:sz w:val="18"/>
          <w:szCs w:val="18"/>
          <w:color w:val="000000"/>
        </w:rPr>
        <w:t>RGU</w:t>
      </w:r>
      <w:r>
        <w:rPr>
          <w:rFonts w:ascii="Times New Roman" w:cs="Times New Roman" w:eastAsia="Times New Roman" w:hAnsi="Times New Roman"/>
          <w:sz w:val="18"/>
          <w:szCs w:val="18"/>
          <w:color w:val="2C2C2C"/>
        </w:rPr>
        <w:t xml:space="preserve">s that was only partially offset by an increase in the average number of broadband internet </w:t>
      </w:r>
      <w:r>
        <w:rPr>
          <w:rFonts w:ascii="Times New Roman" w:cs="Times New Roman" w:eastAsia="Times New Roman" w:hAnsi="Times New Roman"/>
          <w:sz w:val="18"/>
          <w:szCs w:val="18"/>
          <w:color w:val="000000"/>
        </w:rPr>
        <w:t>RGU</w:t>
      </w:r>
      <w:r>
        <w:rPr>
          <w:rFonts w:ascii="Times New Roman" w:cs="Times New Roman" w:eastAsia="Times New Roman" w:hAnsi="Times New Roman"/>
          <w:sz w:val="18"/>
          <w:szCs w:val="18"/>
          <w:color w:val="2C2C2C"/>
        </w:rPr>
        <w:t>s.</w:t>
      </w:r>
    </w:p>
    <w:p>
      <w:pPr>
        <w:spacing w:after="0" w:line="176"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51"/>
        </w:numPr>
        <w:rPr>
          <w:rFonts w:ascii="Times New Roman" w:cs="Times New Roman" w:eastAsia="Times New Roman" w:hAnsi="Times New Roman"/>
          <w:sz w:val="18"/>
          <w:szCs w:val="18"/>
          <w:color w:val="2C2C2C"/>
        </w:rPr>
      </w:pPr>
      <w:r>
        <w:rPr>
          <w:rFonts w:ascii="Times New Roman" w:cs="Times New Roman" w:eastAsia="Times New Roman" w:hAnsi="Times New Roman"/>
          <w:sz w:val="18"/>
          <w:szCs w:val="18"/>
          <w:color w:val="2C2C2C"/>
        </w:rPr>
        <w:t xml:space="preserve">The decrease in cable subscription revenue related to a change in </w:t>
      </w:r>
      <w:r>
        <w:rPr>
          <w:rFonts w:ascii="Times New Roman" w:cs="Times New Roman" w:eastAsia="Times New Roman" w:hAnsi="Times New Roman"/>
          <w:sz w:val="18"/>
          <w:szCs w:val="18"/>
          <w:color w:val="000000"/>
        </w:rPr>
        <w:t>ARPU</w:t>
      </w:r>
      <w:r>
        <w:rPr>
          <w:rFonts w:ascii="Times New Roman" w:cs="Times New Roman" w:eastAsia="Times New Roman" w:hAnsi="Times New Roman"/>
          <w:sz w:val="18"/>
          <w:szCs w:val="18"/>
          <w:color w:val="2C2C2C"/>
        </w:rPr>
        <w:t xml:space="preserve"> is attributable to the net effect of (i) a net decrease due to (a) lower </w:t>
      </w:r>
      <w:r>
        <w:rPr>
          <w:rFonts w:ascii="Times New Roman" w:cs="Times New Roman" w:eastAsia="Times New Roman" w:hAnsi="Times New Roman"/>
          <w:sz w:val="18"/>
          <w:szCs w:val="18"/>
          <w:color w:val="000000"/>
        </w:rPr>
        <w:t>ARPU</w:t>
      </w:r>
      <w:r>
        <w:rPr>
          <w:rFonts w:ascii="Times New Roman" w:cs="Times New Roman" w:eastAsia="Times New Roman" w:hAnsi="Times New Roman"/>
          <w:sz w:val="18"/>
          <w:szCs w:val="18"/>
          <w:color w:val="2C2C2C"/>
        </w:rPr>
        <w:t xml:space="preserve"> from broadband internet and fixed-line telephony services and (b) higher </w:t>
      </w:r>
      <w:r>
        <w:rPr>
          <w:rFonts w:ascii="Times New Roman" w:cs="Times New Roman" w:eastAsia="Times New Roman" w:hAnsi="Times New Roman"/>
          <w:sz w:val="18"/>
          <w:szCs w:val="18"/>
          <w:color w:val="000000"/>
        </w:rPr>
        <w:t>ARPU</w:t>
      </w:r>
      <w:r>
        <w:rPr>
          <w:rFonts w:ascii="Times New Roman" w:cs="Times New Roman" w:eastAsia="Times New Roman" w:hAnsi="Times New Roman"/>
          <w:sz w:val="18"/>
          <w:szCs w:val="18"/>
          <w:color w:val="2C2C2C"/>
        </w:rPr>
        <w:t xml:space="preserve"> from video services and (ii) an improvement in </w:t>
      </w:r>
      <w:r>
        <w:rPr>
          <w:rFonts w:ascii="Times New Roman" w:cs="Times New Roman" w:eastAsia="Times New Roman" w:hAnsi="Times New Roman"/>
          <w:sz w:val="18"/>
          <w:szCs w:val="18"/>
          <w:color w:val="000000"/>
        </w:rPr>
        <w:t>RGU</w:t>
      </w:r>
      <w:r>
        <w:rPr>
          <w:rFonts w:ascii="Times New Roman" w:cs="Times New Roman" w:eastAsia="Times New Roman" w:hAnsi="Times New Roman"/>
          <w:sz w:val="18"/>
          <w:szCs w:val="18"/>
          <w:color w:val="2C2C2C"/>
        </w:rPr>
        <w:t xml:space="preserve"> mix.</w:t>
      </w:r>
    </w:p>
    <w:p>
      <w:pPr>
        <w:spacing w:after="0" w:line="161" w:lineRule="exact"/>
        <w:rPr>
          <w:rFonts w:ascii="Times New Roman" w:cs="Times New Roman" w:eastAsia="Times New Roman" w:hAnsi="Times New Roman"/>
          <w:sz w:val="18"/>
          <w:szCs w:val="18"/>
          <w:color w:val="2C2C2C"/>
        </w:rPr>
      </w:pPr>
    </w:p>
    <w:p>
      <w:pPr>
        <w:ind w:left="500" w:hanging="492"/>
        <w:spacing w:after="0"/>
        <w:tabs>
          <w:tab w:leader="none" w:pos="500" w:val="left"/>
        </w:tabs>
        <w:numPr>
          <w:ilvl w:val="0"/>
          <w:numId w:val="51"/>
        </w:numPr>
        <w:rPr>
          <w:rFonts w:ascii="Times New Roman" w:cs="Times New Roman" w:eastAsia="Times New Roman" w:hAnsi="Times New Roman"/>
          <w:sz w:val="17"/>
          <w:szCs w:val="17"/>
          <w:color w:val="2C2C2C"/>
        </w:rPr>
      </w:pPr>
      <w:r>
        <w:rPr>
          <w:rFonts w:ascii="Times New Roman" w:cs="Times New Roman" w:eastAsia="Times New Roman" w:hAnsi="Times New Roman"/>
          <w:sz w:val="17"/>
          <w:szCs w:val="17"/>
          <w:color w:val="2C2C2C"/>
        </w:rPr>
        <w:t xml:space="preserve">The increase in mobile subscription revenue is due to the net effect of (i) an increase in the average number of mobile subscribers and (ii) </w:t>
      </w:r>
      <w:r>
        <w:rPr>
          <w:rFonts w:ascii="Times New Roman" w:cs="Times New Roman" w:eastAsia="Times New Roman" w:hAnsi="Times New Roman"/>
          <w:sz w:val="17"/>
          <w:szCs w:val="17"/>
          <w:color w:val="000000"/>
        </w:rPr>
        <w:t>lower ARPU</w:t>
      </w:r>
      <w:r>
        <w:rPr>
          <w:rFonts w:ascii="Times New Roman" w:cs="Times New Roman" w:eastAsia="Times New Roman" w:hAnsi="Times New Roman"/>
          <w:sz w:val="17"/>
          <w:szCs w:val="17"/>
          <w:color w:val="2C2C2C"/>
        </w:rPr>
        <w:t>.</w:t>
      </w:r>
    </w:p>
    <w:p>
      <w:pPr>
        <w:spacing w:after="0" w:line="236" w:lineRule="exact"/>
        <w:rPr>
          <w:rFonts w:ascii="Times New Roman" w:cs="Times New Roman" w:eastAsia="Times New Roman" w:hAnsi="Times New Roman"/>
          <w:sz w:val="17"/>
          <w:szCs w:val="17"/>
          <w:color w:val="2C2C2C"/>
        </w:rPr>
      </w:pPr>
    </w:p>
    <w:p>
      <w:pPr>
        <w:jc w:val="both"/>
        <w:ind w:left="500" w:hanging="492"/>
        <w:spacing w:after="0" w:line="261" w:lineRule="auto"/>
        <w:tabs>
          <w:tab w:leader="none" w:pos="500" w:val="left"/>
        </w:tabs>
        <w:numPr>
          <w:ilvl w:val="0"/>
          <w:numId w:val="51"/>
        </w:numPr>
        <w:rPr>
          <w:rFonts w:ascii="Times New Roman" w:cs="Times New Roman" w:eastAsia="Times New Roman" w:hAnsi="Times New Roman"/>
          <w:sz w:val="18"/>
          <w:szCs w:val="18"/>
          <w:color w:val="2C2C2C"/>
        </w:rPr>
      </w:pPr>
      <w:r>
        <w:rPr>
          <w:rFonts w:ascii="Times New Roman" w:cs="Times New Roman" w:eastAsia="Times New Roman" w:hAnsi="Times New Roman"/>
          <w:sz w:val="18"/>
          <w:szCs w:val="18"/>
          <w:color w:val="auto"/>
        </w:rPr>
        <w:t>The decrease in other revenue is primarily due to the net effect of (i) an increase from the favorable impact of $3.3 million of nonrecurring revenue recorded during the first quarter of 2016 following the settlement of prior period amounts, (ii) a decrease in revenue of $1.6 million resulting from the termination of a Ziggo Holding B.V. (</w:t>
      </w:r>
      <w:r>
        <w:rPr>
          <w:rFonts w:ascii="Times New Roman" w:cs="Times New Roman" w:eastAsia="Times New Roman" w:hAnsi="Times New Roman"/>
          <w:sz w:val="18"/>
          <w:szCs w:val="18"/>
          <w:b w:val="1"/>
          <w:bCs w:val="1"/>
          <w:color w:val="auto"/>
        </w:rPr>
        <w:t>Ziggo</w:t>
      </w:r>
      <w:r>
        <w:rPr>
          <w:rFonts w:ascii="Times New Roman" w:cs="Times New Roman" w:eastAsia="Times New Roman" w:hAnsi="Times New Roman"/>
          <w:sz w:val="18"/>
          <w:szCs w:val="18"/>
          <w:color w:val="auto"/>
        </w:rPr>
        <w:t>) partner network agreement shortly after the November 2014 acquisition of Ziggo and (iii) a decrease in installation revenue.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364" w:right="239" w:bottom="1440" w:gutter="0" w:footer="0" w:header="0"/>
        </w:sectPr>
      </w:pPr>
    </w:p>
    <w:bookmarkStart w:id="62" w:name="page63"/>
    <w:bookmarkEnd w:id="62"/>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Germany. </w:t>
      </w:r>
      <w:r>
        <w:rPr>
          <w:rFonts w:ascii="Times New Roman" w:cs="Times New Roman" w:eastAsia="Times New Roman" w:hAnsi="Times New Roman"/>
          <w:sz w:val="18"/>
          <w:szCs w:val="18"/>
          <w:color w:val="auto"/>
        </w:rPr>
        <w:t>The increase in Germany’s revenue during the three months ended March 31, 2016, as compared to the corresponding period in 2015,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an organic increase of $32.3 million or 5.4% and (ii) the impact of FX, as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 (a)</w:t>
            </w: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revenue (b)</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(d)</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mobile subscription revenue</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B2B revenue</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other revenue (e)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organic increase (decrease)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5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55"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includes revenue from multi-year bulk agreements with landlords or housing associations or with third parties that operate and administer the in-building networks on behalf of housing associations. These bulk agreements, which generally allow for the procurement of the basic video signals at volume-based discounts, provide access to approximately two-thirds of Germany’s video subscribers. Germany’s bulk agreements are, to a significant extent, medium- and long-term contracts. As of March 31, 2016, bulk agreements covering approximately 38% of the video subscribers that Germany serves expire by the end of 2017 or are terminable on 30-days notice. During the three months ended March 31, 2016, Germany’s 20 largest bulk agreement accounts generated approximately 8% of its total revenue (including estimated amounts billed directly to the building occupants for digital video, broadband internet and fixed-line telephony services). No assurance can be given that Germany’s bulk agreements will be renewed or extended on financially equivalent terms, or at all.</w:t>
      </w:r>
    </w:p>
    <w:p>
      <w:pPr>
        <w:spacing w:after="0" w:line="185"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fees received for the carriage of certain channels included in Germany’s basic and enhanced video offerings. This channel carriage fee revenue is subject to contracts that expire or are otherwise terminable by either party on various dates ranging from 2016 through 2018. The aggregate amount of revenue related to these channel carriage contracts represented approximately 4% of Germany’s total revenue during the three months ended March 31, 2016. No assurance can be given that these contracts will be renewed or extended on financially equivalent terms, or at all. Also, our ability to increase the aggregate channel carriage fees that Germany receives for each channel is limited through the end of 2016 by certain commitments we made to regulators in connection with the acquisition of Unitymedia BW GmbH. In June 2017, we plan to discontinue our analog video service. We estimate that the discontinuance of this service will result in a reduction to Germany’s channel carriage revenue and operating income by approximately €30 million ($34 million) annually.</w:t>
      </w:r>
    </w:p>
    <w:p>
      <w:pPr>
        <w:spacing w:after="0" w:line="18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the average number of RGUs is attributable to an increase in the average numbers of broadband internet, fixed-line telephony and enhanced video RGUs that was only partially offset by a decline in the average number of basic video RGUs.</w:t>
      </w:r>
    </w:p>
    <w:p>
      <w:pPr>
        <w:spacing w:after="0" w:line="176"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ARPU is attributable to (i) a net increase due to (a) higher ARPU from broadband internet services, (b) lower ARPU from fixed-line telephony services and (c) higher ARPU from video services and (ii) an improvement in RGU mix.</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other revenue is largely due to legislative developments that have reduced the fees we can charge our late-paying customers.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362" w:right="239" w:bottom="1440" w:gutter="0" w:footer="0" w:header="0"/>
        </w:sectPr>
      </w:pPr>
    </w:p>
    <w:bookmarkStart w:id="63" w:name="page64"/>
    <w:bookmarkEnd w:id="63"/>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Belgium. </w:t>
      </w:r>
      <w:r>
        <w:rPr>
          <w:rFonts w:ascii="Times New Roman" w:cs="Times New Roman" w:eastAsia="Times New Roman" w:hAnsi="Times New Roman"/>
          <w:sz w:val="18"/>
          <w:szCs w:val="18"/>
          <w:color w:val="auto"/>
        </w:rPr>
        <w:t>The increase in Belgium’s revenue during the three months ended March 31, 2016, as compared to the corresponding period in 2015,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an organic increase of $24.4 million or 4.8%, (ii) the impact of the BASE Acquisition and (iii) the impact of FX, as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mobile subscription revenue (c)</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B2B revenue (d)</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other revenue (e)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the BASE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right="20" w:hanging="492"/>
        <w:spacing w:after="0" w:line="266"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the average number of RGUs is attributable to an increase in the average numbers of fixed-line telephony, broadband internet and enhanced video RGUs that was only partially offset by a decline in the average number of basic video RGUs.</w:t>
      </w:r>
    </w:p>
    <w:p>
      <w:pPr>
        <w:spacing w:after="0" w:line="176"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ARPU is attributable to (i) higher ARPU from video, broadband internet and fixed-line telephony services and (ii) an improvement in RGU mix.</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mobile subscription revenue is due to the net effect of (i) an increase in the average number of mobile subscribers and (ii) lower ARPU, including a decline of $2.5 million in mobile services revenue due to the June 2015 introduction of a Split-contract Program.</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B2B revenue is primarily due to higher revenue from (i) information technology security services and related equipment sales and (ii) voice services.</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revenue is primarily due to the net effect of (i) an increase in mobile handset sales of $4.7 million, (ii) an increase in tablet sales of $2.2 million and (iii) a slight decrease in interconnect revenue, primarily attributable to the net effect of (a) lower SMS usage and (b) growth in mobile call volume. The increase in Belgium’s mobile handset sales, which typically generate relatively low margins, includes the net impact of (1) a $6.9 million increase in non-subsidized handset sales, including a $2.9 million increase associated with the June 2015 introduction of a Split-contract Program, and (2) a $2.5 million decrease in subsidized handset sales.</w:t>
      </w:r>
    </w:p>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concerning certain regulatory developments that could have an adverse impact on our revenue in Belgium, see note 13 to our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362" w:right="239" w:bottom="1440" w:gutter="0" w:footer="0" w:header="0"/>
        </w:sectPr>
      </w:pPr>
    </w:p>
    <w:bookmarkStart w:id="64" w:name="page65"/>
    <w:bookmarkEnd w:id="64"/>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Switzerland/Austria. </w:t>
      </w:r>
      <w:r>
        <w:rPr>
          <w:rFonts w:ascii="Times New Roman" w:cs="Times New Roman" w:eastAsia="Times New Roman" w:hAnsi="Times New Roman"/>
          <w:sz w:val="18"/>
          <w:szCs w:val="18"/>
          <w:color w:val="auto"/>
        </w:rPr>
        <w:t>The decrease in Switzerland/Austria’s revenue during the three months ended March 31, 2016, as compared to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2015, includes (i) an organic increase of $10.2 million or 2.3% and (ii) the impact of FX, as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mobile subscription revenue (c)</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B2B revenue (d)</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other revenue (e)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5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cable subscription revenue related to a change in the average number of RGUs is attributable to a decline in the average numbers of basic and enhanced video RGUs that was mostly offset by an increase in the average numbers of fixed-line telephony and broadband internet RGUs.</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ARPU is attributable to (i) a net increase due to (a) higher ARPU from video and broadband internet services and (b) lower ARPU from fixed-line telephony services and (ii) an improvement in RGU mix in Switzerland that was largely offset by an adverse change in RGU mix in Austria.</w:t>
      </w:r>
    </w:p>
    <w:p>
      <w:pPr>
        <w:spacing w:after="0" w:line="176"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mobile subscription revenue is primarily due to an increase in the average number of mobile subscribers.</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B2B revenue is primarily due to a the net effect of (i) higher revenue from data services and (ii) lower revenue from broadband internet services.</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revenue is due to a net increase resulting from individually insignificant changes in other non-subscription categories.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362" w:right="239" w:bottom="1440" w:gutter="0" w:footer="0" w:header="0"/>
        </w:sectPr>
      </w:pPr>
    </w:p>
    <w:bookmarkStart w:id="65" w:name="page66"/>
    <w:bookmarkEnd w:id="65"/>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Central and Eastern Europe. </w:t>
      </w:r>
      <w:r>
        <w:rPr>
          <w:rFonts w:ascii="Times New Roman" w:cs="Times New Roman" w:eastAsia="Times New Roman" w:hAnsi="Times New Roman"/>
          <w:sz w:val="18"/>
          <w:szCs w:val="18"/>
          <w:color w:val="auto"/>
        </w:rPr>
        <w:t>The decrease in Central and Eastern Europe’s revenue during the three months ended March 31, 2016,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period in 2015, includes (i) an organic increase of $6.8 million or 2.6%, (ii) the impact of an acquisition and (iii) the impact of FX, as set forth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mobile subscription revenue</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B2B revenue</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an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58"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the average number of RGUs is attributable to the net effect of (i) an increase in the average numbers of fixed-line telephony, broadband internet and enhanced video RGUs in Romania, Hungary, Poland and Slovakia, (ii) a decline in the average number of basic video RGUs in Hungary, Poland, Romania and Slovakia, (iii) an increase in the average number of DTH RGUs, (iv) an increase in the average numbers of basic video and broadband internet RGUs in the Czech Republic and (v) a decline in the average numbers of enhanced video and fixed-line telephony RGUs in the Czech Republic.</w:t>
      </w:r>
    </w:p>
    <w:p>
      <w:pPr>
        <w:spacing w:after="0" w:line="18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cable subscription revenue related to a change in ARPU is primarily attributable to a net decrease due to (i) lower ARPU from fixed-line telephony and broadband internet services and (ii) higher ARPU from video services, primarily in Poland.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362" w:right="239" w:bottom="1440" w:gutter="0" w:footer="0" w:header="0"/>
        </w:sectPr>
      </w:pPr>
    </w:p>
    <w:bookmarkStart w:id="66" w:name="page67"/>
    <w:bookmarkEnd w:id="66"/>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Chile. </w:t>
      </w:r>
      <w:r>
        <w:rPr>
          <w:rFonts w:ascii="Times New Roman" w:cs="Times New Roman" w:eastAsia="Times New Roman" w:hAnsi="Times New Roman"/>
          <w:sz w:val="18"/>
          <w:szCs w:val="18"/>
          <w:color w:val="auto"/>
        </w:rPr>
        <w:t>The decrease in Chile’s revenue during the three months ended March 31, 2016, as compared to the corresponding period in 2015, includes (i)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increase of $15.9 million or 7.6% and (ii) the impact of FX, as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mobile subscription revenue (c)</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other revenue (d)</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organic increase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the average number of RGUs is attributable to an increase in the average numbers of broadband internet and enhanced video RGUs that was only partially offset by a decline in the average numbers of basic video and fixed-line telephony RGUs.</w:t>
      </w:r>
    </w:p>
    <w:p>
      <w:pPr>
        <w:spacing w:after="0" w:line="176"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ARPU is attributable to (i) a net increase due to (a) higher ARPU from video and broadband internet services and (b) lower ARPU from fixed-line telephony services and (ii) an improvement in RGU mix. In addition, Chile’s cable subscription revenue includes adjustments to both periods to reflect the retroactive application of a tariff on ancillary services provided directly to customers for the period from July 2013 through February 2014. These adjustments include (1) an increase in revenue due to the impact of a $2.2 million unfavorable adjustment recorded during the first quarter of 2015 and (2) a decrease in revenue due to the impact of a $2.1 million unfavorable adjustment recorded during the first quarter of 2016.</w:t>
      </w:r>
    </w:p>
    <w:p>
      <w:pPr>
        <w:spacing w:after="0" w:line="18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in mobile subscription revenue is due to (i) </w:t>
      </w:r>
      <w:r>
        <w:rPr>
          <w:rFonts w:ascii="Times New Roman" w:cs="Times New Roman" w:eastAsia="Times New Roman" w:hAnsi="Times New Roman"/>
          <w:sz w:val="18"/>
          <w:szCs w:val="18"/>
          <w:color w:val="2C2C2C"/>
        </w:rPr>
        <w:t>an increase in the average number of subscribers, as an increase in the average number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C2C2C"/>
        </w:rPr>
        <w:t xml:space="preserve">postpaid subscribers more than offset the decrease in the average number of prepaid subscribers, </w:t>
      </w:r>
      <w:r>
        <w:rPr>
          <w:rFonts w:ascii="Times New Roman" w:cs="Times New Roman" w:eastAsia="Times New Roman" w:hAnsi="Times New Roman"/>
          <w:sz w:val="18"/>
          <w:szCs w:val="18"/>
          <w:color w:val="000000"/>
        </w:rPr>
        <w:t>and (ii)</w:t>
      </w:r>
      <w:r>
        <w:rPr>
          <w:rFonts w:ascii="Times New Roman" w:cs="Times New Roman" w:eastAsia="Times New Roman" w:hAnsi="Times New Roman"/>
          <w:sz w:val="18"/>
          <w:szCs w:val="18"/>
          <w:color w:val="2C2C2C"/>
        </w:rPr>
        <w:t xml:space="preserve"> higher </w:t>
      </w:r>
      <w:r>
        <w:rPr>
          <w:rFonts w:ascii="Times New Roman" w:cs="Times New Roman" w:eastAsia="Times New Roman" w:hAnsi="Times New Roman"/>
          <w:sz w:val="18"/>
          <w:szCs w:val="18"/>
          <w:color w:val="000000"/>
        </w:rPr>
        <w:t>ARPU</w:t>
      </w:r>
      <w:r>
        <w:rPr>
          <w:rFonts w:ascii="Times New Roman" w:cs="Times New Roman" w:eastAsia="Times New Roman" w:hAnsi="Times New Roman"/>
          <w:sz w:val="18"/>
          <w:szCs w:val="18"/>
          <w:color w:val="2C2C2C"/>
        </w:rPr>
        <w:t xml:space="preserve"> primarily due to a higher proportion of mobile subscribers on postpaid plans, which generate higher ARPU than prepaid plans</w:t>
      </w:r>
      <w:r>
        <w:rPr>
          <w:rFonts w:ascii="Times New Roman" w:cs="Times New Roman" w:eastAsia="Times New Roman" w:hAnsi="Times New Roman"/>
          <w:sz w:val="18"/>
          <w:szCs w:val="18"/>
          <w:color w:val="000000"/>
        </w:rPr>
        <w:t>.</w:t>
      </w:r>
    </w:p>
    <w:p>
      <w:pPr>
        <w:spacing w:after="0" w:line="176"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revenue is primarily due to (i) an increase in advertising revenue and (ii) an increase in interconnect revenue. The increase in interconnect revenue is primarily due to the net effect of (a) an increase in revenue due to the impact of a $1.3 million unfavorable adjustment recorded during the first quarter of 2015 to reflect the retroactive application of a tariff reduction to June 2012 and (b) lower rates.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362" w:right="239" w:bottom="1440" w:gutter="0" w:footer="0" w:header="0"/>
        </w:sectPr>
      </w:pPr>
    </w:p>
    <w:bookmarkStart w:id="67" w:name="page68"/>
    <w:bookmarkEnd w:id="67"/>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Puerto Rico. </w:t>
      </w:r>
      <w:r>
        <w:rPr>
          <w:rFonts w:ascii="Times New Roman" w:cs="Times New Roman" w:eastAsia="Times New Roman" w:hAnsi="Times New Roman"/>
          <w:sz w:val="18"/>
          <w:szCs w:val="18"/>
          <w:color w:val="auto"/>
        </w:rPr>
        <w:t>The increase in Puerto Rico’s revenue during the three months ended March 31, 2016, as compared to the corresponding period in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(i) an organic increase of $2.3 million or 3.0% and (ii) the impact of the Choice Acquisition, as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B2B revenue (c)</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the Choice Acquisition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5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20" w:hanging="492"/>
        <w:spacing w:after="0" w:line="282"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the average number of RGUs is attributable to an increase in the average numbers of broadband internet and fixed-line telephony RGUs that was only partially offset by a decline in the average number of enhanced video RGUs.</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cable subscription revenue related to a change in ARPU is attributable to (i) an adverse change in RGU mix and (ii) a net decrease primarily due to (a) lower ARPU from fixed-line telephony services and (b) higher ARPU from broadband internet services.</w:t>
      </w:r>
    </w:p>
    <w:p>
      <w:pPr>
        <w:spacing w:after="0" w:line="12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B2B revenue is primarily due to higher revenue from broadband internet services.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362" w:right="239" w:bottom="1440" w:gutter="0" w:footer="0" w:header="0"/>
        </w:sectPr>
      </w:pPr>
    </w:p>
    <w:bookmarkStart w:id="68" w:name="page69"/>
    <w:bookmarkEnd w:id="68"/>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of our Reportable Segments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increase</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8"/>
                <w:szCs w:val="18"/>
                <w:color w:val="auto"/>
              </w:rPr>
            </w:pPr>
          </w:p>
        </w:tc>
        <w:tc>
          <w:tcPr>
            <w:tcW w:w="1860" w:type="dxa"/>
            <w:vAlign w:val="bottom"/>
            <w:gridSpan w:val="3"/>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gridSpan w:val="2"/>
          </w:tcPr>
          <w:p>
            <w:pPr>
              <w:jc w:val="center"/>
              <w:ind w:left="3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Operations Division:</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3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1,447.3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other</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c>
          <w:tcPr>
            <w:tcW w:w="132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European Operations Division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32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1,590.3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Chile</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32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Puerto Rico (b)</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 excluding share-based compensation expense</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includes the post-acquisition operating expenses of BASE from February 12, 2016 through March 31, 2016.</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2015 period excludes the operating expenses of Choice, which was acquired on June 3,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60"/>
          </w:cols>
          <w:pgMar w:left="240" w:top="576" w:right="299" w:bottom="1440" w:gutter="0" w:footer="0" w:header="0"/>
        </w:sectPr>
      </w:pPr>
    </w:p>
    <w:bookmarkStart w:id="69" w:name="page70"/>
    <w:bookmarkEnd w:id="69"/>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Operating expenses include programming and copyright, network operations, mobile access and interconnect, customer operations,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care, share-based compensation and other costs related to our operations. We do not include share-based compensation in the following discussion and analysis of the operating expenses of our reportable segments as share-based compensation expense is not included in the performance measures of our reportable segments. Share-based compensation expense is discussed under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below. Programming and copyright costs, which represent a significant portion of our operating costs, are expected to rise in future periods as a result of (i) higher costs associated with the expansion of our digital video content, including rights associated with ancillary product offerings and rights that provide for the broadcast of live sporting events, (ii) rate increases and (iii) growth in the number of our enhanced video subscribers. In addition, we are subject to inflationary pressures with respect to our labor and other costs and foreign currency exchange risk with respect to costs and expenses that are denominated in currencies other than the respective functional currencies of our operating segments (</w:t>
      </w:r>
      <w:r>
        <w:rPr>
          <w:rFonts w:ascii="Times New Roman" w:cs="Times New Roman" w:eastAsia="Times New Roman" w:hAnsi="Times New Roman"/>
          <w:sz w:val="18"/>
          <w:szCs w:val="18"/>
          <w:b w:val="1"/>
          <w:bCs w:val="1"/>
          <w:color w:val="auto"/>
        </w:rPr>
        <w:t>non-functional currency expenses</w:t>
      </w:r>
      <w:r>
        <w:rPr>
          <w:rFonts w:ascii="Times New Roman" w:cs="Times New Roman" w:eastAsia="Times New Roman" w:hAnsi="Times New Roman"/>
          <w:sz w:val="18"/>
          <w:szCs w:val="18"/>
          <w:color w:val="auto"/>
        </w:rPr>
        <w:t>). Any cost increases that we are not able to pass on to our subscribers through rate increases would result in increased pressure on our operating margins.</w:t>
      </w:r>
    </w:p>
    <w:p>
      <w:pPr>
        <w:spacing w:after="0" w:line="18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European Operations Division. </w:t>
      </w:r>
      <w:r>
        <w:rPr>
          <w:rFonts w:ascii="Times New Roman" w:cs="Times New Roman" w:eastAsia="Times New Roman" w:hAnsi="Times New Roman"/>
          <w:sz w:val="18"/>
          <w:szCs w:val="18"/>
          <w:color w:val="auto"/>
        </w:rPr>
        <w:t>The European Operations Division’s operating expenses (exclusive of share-based compensation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$33.2 million or 2.1% during the three months ended March 31, 2016, as compared to the corresponding period in 2015. This increase includes (i) an increase of $64.3 million attributable to the impact of the BASE Acquisition and other less significant acquisitions and (ii) a decrease of $5.6 million attributable to the U.K. Non-Cable Disposal and another less significant disposition. Excluding the effects of acquisitions, dispositions and FX, the European Operations Division’s operating expenses increased $36.6 million or 2.4%. This increase includes the following factors:</w:t>
      </w:r>
    </w:p>
    <w:p>
      <w:pPr>
        <w:spacing w:after="0" w:line="184" w:lineRule="exact"/>
        <w:rPr>
          <w:sz w:val="20"/>
          <w:szCs w:val="20"/>
          <w:color w:val="auto"/>
        </w:rPr>
      </w:pPr>
    </w:p>
    <w:p>
      <w:pPr>
        <w:jc w:val="both"/>
        <w:ind w:left="660" w:hanging="328"/>
        <w:spacing w:after="0" w:line="261" w:lineRule="auto"/>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in programming and copyright costs of $55.9 million or 10.9%, primarily due to increases in U.K./Ireland and, to a lesser extent, the Netherlands, Belgium and Germany. These increases are primarily due to higher costs for certain premium and/or basic content, including the impact in U.K./Ireland of a new sports programming contract entered into in August 2015. In addition, growth in the number of enhanced video subscribers contributed to the increases in Germany and Belgium;</w:t>
      </w:r>
    </w:p>
    <w:p>
      <w:pPr>
        <w:spacing w:after="0" w:line="180"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mobile access and interconnect costs of $19.1 million or 6.9%, primarily due to (i) a decline resulting from lower rates, primarily in U.K./Ireland, (ii) lower fixed-line telephony call volumes in U.K./Ireland and, to a lesser extent, the Netherlands and (iii) a decrease primarily attributable to the net effect of (a) lower mobile usage in Belgium and (b) higher mobile usage in U.K./Ireland;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 costs of $6.3 million or 2.7%, due primarily to the net effect of (i) decreased staffing levels in U.K./Ireland and the Netherlands, (ii) annual wage increases and (iii) decreased costs in U.K./Ireland associated with higher proportions of capitalized labor costs associated with the network extension project in the U.K.;</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outsourced labor and professional fees of $5.6 million or 5.7%, primarily due to lower call center costs in the Netherlands and Germany. The lower call center costs in the Netherlands include a $10.1 million decrease associated with the impact of third-party costs recorded in the first quarter of 2015 related to network and product harmonization activities and certain other third-party customer care costs incurred in connection with the acquisition of Ziggo;</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mobile handset costs of $5.5 million, primarily due to the net impact of (i) higher mobile handset sales volume, as an increase in the number of handsets sold in U.K./Ireland was only partially offset by a decrease in the number of handsets sold in Belgium, and (ii) lower average cost per handset sold in U.K./Ireland. The decrease in the number of handsets sold in Belgium is primarily attributable to a reduction in subsidized handset promotions; and</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network-related expenses of $3.0 million or 1.6%, due primarily to the net effect of (i) an increase due to the impact of a reduction in local authority charges for certain elements of network infrastructure in the U.K. resulting in a non-recurring benefit during the first quarter of 2015 of $7.3 million, (ii) a $6.2 million decrease in U.K./Ireland associated with the settlement of an operational contingency during the first quarter of 2016 and (iii) an increase in network maintenance costs.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362" w:right="239" w:bottom="1440" w:gutter="0" w:footer="0" w:header="0"/>
        </w:sectPr>
      </w:pPr>
    </w:p>
    <w:bookmarkStart w:id="70" w:name="page71"/>
    <w:bookmarkEnd w:id="70"/>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LiLAC Group. </w:t>
      </w:r>
      <w:r>
        <w:rPr>
          <w:rFonts w:ascii="Times New Roman" w:cs="Times New Roman" w:eastAsia="Times New Roman" w:hAnsi="Times New Roman"/>
          <w:sz w:val="18"/>
          <w:szCs w:val="18"/>
          <w:color w:val="auto"/>
        </w:rPr>
        <w:t>The LiLAC Group’s operating expenses (exclusive of share-based compensation expense) increased $5.3 million or 4.1%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2016, as compared to the corresponding period in 2015. This increase includes an increase of $10.0 million attributable to the impact of the Choice Acquisition. Excluding the effects of this acquisition and FX, the LiLAC Group’s operating expenses increased $6.3 million or 4.9%. This increase includes the following factors:</w:t>
      </w:r>
    </w:p>
    <w:p>
      <w:pPr>
        <w:spacing w:after="0" w:line="182" w:lineRule="exact"/>
        <w:rPr>
          <w:sz w:val="20"/>
          <w:szCs w:val="20"/>
          <w:color w:val="auto"/>
        </w:rPr>
      </w:pPr>
    </w:p>
    <w:p>
      <w:pPr>
        <w:jc w:val="both"/>
        <w:ind w:left="660" w:hanging="328"/>
        <w:spacing w:after="0" w:line="258"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programming and copyright costs of $5.2 million or 8.9%, primarily associated with (i) increased costs for certain content and (ii) growth in the number of enhanced video subscribers in Chile. A significant portion of Chile’s programming contracts are denominated in U.S. dollars. During the first quarter of 2015, we began applying hedge accounting for certain derivative instruments that are used to mitigate a portion of our foreign currency exchange rate risk with respect to these programming contracts. After giving effect to these hedges, changes in foreign currency exchange rates did not significantly impact the increase in Chile’s programming and copyright costs;</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$0.9 million or 6.9%, in part due to annual wage increases;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network-related expenses of $0.8 million or 6.8%, primarily due to increased energy costs in Chile;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mobile access and interconnect costs of $0.7 million or 5.4%, primarily attributable to the net effect of (i) an increase of $1.6 million due to a nonrecurring adjustment in Chile during the first quarter of 2015 to reflect a February 2015 decision to reduce a tariff retroactive to May 2014 and (ii) lower mobile access costs in Chile.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362" w:right="239" w:bottom="1440" w:gutter="0" w:footer="0" w:header="0"/>
        </w:sectPr>
      </w:pPr>
    </w:p>
    <w:bookmarkStart w:id="71" w:name="page72"/>
    <w:bookmarkEnd w:id="7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SG&amp;A Expenses of our Reportable Segments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increase</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8"/>
                <w:szCs w:val="18"/>
                <w:color w:val="auto"/>
              </w:rPr>
            </w:pPr>
          </w:p>
        </w:tc>
        <w:tc>
          <w:tcPr>
            <w:tcW w:w="1860" w:type="dxa"/>
            <w:vAlign w:val="bottom"/>
            <w:gridSpan w:val="3"/>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gridSpan w:val="2"/>
          </w:tcPr>
          <w:p>
            <w:pPr>
              <w:jc w:val="center"/>
              <w:ind w:left="3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Operations Division:</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132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3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other</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32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European Operations Division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Puerto Rico (b)</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LiLAC Division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SG&amp;A expenses excluding share-based compensation expense</w:t>
            </w:r>
          </w:p>
        </w:tc>
        <w:tc>
          <w:tcPr>
            <w:tcW w:w="240" w:type="dxa"/>
            <w:vAlign w:val="bottom"/>
            <w:tcBorders>
              <w:top w:val="single" w:sz="8" w:color="auto"/>
              <w:bottom w:val="single" w:sz="8" w:color="CCEEFF"/>
            </w:tcBorders>
          </w:tcPr>
          <w:p>
            <w:pPr>
              <w:spacing w:after="0"/>
              <w:rPr>
                <w:sz w:val="24"/>
                <w:szCs w:val="24"/>
                <w:color w:val="auto"/>
              </w:rPr>
            </w:pPr>
          </w:p>
        </w:tc>
        <w:tc>
          <w:tcPr>
            <w:tcW w:w="800" w:type="dxa"/>
            <w:vAlign w:val="bottom"/>
            <w:tcBorders>
              <w:top w:val="single" w:sz="8" w:color="auto"/>
              <w:bottom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748.1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731.8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760" w:type="dxa"/>
            <w:vAlign w:val="bottom"/>
            <w:tcBorders>
              <w:top w:val="single" w:sz="8" w:color="auto"/>
              <w:bottom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802.5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includes the post-acquisition SG&amp;A expenses of BASE from February 12, 2016 through March 31, 2016.</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2015 period excludes the SG&amp;A expenses of Choice, which was acquired on June 3,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00"/>
          </w:cols>
          <w:pgMar w:left="240" w:top="360" w:right="459" w:bottom="1440" w:gutter="0" w:footer="0" w:header="0"/>
        </w:sectPr>
      </w:pPr>
    </w:p>
    <w:bookmarkStart w:id="72" w:name="page73"/>
    <w:bookmarkEnd w:id="72"/>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SG&amp;A expenses include human resources, information technology, general services, management, finance, legal and sales and marketing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share-based compensation and other general expenses. We do not include share-based compensation in the following discussion and analysis of the SG&amp;A expenses of our reportable segments as share-based compensation expense is not included in the performance measures of our reportable segments. Share-based compensation expense is discussed under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below. As noted under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our Reportable Segments </w:t>
      </w:r>
      <w:r>
        <w:rPr>
          <w:rFonts w:ascii="Times New Roman" w:cs="Times New Roman" w:eastAsia="Times New Roman" w:hAnsi="Times New Roman"/>
          <w:sz w:val="18"/>
          <w:szCs w:val="18"/>
          <w:color w:val="auto"/>
        </w:rPr>
        <w:t>above, we are subject to inflationary pressures with respect to our labor and other costs and foreign currency exchange risk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non-functional currency expenses.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European Operations Division. </w:t>
      </w:r>
      <w:r>
        <w:rPr>
          <w:rFonts w:ascii="Times New Roman" w:cs="Times New Roman" w:eastAsia="Times New Roman" w:hAnsi="Times New Roman"/>
          <w:sz w:val="18"/>
          <w:szCs w:val="18"/>
          <w:color w:val="auto"/>
        </w:rPr>
        <w:t>The European Operations Division’s SG&amp;A expenses (exclusive of share-based compensation expense) increased $18.2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2.9% during the three months ended March 31, 2016, as compared to the corresponding period in 2015. This increase includes an increase of $23.6 million attributable to the impact of the BASE Acquisition and other less significant acquisitions. Excluding the effects of acquisitions and FX, the European Operations Division’s SG&amp;A expenses increased $16.6 million or 2.6%. This increase includes the following factors:</w:t>
      </w:r>
    </w:p>
    <w:p>
      <w:pPr>
        <w:spacing w:after="0" w:line="182" w:lineRule="exact"/>
        <w:rPr>
          <w:sz w:val="20"/>
          <w:szCs w:val="20"/>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outsourced labor and professional fees of $9.2 million and 20.4%, primarily due to increased consulting costs including (i) increases associated with scale initiatives in the areas of information technology and finance, primarily in the European Operations Division’s central operations, and (ii) an increase of $3.1 million associated with the integration of BASE with our Belgium operations;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$7.9 million or 3.2%, primarily due to the net effect of (i) increased staffing levels, primarily in the European Operations Division’s central operations, Belgium, U.K./Ireland and Germany that were only partially offset by decreased staffing levels in the Netherlands and Switzerland/Austria, (ii) lower incentive compensation costs in the European Operations Division’s central operations and (iii) annual wage increases;</w:t>
      </w:r>
    </w:p>
    <w:p>
      <w:pPr>
        <w:spacing w:after="0" w:line="1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costs of $5.9 million or 2.6%, primarily due to higher costs associated with advertising campaigns, primarily in Belgium and U.K./Ireland, that were only partially offset by declines in the Netherlands and Switzerland/Austria;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resulting from individually insignificant changes in other SG&amp;A categories.</w:t>
      </w:r>
    </w:p>
    <w:p>
      <w:pPr>
        <w:spacing w:after="0" w:line="22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LiLAC Division. </w:t>
      </w:r>
      <w:r>
        <w:rPr>
          <w:rFonts w:ascii="Times New Roman" w:cs="Times New Roman" w:eastAsia="Times New Roman" w:hAnsi="Times New Roman"/>
          <w:sz w:val="18"/>
          <w:szCs w:val="18"/>
          <w:color w:val="auto"/>
        </w:rPr>
        <w:t>The LiLAC Division’s SG&amp;A expenses (exclusive of share-based compensation expense) decreased $2.8 million or 5.7%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2016, as compared to the corresponding period in 2015. This decrease includes an increase of $3.3 million attributable to the impact of the Choice Acquisition. Excluding the effects of this acquisition and FX, the LiLAC Division’s SG&amp;A expenses decreased $2.0 million or 3.9%. This decrease is attributable to (i) lower outsourced labor and professional fees and (ii) a net decrease from individually insignificant changes in other SG&amp;A expense categories.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362" w:right="239" w:bottom="1440" w:gutter="0" w:footer="0" w:header="0"/>
        </w:sectPr>
      </w:pPr>
    </w:p>
    <w:bookmarkStart w:id="73" w:name="page74"/>
    <w:bookmarkEnd w:id="7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OIBDA of our Reportable Segments</w:t>
      </w:r>
    </w:p>
    <w:p>
      <w:pPr>
        <w:spacing w:after="0" w:line="200" w:lineRule="exact"/>
        <w:rPr>
          <w:sz w:val="20"/>
          <w:szCs w:val="20"/>
          <w:color w:val="auto"/>
        </w:rPr>
      </w:pPr>
    </w:p>
    <w:p>
      <w:pPr>
        <w:spacing w:after="0" w:line="3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OIBDA is the primary measure used by our chief operating decision maker to evaluate segment operating performance. For the definition of this performance measure and for a reconciliation of total segment Adjusted OIBDA to our loss from continuing operations before income taxes, see note 14 to our condensed consolidated financial statements.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 increase</w:t>
            </w:r>
          </w:p>
        </w:tc>
        <w:tc>
          <w:tcPr>
            <w:tcW w:w="0" w:type="dxa"/>
            <w:vAlign w:val="bottom"/>
          </w:tcPr>
          <w:p>
            <w:pPr>
              <w:spacing w:after="0"/>
              <w:rPr>
                <w:sz w:val="1"/>
                <w:szCs w:val="1"/>
                <w:color w:val="auto"/>
              </w:rPr>
            </w:pPr>
          </w:p>
        </w:tc>
      </w:tr>
      <w:tr>
        <w:trPr>
          <w:trHeight w:val="212"/>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80" w:type="dxa"/>
            <w:vAlign w:val="bottom"/>
          </w:tcPr>
          <w:p>
            <w:pPr>
              <w:spacing w:after="0"/>
              <w:rPr>
                <w:sz w:val="18"/>
                <w:szCs w:val="18"/>
                <w:color w:val="auto"/>
              </w:rPr>
            </w:pPr>
          </w:p>
        </w:tc>
        <w:tc>
          <w:tcPr>
            <w:tcW w:w="19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Operations Division: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2,019.8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1,991.0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other</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European Operations Division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1,989.1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2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Puerto Rico (b)</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LiLAC Division</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7"/>
        </w:trPr>
        <w:tc>
          <w:tcPr>
            <w:tcW w:w="56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includes the post-acquisition Adjusted OIBDA of BASE from February 12, 2016 through March 31, 2016.</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2015 period excludes the Adjusted OIBDA of Choice, which was acquired on June 3,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360" w:right="239" w:bottom="1440" w:gutter="0" w:footer="0" w:header="0"/>
        </w:sectPr>
      </w:pPr>
    </w:p>
    <w:bookmarkStart w:id="74" w:name="page75"/>
    <w:bookmarkEnd w:id="7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OIBDA Margin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Adjusted OIBDA margins (Adjusted OIBDA divided by revenue) of each of our reportable segments:</w:t>
      </w:r>
    </w:p>
    <w:p>
      <w:pPr>
        <w:spacing w:after="0" w:line="174"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940" w:type="dxa"/>
            <w:vAlign w:val="bottom"/>
            <w:gridSpan w:val="2"/>
          </w:tcPr>
          <w:p>
            <w:pPr>
              <w:ind w:left="9620"/>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320" w:type="dxa"/>
            <w:vAlign w:val="bottom"/>
          </w:tcPr>
          <w:p>
            <w:pPr>
              <w:spacing w:after="0"/>
              <w:rPr>
                <w:sz w:val="18"/>
                <w:szCs w:val="18"/>
                <w:color w:val="auto"/>
              </w:rPr>
            </w:pPr>
          </w:p>
        </w:tc>
        <w:tc>
          <w:tcPr>
            <w:tcW w:w="1160" w:type="dxa"/>
            <w:vAlign w:val="bottom"/>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9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r>
      <w:tr>
        <w:trPr>
          <w:trHeight w:val="217"/>
        </w:trPr>
        <w:tc>
          <w:tcPr>
            <w:tcW w:w="9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3"/>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33"/>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European Operations Division:</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44.2</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43"/>
        </w:trPr>
        <w:tc>
          <w:tcPr>
            <w:tcW w:w="9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54.9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61.5</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43"/>
        </w:trPr>
        <w:tc>
          <w:tcPr>
            <w:tcW w:w="9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Belgium</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44.2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59.6</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7"/>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6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50.3</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41.7</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European Operations Division</w:t>
            </w:r>
          </w:p>
        </w:tc>
        <w:tc>
          <w:tcPr>
            <w:tcW w:w="6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47.8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38.2</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43"/>
        </w:trPr>
        <w:tc>
          <w:tcPr>
            <w:tcW w:w="9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Puerto Rico</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45.0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7"/>
        </w:trPr>
        <w:tc>
          <w:tcPr>
            <w:tcW w:w="92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9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LiLAC Division</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40.5</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9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organic changes in the revenue, operating expenses and SG&amp;A expenses of our reportable segments, the Adjusted OIBDA margins presented above include the impact of acquisitions, the most significant of which are the BASE Acquisition and the Choice Acquisition. In this regard, the Adjusted OIBDA margin of Belgium during 2016 was adversely impacted by the inclusion of BASE, while the 2016 Adjusted OIBDA margin of our Puerto Rico operation was positively impacted by the inclusion of Choice. For discussion of the factors contributing to other changes in the Adjusted OIBDA margins of our reportable segments, see the above analyses of the revenue, operating expenses and SG&amp;A expenses of our reportable segments.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360"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Consolidated Operating Results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more detailed explanations of the changes in our revenue, operating expenses and SG&amp;A expenses, including the impacts of nonrecurring items, see the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by major category is set forth below:</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 increase</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20" w:type="dxa"/>
            <w:vAlign w:val="bottom"/>
          </w:tcPr>
          <w:p>
            <w:pPr>
              <w:spacing w:after="0"/>
              <w:rPr>
                <w:sz w:val="18"/>
                <w:szCs w:val="18"/>
                <w:color w:val="auto"/>
              </w:rPr>
            </w:pPr>
          </w:p>
        </w:tc>
        <w:tc>
          <w:tcPr>
            <w:tcW w:w="21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 (a):</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Video</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1,567.7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1,605.8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Broadband internet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1,280.9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Fixed-line telephony</w:t>
            </w:r>
          </w:p>
        </w:tc>
        <w:tc>
          <w:tcPr>
            <w:tcW w:w="2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752.1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Cable subscription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3,600.7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3,634.9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Mobile (b)</w:t>
            </w:r>
          </w:p>
        </w:tc>
        <w:tc>
          <w:tcPr>
            <w:tcW w:w="2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3,893.9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3,886.6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B2B revenue (c)</w:t>
            </w:r>
          </w:p>
        </w:tc>
        <w:tc>
          <w:tcPr>
            <w:tcW w:w="2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(b) (d)</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4,588.0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4,516.9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5380" w:type="dxa"/>
            <w:vAlign w:val="bottom"/>
            <w:gridSpan w:val="2"/>
            <w:vMerge w:val="restart"/>
          </w:tcPr>
          <w:p>
            <w:pPr>
              <w:jc w:val="right"/>
              <w:ind w:right="393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includes amounts received from subscribers for ongoing services, excluding installation fees and late fees.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80"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subscription revenue excludes mobile interconnect revenue of $65.0 million and $54.4 million during the three months ended March 31, 2016 and 2015, respectively. Mobile interconnect revenue and revenue from mobile handset sales are included in other revenue.</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revenue includes revenue from business broadband internet, video, voice, mobile and data services offered to medium to large enterprises and, on a wholesale basis, to other operators. We also provide services to certain SOHO subscribers. SOHO subscribers pay a premium price to receive expanded service levels along with video, broadband internet, fixed-line telephony or mobile services that are the same or similar to the mass marketed products offered to our residential subscribers. Revenue from SOHO subscribers, which is included in cable subscription revenue, aggregated $86.8 million and $62.6 million during the three months ended March 31, 2016 and 2015, respectively. On an organic basis, our total B2B revenue, including revenue from SOHO subscribers, increased 9.2% for the three months ended March 31, 2016, as compared to the corresponding prior-year period. A portion of the increase in our SOHO revenue is attributable to the conversion of our residential subscribers to SOHO subscribers.</w:t>
      </w:r>
    </w:p>
    <w:p>
      <w:pPr>
        <w:spacing w:after="0" w:line="18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among other items, interconnect, mobile handset sales, channel carriage fee and installation revenue.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360" w:right="239" w:bottom="1440" w:gutter="0" w:footer="0" w:header="0"/>
        </w:sectPr>
      </w:pPr>
    </w:p>
    <w:bookmarkStart w:id="76" w:name="page77"/>
    <w:bookmarkEnd w:id="76"/>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Our consolidated revenue increased $71.1 million during the three months ended March 31, 2016, as compared to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2015. This increase includes (i) an increase of $131.0 million attributable to the impact of acquisitions and (ii) a decrease of $12.1 million attributable to the U.K. Non-Cable Disposal and other less significant dispositions. Excluding the effects of acquisitions, dispositions and FX, our consolidated revenue increased $135.8 million or 3.0%.</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The details of the change in our consolidated subscription revenue for the three months ended March 31, 2016,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period in 2015,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Increase in cable subscription revenue due to change 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RGUs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ARPU</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r>
      <w:tr>
        <w:trPr>
          <w:trHeight w:val="237"/>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86.7</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mobile subscription revenue</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7"/>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organic increase in subscription revenue</w:t>
            </w: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85.8</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acquisitions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a disposal</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57"/>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Excluding the effects of acquisitions, dispositions and FX, our consolidated cable subscription revenue increased $86.7 million or 2.4% during the three months ended March 31, 2016, as compared to the corresponding period in 2015. This increase is attributable to the net effect of (i) an increase from broadband internet services of $87.5 million or 7.1%, attributable to an increase in the average number of broadband internet RGUs and higher ARPU from broadband internet services, (ii) a decrease from fixed-line telephony services of $12.8 million or 1.6%, attributable to the net effect of (a) lower ARPU from fixed-line telephony services and (b) an increase in the average number of fixed-line telephony RGUs, and (iii) an increase from video services of $12.0 million or 0.7%, attributable to the net effect of (1) higher ARPU from video services and (2) a decline in the average number of video RGUs.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Excluding the effects of acquisitions and FX, our consolidated mobile subscription revenue decreased $0.9 million or 0.4% during the three months ended March 31, 2016, as compared to the corresponding period in 2015. This decrease is primarily due to the net effect of (i) a decline in the U.K., largely associated with the continued growth of the Split-contract Program, and (ii) increases in Belgium, Switzerland, Chile and the Netherlands.</w:t>
      </w:r>
    </w:p>
    <w:p>
      <w:pPr>
        <w:spacing w:after="0" w:line="17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B2B revenue. </w:t>
      </w:r>
      <w:r>
        <w:rPr>
          <w:rFonts w:ascii="Times New Roman" w:cs="Times New Roman" w:eastAsia="Times New Roman" w:hAnsi="Times New Roman"/>
          <w:sz w:val="18"/>
          <w:szCs w:val="18"/>
          <w:color w:val="auto"/>
        </w:rPr>
        <w:t>Excluding the effects of acquisitions and FX, our consolidated B2B revenue increased $15.5 million or 4.1%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2016, as compared to the corresponding period in 2015. This increase is primarily due to increases in the U.K., Belgium and Puerto Rico.</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Excluding the effects of acquisitions, dispositions and FX, our consolidated other revenue increased $34.5 million or 13.7%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2016, as compared to the corresponding period in 2015. This increase is primarily attributable to an increase in mobile handset sales, primarily associated with the continued growth of the Split-contract Program in the U.K.</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For additional information concerning the changes in our subscription, B2B and other revenue,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 For information regarding the competitive environment in certain of our markets, see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Discussion and Analysis of our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362" w:right="239" w:bottom="1440" w:gutter="0" w:footer="0" w:header="0"/>
        </w:sectPr>
      </w:pPr>
    </w:p>
    <w:bookmarkStart w:id="77" w:name="page78"/>
    <w:bookmarkEnd w:id="77"/>
    <w:p>
      <w:pPr>
        <w:ind w:left="180"/>
        <w:spacing w:after="0"/>
        <w:rPr>
          <w:sz w:val="20"/>
          <w:szCs w:val="20"/>
          <w:color w:val="auto"/>
        </w:rPr>
      </w:pPr>
      <w:r>
        <w:rPr>
          <w:rFonts w:ascii="Times New Roman" w:cs="Times New Roman" w:eastAsia="Times New Roman" w:hAnsi="Times New Roman"/>
          <w:sz w:val="18"/>
          <w:szCs w:val="18"/>
          <w:i w:val="1"/>
          <w:iCs w:val="1"/>
          <w:color w:val="auto"/>
        </w:rPr>
        <w:t>Supplemental revenue information</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revenue by major category for the Liberty Global Group is set forth below:</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 increase</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20" w:type="dxa"/>
            <w:vAlign w:val="bottom"/>
          </w:tcPr>
          <w:p>
            <w:pPr>
              <w:spacing w:after="0"/>
              <w:rPr>
                <w:sz w:val="18"/>
                <w:szCs w:val="18"/>
                <w:color w:val="auto"/>
              </w:rPr>
            </w:pPr>
          </w:p>
        </w:tc>
        <w:tc>
          <w:tcPr>
            <w:tcW w:w="21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revenue:</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Video</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Broadband internet</w:t>
            </w:r>
          </w:p>
        </w:tc>
        <w:tc>
          <w:tcPr>
            <w:tcW w:w="2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1,173.7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Fixed-line telephony</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716.5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Cable subscription revenue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3,328.0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3,372.7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Mobile (a)</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3,612.3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3,616.3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B2B revenue (b)</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4,284.1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4,229.1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jc w:val="right"/>
              <w:ind w:right="393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82"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subscription revenue excludes mobile interconnect revenue of $64.1 million and $53.6 million during the three months ended March 31, 2016 and 2015, respectively. Mobile interconnect revenue and revenue from mobile handset sales are included in other revenue.</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SOHO subscribers, which is included in cable subscription revenue, aggregated $81.2 million and $58.1 million during the three months ended March 31, 2016 and 2015, respectively. On an organic basis, Liberty Global Group’s total B2B revenue, including revenue from SOHO subscribers, increased 9.0% for the three months ended March 31, 2016, as compared to the corresponding prior-year period.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revenue by major category for the LiLAC Group is set forth below:</w:t>
      </w:r>
    </w:p>
    <w:p>
      <w:pPr>
        <w:spacing w:after="0" w:line="200" w:lineRule="exact"/>
        <w:rPr>
          <w:sz w:val="20"/>
          <w:szCs w:val="20"/>
          <w:color w:val="auto"/>
        </w:rPr>
      </w:pPr>
    </w:p>
    <w:p>
      <w:pPr>
        <w:spacing w:after="0" w:line="31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Organic increase</w:t>
            </w:r>
          </w:p>
        </w:tc>
      </w:tr>
      <w:tr>
        <w:trPr>
          <w:trHeight w:val="212"/>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20" w:type="dxa"/>
            <w:vAlign w:val="bottom"/>
          </w:tcPr>
          <w:p>
            <w:pPr>
              <w:spacing w:after="0"/>
              <w:rPr>
                <w:sz w:val="18"/>
                <w:szCs w:val="18"/>
                <w:color w:val="auto"/>
              </w:rPr>
            </w:pPr>
          </w:p>
        </w:tc>
        <w:tc>
          <w:tcPr>
            <w:tcW w:w="21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33"/>
        </w:trPr>
        <w:tc>
          <w:tcPr>
            <w:tcW w:w="5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5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33"/>
        </w:trPr>
        <w:tc>
          <w:tcPr>
            <w:tcW w:w="5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LiLAC Group:</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revenue:</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Video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Broadband internet</w:t>
            </w:r>
          </w:p>
        </w:tc>
        <w:tc>
          <w:tcPr>
            <w:tcW w:w="18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Fixed-line telephony</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7"/>
        </w:trPr>
        <w:tc>
          <w:tcPr>
            <w:tcW w:w="5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Cable subscription revenue</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272.7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Mobile (a)</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23.6</w:t>
            </w:r>
          </w:p>
        </w:tc>
      </w:tr>
      <w:tr>
        <w:trPr>
          <w:trHeight w:val="237"/>
        </w:trPr>
        <w:tc>
          <w:tcPr>
            <w:tcW w:w="5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B2B revenue (b)</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131.1</w:t>
            </w:r>
          </w:p>
        </w:tc>
      </w:tr>
      <w:tr>
        <w:trPr>
          <w:trHeight w:val="243"/>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5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LiLAC Group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6"/>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362"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500" w:hanging="492"/>
        <w:spacing w:after="0" w:line="282"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subscription revenue excludes mobile interconnect revenue of $0.9 million and $0.8 million during the three months ended March 31, 2016 and 2015, respectively. Mobile interconnect revenue and revenue from mobile handset sales are included in other revenue.</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SOHO subscribers, which is included in cable subscription revenue, aggregated $5.6 million and $4.5 million during the three months ended March 31, 2016 and 2015, respectively. On an organic basis, LiLAC Group’s total B2B revenue, including revenue from SOHO subscribers, increased 26.9% for the three months ended March 31, 2016, as compared to the corresponding prior-year period.</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operating expenses increased $36.6 million during the three months ended March 31, 2016, as compared to the corresponding period in 2015. This increase includes (i) an increase of $74.3 million attributable to the impact of the BASE Acquisition, the Choice Acquisition and other less significant acquisitions and (ii) a decrease of $12.9 million attributable to the U.K. Non-Cable Disposal and other less significant dispositions. Our operating expenses include share-based compensation expense, which remained relatively unchanged during the three months ended March 31, 2016. For additional information, see the discussion under </w:t>
      </w:r>
      <w:r>
        <w:rPr>
          <w:rFonts w:ascii="Times New Roman" w:cs="Times New Roman" w:eastAsia="Times New Roman" w:hAnsi="Times New Roman"/>
          <w:sz w:val="18"/>
          <w:szCs w:val="18"/>
          <w:i w:val="1"/>
          <w:iCs w:val="1"/>
          <w:color w:val="auto"/>
        </w:rPr>
        <w:t>Share-based compensation expense</w:t>
      </w:r>
      <w:r>
        <w:rPr>
          <w:rFonts w:ascii="Times New Roman" w:cs="Times New Roman" w:eastAsia="Times New Roman" w:hAnsi="Times New Roman"/>
          <w:sz w:val="18"/>
          <w:szCs w:val="18"/>
          <w:color w:val="auto"/>
        </w:rPr>
        <w:t xml:space="preserve"> below. Excluding the effects of acquisitions, dispositions, FX and share-based compensation expense, our operating expenses increased $48.2 million or 2.9% during the three months ended March 31, 2016, as compared to the corresponding period in 2015, primarily attributable to the net effect of (a) an increase in programming and copyright costs, (b) a decrease in mobile access and interconnect costs, (c) a decrease in outsourced labor and professional fees, (d) an increase in mobile handset costs, (e) a decrease in personnel costs and (f) an increase in network-related expenses. Certain of these changes include decreases in integration-related costs in the Netherlands that aggregate to $11.4 million. For additional information regarding the changes in our operating expenses, see </w:t>
      </w:r>
      <w:r>
        <w:rPr>
          <w:rFonts w:ascii="Times New Roman" w:cs="Times New Roman" w:eastAsia="Times New Roman" w:hAnsi="Times New Roman"/>
          <w:sz w:val="18"/>
          <w:szCs w:val="18"/>
          <w:i w:val="1"/>
          <w:iCs w:val="1"/>
          <w:color w:val="auto"/>
        </w:rPr>
        <w:t>Discussion and Analysis of our Reportable Segments — Operating Expenses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Reportable Segments </w:t>
      </w:r>
      <w:r>
        <w:rPr>
          <w:rFonts w:ascii="Times New Roman" w:cs="Times New Roman" w:eastAsia="Times New Roman" w:hAnsi="Times New Roman"/>
          <w:sz w:val="18"/>
          <w:szCs w:val="18"/>
          <w:color w:val="auto"/>
        </w:rPr>
        <w:t>above.</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SG&amp;A expenses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SG&amp;A expenses increased $13.9 million during the three months ended March 31, 2016, as compared to the corresponding period in 2015. This increase includes an increase of $27.0 million attributable to the impact of the BASE Acquisition, the Choice Acquisition and other less significant acquisitions. Our SG&amp;A expenses include share-based compensation expense, which decreased $2.4 million during the three months ended March 31, 2016. For additional information, see the discussion under </w:t>
      </w:r>
      <w:r>
        <w:rPr>
          <w:rFonts w:ascii="Times New Roman" w:cs="Times New Roman" w:eastAsia="Times New Roman" w:hAnsi="Times New Roman"/>
          <w:sz w:val="18"/>
          <w:szCs w:val="18"/>
          <w:i w:val="1"/>
          <w:iCs w:val="1"/>
          <w:color w:val="auto"/>
        </w:rPr>
        <w:t>Share-based compensation expense</w:t>
      </w:r>
      <w:r>
        <w:rPr>
          <w:rFonts w:ascii="Times New Roman" w:cs="Times New Roman" w:eastAsia="Times New Roman" w:hAnsi="Times New Roman"/>
          <w:sz w:val="18"/>
          <w:szCs w:val="18"/>
          <w:color w:val="auto"/>
        </w:rPr>
        <w:t xml:space="preserve"> below. Excluding the effects of acquisitions, FX and share-based compensation expense, our SG&amp;A expenses increased $15.5 million or 2.1% during the three months ended March 31, 2016, as compared to the corresponding period in 2015, primarily due to increases in (i) outsourced labor and professional fees, (ii) personnel costs and (iii) sales and marketing costs. These changes include changes in integration-related costs that net to an increase of $0.7 million, as higher costs in Belgium were largely offset by lower costs in the Netherlands. For additional information regarding the changes in our SG&amp;A expenses,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 SG&amp;A Expenses of our Reportable Segments </w:t>
      </w:r>
      <w:r>
        <w:rPr>
          <w:rFonts w:ascii="Times New Roman" w:cs="Times New Roman" w:eastAsia="Times New Roman" w:hAnsi="Times New Roman"/>
          <w:sz w:val="18"/>
          <w:szCs w:val="18"/>
          <w:color w:val="auto"/>
        </w:rPr>
        <w:t>above</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364" w:right="239" w:bottom="1440" w:gutter="0" w:footer="0" w:header="0"/>
        </w:sectPr>
      </w:pPr>
    </w:p>
    <w:bookmarkStart w:id="79" w:name="page80"/>
    <w:bookmarkEnd w:id="79"/>
    <w:p>
      <w:pPr>
        <w:ind w:left="180"/>
        <w:spacing w:after="0"/>
        <w:rPr>
          <w:sz w:val="20"/>
          <w:szCs w:val="20"/>
          <w:color w:val="auto"/>
        </w:rPr>
      </w:pPr>
      <w:r>
        <w:rPr>
          <w:rFonts w:ascii="Times New Roman" w:cs="Times New Roman" w:eastAsia="Times New Roman" w:hAnsi="Times New Roman"/>
          <w:sz w:val="18"/>
          <w:szCs w:val="18"/>
          <w:i w:val="1"/>
          <w:iCs w:val="1"/>
          <w:color w:val="auto"/>
        </w:rPr>
        <w:t>Share-based compensation expense (included in operating and SG&amp;A expenses)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primarily relates to the share-based incentive awards issued by Liberty Global to our and our subsidiaries’ employee. A summary of the aggregate share-based compensation expense that is included in our operating and SG&amp;A expenses is set forth below:</w:t>
      </w:r>
    </w:p>
    <w:p>
      <w:pPr>
        <w:spacing w:after="0" w:line="110"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6"/>
          <w:szCs w:val="16"/>
          <w:b w:val="1"/>
          <w:bCs w:val="1"/>
          <w:color w:val="auto"/>
        </w:rPr>
        <w:t>Three months ended March</w:t>
      </w:r>
    </w:p>
    <w:p>
      <w:pPr>
        <w:spacing w:after="0" w:line="28"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3"/>
              </w:rPr>
              <w:t>2015</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Performance-based incentive awards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share-based incentive awards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Liberty Global</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Telenet share-based incentive awards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2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Included 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SG&amp;A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SG&amp;A expense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82" w:lineRule="auto"/>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share-based compensation expense related to (i) Liberty Global PSUs, including the 2016 PSUs, (ii) the Challenge Performance Awards and (iii) the PGUs.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share-based compensation, see note 10 to our condensed consolidated financial statements.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depreciation and amortization expense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Pr>
          <w:p>
            <w:pPr>
              <w:spacing w:after="0"/>
              <w:rPr>
                <w:sz w:val="18"/>
                <w:szCs w:val="18"/>
                <w:color w:val="auto"/>
              </w:rPr>
            </w:pPr>
          </w:p>
        </w:tc>
        <w:tc>
          <w:tcPr>
            <w:tcW w:w="2060" w:type="dxa"/>
            <w:vAlign w:val="bottom"/>
            <w:gridSpan w:val="3"/>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1,435.5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1,451.4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90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9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2" w:right="239" w:bottom="1440" w:gutter="0" w:footer="0" w:header="0"/>
        </w:sectPr>
      </w:pPr>
    </w:p>
    <w:bookmarkStart w:id="80" w:name="page81"/>
    <w:bookmarkEnd w:id="8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Excluding the effects of FX, depreciation and amortization expense increased $38.8 million or 2.7% during the three months ended March 31, 2016, as compared to the corresponding period in 2015. This net increase is primarily due to (i) an increase associated with property and equipment additions related to the installation of customer premises equipment, the expansion and upgrade of our networks and other capital initiatives and (ii) a decrease associated with certain assets becoming fully depreciated, primarily in the Netherlands, U.K./Ireland and, to a lesser extent, Switzerland/Austria and Germany.</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Impairment, restructuring and other operating items,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impairment, restructuring and other operating items, net, are as follows:</w:t>
      </w:r>
    </w:p>
    <w:p>
      <w:pPr>
        <w:spacing w:after="0" w:line="174"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w w:val="93"/>
              </w:rPr>
              <w:t>2015</w:t>
            </w: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total for the 2016 period includes (i) restructuring charges of $17.8 million, including $15.7 million of employee severance and termination costs related to certain reorganization activities, primarily in the European Operations Division’s central operations, U.K./Ireland and the Netherlands, and (ii) direct acquisition costs of $14.1 million, primarily related to our pending acquisition of CWC, the pending creation of the Dutch JV and the BASE Acquisition.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record significant restructuring charges during the remainder of 2016, due largely to our ongoing company-wide effort to optimize our operating model. In addition, we expect to undertake restructuring programs in certain of our operating segments, including programs to be undertaken in connection with the integration of acquired entities.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total for the 2015 period includes (i) gains from the disposition of assets of $17.5 million, primarily in U.K./Ireland, (ii) restructuring charges of $15.6 million, including $13.4 million of employee severance and termination costs related to certain reorganization activities, primarily in Switzerland/Austria, Puerto Rico and the Netherlands, and (iii) impairment charges of $13.8 million, primarily in U.K./Ireland, the Netherlands and Switzerland/Austria.</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our pending acquisition of CWC, the pending creation of the Dutch JV and the BASE Acquisition, see note 3 to our condensed consolidated financial statements.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restructuring charges, see note 11 to our condensed consolidated financial statements.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among other factors, (i) our equity values were to decline significantly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364" w:right="239" w:bottom="1440" w:gutter="0" w:footer="0" w:header="0"/>
        </w:sectPr>
      </w:pPr>
    </w:p>
    <w:bookmarkStart w:id="81" w:name="page82"/>
    <w:bookmarkEnd w:id="81"/>
    <w:p>
      <w:pPr>
        <w:ind w:left="1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interest expense are as follows: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Three months ended</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20" w:type="dxa"/>
            <w:vAlign w:val="bottom"/>
          </w:tcPr>
          <w:p>
            <w:pPr>
              <w:spacing w:after="0"/>
              <w:rPr>
                <w:sz w:val="18"/>
                <w:szCs w:val="18"/>
                <w:color w:val="auto"/>
              </w:rPr>
            </w:pPr>
          </w:p>
        </w:tc>
        <w:tc>
          <w:tcPr>
            <w:tcW w:w="2060" w:type="dxa"/>
            <w:vAlign w:val="bottom"/>
            <w:gridSpan w:val="3"/>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Inter-group eliminations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Excluding the effects of FX, interest expense increased $22.4 million or 3.6%. This increase is primarily attributable to the net effect of (i) a higher average outstanding debt balance, largely due to debt incurred in connection with the BASE Acquisition, and (ii) a lower weighted average interest rate related to the completion of certain financing transactions that resulted in extended maturities and decreases to certain of our interest rates. For additional information regarding our outstanding indebtedness, see note 7 to our condensed consolidated financial statements.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4 to our condensed consolidated financial statements and under </w:t>
      </w:r>
      <w:r>
        <w:rPr>
          <w:rFonts w:ascii="Times New Roman" w:cs="Times New Roman" w:eastAsia="Times New Roman" w:hAnsi="Times New Roman"/>
          <w:sz w:val="18"/>
          <w:szCs w:val="18"/>
          <w:i w:val="1"/>
          <w:iCs w:val="1"/>
          <w:color w:val="auto"/>
        </w:rPr>
        <w:t xml:space="preserve">Qualitative and Quantitative Disclosures about Market Risk </w:t>
      </w:r>
      <w:r>
        <w:rPr>
          <w:rFonts w:ascii="Times New Roman" w:cs="Times New Roman" w:eastAsia="Times New Roman" w:hAnsi="Times New Roman"/>
          <w:sz w:val="18"/>
          <w:szCs w:val="18"/>
          <w:color w:val="auto"/>
        </w:rPr>
        <w:t>below, we use derivative instruments to manage our interest rate risks.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362" w:right="239" w:bottom="1440" w:gutter="0" w:footer="0" w:header="0"/>
        </w:sectPr>
      </w:pPr>
    </w:p>
    <w:bookmarkStart w:id="82" w:name="page83"/>
    <w:bookmarkEnd w:id="82"/>
    <w:p>
      <w:pPr>
        <w:ind w:left="180"/>
        <w:spacing w:after="0"/>
        <w:rPr>
          <w:sz w:val="20"/>
          <w:szCs w:val="20"/>
          <w:color w:val="auto"/>
        </w:rPr>
      </w:pPr>
      <w:r>
        <w:rPr>
          <w:rFonts w:ascii="Times New Roman" w:cs="Times New Roman" w:eastAsia="Times New Roman" w:hAnsi="Times New Roman"/>
          <w:sz w:val="18"/>
          <w:szCs w:val="18"/>
          <w:i w:val="1"/>
          <w:iCs w:val="1"/>
          <w:color w:val="auto"/>
        </w:rPr>
        <w:t>Realized and unrealized gains (losses) on derivative instruments, net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125"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662.3</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cross-currency and interest rate derivative contracts (a)</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740.5</w:t>
            </w:r>
          </w:p>
        </w:tc>
        <w:tc>
          <w:tcPr>
            <w:tcW w:w="0" w:type="dxa"/>
            <w:vAlign w:val="bottom"/>
          </w:tcPr>
          <w:p>
            <w:pPr>
              <w:spacing w:after="0"/>
              <w:rPr>
                <w:sz w:val="1"/>
                <w:szCs w:val="1"/>
                <w:color w:val="auto"/>
              </w:rPr>
            </w:pPr>
          </w:p>
        </w:tc>
      </w:tr>
      <w:tr>
        <w:trPr>
          <w:trHeight w:val="22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Equity-related derivative instruments – Liberty Global Group:</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ITV Collar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Sumitomo Collar</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Lionsgate Forward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equity-related derivative instruments (b)</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2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foreign currency forward contracts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 Liberty Global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539.1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LiLAC Group</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618.5</w:t>
            </w:r>
          </w:p>
        </w:tc>
        <w:tc>
          <w:tcPr>
            <w:tcW w:w="0" w:type="dxa"/>
            <w:vAlign w:val="bottom"/>
          </w:tcPr>
          <w:p>
            <w:pPr>
              <w:spacing w:after="0"/>
              <w:rPr>
                <w:sz w:val="1"/>
                <w:szCs w:val="1"/>
                <w:color w:val="auto"/>
              </w:rPr>
            </w:pPr>
          </w:p>
        </w:tc>
      </w:tr>
      <w:tr>
        <w:trPr>
          <w:trHeight w:val="27"/>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during the 2016 period is primarily attributable to the net effect of (i) losses associated with increases in the values of the euro, Chilean peso and Swiss franc relative to the U.S. dollar, (ii) losses associated with decreases in market interest rates in the euro and British pound sterling markets,</w:t>
      </w:r>
    </w:p>
    <w:p>
      <w:pPr>
        <w:jc w:val="both"/>
        <w:ind w:left="500" w:hanging="6"/>
        <w:spacing w:after="0" w:line="252" w:lineRule="auto"/>
        <w:tabs>
          <w:tab w:leader="none" w:pos="83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associated with decreases in market interest rates in the U.S. dollar market and (iv) gains associated with a decrease in the value of the British pound sterling relative to the U.S. dollar. In addition, the loss during the 2016 period includes a net gain of $21.4 million resulting from changes in our credit risk valuation adjustments. The gain during the 2015 period is primarily attributable to the net effect of (a) gains associated with decreases in the values of the euro, British pound sterling and Chilean peso relative to the U.S. dollar, (b) losses associated with increases in the values of the Swiss franc and Polish zloty relative to the euro, (c) gains associated with increases in market interest rates in the U.S. dollar market and (d) losses associated with decreases in market interest rates in the euro, Swiss franc and British pound sterling markets. In addition, the gain during the 2015 period includes a net loss of $16.9 million resulting from changes in our credit risk valuation adjustments.</w:t>
      </w:r>
    </w:p>
    <w:p>
      <w:pPr>
        <w:spacing w:after="0" w:line="189"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concerning the factors that impact the valuations of our equity-related derivative instruments, see note 5 to our condensed consolidated financial statements.</w:t>
      </w:r>
    </w:p>
    <w:p>
      <w:pPr>
        <w:spacing w:after="0" w:line="160"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concerning our derivative instruments, see notes 4 and 5 to our condensed consolidated financial statements and </w:t>
      </w:r>
      <w:r>
        <w:rPr>
          <w:rFonts w:ascii="Times New Roman" w:cs="Times New Roman" w:eastAsia="Times New Roman" w:hAnsi="Times New Roman"/>
          <w:sz w:val="18"/>
          <w:szCs w:val="18"/>
          <w:i w:val="1"/>
          <w:iCs w:val="1"/>
          <w:color w:val="auto"/>
        </w:rPr>
        <w:t>Quantitative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Qualitative Disclosure about Market Risk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362" w:right="239" w:bottom="1440" w:gutter="0" w:footer="0" w:header="0"/>
        </w:sectPr>
      </w:pPr>
    </w:p>
    <w:bookmarkStart w:id="83" w:name="page84"/>
    <w:bookmarkEnd w:id="83"/>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transaction gain (losses), net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129"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 denominated debt issued by euro functional currency entities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payables and receivables denominated in a currency other than the entity’s functional currency (a)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 denominated debt issued by a British pound sterling functional currency entity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restricted cash denominated in a currency other than the entity’s functional currency</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Yen denominated debt issued by a U.S. dollar functional currency entity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 denominated debt issued by a British pound sterling functional currency entity</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British pound sterling denominated debt issued by a U.S. dollar functional currency entity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 denominated debt issued by a Chilean peso functional currency entity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payables and receivables denominated in a currency other than the entity’s functional currency (b)</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LiLAC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82"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loans between certain of our subsidiaries in Europe and Chile.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362" w:right="239" w:bottom="1440" w:gutter="0" w:footer="0" w:header="0"/>
        </w:sectPr>
      </w:pPr>
    </w:p>
    <w:bookmarkStart w:id="84" w:name="page85"/>
    <w:bookmarkEnd w:id="84"/>
    <w:p>
      <w:pPr>
        <w:ind w:left="180"/>
        <w:spacing w:after="0"/>
        <w:rPr>
          <w:sz w:val="20"/>
          <w:szCs w:val="20"/>
          <w:color w:val="auto"/>
        </w:rPr>
      </w:pPr>
      <w:r>
        <w:rPr>
          <w:rFonts w:ascii="Times New Roman" w:cs="Times New Roman" w:eastAsia="Times New Roman" w:hAnsi="Times New Roman"/>
          <w:sz w:val="18"/>
          <w:szCs w:val="18"/>
          <w:i w:val="1"/>
          <w:iCs w:val="1"/>
          <w:color w:val="auto"/>
        </w:rPr>
        <w:t>Realized and unrealized gains (losses) due to changes in fair values of certain investments, net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fair value measurements, see note 5 to our condensed consolidated financial statements. All of our investments that we account for using the fair value method are attributed to the Liberty Global Group. The details of our realized and unrealized gains (losses) due to changes in fair values of certain investments, net, are as follows:</w:t>
      </w:r>
    </w:p>
    <w:p>
      <w:pPr>
        <w:spacing w:after="0" w:line="132"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ITV</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Lionsgate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Sumitomo</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31.1</w:t>
            </w:r>
          </w:p>
        </w:tc>
      </w:tr>
      <w:tr>
        <w:trPr>
          <w:trHeight w:val="237"/>
        </w:trPr>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151.4</w:t>
            </w: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Losses on debt modification and extinguishment, net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recognized losses on debt modification and extinguishment, net, of $4.3 million and $274.5 million during the three months ended March 31, 2016 and 2015, respectively, with each amount attributed to the Liberty Global Group. The loss during the 2016 period is attributable to (i) the payment of $3.4 million of redemption premium and (ii) the write-off of $0.9 million of deferred financing costs. The loss during the 2015 period is attributable to (a) the payment of $219.8 million of redemption premium, (b) the write-off of $47.1 million of deferred financing costs and (c) the write-off of $7.6 million of unamortized discount.</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our losses on debt modification and extinguishment, net, see note 7 to our condensed consolidated financial statements.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recognized other income (expense), net, of $53.3 million and ($1.0 million) during the three months ended March 31, 2016 and 2015, respectively. The amount for the 2016 period includes income of $69.8 million, representing our share of the settlement of certain litigation between Vivendi and Liberty Media, as further described in note 13 to our condensed consolidated financial statements.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income tax benefit are as follows:</w:t>
      </w:r>
    </w:p>
    <w:p>
      <w:pPr>
        <w:spacing w:after="0" w:line="174"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77.9</w:t>
            </w: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income tax benefit during the three months ended March 31, 2016 differs from the expected income tax benefit of $84.3 million (based on the U.K. statutory income tax rate of 20.0%) primarily due to the net negative impact of an increase in valuation allowances. The net negative impact of this item was partially offset by the net positive impact of (i) the tax effect of intercompany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362"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financing and (ii) statutory tax rates in certain jurisdictions in which we operate that are different than the U.K. statutory income tax rate.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income tax benefit during the three months ended March 31, 2015 differs from the expected income tax benefit of $121.4 million (based on the U.K. statutory income tax rate of 20.25%) primarily due to the net negative impact of an increase in valuation allowances. The net negative impact of this item was partially offset by the net positive impact of (i) statutory tax rates in certain jurisdictions in which we operate that are different than the U.K. statutory income tax rate, (ii) non-deductible or non-taxable foreign currency exchange results and (iii) the tax effect of intercompany financing.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income taxes, see note 8 to our condensed consolidated financial statements.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net loss are as follows:</w:t>
      </w:r>
    </w:p>
    <w:p>
      <w:pPr>
        <w:spacing w:after="0" w:line="174"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and 2015, we reported net losses of $372.7 million and $521.7 million, respectively, including (i) operating income of $586.6 million and $557.5 million, respectively, (ii) net non-operating expense of $1,008.2 million and $1,157.1 million, respectively, and (iii) income tax benefit of $48.9 million and $77.9 million, respectively.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from continuing operations is largely dependent on our ability to increase our aggregate Adjusted OIBDA to a level that more than offsets the aggregate amount of our (a) share-based compensation expense, (b) depreciation and amortization, (c) impairment, restructuring and other operating items, (d) interest expense, (e) other non-operating expenses and (f) income tax expenses.</w:t>
      </w:r>
    </w:p>
    <w:p>
      <w:pPr>
        <w:spacing w:after="0" w:line="18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Due largely to the fact that we seek to maintain our debt at levels that provide for attractive equity returns, as discussed under </w:t>
      </w:r>
      <w:r>
        <w:rPr>
          <w:rFonts w:ascii="Times New Roman" w:cs="Times New Roman" w:eastAsia="Times New Roman" w:hAnsi="Times New Roman"/>
          <w:sz w:val="18"/>
          <w:szCs w:val="18"/>
          <w:i w:val="1"/>
          <w:iCs w:val="1"/>
          <w:color w:val="auto"/>
        </w:rPr>
        <w:t>Material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Capitalization </w:t>
      </w:r>
      <w:r>
        <w:rPr>
          <w:rFonts w:ascii="Times New Roman" w:cs="Times New Roman" w:eastAsia="Times New Roman" w:hAnsi="Times New Roman"/>
          <w:sz w:val="18"/>
          <w:szCs w:val="18"/>
          <w:color w:val="auto"/>
        </w:rPr>
        <w:t>below, we expect that we will continue to report significant levels of interest expense for the foreseeable future.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concerning our expectations with respect to trends that may affect certain aspects of our operating results in future periods, see the discussion under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above. For information concerning the reasons for changes in specific line items in our condensed consolidated statements of operations, see the discussion under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364" w:right="239" w:bottom="1440" w:gutter="0" w:footer="0" w:header="0"/>
        </w:sectPr>
      </w:pPr>
    </w:p>
    <w:bookmarkStart w:id="86" w:name="page87"/>
    <w:bookmarkEnd w:id="86"/>
    <w:p>
      <w:pPr>
        <w:ind w:left="180"/>
        <w:spacing w:after="0"/>
        <w:rPr>
          <w:sz w:val="20"/>
          <w:szCs w:val="20"/>
          <w:color w:val="auto"/>
        </w:rPr>
      </w:pPr>
      <w:r>
        <w:rPr>
          <w:rFonts w:ascii="Times New Roman" w:cs="Times New Roman" w:eastAsia="Times New Roman" w:hAnsi="Times New Roman"/>
          <w:sz w:val="18"/>
          <w:szCs w:val="18"/>
          <w:i w:val="1"/>
          <w:iCs w:val="1"/>
          <w:color w:val="auto"/>
        </w:rPr>
        <w:t>Net loss (earnings) attributable to noncontrolling interests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net loss (earnings) attributable to noncontrolling interests are as follows: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50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7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gridSpan w:val="5"/>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77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7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7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7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17145</wp:posOffset>
            </wp:positionV>
            <wp:extent cx="23152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net loss (earnings) attributable to noncontrolling interests during the three months ended March 31, 2016, as compared to the corresponding period in 2015, is primarily attributable to the results of operations of Telenet.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-305435</wp:posOffset>
            </wp:positionV>
            <wp:extent cx="23152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362"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holding company that is dependent on the capital resources of our subsidiaries to satisfy our liquidity requirements at the corporate level. Although our consolidated operating subsidiaries generate cash from operating activities, each of our significant operating subsidiaries is included within one of our seven subsidiary “borrowing groups.” These borrowing groups include the respective restricted parent and subsidiary entities within Virgin Media, Ziggo Group Holding, Unitymedia, UPC Holding, Telenet, VTR Finance and Liberty Puerto Rico. As set forth in the table below, our borrowing groups accounted for a significant portion of our consolidated cash and cash equivalents at March 31, 2016. The terms of the instruments governing the indebtedness of these borrowing groups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details of the U.S. dollar equivalent balances of our consolidated cash and cash equivalents at March 31, 2016 are set forth in the following table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held by: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and unrestricted subsidiaries: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Liberty Global (a)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Unrestricted subsidiaries: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Liberty Global Group (b) (c)</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w:t>
            </w:r>
          </w:p>
        </w:tc>
      </w:tr>
      <w:tr>
        <w:trPr>
          <w:trHeight w:val="243"/>
        </w:trPr>
        <w:tc>
          <w:tcPr>
            <w:tcW w:w="10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LiLAC Group (d)</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Liberty Global and unrestricted subsidiaries</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230.9</w:t>
            </w:r>
          </w:p>
        </w:tc>
      </w:tr>
      <w:tr>
        <w:trPr>
          <w:trHeight w:val="223"/>
        </w:trPr>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 groups (e):</w:t>
            </w: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41"/>
        </w:trPr>
        <w:tc>
          <w:tcPr>
            <w:tcW w:w="10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Virgin Media (c)</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270.6</w:t>
            </w:r>
          </w:p>
        </w:tc>
      </w:tr>
      <w:tr>
        <w:trPr>
          <w:trHeight w:val="243"/>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Telenet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239.0</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VTR Finance</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43"/>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Puerto Rico</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UPC Holding</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Ziggo Group Holding</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Unitymedia</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10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borrowing groups</w:t>
            </w: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749.6</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980.5</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0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10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684.9</w:t>
            </w:r>
          </w:p>
        </w:tc>
      </w:tr>
      <w:tr>
        <w:trPr>
          <w:trHeight w:val="243"/>
        </w:trPr>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295.6</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980.5</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07" w:lineRule="exact"/>
        <w:rPr>
          <w:sz w:val="20"/>
          <w:szCs w:val="20"/>
          <w:color w:val="auto"/>
        </w:rPr>
      </w:pPr>
    </w:p>
    <w:p>
      <w:pPr>
        <w:ind w:left="500" w:hanging="492"/>
        <w:spacing w:after="0"/>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held by Liberty Global on a standalone basis, which is attributed to the Liberty Global Group.</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 held by subsidiaries attributed to the Liberty Global Group that are outside of our borrowing groups.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360" w:right="239" w:bottom="1440" w:gutter="0" w:footer="0" w:header="0"/>
        </w:sectPr>
      </w:pPr>
    </w:p>
    <w:bookmarkStart w:id="88" w:name="page89"/>
    <w:bookmarkEnd w:id="88"/>
    <w:p>
      <w:pPr>
        <w:ind w:left="500" w:hanging="492"/>
        <w:spacing w:after="0" w:line="282"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Virgin Media borrowing group includes certain subsidiaries of Virgin Media, but excludes Virgin Media. The $0.2 million of cash and cash equivalents held by Virgin Media is included in the amount shown for the Liberty Global Group’s unrestricted subsidiaries.</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 held by subsidiaries attributed to the LiLAC Group that are outside of our borrowing groups.</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noted, represents the aggregate amounts held by the parent entity and restricted subsidiaries of our borrowing groups.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Liquidity of Liberty Global and its unrestricted subsidiaries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$3.8 million of cash and cash equivalents held by Liberty Global and, subject to certain tax and legal considerations, the $227.1 million of aggregate cash and cash equivalents held by the unrestricted subsidiaries attributed to the Liberty Global Group and the LiLAC Group, represented available liquidity at the corporate level at March 31, 2016. Our remaining cash and cash equivalents of $749.6 million at March 31, 2016 were held by our borrowing groups as set forth in the table above. As noted above, various factors may limit our ability to access the cash of our borrowing groups. For information regarding certain limitations imposed by our subsidiaries’ debt instruments at March 31, 2016, see note 7 to our condensed consolidated financial statements.</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current sources of corporate liquidity include (i) cash and cash equivalents held by Liberty Global and, subject to certain tax and legal considerations, Liberty Global’s unrestricted subsidiaries, and (ii) interest and dividend income received on our and, subject to certain tax and legal considerations, our unrestricted subsidiaries’ cash and cash equivalents and investments. In addition, our parent entity’s short-term liquidity is supplemented by interest payments that it receives on a note receivable from one of our unrestricted subsidiaries (outstanding principal of $9.6 billion at March 31, 2016, all outstanding principal due in 2021).</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Liberty Global and its unrestricted subsidiaries may also receive (i) proceeds in the form of distributions or loan repayments from Liberty Global’s borrowing groups or affiliates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2016, our consolidated cash and cash equivalents balance includes $722.5 million that is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corporate liquidity requirements include (i) corporate general and administrative expenses, (ii) interest payments on our secured borrowings under the loan agreements associated with the Sumitomo Collar (the </w:t>
      </w:r>
      <w:r>
        <w:rPr>
          <w:rFonts w:ascii="Times New Roman" w:cs="Times New Roman" w:eastAsia="Times New Roman" w:hAnsi="Times New Roman"/>
          <w:sz w:val="18"/>
          <w:szCs w:val="18"/>
          <w:b w:val="1"/>
          <w:bCs w:val="1"/>
          <w:color w:val="auto"/>
        </w:rPr>
        <w:t>Sumitomo Collar Loan</w:t>
      </w:r>
      <w:r>
        <w:rPr>
          <w:rFonts w:ascii="Times New Roman" w:cs="Times New Roman" w:eastAsia="Times New Roman" w:hAnsi="Times New Roman"/>
          <w:sz w:val="18"/>
          <w:szCs w:val="18"/>
          <w:color w:val="auto"/>
        </w:rPr>
        <w:t xml:space="preserve">) and (iii) principal payments on our secured borrowing arrangement with respect to our ITV shares (the </w:t>
      </w:r>
      <w:r>
        <w:rPr>
          <w:rFonts w:ascii="Times New Roman" w:cs="Times New Roman" w:eastAsia="Times New Roman" w:hAnsi="Times New Roman"/>
          <w:sz w:val="18"/>
          <w:szCs w:val="18"/>
          <w:b w:val="1"/>
          <w:bCs w:val="1"/>
          <w:color w:val="auto"/>
        </w:rPr>
        <w:t>ITV Collar Loan</w:t>
      </w:r>
      <w:r>
        <w:rPr>
          <w:rFonts w:ascii="Times New Roman" w:cs="Times New Roman" w:eastAsia="Times New Roman" w:hAnsi="Times New Roman"/>
          <w:sz w:val="18"/>
          <w:szCs w:val="18"/>
          <w:color w:val="auto"/>
        </w:rPr>
        <w:t xml:space="preserve">), the Sumitomo Collar Loan and our secured borrowing arrangement with respect to 2.5 million of our Lionsgate shares (the </w:t>
      </w:r>
      <w:r>
        <w:rPr>
          <w:rFonts w:ascii="Times New Roman" w:cs="Times New Roman" w:eastAsia="Times New Roman" w:hAnsi="Times New Roman"/>
          <w:sz w:val="18"/>
          <w:szCs w:val="18"/>
          <w:b w:val="1"/>
          <w:bCs w:val="1"/>
          <w:color w:val="auto"/>
        </w:rPr>
        <w:t>Lionsgate Loan</w:t>
      </w:r>
      <w:r>
        <w:rPr>
          <w:rFonts w:ascii="Times New Roman" w:cs="Times New Roman" w:eastAsia="Times New Roman" w:hAnsi="Times New Roman"/>
          <w:sz w:val="18"/>
          <w:szCs w:val="18"/>
          <w:color w:val="auto"/>
        </w:rPr>
        <w:t>)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or (f) income tax payments. In addition, our parent entity uses available liquidity to make interest and principal payments on notes payable to certain of our unrestricted subsidiaries (aggregate outstanding principal of $2,737.2 million at March 31, 2016 and no stated maturity). For information regarding the liquidity impacts of our pending acquisition of CWC and the pending creation of the Dutch JV, see note 3 to our condensed consolidated financial statements. For information regarding our commitments and contingencies, see note 13 to our condensed consolidated financial statements.</w:t>
      </w:r>
    </w:p>
    <w:p>
      <w:pPr>
        <w:spacing w:after="0" w:line="18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2016, we purchased a total of 7,641,137 Class C Liberty Global Shares at a weighted average price of $37.49 per share, for an aggregate purchase price of $286.4 million, including direct acquisition costs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364"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and the effects of derivative instruments. At March 31, 2016, the remaining amount authorized for share repurchases was $3,715.1 million.</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Liquidity of borrowing groups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such entities at March 31, 2016, see note 7 to our condensed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and debt service requirements. From time to time, our borrowing groups may also require liquidity in connection with (i) acquisitions and other investment opportunities, (ii) loans to Liberty Global, (iii) capital distributions to Liberty Global and other equity owners or (iv) the satisfaction of contingencies. No assurance can be given that any external funding would be available to our borrowing groups on favorable terms, or at all. For information regarding our borrowing groups’ contingencies, see note 13 to our condensed consolidated financial statements.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additional information regarding our consolidated cash flows, see the discussion under </w:t>
      </w:r>
      <w:r>
        <w:rPr>
          <w:rFonts w:ascii="Times New Roman" w:cs="Times New Roman" w:eastAsia="Times New Roman" w:hAnsi="Times New Roman"/>
          <w:sz w:val="18"/>
          <w:szCs w:val="18"/>
          <w:i w:val="1"/>
          <w:iCs w:val="1"/>
          <w:color w:val="auto"/>
        </w:rPr>
        <w:t>Condensed Consolidated Statements of Cash Flows</w:t>
      </w:r>
      <w:r>
        <w:rPr>
          <w:rFonts w:ascii="Times New Roman" w:cs="Times New Roman" w:eastAsia="Times New Roman" w:hAnsi="Times New Roman"/>
          <w:sz w:val="18"/>
          <w:szCs w:val="18"/>
          <w:color w:val="auto"/>
        </w:rPr>
        <w:t xml:space="preserve"> below.</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the Sumitomo Collar Loan and the Lionsgate Loan and measured using subsidiary debt figures at swapped foreign currency exchange rates, consistent with the covenant calculation requirements of our subsidiary debt agreements) that is between four and five times our consolidated Adjusted OIBDA, although it should be noted that the timing of our acquisitions and financing transactions and the interplay of average and spot foreign currency rates may impact this ratio. The ratio of our March 31, 2016 consolidated debt to our annualized consolidated Adjusted OIBDA for the quarter ended March 31, 2016 was 5.4x. In addition, the ratio of our March 31, 2016 consolidated net debt (debt, as defined above, less cash and cash equivalents) to our annualized consolidated Adjusted OIBDA for the quarter ended March 31, 2016 was 5.3x.</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it is cost effective, we generally seek to match the denomination of the borrowings of our subsidiaries with the functional currency of the operations that are supporting the respective borrowings. As further discussed in note 4 to our condensed consolidated financial statements, we also use derivative instruments to mitigate foreign currency and interest rate risk associated with our debt instruments.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leverage covenants contained in the various debt instruments of our borrowing groups. For example, if the Adjusted OIBDA of Ziggo Group Holding were to decline, we could be required to partially repay or limit our borrowings under the Ziggo Credit Facilities in order to maintain compliance with applicable covenants. No assurance can be given that we would have sufficient sources of liquidity, or that any external funding would be available on favorable terms, or at all, to fund any such required repayment. At March 31, 2016,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March 31, 2016, the outstanding principal amount of our consolidated debt, together with our capital lease obligations, aggregated $49.4 billion, including $3,239.1 million that is classified as current in our condensed consolidated balance sheet and $43.6 billion that is not due until 2021 or thereafter. For additional information concerning our current debt maturities, see note 7 to our condensed consolidated financial statements.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Notwithstanding our negative working capital position at March 31, 2016, we believe that we have sufficient resources to repay or refinance the current portion of our debt and capital lease obligations and to fund our foreseeable liquidity requirements during the next 12 months. However, as our maturing debt grows in later years, we anticipate that we will seek to refinance or otherwise extend our debt maturities. No assurance can be given that we will be able to complete these refinancing transactions or otherwise extend our debt maturities. In this regard, it is not possible to predict how political and economic conditions,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364" w:right="239" w:bottom="1440" w:gutter="0" w:footer="0" w:header="0"/>
        </w:sectPr>
      </w:pPr>
    </w:p>
    <w:bookmarkStart w:id="90" w:name="page91"/>
    <w:bookmarkEnd w:id="90"/>
    <w:p>
      <w:pPr>
        <w:spacing w:after="0" w:line="261" w:lineRule="auto"/>
        <w:rPr>
          <w:sz w:val="20"/>
          <w:szCs w:val="20"/>
          <w:color w:val="auto"/>
        </w:rPr>
      </w:pPr>
      <w:r>
        <w:rPr>
          <w:rFonts w:ascii="Times New Roman" w:cs="Times New Roman" w:eastAsia="Times New Roman" w:hAnsi="Times New Roman"/>
          <w:sz w:val="18"/>
          <w:szCs w:val="18"/>
          <w:color w:val="auto"/>
        </w:rPr>
        <w:t>sovereign debt concerns or any adverse regulatory developments could impact the credit and equity markets we access and, accordingly, our future liquidity and financial position. However, (i) the financial failure of any of our counterparties could (a) reduce amounts available under committed credit facilities and</w:t>
      </w:r>
    </w:p>
    <w:p>
      <w:pPr>
        <w:jc w:val="both"/>
        <w:ind w:firstLine="8"/>
        <w:spacing w:after="0" w:line="254" w:lineRule="auto"/>
        <w:tabs>
          <w:tab w:leader="none" w:pos="26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our ability to access cash deposited with any failed financial institution and (ii) tightening of the credit markets could adversely impact our ability to access debt financing on favorable terms, or at all.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consolidated debt and capital lease obligations have been borrowed or incurred by our subsidiaries at March 31, 2016.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debt and capital lease obligations, see note 7 to our condensed consolidated financial statements.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Cash Flows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cash flows are subject to significant variations due to FX.</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Our condensed consolidated statements of cash flows for the three months ended March 31, 2016 and 2015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7"/>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80" w:type="dxa"/>
            <w:vAlign w:val="bottom"/>
            <w:gridSpan w:val="5"/>
          </w:tcPr>
          <w:p>
            <w:pPr>
              <w:jc w:val="center"/>
              <w:ind w:left="754"/>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6"/>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1,088.9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20" w:type="dxa"/>
            <w:vAlign w:val="bottom"/>
          </w:tcPr>
          <w:p>
            <w:pPr>
              <w:spacing w:after="0"/>
              <w:rPr>
                <w:sz w:val="24"/>
                <w:szCs w:val="24"/>
                <w:color w:val="auto"/>
              </w:rPr>
            </w:pPr>
          </w:p>
        </w:tc>
        <w:tc>
          <w:tcPr>
            <w:tcW w:w="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flows from operating activities are as follows: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7"/>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80" w:type="dxa"/>
            <w:vAlign w:val="bottom"/>
            <w:gridSpan w:val="5"/>
          </w:tcPr>
          <w:p>
            <w:pPr>
              <w:jc w:val="center"/>
              <w:ind w:left="714"/>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1,353.9</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1,088.9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1,373.9</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total net cash provided by our operating activities is primarily attributable to the net effect of (i) a decrease in the cash provided by our Adjusted OIBDA and related working capital items, (ii) an increase in cash provided due to higher cash receipts related to derivative instruments and (iii) a decrease in cash provided due to higher cash payments for interest.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364" w:right="239" w:bottom="1440" w:gutter="0" w:footer="0" w:header="0"/>
        </w:sectPr>
      </w:pPr>
    </w:p>
    <w:bookmarkStart w:id="91" w:name="page92"/>
    <w:bookmarkEnd w:id="91"/>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net cash flows from investing activities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0"/>
        </w:trPr>
        <w:tc>
          <w:tcPr>
            <w:tcW w:w="6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Inter-group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(1,152.5)</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increase in total net cash used by our investing activities is primarily attributable to the net effect of (i) an increase in cash used of $1,337.9 million associated with higher cash paid in connection with acquisitions, (ii) a decrease in cash used of $96.4 million associated with lower cash paid related to investments in and loans to affiliates and others and (iii) a decrease in cash used of $69.8 million as a result of cash proceeds received in connection with the Vivendi settlement, as further described in note 13 to our condensed consolidated financial statements. Additionally, capital expenditures decreased from $661.2 million during the first three months of 2015 to $637.1 million during the first three months of 2016 due to the net effect of (a) a decrease due to FX and (b) a net increase in the local currency capital expenditures of our subsidiaries, including a decrease associated with higher capital-related vendor financing.</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capital expenditures that we report in our condensed consolidated statements of cash flows do not include amounts that are financed under capital-related vendor financing or capital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capital lease arrangements, and (ii) our total property and equipment additions, which include our capital expenditures on an accrual basis and amounts financed under capital-related vendor financing or capital lease arrangements. For further details regarding our property and equipment additions, see note 14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180" w:type="dxa"/>
            <w:vAlign w:val="bottom"/>
          </w:tcPr>
          <w:p>
            <w:pPr>
              <w:spacing w:after="0"/>
              <w:rPr>
                <w:sz w:val="18"/>
                <w:szCs w:val="18"/>
                <w:color w:val="auto"/>
              </w:rPr>
            </w:pPr>
          </w:p>
        </w:tc>
        <w:tc>
          <w:tcPr>
            <w:tcW w:w="8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LiLAC</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2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LiLAC</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470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180" w:type="dxa"/>
            <w:vAlign w:val="bottom"/>
          </w:tcPr>
          <w:p>
            <w:pPr>
              <w:spacing w:after="0"/>
              <w:rPr>
                <w:sz w:val="18"/>
                <w:szCs w:val="18"/>
                <w:color w:val="auto"/>
              </w:rPr>
            </w:pPr>
          </w:p>
        </w:tc>
        <w:tc>
          <w:tcPr>
            <w:tcW w:w="8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2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6"/>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924.9</w:t>
            </w: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acquired under capital-related vendor financing</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arrangements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acquired under capital leases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current liabilities related to capital expenditures</w:t>
            </w:r>
          </w:p>
        </w:tc>
        <w:tc>
          <w:tcPr>
            <w:tcW w:w="1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93.3</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property and equipment additions attributable to the Liberty Global Group are primarily related to the European Operations Division, which accounted for $921.4 million and $829.7 million of Liberty Global Group’s property and equipment additions during the three months ended March 31, 2016 and 2015, respectively. The increase in the European Operations Division’s property and equipment additions is primarily due to the net effect of (i) an increase in expenditures for the purchase and installation of customer premises equipment, (ii) an increase in expenditures for support capital, such as information technology upgrades and general support systems, (iii) a decrease due to FX, (iv) an increase in expenditures for new build and upgrade projects and (v) an increase due to the impact of the BASE Acquisition.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362" w:right="239" w:bottom="1440" w:gutter="0" w:footer="0" w:header="0"/>
        </w:sectPr>
      </w:pPr>
    </w:p>
    <w:bookmarkStart w:id="92" w:name="page93"/>
    <w:bookmarkEnd w:id="9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additions attributable to the LiLAC Group increased during the three months ended March 31, 2016, as compared to the corresponding period in 2015, primarily due to the net effect of (i) an increase in expenditures for new build and upgrade projects, (ii) a decrease due to FX,</w:t>
      </w:r>
    </w:p>
    <w:p>
      <w:pPr>
        <w:jc w:val="both"/>
        <w:ind w:firstLine="8"/>
        <w:spacing w:after="0" w:line="255" w:lineRule="auto"/>
        <w:tabs>
          <w:tab w:leader="none" w:pos="31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expenditures for support capital, such as information technology upgrades and general support systems, (iv) an increase in expenditures for the purchase and installation of customer premises equipment and (v) an increase due to the impact of the Choice Acquisition. During the first three months of 2016, approximately 60% of VTR’s purchases of property and equipment were denominated in U.S. dollars.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Our net cash flows from financing activities are as follows:</w:t>
      </w:r>
    </w:p>
    <w:p>
      <w:pPr>
        <w:spacing w:after="0" w:line="18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8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38735</wp:posOffset>
            </wp:positionV>
            <wp:extent cx="1955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1,905.4</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Inter-group eliminations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1,893.4</w:t>
            </w:r>
          </w:p>
        </w:tc>
      </w:tr>
      <w:tr>
        <w:trPr>
          <w:trHeight w:val="27"/>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total net cash provided (used) by our financing activities is primarily attributable to an increase in cash of (i) $896.2 million related to higher net borrowings of debt, (ii) $454.5 million due to lower payments related to derivative instruments, (iii) $242.2 million due to lower payments for financing costs and debt premiums, (iv) $234.3 million due to lower repurchases of Liberty Global ordinary shares, (v) $55.9 million due to changes in cash collateral and (vi) $25.1 million associated with call option contracts on Liberty Global ordinary shares.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define free cash flow as net cash provided by our operating activities, plus (i) excess tax benefits related to the exercise of share-based incentive awards, (ii) cash payments for third-party costs directly associated with successful and unsuccessful acquisitions and dispositions and (iii) expenses financed by an intermediary, less (a) capital expenditures, as reported in our condensed consolidated statements of cash flows, (b) principal payments on amounts financed by vendors and intermediaries and (c) principal payments on capital leases (exclusive of the portions of the network lease in Belgium and the duct leases in Germany that we assumed in connection with certain acquisitions), with each item excluding any cash provided or used by our discontinued operations. We believe that our presentation of free cash flow provides useful information to our investors because this measure can be used to gauge our ability to service debt and fund new investment opportunities. Free cash flow should not be understood to represent our ability to fund discretionary amounts, as we have various mandatory and contractual obligations, including debt repayments, which are not deducted to arrive at this amount. Investors should view free cash flow as a supplement to, and not a substitute for, GAAP measures of liquidity included in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364" w:right="239" w:bottom="1440" w:gutter="0" w:footer="0" w:header="0"/>
        </w:sectPr>
      </w:pPr>
    </w:p>
    <w:bookmarkStart w:id="93" w:name="page94"/>
    <w:bookmarkEnd w:id="93"/>
    <w:p>
      <w:pPr>
        <w:ind w:left="340"/>
        <w:spacing w:after="0"/>
        <w:rPr>
          <w:sz w:val="20"/>
          <w:szCs w:val="20"/>
          <w:color w:val="auto"/>
        </w:rPr>
      </w:pPr>
      <w:r>
        <w:rPr>
          <w:rFonts w:ascii="Times New Roman" w:cs="Times New Roman" w:eastAsia="Times New Roman" w:hAnsi="Times New Roman"/>
          <w:sz w:val="18"/>
          <w:szCs w:val="18"/>
          <w:color w:val="auto"/>
        </w:rPr>
        <w:t>The following table provides the details of our free cash flow: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7"/>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LiLAC</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446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03"/>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1,373.9</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tax benefits from share-based compensation (a)</w:t>
            </w:r>
          </w:p>
        </w:tc>
        <w:tc>
          <w:tcPr>
            <w:tcW w:w="2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 for direct acquisition and disposition costs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 financed by an intermediary (b)</w:t>
            </w:r>
          </w:p>
        </w:tc>
        <w:tc>
          <w:tcPr>
            <w:tcW w:w="2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25"/>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payments on amounts financed by vendors and</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intermediaries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 payments on certain capital leases</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7"/>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Free cash flow</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17145</wp:posOffset>
            </wp:positionV>
            <wp:extent cx="44164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-126365</wp:posOffset>
            </wp:positionV>
            <wp:extent cx="44164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7" w:lineRule="exact"/>
        <w:rPr>
          <w:sz w:val="20"/>
          <w:szCs w:val="20"/>
          <w:color w:val="auto"/>
        </w:rPr>
      </w:pPr>
    </w:p>
    <w:p>
      <w:pPr>
        <w:jc w:val="both"/>
        <w:ind w:left="500" w:hanging="492"/>
        <w:spacing w:after="0" w:line="266" w:lineRule="auto"/>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tax benefits from share-based compensation represent the excess of tax deductions over the related financial reporting share-based compensation expense. The hypothetical cash flows associated with these excess tax benefits are reported as an increase to cash flows from financing activities and a corresponding decrease to cash flows from operating activities in our condensed consolidated statements of cash flows.</w:t>
      </w:r>
    </w:p>
    <w:p>
      <w:pPr>
        <w:spacing w:after="0" w:line="176"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free cash flow definition, we add back the hypothetical operating cash outflow when these financed expenses are incurred and deduct the financing cash outflows when we pay the financing intermediary.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364" w:right="239" w:bottom="1440" w:gutter="0" w:footer="0" w:header="0"/>
        </w:sectPr>
      </w:pPr>
    </w:p>
    <w:bookmarkStart w:id="94" w:name="page95"/>
    <w:bookmarkEnd w:id="9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U.S. dollar equivalents of our commitments as of March 31,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Payments due during: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Remainder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 2016</w:t>
            </w:r>
          </w:p>
        </w:tc>
        <w:tc>
          <w:tcPr>
            <w:tcW w:w="22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(excluding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2,926.1</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35,456.3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48,077.4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leases (excluding</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1,364.2</w:t>
            </w:r>
          </w:p>
        </w:tc>
        <w:tc>
          <w:tcPr>
            <w:tcW w:w="0" w:type="dxa"/>
            <w:vAlign w:val="bottom"/>
          </w:tcPr>
          <w:p>
            <w:pPr>
              <w:spacing w:after="0"/>
              <w:rPr>
                <w:sz w:val="1"/>
                <w:szCs w:val="1"/>
                <w:color w:val="auto"/>
              </w:rPr>
            </w:pPr>
          </w:p>
        </w:tc>
      </w:tr>
      <w:tr>
        <w:trPr>
          <w:trHeight w:val="225"/>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Programming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w:t>
            </w:r>
          </w:p>
        </w:tc>
        <w:tc>
          <w:tcPr>
            <w:tcW w:w="1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820.7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2,891.3</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Network and connectivity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commitments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712.8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2,235.4</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commitments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1,010.3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1,547.9</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843.4</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commitments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5,818.9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2,472.0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2,550.4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7,478.4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37,460.4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57,196.9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Projected cash interest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debt and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Liberty Global Group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1,497.4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16,546.8</w:t>
            </w:r>
          </w:p>
        </w:tc>
        <w:tc>
          <w:tcPr>
            <w:tcW w:w="0" w:type="dxa"/>
            <w:vAlign w:val="bottom"/>
          </w:tcPr>
          <w:p>
            <w:pPr>
              <w:spacing w:after="0"/>
              <w:rPr>
                <w:sz w:val="1"/>
                <w:szCs w:val="1"/>
                <w:color w:val="auto"/>
              </w:rPr>
            </w:pPr>
          </w:p>
        </w:tc>
      </w:tr>
      <w:tr>
        <w:trPr>
          <w:trHeight w:val="243"/>
        </w:trPr>
        <w:tc>
          <w:tcPr>
            <w:tcW w:w="2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LiLAC Group</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1,104.3</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1,583.8</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17,651.1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included in this table do not reflect any liabilities that are included in our March 31, 2016 condensed consolidated balance sheet other than debt and capital lease obligations. Our liability for uncertain tax positions in the various jurisdictions in which we operate ($432.3 million at March 31, 2016) has been excluded from the table as the amount and timing of any related payments are not subject to reasonable estimation.</w:t>
      </w:r>
    </w:p>
    <w:p>
      <w:pPr>
        <w:spacing w:after="0" w:line="176"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based on interest rates, interest payment dates, commitment fees and contractual maturities in effect as of March 31, 2016.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concerning our debt and capital lease obligations, see note 7 to our condensed consolidated financial statements. For information concerning our commitments, see note 13 to our condensed consolidated financial statements.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commitments set forth in the table above, we have significant commitments under (i) derivative instruments and (ii) defined benefit plans and similar agreements, pursuant to which we expect to make payments in future periods. For information regarding projected cash flows associated with these derivative instruments, see </w:t>
      </w:r>
      <w:r>
        <w:rPr>
          <w:rFonts w:ascii="Times New Roman" w:cs="Times New Roman" w:eastAsia="Times New Roman" w:hAnsi="Times New Roman"/>
          <w:sz w:val="18"/>
          <w:szCs w:val="18"/>
          <w:i w:val="1"/>
          <w:iCs w:val="1"/>
          <w:color w:val="auto"/>
        </w:rPr>
        <w:t>Quantitative and Qualitative Disclosures about Market Risk — Projected Cash Flows Associated with Derivatives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information regarding our derivative instruments, including the net cash paid or received in connection with these instruments during the three months ended March 31, 2016 and 2015, see note 4 to our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360"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in this section should be read in conjunction with the more complete discussion that appears under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About Market Risk </w:t>
      </w:r>
      <w:r>
        <w:rPr>
          <w:rFonts w:ascii="Times New Roman" w:cs="Times New Roman" w:eastAsia="Times New Roman" w:hAnsi="Times New Roman"/>
          <w:sz w:val="18"/>
          <w:szCs w:val="18"/>
          <w:color w:val="auto"/>
        </w:rPr>
        <w:t>in our 2015 Annual Report on Form 10-K. The following discussion updates selected numerical information to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March 31, 2016, $632.0 million or 64.5%, $209.2 million or 21.3% and $118.3 million or 12.1% of our consolidated cash balances were denominated in euros, U.S. dollars and Chilean pesos, respectively.</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relationship between (i) the euro, the British pound sterling, the Swiss franc, the Hungarian forint, the Polish zloty, the Czech koruna, the Romanian lei and the Chilean peso and (ii) the U.S. dollar, which is our reporting currency, is shown below, per one U.S. dollar: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36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4"/>
        </w:trPr>
        <w:tc>
          <w:tcPr>
            <w:tcW w:w="3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Spot rates:</w:t>
            </w:r>
          </w:p>
        </w:tc>
        <w:tc>
          <w:tcPr>
            <w:tcW w:w="4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60"/>
        </w:trPr>
        <w:tc>
          <w:tcPr>
            <w:tcW w:w="3680" w:type="dxa"/>
            <w:vAlign w:val="bottom"/>
            <w:shd w:val="clear" w:color="auto" w:fill="CCEEFF"/>
          </w:tcPr>
          <w:p>
            <w:pPr>
              <w:spacing w:after="0"/>
              <w:rPr>
                <w:sz w:val="5"/>
                <w:szCs w:val="5"/>
                <w:color w:val="auto"/>
              </w:rPr>
            </w:pPr>
          </w:p>
        </w:tc>
        <w:tc>
          <w:tcPr>
            <w:tcW w:w="49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w:t>
            </w:r>
          </w:p>
        </w:tc>
        <w:tc>
          <w:tcPr>
            <w:tcW w:w="6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0.8787</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0.9203</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British pound sterling</w:t>
            </w:r>
          </w:p>
        </w:tc>
        <w:tc>
          <w:tcPr>
            <w:tcW w:w="6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0.6947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0.6787</w:t>
            </w: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Swiss franc</w:t>
            </w:r>
          </w:p>
        </w:tc>
        <w:tc>
          <w:tcPr>
            <w:tcW w:w="6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0.9589</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0.9997</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Hungarian forint</w:t>
            </w:r>
          </w:p>
        </w:tc>
        <w:tc>
          <w:tcPr>
            <w:tcW w:w="6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275.76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290.85</w:t>
            </w: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Polish zloty</w:t>
            </w:r>
          </w:p>
        </w:tc>
        <w:tc>
          <w:tcPr>
            <w:tcW w:w="6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3.7304</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3.9286</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Czech koruna</w:t>
            </w:r>
          </w:p>
        </w:tc>
        <w:tc>
          <w:tcPr>
            <w:tcW w:w="6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23.767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24.867</w:t>
            </w: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Romanian lei</w:t>
            </w:r>
          </w:p>
        </w:tc>
        <w:tc>
          <w:tcPr>
            <w:tcW w:w="6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3.9264</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4.1604</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Chilean peso</w:t>
            </w:r>
          </w:p>
        </w:tc>
        <w:tc>
          <w:tcPr>
            <w:tcW w:w="6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667.75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708.60</w:t>
            </w:r>
          </w:p>
        </w:tc>
      </w:tr>
      <w:tr>
        <w:trPr>
          <w:trHeight w:val="648"/>
        </w:trPr>
        <w:tc>
          <w:tcPr>
            <w:tcW w:w="3680" w:type="dxa"/>
            <w:vAlign w:val="bottom"/>
          </w:tcPr>
          <w:p>
            <w:pPr>
              <w:spacing w:after="0"/>
              <w:rPr>
                <w:sz w:val="24"/>
                <w:szCs w:val="24"/>
                <w:color w:val="auto"/>
              </w:rPr>
            </w:pPr>
          </w:p>
        </w:tc>
        <w:tc>
          <w:tcPr>
            <w:tcW w:w="4900" w:type="dxa"/>
            <w:vAlign w:val="bottom"/>
          </w:tcPr>
          <w:p>
            <w:pPr>
              <w:jc w:val="right"/>
              <w:ind w:right="2690"/>
              <w:spacing w:after="0"/>
              <w:rPr>
                <w:sz w:val="20"/>
                <w:szCs w:val="20"/>
                <w:color w:val="auto"/>
              </w:rPr>
            </w:pPr>
            <w:r>
              <w:rPr>
                <w:rFonts w:ascii="Times New Roman" w:cs="Times New Roman" w:eastAsia="Times New Roman" w:hAnsi="Times New Roman"/>
                <w:sz w:val="18"/>
                <w:szCs w:val="18"/>
                <w:color w:val="auto"/>
              </w:rPr>
              <w:t>94</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57"/>
        </w:trPr>
        <w:tc>
          <w:tcPr>
            <w:tcW w:w="8580" w:type="dxa"/>
            <w:vAlign w:val="bottom"/>
          </w:tcPr>
          <w:p>
            <w:pPr>
              <w:spacing w:after="0"/>
              <w:rPr>
                <w:sz w:val="22"/>
                <w:szCs w:val="22"/>
                <w:color w:val="auto"/>
              </w:rPr>
            </w:pPr>
          </w:p>
        </w:tc>
        <w:tc>
          <w:tcPr>
            <w:tcW w:w="1900" w:type="dxa"/>
            <w:vAlign w:val="bottom"/>
            <w:gridSpan w:val="3"/>
          </w:tcPr>
          <w:p>
            <w:pPr>
              <w:jc w:val="center"/>
              <w:ind w:left="872"/>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rates:</w:t>
            </w: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5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0.9066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0.8883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British pound sterling</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0.6984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0.6602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Swiss franc</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0.9935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0.9536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Hungarian forint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282.95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274.21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Polish zloty</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3.9570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3.7232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Czech koruna</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Romanian lei</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4.0748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3.9552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Chilean peso</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701.61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624.55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general, we seek to enter into derivative instruments to protect against increases in the interest rates on our variable-rate debt. Accordingly, we have entered into various derivative transactions to reduce exposure to increases in interest rates. We use interest rate derivative contracts to exchange, at specified intervals, the difference between fixed and variable interest rates calculated by reference to an agreed-upon notional principal amount. We also use interest rate cap and collar agreements that lock in a maximum interest rate if variable rates rise, but also allow our company to benefit, to a limited extent in the case of collars, from declines in market rates. At March 31, 2016, we effectively paid a fixed interest rate on 95% of our total debt. The final maturity dates of our various portfolios of interest rate derivative instruments generally fall short of the respective maturities of the underlying variable-rate debt. In this regard, we use judgment to determine the appropriate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terms of these interest rate derivative instruments, see note 4 to our condensed consolidated financial statements.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Sensitivity Information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4 and 5 to our condensed consolidated financial statements.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Virgin Media Cross-currency and Interest Rate Derivative Contracts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 all other factors constant, at March 31, 2016:</w:t>
      </w:r>
    </w:p>
    <w:p>
      <w:pPr>
        <w:spacing w:after="0" w:line="225" w:lineRule="exact"/>
        <w:rPr>
          <w:sz w:val="20"/>
          <w:szCs w:val="20"/>
          <w:color w:val="auto"/>
        </w:rPr>
      </w:pPr>
    </w:p>
    <w:p>
      <w:pPr>
        <w:ind w:left="820" w:hanging="488"/>
        <w:spacing w:after="0" w:line="282" w:lineRule="auto"/>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British pound sterling relative to the U.S. dollar would have decreased (increased) the aggregate fair value of the Virgin Media cross-currency and interest rate derivative contracts by approximately £474 million ($682 million);</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in the relevant base rate of 50 basis points (0.50%) would have increased (decreased) the aggregate fair value of the Virgin Media cross-currency and interest rate derivative contracts by approximately £89 million ($128 million); and</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euro relative to the U.S. dollar would have decreased (increased) the aggregate fair value of the Virgin Media cross-currency derivative contracts by approximately £36 million ($52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542" w:right="239" w:bottom="1440" w:gutter="0" w:footer="0" w:header="0"/>
        </w:sectPr>
      </w:pPr>
    </w:p>
    <w:bookmarkStart w:id="97" w:name="page98"/>
    <w:bookmarkEnd w:id="97"/>
    <w:p>
      <w:pPr>
        <w:ind w:left="340"/>
        <w:spacing w:after="0"/>
        <w:rPr>
          <w:sz w:val="20"/>
          <w:szCs w:val="20"/>
          <w:color w:val="auto"/>
        </w:rPr>
      </w:pPr>
      <w:r>
        <w:rPr>
          <w:rFonts w:ascii="Times New Roman" w:cs="Times New Roman" w:eastAsia="Times New Roman" w:hAnsi="Times New Roman"/>
          <w:sz w:val="18"/>
          <w:szCs w:val="18"/>
          <w:i w:val="1"/>
          <w:iCs w:val="1"/>
          <w:color w:val="auto"/>
        </w:rPr>
        <w:t>UPC Broadband Holding Cross-currency and Interest Rate Derivative Contracts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 all other factors constant, at March 31, 2016:</w:t>
      </w:r>
    </w:p>
    <w:p>
      <w:pPr>
        <w:spacing w:after="0" w:line="225" w:lineRule="exact"/>
        <w:rPr>
          <w:sz w:val="20"/>
          <w:szCs w:val="20"/>
          <w:color w:val="auto"/>
        </w:rPr>
      </w:pPr>
    </w:p>
    <w:p>
      <w:pPr>
        <w:jc w:val="both"/>
        <w:ind w:left="820" w:hanging="488"/>
        <w:spacing w:after="0" w:line="266" w:lineRule="auto"/>
        <w:tabs>
          <w:tab w:leader="none" w:pos="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Swiss franc, Polish zloty, Hungarian forint and Czech koruna relative to the euro would have decreased (increased) the aggregate fair value of the UPC Broadband Holding cross-currency and interest rate derivative contracts by approximately €454 million ($517 million);</w:t>
      </w:r>
    </w:p>
    <w:p>
      <w:pPr>
        <w:spacing w:after="0" w:line="176"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euro relative to the U.S. dollar would have decreased (increased) the aggregate fair value of the UPC Broadband Holding cross-currency and interest rate derivative contracts by approximately €278 million ($316 million);</w:t>
      </w:r>
    </w:p>
    <w:p>
      <w:pPr>
        <w:spacing w:after="0" w:line="161"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Swiss franc and Romanian lei relative to the U.S. dollar would have decreased (increased) the aggregate fair value of the UPC Broadband Holding cross-currency and interest rate derivative contracts by approximately €120 million ($137 million); and</w:t>
      </w:r>
    </w:p>
    <w:p>
      <w:pPr>
        <w:spacing w:after="0" w:line="176"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in the relevant base rate of 50 basis points (0.50%) would have increased the aggregate fair value of the UPC Broadband Holding cross-currency and interest rate derivative contracts by approximately €71 million ($81 million) and, conversely, a decrease of 50 basis points would have decreased the aggregate fair value by approximately €76 million ($86 million).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Ziggo Group Holding Cross-currency and Interest Rate Derivative Contracts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 all other factors constant, at March 31, 2016:</w:t>
      </w:r>
    </w:p>
    <w:p>
      <w:pPr>
        <w:spacing w:after="0" w:line="225" w:lineRule="exact"/>
        <w:rPr>
          <w:sz w:val="20"/>
          <w:szCs w:val="20"/>
          <w:color w:val="auto"/>
        </w:rPr>
      </w:pPr>
    </w:p>
    <w:p>
      <w:pPr>
        <w:ind w:left="820" w:hanging="488"/>
        <w:spacing w:after="0" w:line="282" w:lineRule="auto"/>
        <w:tabs>
          <w:tab w:leader="none" w:pos="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euro relative to the U.S. dollar would have decreased (increased) the aggregate fair value of the Ziggo Group Holding cross-currency and interest rate derivative contracts by approximately €270 million ($307 million); and</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in the relevant base rate of 50 basis points (0.50%) would have increased (decreased) the aggregate fair value of the Ziggo Group Holding cross-currency and interest rate derivative contracts by approximately €147 million ($167 million).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Unitymedia Cross-currency Derivative Contracts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Holding all other factors constant, at March 31, 2016, an instantaneous increase (decrease) of 10% in the value of the euro relative to the U.S. dollar would have decreased (increased) the aggregate value of the Unitymedia cross-currency derivative contracts by approximately €246 million ($280 million).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Telenet Interest Rate Caps, Collars and Swaps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Holding all other factors constant, at March 31, 2016, an instantaneous increase (decrease) in the relevant base rate of 50 basis points (0.50%) would have increased (decreased) the aggregate fair value of the Telenet interest rate cap, collar and swap contracts by approximately €91 million ($104 million).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VTR Cross-currency Derivative Contracts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Holding all other factors constant, at March 31, 2016, an instantaneous increase (decrease) of 10% in the value of the Chilean peso relative to the U.S. dollar would have decreased (increased) the aggregate fair value of the VTR cross-currency derivative contracts by approximately CLP 108.9 billion ($163 million).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362" w:right="239" w:bottom="1440" w:gutter="0" w:footer="0" w:header="0"/>
        </w:sectPr>
      </w:pPr>
    </w:p>
    <w:bookmarkStart w:id="98" w:name="page99"/>
    <w:bookmarkEnd w:id="98"/>
    <w:p>
      <w:pPr>
        <w:ind w:left="340"/>
        <w:spacing w:after="0"/>
        <w:rPr>
          <w:sz w:val="20"/>
          <w:szCs w:val="20"/>
          <w:color w:val="auto"/>
        </w:rPr>
      </w:pPr>
      <w:r>
        <w:rPr>
          <w:rFonts w:ascii="Times New Roman" w:cs="Times New Roman" w:eastAsia="Times New Roman" w:hAnsi="Times New Roman"/>
          <w:sz w:val="18"/>
          <w:szCs w:val="18"/>
          <w:i w:val="1"/>
          <w:iCs w:val="1"/>
          <w:color w:val="auto"/>
        </w:rPr>
        <w:t>ITV Collar</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Holding all other factors constant, at March 31, 2016, an instantaneous increase (decrease) of 10% in the per share market price of ITV’s ordinary shares would have decreased (increased) the fair value of the ITV Collar by approximately £93 million ($134 million).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Sumitomo Collar</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Holding all other factors constant, at March 31, 2016, an instantaneous increase (decrease) of 10% in the per share market price of Sumitomo’s common stock would have decreased (increased) the fair value of the Sumitomo Collar by approximately ¥5.0 billion ($44 million).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Projected Cash Flows Associated with Derivative Instruments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regarding the projected cash flows of our continuing operations associated with our derivative instruments. The U.S. dollar equivalents presented below are based on interest rates and exchange rates that were in effect as of March 31, 2016. These amounts are presented for illustrative purposes only and will likely differ from the actual cash payments required in future periods. For additional information regarding our derivative instruments, including our counterparty credit risk, see note 4 to our condensed consolidated financial statements.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8"/>
          </w:tcPr>
          <w:p>
            <w:pPr>
              <w:ind w:left="300"/>
              <w:spacing w:after="0"/>
              <w:rPr>
                <w:sz w:val="20"/>
                <w:szCs w:val="20"/>
                <w:color w:val="auto"/>
              </w:rPr>
            </w:pPr>
            <w:r>
              <w:rPr>
                <w:rFonts w:ascii="Times New Roman" w:cs="Times New Roman" w:eastAsia="Times New Roman" w:hAnsi="Times New Roman"/>
                <w:sz w:val="16"/>
                <w:szCs w:val="16"/>
                <w:b w:val="1"/>
                <w:bCs w:val="1"/>
                <w:color w:val="auto"/>
              </w:rPr>
              <w:t>Payments (receipts) due during: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80" w:type="dxa"/>
            <w:vAlign w:val="bottom"/>
          </w:tcPr>
          <w:p>
            <w:pPr>
              <w:spacing w:after="0"/>
              <w:rPr>
                <w:sz w:val="24"/>
                <w:szCs w:val="24"/>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Remainder of</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derivative cash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(receipts), net: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Interest-related (a)</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582.0</w:t>
            </w:r>
          </w:p>
        </w:tc>
        <w:tc>
          <w:tcPr>
            <w:tcW w:w="0" w:type="dxa"/>
            <w:vAlign w:val="bottom"/>
          </w:tcPr>
          <w:p>
            <w:pPr>
              <w:spacing w:after="0"/>
              <w:rPr>
                <w:sz w:val="1"/>
                <w:szCs w:val="1"/>
                <w:color w:val="auto"/>
              </w:rPr>
            </w:pPr>
          </w:p>
        </w:tc>
      </w:tr>
      <w:tr>
        <w:trPr>
          <w:trHeight w:val="243"/>
        </w:trPr>
        <w:tc>
          <w:tcPr>
            <w:tcW w:w="2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Principal-related (b)</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0" w:type="dxa"/>
            <w:vAlign w:val="bottom"/>
          </w:tcPr>
          <w:p>
            <w:pPr>
              <w:spacing w:after="0"/>
              <w:rPr>
                <w:sz w:val="1"/>
                <w:szCs w:val="1"/>
                <w:color w:val="auto"/>
              </w:rPr>
            </w:pPr>
          </w:p>
        </w:tc>
      </w:tr>
      <w:tr>
        <w:trPr>
          <w:trHeight w:val="205"/>
        </w:trPr>
        <w:tc>
          <w:tcPr>
            <w:tcW w:w="208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Total Liberty Global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Group</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Interest-related (a)</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Principal-related (b)</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43"/>
        </w:trPr>
        <w:tc>
          <w:tcPr>
            <w:tcW w:w="2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LiLAC Group</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7"/>
        </w:trPr>
        <w:tc>
          <w:tcPr>
            <w:tcW w:w="2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0" w:type="dxa"/>
            <w:vAlign w:val="bottom"/>
          </w:tcPr>
          <w:p>
            <w:pPr>
              <w:spacing w:after="0"/>
              <w:rPr>
                <w:sz w:val="1"/>
                <w:szCs w:val="1"/>
                <w:color w:val="auto"/>
              </w:rPr>
            </w:pPr>
          </w:p>
        </w:tc>
      </w:tr>
      <w:tr>
        <w:trPr>
          <w:trHeight w:val="27"/>
        </w:trPr>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20" w:hanging="492"/>
        <w:spacing w:after="0" w:line="282" w:lineRule="auto"/>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the cash flows of our interest rate cap, collar and swap contracts and (ii) the interest-related cash flows of our cross-currency and interest rate swap contracts.</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principal-related cash flows of our cross-currency contracts.</w:t>
      </w:r>
    </w:p>
    <w:p>
      <w:pPr>
        <w:spacing w:after="0" w:line="225" w:lineRule="exact"/>
        <w:rPr>
          <w:rFonts w:ascii="Times New Roman" w:cs="Times New Roman" w:eastAsia="Times New Roman" w:hAnsi="Times New Roman"/>
          <w:sz w:val="18"/>
          <w:szCs w:val="18"/>
          <w:color w:val="auto"/>
        </w:rPr>
      </w:pPr>
    </w:p>
    <w:p>
      <w:pPr>
        <w:ind w:left="500" w:hanging="492"/>
        <w:spacing w:after="0" w:line="313" w:lineRule="auto"/>
        <w:tabs>
          <w:tab w:leader="none" w:pos="5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related to our equity-related derivative instruments and foreign currency forward contracts. We may elect to use cash or the collective value of the related shares and equity-related derivative instrument to settle the ITV Collar Loan, the Sumitomo Collar Loan and the Lionsgate Loan.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362"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Exchange Act Rule 13a-15, we carried out an evaluation, under the supervision and with the participation of management, including our chief executive officer, principal accounting officer and principal financial officer (the Executives), of the effectiveness of our disclosure controls and procedures as of March 31, 2016.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are effective as of March 31, 2016, in timely making known to them material information relating to us and our consolidated subsidiaries required to be disclosed in our reports filed or submitted under the Securities Exchange Act of 1934.</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360" w:right="239" w:bottom="1440" w:gutter="0" w:footer="0" w:header="0"/>
        </w:sectPr>
      </w:pPr>
    </w:p>
    <w:bookmarkStart w:id="100" w:name="page101"/>
    <w:bookmarkEnd w:id="100"/>
    <w:p>
      <w:pPr>
        <w:ind w:left="42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our company’s purchase of its own equity securities during the three months ended March 31,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dollar value of</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that may</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yet be purchased</w:t>
            </w: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paid per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212"/>
        </w:trPr>
        <w:tc>
          <w:tcPr>
            <w:tcW w:w="2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 (a)</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or programs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r>
      <w:tr>
        <w:trPr>
          <w:trHeight w:val="33"/>
        </w:trPr>
        <w:tc>
          <w:tcPr>
            <w:tcW w:w="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4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 2016 through January 31, 2016:</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C Liberty Global Shares</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2,575,702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2,575,702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2016 through February 29, 2016:</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C Liberty Global Shares</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2,577,539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2,577,539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 2016 through March 31, 2016:</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C Liberty Global Shares</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2,487,896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2,487,896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 January 1, 2016 through March 31, 2016:</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C Liberty Global Shares</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7,641,137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7,641,137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r>
      <w:tr>
        <w:trPr>
          <w:trHeight w:val="234"/>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179" w:lineRule="exact"/>
        <w:rPr>
          <w:sz w:val="20"/>
          <w:szCs w:val="20"/>
          <w:color w:val="auto"/>
        </w:rPr>
      </w:pPr>
    </w:p>
    <w:p>
      <w:pPr>
        <w:ind w:left="500" w:hanging="492"/>
        <w:spacing w:after="0"/>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direct acquisition costs and the effects of derivative instruments, where applicable.</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2016, the remaining amount authorized for share repurchases was $3,715.1 million.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360"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are the exhibits filed as part of this Quarterly Report (according to the number assigned to them in Item 601 of Regulation S-K):</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4 — Instruments Defining the Rights of Securities Holders, including Indentures:</w:t>
      </w:r>
    </w:p>
    <w:p>
      <w:pPr>
        <w:spacing w:after="0" w:line="6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4.1</w:t>
            </w:r>
          </w:p>
        </w:tc>
        <w:tc>
          <w:tcPr>
            <w:tcW w:w="10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Additional Facility G Accession Agreement, dated March 31, 2016, among Virgin Media Investment Holdings Limited as Borrower, The</w:t>
            </w:r>
          </w:p>
        </w:tc>
      </w:tr>
      <w:tr>
        <w:trPr>
          <w:trHeight w:val="216"/>
        </w:trPr>
        <w:tc>
          <w:tcPr>
            <w:tcW w:w="60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Bank of Nova Scotia as Facility Agent and the financial institutions listed therein as Additional Facility G Lenders, under the VM Credit</w:t>
            </w:r>
          </w:p>
        </w:tc>
      </w:tr>
      <w:tr>
        <w:trPr>
          <w:trHeight w:val="216"/>
        </w:trPr>
        <w:tc>
          <w:tcPr>
            <w:tcW w:w="60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Facility Agreement (incorporated by reference to Exhibit 4.1 to the Registrant’s Current Report on Form 8-K filed April 6, 2016 (File No.</w:t>
            </w:r>
          </w:p>
        </w:tc>
      </w:tr>
      <w:tr>
        <w:trPr>
          <w:trHeight w:val="234"/>
        </w:trPr>
        <w:tc>
          <w:tcPr>
            <w:tcW w:w="6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001-35961) (the April 2016 8-K)).</w:t>
            </w:r>
          </w:p>
        </w:tc>
      </w:tr>
      <w:tr>
        <w:trPr>
          <w:trHeight w:val="373"/>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4.2</w:t>
            </w:r>
          </w:p>
        </w:tc>
        <w:tc>
          <w:tcPr>
            <w:tcW w:w="10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Additional Facility H Accession Agreement, dated March 31, 2016, among Virgin Media Investment Holdings Limited as Borrower, The</w:t>
            </w:r>
          </w:p>
        </w:tc>
      </w:tr>
      <w:tr>
        <w:trPr>
          <w:trHeight w:val="216"/>
        </w:trPr>
        <w:tc>
          <w:tcPr>
            <w:tcW w:w="60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Bank of Nova Scotia as Facility Agent and the financial institutions listed therein as Additional Facility H Lenders, under the VM Credit</w:t>
            </w:r>
          </w:p>
        </w:tc>
      </w:tr>
      <w:tr>
        <w:trPr>
          <w:trHeight w:val="234"/>
        </w:trPr>
        <w:tc>
          <w:tcPr>
            <w:tcW w:w="6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Facility Agreement (incorporated by reference to Exhibit 4.2 to the April 2016 8-K).</w:t>
            </w:r>
          </w:p>
        </w:tc>
      </w:tr>
      <w:tr>
        <w:trPr>
          <w:trHeight w:val="373"/>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4.3</w:t>
            </w:r>
          </w:p>
        </w:tc>
        <w:tc>
          <w:tcPr>
            <w:tcW w:w="10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Senior Secured Credit Facility Agreement originally dated January 16, 2004, as amended and restated on February 9, 2016, among UPC</w:t>
            </w:r>
          </w:p>
        </w:tc>
      </w:tr>
      <w:tr>
        <w:trPr>
          <w:trHeight w:val="216"/>
        </w:trPr>
        <w:tc>
          <w:tcPr>
            <w:tcW w:w="60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Broadband Holding B.V. and UPC Financing B.V. as Borrowers, The Bank of Nova Scotia as Facility Agent, the Guarantors listed</w:t>
            </w:r>
          </w:p>
        </w:tc>
      </w:tr>
      <w:tr>
        <w:trPr>
          <w:trHeight w:val="216"/>
        </w:trPr>
        <w:tc>
          <w:tcPr>
            <w:tcW w:w="60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therein, the Security Agent and the bank and financial institutions acceding thereto from time to time (incorporated by reference to</w:t>
            </w:r>
          </w:p>
        </w:tc>
      </w:tr>
      <w:tr>
        <w:trPr>
          <w:trHeight w:val="234"/>
        </w:trPr>
        <w:tc>
          <w:tcPr>
            <w:tcW w:w="6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Exhibit 4.1 to the Registrant’s Current Report on Form 8-K filed February 12, 2016 (File No. 001-35961)).</w:t>
            </w:r>
          </w:p>
        </w:tc>
      </w:tr>
    </w:tbl>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 — Material Contracts: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Contribution and Transfer Agreement, by and among, Liberty Global Europe Holding B.V., Liberty Global plc, Vodafone</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Holdings B.V., Vodafone Group Plc and Lynx Global Europe II B.V. (incorporated by reference to Exhibit 10.1 to the</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Registrant’s Current Report on Form 8-K filed February 18, 2016 (File No. 001-35961)).</w:t>
            </w:r>
          </w:p>
        </w:tc>
      </w:tr>
      <w:tr>
        <w:trPr>
          <w:trHeight w:val="373"/>
        </w:trPr>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Liberty Global 2016 Performance Incentive Plan for executive officers under the Liberty Global Incentive Plan Effective March 1, 2014,</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amended and restated February 24, 2015 (the Incentive Plan) (a description of said plan is incorporated by reference to the description</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thereof included in Item 5.02(e) of the Registrant’s Current Report on Form 8-K filed February 9, 2016 (File No. 001-35961)).</w:t>
            </w:r>
          </w:p>
        </w:tc>
      </w:tr>
      <w:tr>
        <w:trPr>
          <w:trHeight w:val="373"/>
        </w:trPr>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Liberty Global 2015 Annual Cash Performance Award Program for executive officers under the Incentive Plan (a description of said plan</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 incorporated by reference to the description thereof included in Item 5.02(e) of the Registrant’s Current Report on Form 8-K filed</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14, 2016 (File No. 001-35961)).</w:t>
            </w:r>
          </w:p>
        </w:tc>
      </w:tr>
      <w:tr>
        <w:trPr>
          <w:trHeight w:val="392"/>
        </w:trPr>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Performance Share Units Agreement under the Incentive Plan.*</w:t>
            </w:r>
          </w:p>
        </w:tc>
      </w:tr>
      <w:tr>
        <w:trPr>
          <w:trHeight w:val="392"/>
        </w:trPr>
        <w:tc>
          <w:tcPr>
            <w:tcW w:w="1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 — Rule 13a-14(a)/15d-14(a) Certification:</w:t>
            </w:r>
          </w:p>
        </w:tc>
      </w:tr>
      <w:tr>
        <w:trPr>
          <w:trHeight w:val="392"/>
        </w:trPr>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r>
      <w:tr>
        <w:trPr>
          <w:trHeight w:val="392"/>
        </w:trPr>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31.2</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Executive Vice President and Co-Chief Financial Officer (Principal Financial Officer)*</w:t>
            </w:r>
          </w:p>
        </w:tc>
      </w:tr>
      <w:tr>
        <w:trPr>
          <w:trHeight w:val="392"/>
        </w:trPr>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31.3</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Executive Vice President and Co-Chief Financial Officer (Principal Accounting Officer)*</w:t>
            </w:r>
          </w:p>
        </w:tc>
      </w:tr>
      <w:tr>
        <w:trPr>
          <w:trHeight w:val="392"/>
        </w:trPr>
        <w:tc>
          <w:tcPr>
            <w:tcW w:w="1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 — Section 1350 Certification**</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Unaudited Attributed Financial Information*</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86"/>
        </w:trPr>
        <w:tc>
          <w:tcPr>
            <w:tcW w:w="1020" w:type="dxa"/>
            <w:vAlign w:val="bottom"/>
          </w:tcPr>
          <w:p>
            <w:pPr>
              <w:spacing w:after="0"/>
              <w:rPr>
                <w:sz w:val="24"/>
                <w:szCs w:val="24"/>
                <w:color w:val="auto"/>
              </w:rPr>
            </w:pPr>
          </w:p>
        </w:tc>
        <w:tc>
          <w:tcPr>
            <w:tcW w:w="1034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100</w:t>
            </w:r>
          </w:p>
        </w:tc>
      </w:tr>
    </w:tbl>
    <w:p>
      <w:pPr>
        <w:sectPr>
          <w:pgSz w:w="11900" w:h="16838" w:orient="portrait"/>
          <w:cols w:equalWidth="0" w:num="1">
            <w:col w:w="11400"/>
          </w:cols>
          <w:pgMar w:left="240" w:top="360" w:right="2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71" w:lineRule="exact"/>
        <w:rPr>
          <w:sz w:val="20"/>
          <w:szCs w:val="20"/>
          <w:color w:val="auto"/>
        </w:rPr>
      </w:pPr>
    </w:p>
    <w:p>
      <w:pPr>
        <w:ind w:left="720" w:hanging="685"/>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98" w:lineRule="exact"/>
        <w:rPr>
          <w:sz w:val="20"/>
          <w:szCs w:val="20"/>
          <w:color w:val="auto"/>
        </w:rPr>
      </w:pPr>
    </w:p>
    <w:p>
      <w:pPr>
        <w:ind w:left="720" w:hanging="685"/>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219"/>
          </w:cols>
          <w:pgMar w:left="240" w:top="364" w:right="1440"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LIBERTY GLOBAL PLC</w:t>
      </w:r>
    </w:p>
    <w:p>
      <w:pPr>
        <w:spacing w:after="0" w:line="387" w:lineRule="exact"/>
        <w:rPr>
          <w:sz w:val="20"/>
          <w:szCs w:val="20"/>
          <w:color w:val="auto"/>
        </w:rPr>
      </w:pPr>
    </w:p>
    <w:p>
      <w:pPr>
        <w:ind w:left="200"/>
        <w:spacing w:after="0"/>
        <w:tabs>
          <w:tab w:leader="none" w:pos="7100" w:val="left"/>
          <w:tab w:leader="none" w:pos="7460" w:val="left"/>
        </w:tabs>
        <w:rPr>
          <w:sz w:val="20"/>
          <w:szCs w:val="20"/>
          <w:color w:val="auto"/>
        </w:rPr>
      </w:pPr>
      <w:r>
        <w:rPr>
          <w:rFonts w:ascii="Times New Roman" w:cs="Times New Roman" w:eastAsia="Times New Roman" w:hAnsi="Times New Roman"/>
          <w:sz w:val="18"/>
          <w:szCs w:val="18"/>
          <w:color w:val="auto"/>
        </w:rPr>
        <w:t>Dated: May 9, 2016</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7"/>
          <w:szCs w:val="17"/>
          <w:color w:val="auto"/>
        </w:rPr>
        <w:t xml:space="preserve"> T. F</w:t>
      </w:r>
      <w:r>
        <w:rPr>
          <w:rFonts w:ascii="Times New Roman" w:cs="Times New Roman" w:eastAsia="Times New Roman" w:hAnsi="Times New Roman"/>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43180</wp:posOffset>
            </wp:positionV>
            <wp:extent cx="42024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70"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color w:val="auto"/>
        </w:rPr>
        <w:t>Michael T. Fries</w:t>
      </w:r>
    </w:p>
    <w:p>
      <w:pPr>
        <w:spacing w:after="0" w:line="27"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82" w:lineRule="exact"/>
        <w:rPr>
          <w:sz w:val="20"/>
          <w:szCs w:val="20"/>
          <w:color w:val="auto"/>
        </w:rPr>
      </w:pPr>
    </w:p>
    <w:p>
      <w:pPr>
        <w:ind w:left="200"/>
        <w:spacing w:after="0"/>
        <w:tabs>
          <w:tab w:leader="none" w:pos="6860" w:val="left"/>
          <w:tab w:leader="none" w:pos="7220" w:val="left"/>
        </w:tabs>
        <w:rPr>
          <w:sz w:val="20"/>
          <w:szCs w:val="20"/>
          <w:color w:val="auto"/>
        </w:rPr>
      </w:pPr>
      <w:r>
        <w:rPr>
          <w:rFonts w:ascii="Times New Roman" w:cs="Times New Roman" w:eastAsia="Times New Roman" w:hAnsi="Times New Roman"/>
          <w:sz w:val="18"/>
          <w:szCs w:val="18"/>
          <w:color w:val="auto"/>
        </w:rPr>
        <w:t>Dated: May 9, 2016</w:t>
      </w:r>
      <w:r>
        <w:rPr>
          <w:sz w:val="20"/>
          <w:szCs w:val="20"/>
          <w:color w:val="auto"/>
        </w:rPr>
        <w:tab/>
      </w:r>
      <w:r>
        <w:rPr>
          <w:rFonts w:ascii="Times New Roman" w:cs="Times New Roman" w:eastAsia="Times New Roman" w:hAnsi="Times New Roman"/>
          <w:sz w:val="18"/>
          <w:szCs w:val="18"/>
          <w:color w:val="auto"/>
        </w:rPr>
        <w:t>/s/</w:t>
        <w:tab/>
        <w:t>C</w:t>
      </w:r>
      <w:r>
        <w:rPr>
          <w:rFonts w:ascii="Times New Roman" w:cs="Times New Roman" w:eastAsia="Times New Roman" w:hAnsi="Times New Roman"/>
          <w:sz w:val="14"/>
          <w:szCs w:val="14"/>
          <w:color w:val="auto"/>
        </w:rPr>
        <w:t>HARLES</w:t>
      </w:r>
      <w:r>
        <w:rPr>
          <w:rFonts w:ascii="Times New Roman" w:cs="Times New Roman" w:eastAsia="Times New Roman" w:hAnsi="Times New Roman"/>
          <w:sz w:val="18"/>
          <w:szCs w:val="18"/>
          <w:color w:val="auto"/>
        </w:rPr>
        <w:t xml:space="preserve"> H.R. B</w:t>
      </w:r>
      <w:r>
        <w:rPr>
          <w:rFonts w:ascii="Times New Roman" w:cs="Times New Roman" w:eastAsia="Times New Roman" w:hAnsi="Times New Roman"/>
          <w:sz w:val="14"/>
          <w:szCs w:val="14"/>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43180</wp:posOffset>
            </wp:positionV>
            <wp:extent cx="42024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70"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27"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i w:val="1"/>
          <w:iCs w:val="1"/>
          <w:color w:val="auto"/>
        </w:rPr>
        <w:t>Executive Vice President and Co-Chief</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Financial Officer (Principal Financial Officer)</w:t>
      </w:r>
    </w:p>
    <w:p>
      <w:pPr>
        <w:spacing w:after="0" w:line="382" w:lineRule="exact"/>
        <w:rPr>
          <w:sz w:val="20"/>
          <w:szCs w:val="20"/>
          <w:color w:val="auto"/>
        </w:rPr>
      </w:pPr>
    </w:p>
    <w:p>
      <w:pPr>
        <w:ind w:left="200"/>
        <w:spacing w:after="0"/>
        <w:tabs>
          <w:tab w:leader="none" w:pos="6960" w:val="left"/>
          <w:tab w:leader="none" w:pos="7320" w:val="left"/>
        </w:tabs>
        <w:rPr>
          <w:sz w:val="20"/>
          <w:szCs w:val="20"/>
          <w:color w:val="auto"/>
        </w:rPr>
      </w:pPr>
      <w:r>
        <w:rPr>
          <w:rFonts w:ascii="Times New Roman" w:cs="Times New Roman" w:eastAsia="Times New Roman" w:hAnsi="Times New Roman"/>
          <w:sz w:val="18"/>
          <w:szCs w:val="18"/>
          <w:color w:val="auto"/>
        </w:rPr>
        <w:t>Dated: May 9, 2016</w:t>
      </w:r>
      <w:r>
        <w:rPr>
          <w:sz w:val="20"/>
          <w:szCs w:val="20"/>
          <w:color w:val="auto"/>
        </w:rPr>
        <w:tab/>
      </w:r>
      <w:r>
        <w:rPr>
          <w:rFonts w:ascii="Times New Roman" w:cs="Times New Roman" w:eastAsia="Times New Roman" w:hAnsi="Times New Roman"/>
          <w:sz w:val="18"/>
          <w:szCs w:val="18"/>
          <w:color w:val="auto"/>
        </w:rPr>
        <w:t>/s/</w:t>
        <w:tab/>
        <w:t>B</w:t>
      </w:r>
      <w:r>
        <w:rPr>
          <w:rFonts w:ascii="Times New Roman" w:cs="Times New Roman" w:eastAsia="Times New Roman" w:hAnsi="Times New Roman"/>
          <w:sz w:val="14"/>
          <w:szCs w:val="14"/>
          <w:color w:val="auto"/>
        </w:rPr>
        <w:t>ERNARD</w:t>
      </w:r>
      <w:r>
        <w:rPr>
          <w:rFonts w:ascii="Times New Roman" w:cs="Times New Roman" w:eastAsia="Times New Roman" w:hAnsi="Times New Roman"/>
          <w:sz w:val="18"/>
          <w:szCs w:val="18"/>
          <w:color w:val="auto"/>
        </w:rPr>
        <w:t xml:space="preserve"> G. D</w:t>
      </w:r>
      <w:r>
        <w:rPr>
          <w:rFonts w:ascii="Times New Roman" w:cs="Times New Roman" w:eastAsia="Times New Roman" w:hAnsi="Times New Roman"/>
          <w:sz w:val="14"/>
          <w:szCs w:val="14"/>
          <w:color w:val="auto"/>
        </w:rPr>
        <w:t>VORAK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43180</wp:posOffset>
            </wp:positionV>
            <wp:extent cx="42024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70"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color w:val="auto"/>
        </w:rPr>
        <w:t>Bernard G. Dvorak</w:t>
      </w:r>
    </w:p>
    <w:p>
      <w:pPr>
        <w:spacing w:after="0" w:line="27"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i w:val="1"/>
          <w:iCs w:val="1"/>
          <w:color w:val="auto"/>
        </w:rPr>
        <w:t>Executive Vice President and Co-Chief</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Financial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360" w:right="239" w:bottom="1440" w:gutter="0" w:footer="0" w:header="0"/>
        </w:sectPr>
      </w:pPr>
    </w:p>
    <w:bookmarkStart w:id="104" w:name="page105"/>
    <w:bookmarkEnd w:id="104"/>
    <w:tbl>
      <w:tblPr>
        <w:tblLayout w:type="fixed"/>
        <w:tblInd w:w="4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040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67"/>
        </w:trPr>
        <w:tc>
          <w:tcPr>
            <w:tcW w:w="1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 Instruments Defining the Rights of Securities Holders, including Indentures:</w:t>
            </w:r>
          </w:p>
        </w:tc>
      </w:tr>
      <w:tr>
        <w:trPr>
          <w:trHeight w:val="252"/>
        </w:trPr>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4.1</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Facility G Accession Agreement, dated March 31, 2016, among Virgin Media Investment Holdings Limited as Borrower, The</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Bank of Nova Scotia as Facility Agent and the financial institutions listed therein as Additional Facility G Lenders, under the VM Credit</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Facility Agreement (incorporated by reference to Exhibit 4.1 to the Registrant’s Current Report on Form 8-K filed April 6, 2016 (File No.</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001-35961) (the April 2016 8-K)).</w:t>
            </w:r>
          </w:p>
        </w:tc>
      </w:tr>
      <w:tr>
        <w:trPr>
          <w:trHeight w:val="373"/>
        </w:trPr>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4.2</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Facility H Accession Agreement, dated March 31, 2016, among Virgin Media Investment Holdings Limited as Borrower, The</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Bank of Nova Scotia as Facility Agent and the financial institutions listed therein as Additional Facility H Lenders, under the VM Credit</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Facility Agreement (incorporated by reference to Exhibit 4.2 to the April 2016 8-K).</w:t>
            </w:r>
          </w:p>
        </w:tc>
      </w:tr>
      <w:tr>
        <w:trPr>
          <w:trHeight w:val="373"/>
        </w:trPr>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4.3</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Senior Secured Credit Facility Agreement originally dated January 16, 2004, as amended and restated on February 9, 2016, among UPC</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Broadband Holding B.V. and UPC Financing B.V. as Borrowers, The Bank of Nova Scotia as Facility Agent, the Guarantors listed</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therein, the Security Agent and the bank and financial institutions acceding thereto from time to time (incorporated by reference to</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Exhibit 4.1 to the Registrant’s Current Report on Form 8-K filed February 12, 2016 (File No. 001-35961)).</w:t>
            </w:r>
          </w:p>
        </w:tc>
      </w:tr>
    </w:tbl>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 — Material Contracts: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Contribution and Transfer Agreement, by and among, Liberty Global Europe Holding B.V., Liberty Global plc, Vodafone</w:t>
            </w:r>
          </w:p>
        </w:tc>
      </w:tr>
      <w:tr>
        <w:trPr>
          <w:trHeight w:val="216"/>
        </w:trPr>
        <w:tc>
          <w:tcPr>
            <w:tcW w:w="138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Holdings B.V., Vodafone Group Plc and Lynx Global Europe II B.V. (incorporated by reference to Exhibit 10.1 to the</w:t>
            </w:r>
          </w:p>
        </w:tc>
      </w:tr>
      <w:tr>
        <w:trPr>
          <w:trHeight w:val="234"/>
        </w:trPr>
        <w:tc>
          <w:tcPr>
            <w:tcW w:w="138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Registrant’s Current Report on Form 8-K filed February 18, 2016 (File No. 001-35961)).</w:t>
            </w:r>
          </w:p>
        </w:tc>
      </w:tr>
      <w:tr>
        <w:trPr>
          <w:trHeight w:val="373"/>
        </w:trPr>
        <w:tc>
          <w:tcPr>
            <w:tcW w:w="1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10.2</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2016 Performance Incentive Plan for executive officers under the Liberty Global Incentive Plan Effective March 1, 2014,</w:t>
            </w:r>
          </w:p>
        </w:tc>
      </w:tr>
      <w:tr>
        <w:trPr>
          <w:trHeight w:val="216"/>
        </w:trPr>
        <w:tc>
          <w:tcPr>
            <w:tcW w:w="138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amended and restated February 24, 2015 (the Incentive Plan) (a description of said plan is incorporated by reference to the description</w:t>
            </w:r>
          </w:p>
        </w:tc>
      </w:tr>
      <w:tr>
        <w:trPr>
          <w:trHeight w:val="234"/>
        </w:trPr>
        <w:tc>
          <w:tcPr>
            <w:tcW w:w="138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thereof included in Item 5.02(e) of the Registrant’s Current Report on Form 8-K filed February 9, 2016 (File No. 001-35961)).</w:t>
            </w:r>
          </w:p>
        </w:tc>
      </w:tr>
      <w:tr>
        <w:trPr>
          <w:trHeight w:val="373"/>
        </w:trPr>
        <w:tc>
          <w:tcPr>
            <w:tcW w:w="1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10.3</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2015 Annual Cash Performance Award Program for executive officers under the Incentive Plan (a description of said plan</w:t>
            </w:r>
          </w:p>
        </w:tc>
      </w:tr>
      <w:tr>
        <w:trPr>
          <w:trHeight w:val="216"/>
        </w:trPr>
        <w:tc>
          <w:tcPr>
            <w:tcW w:w="138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 incorporated by reference to the description thereof included in Item 5.02(e) of the Registrant’s Current Report on Form 8-K filed</w:t>
            </w:r>
          </w:p>
        </w:tc>
      </w:tr>
      <w:tr>
        <w:trPr>
          <w:trHeight w:val="234"/>
        </w:trPr>
        <w:tc>
          <w:tcPr>
            <w:tcW w:w="138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14, 2016 (File No. 001-35961)).</w:t>
            </w:r>
          </w:p>
        </w:tc>
      </w:tr>
      <w:tr>
        <w:trPr>
          <w:trHeight w:val="392"/>
        </w:trPr>
        <w:tc>
          <w:tcPr>
            <w:tcW w:w="1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10.4</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Performance Share Units Agreement under the Incentive Plan.*</w:t>
            </w:r>
          </w:p>
        </w:tc>
      </w:tr>
      <w:tr>
        <w:trPr>
          <w:trHeight w:val="392"/>
        </w:trPr>
        <w:tc>
          <w:tcPr>
            <w:tcW w:w="1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 — Rule 13a-14(a)/15d-14(a) Certification:</w:t>
            </w:r>
          </w:p>
        </w:tc>
      </w:tr>
      <w:tr>
        <w:trPr>
          <w:trHeight w:val="392"/>
        </w:trPr>
        <w:tc>
          <w:tcPr>
            <w:tcW w:w="1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31.1</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r>
      <w:tr>
        <w:trPr>
          <w:trHeight w:val="392"/>
        </w:trPr>
        <w:tc>
          <w:tcPr>
            <w:tcW w:w="1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31.2</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Executive Vice President and Co-Chief Financial Officer (Principal Financial Officer)*</w:t>
            </w:r>
          </w:p>
        </w:tc>
      </w:tr>
      <w:tr>
        <w:trPr>
          <w:trHeight w:val="392"/>
        </w:trPr>
        <w:tc>
          <w:tcPr>
            <w:tcW w:w="1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31.3</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Executive Vice President and Co-Chief Financial Officer (Principal Accounting Officer)*</w:t>
            </w:r>
          </w:p>
        </w:tc>
      </w:tr>
      <w:tr>
        <w:trPr>
          <w:trHeight w:val="392"/>
        </w:trPr>
        <w:tc>
          <w:tcPr>
            <w:tcW w:w="1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 — Section 1350 Certification**</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Unaudited Attributed Financial Information*</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0020" w:type="dxa"/>
            <w:vAlign w:val="bottom"/>
          </w:tcPr>
          <w:p>
            <w:pPr>
              <w:spacing w:after="0"/>
              <w:rPr>
                <w:sz w:val="21"/>
                <w:szCs w:val="21"/>
                <w:color w:val="auto"/>
              </w:rPr>
            </w:pPr>
          </w:p>
        </w:tc>
      </w:tr>
    </w:tbl>
    <w:p>
      <w:pPr>
        <w:spacing w:after="0" w:line="144" w:lineRule="exact"/>
        <w:rPr>
          <w:sz w:val="20"/>
          <w:szCs w:val="20"/>
          <w:color w:val="auto"/>
        </w:rPr>
      </w:pPr>
    </w:p>
    <w:p>
      <w:pPr>
        <w:ind w:left="720" w:hanging="685"/>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98" w:lineRule="exact"/>
        <w:rPr>
          <w:sz w:val="20"/>
          <w:szCs w:val="20"/>
          <w:color w:val="auto"/>
        </w:rPr>
      </w:pPr>
    </w:p>
    <w:p>
      <w:pPr>
        <w:ind w:left="720" w:hanging="685"/>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11400"/>
          </w:cols>
          <w:pgMar w:left="240" w:top="360" w:right="259" w:bottom="1440" w:gutter="0" w:footer="0" w:header="0"/>
        </w:sectPr>
      </w:pPr>
    </w:p>
    <w:bookmarkStart w:id="105" w:name="page106"/>
    <w:bookmarkEnd w:id="105"/>
    <w:p>
      <w:pPr>
        <w:ind w:left="10060"/>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[Share Class]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LIBERTY GLOBAL 2014 INCENTIVE PLAN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March 1, 2014)</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UNITS AGREEMENT</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PERFORMANCE SHARE UNITS AGREEMENT (“Agreement”) is made as of [DATE], by and between LIBERTY GLOBAL PLC, a public limited company incorporated under the laws of England and Wales (the “Company”), and the individual whose name, address, and Optionee ID number appear on the signature page hereto (the “Grantee”).</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 [CLICK HERE TO READ THE PLAN.]</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Pursuant to the Plan, the Compensation Committee appointed by the Board pursuant to Article 3 of the Plan to administer the Plan (the “Committee”) has determined that it is in the best interest of the Company and its Shareholders to award performance-based restricted share units to the Grantee effective as of [DATE] (the “Grant Date”),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and the Grantee therefore agree as follows:</w:t>
      </w:r>
    </w:p>
    <w:p>
      <w:pPr>
        <w:spacing w:after="0" w:line="216" w:lineRule="exact"/>
        <w:rPr>
          <w:sz w:val="20"/>
          <w:szCs w:val="20"/>
          <w:color w:val="auto"/>
        </w:rPr>
      </w:pPr>
    </w:p>
    <w:p>
      <w:pPr>
        <w:ind w:left="820" w:hanging="812"/>
        <w:spacing w:after="0"/>
        <w:tabs>
          <w:tab w:leader="none" w:pos="82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The following terms, when used in this Agreement, have the following meanings:</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“Act” means the U.K. companies Act of 2006, as amended from time to time, and the rules and regulations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196" w:lineRule="exact"/>
        <w:rPr>
          <w:sz w:val="20"/>
          <w:szCs w:val="20"/>
          <w:color w:val="auto"/>
        </w:rPr>
      </w:pPr>
    </w:p>
    <w:p>
      <w:pPr>
        <w:ind w:firstLine="1297"/>
        <w:spacing w:after="0" w:line="271" w:lineRule="auto"/>
        <w:rPr>
          <w:sz w:val="20"/>
          <w:szCs w:val="20"/>
          <w:color w:val="auto"/>
        </w:rPr>
      </w:pPr>
      <w:r>
        <w:rPr>
          <w:rFonts w:ascii="Times New Roman" w:cs="Times New Roman" w:eastAsia="Times New Roman" w:hAnsi="Times New Roman"/>
          <w:sz w:val="22"/>
          <w:szCs w:val="22"/>
          <w:color w:val="auto"/>
        </w:rPr>
        <w:t>“Annual Performance Rating” means the performance rating received by the Grantee during the Company’s Annual Performance Review Process.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“Base Performance Objective” has the meaning ascribed to such term in </w:t>
      </w:r>
      <w:r>
        <w:rPr>
          <w:rFonts w:ascii="Times New Roman" w:cs="Times New Roman" w:eastAsia="Times New Roman" w:hAnsi="Times New Roman"/>
          <w:sz w:val="22"/>
          <w:szCs w:val="22"/>
          <w:b w:val="1"/>
          <w:bCs w:val="1"/>
          <w:color w:val="auto"/>
        </w:rPr>
        <w:t>Appendix Appendix A</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“Cause” has the meaning specified for “cause” in Section 11.2(c) of the Plan.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365" w:right="239" w:bottom="1440" w:gutter="0" w:footer="0" w:header="0"/>
        </w:sectPr>
      </w:pPr>
    </w:p>
    <w:bookmarkStart w:id="106" w:name="page107"/>
    <w:bookmarkEnd w:id="106"/>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“Code” means the U.S. Internal Revenue Code of 1986, as amended from time to time, or any successor statute or statutes thereto. Reference to any specific code section shall include any successor section.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“Committee” has the meaning specified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“Company” means Liberty Global plc, a public limited company incorporated under the laws of England and Wales.</w:t>
      </w:r>
    </w:p>
    <w:p>
      <w:pPr>
        <w:spacing w:after="0" w:line="239" w:lineRule="exact"/>
        <w:rPr>
          <w:sz w:val="20"/>
          <w:szCs w:val="20"/>
          <w:color w:val="auto"/>
        </w:rPr>
      </w:pPr>
    </w:p>
    <w:p>
      <w:pPr>
        <w:jc w:val="both"/>
        <w:ind w:firstLine="1297"/>
        <w:spacing w:after="0" w:line="264" w:lineRule="auto"/>
        <w:rPr>
          <w:sz w:val="20"/>
          <w:szCs w:val="20"/>
          <w:color w:val="auto"/>
        </w:rPr>
      </w:pPr>
      <w:r>
        <w:rPr>
          <w:rFonts w:ascii="Times New Roman" w:cs="Times New Roman" w:eastAsia="Times New Roman" w:hAnsi="Times New Roman"/>
          <w:sz w:val="21"/>
          <w:szCs w:val="21"/>
          <w:color w:val="auto"/>
        </w:rPr>
        <w:t xml:space="preserve">“Earned Percentage” means the percentage determined by the Committee after the end of the Performance Period in accordance with the terms set forth in </w:t>
      </w:r>
      <w:r>
        <w:rPr>
          <w:rFonts w:ascii="Times New Roman" w:cs="Times New Roman" w:eastAsia="Times New Roman" w:hAnsi="Times New Roman"/>
          <w:sz w:val="21"/>
          <w:szCs w:val="21"/>
          <w:b w:val="1"/>
          <w:bCs w:val="1"/>
          <w:color w:val="auto"/>
        </w:rPr>
        <w:t>Appendix A</w:t>
      </w:r>
      <w:r>
        <w:rPr>
          <w:rFonts w:ascii="Times New Roman" w:cs="Times New Roman" w:eastAsia="Times New Roman" w:hAnsi="Times New Roman"/>
          <w:sz w:val="21"/>
          <w:szCs w:val="21"/>
          <w:color w:val="auto"/>
        </w:rPr>
        <w:t xml:space="preserve"> taking into account the level of achievement of the Performance Metric or Performance Metrics set forth in </w:t>
      </w:r>
      <w:r>
        <w:rPr>
          <w:rFonts w:ascii="Times New Roman" w:cs="Times New Roman" w:eastAsia="Times New Roman" w:hAnsi="Times New Roman"/>
          <w:sz w:val="21"/>
          <w:szCs w:val="21"/>
          <w:b w:val="1"/>
          <w:bCs w:val="1"/>
          <w:color w:val="auto"/>
        </w:rPr>
        <w:t>Appendix A</w:t>
      </w:r>
      <w:r>
        <w:rPr>
          <w:rFonts w:ascii="Times New Roman" w:cs="Times New Roman" w:eastAsia="Times New Roman" w:hAnsi="Times New Roman"/>
          <w:sz w:val="21"/>
          <w:szCs w:val="21"/>
          <w:color w:val="auto"/>
        </w:rPr>
        <w:t xml:space="preserve"> during the Performance Period and, if applicable, the relative weighting of the Performance Metrics.</w:t>
      </w:r>
    </w:p>
    <w:p>
      <w:pPr>
        <w:spacing w:after="0" w:line="172"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“Earned Performance Share Units” means the number of Performance Share Units that following the completion of the Performance Period the Grantee is determined in accordance with Section 3 to have earned under this Agreement, subject to reduction, forfeiture or acceleration during the Service Period in accordance with Sections 4, 6 and 7, as applicable.</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“Good Reason” for the Grantee to resign from his or her employment with the Company and its Subsidiaries means that any of the following occurs, is not consented to by the Grantee and, except for purposes of Section 7(b), is not the result of the Grantee’s poor performance:</w:t>
      </w:r>
    </w:p>
    <w:p>
      <w:pPr>
        <w:spacing w:after="0" w:line="173" w:lineRule="exact"/>
        <w:rPr>
          <w:sz w:val="20"/>
          <w:szCs w:val="20"/>
          <w:color w:val="auto"/>
        </w:rPr>
      </w:pPr>
    </w:p>
    <w:p>
      <w:pPr>
        <w:ind w:left="2160" w:hanging="855"/>
        <w:spacing w:after="0"/>
        <w:tabs>
          <w:tab w:leader="none" w:pos="21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diminution in the Grantee’s base compensation;</w:t>
      </w:r>
    </w:p>
    <w:p>
      <w:pPr>
        <w:spacing w:after="0" w:line="219" w:lineRule="exact"/>
        <w:rPr>
          <w:rFonts w:ascii="Times New Roman" w:cs="Times New Roman" w:eastAsia="Times New Roman" w:hAnsi="Times New Roman"/>
          <w:sz w:val="22"/>
          <w:szCs w:val="22"/>
          <w:color w:val="auto"/>
        </w:rPr>
      </w:pPr>
    </w:p>
    <w:p>
      <w:pPr>
        <w:ind w:left="660" w:right="20" w:firstLine="645"/>
        <w:spacing w:after="0" w:line="271" w:lineRule="auto"/>
        <w:tabs>
          <w:tab w:leader="none" w:pos="222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diminution of the Grantee’s official position or authority, but excluding isolated or inadvertent action not taken in bad faith that is remedied promptly after notice; or</w:t>
      </w:r>
    </w:p>
    <w:p>
      <w:pPr>
        <w:spacing w:after="0" w:line="157" w:lineRule="exact"/>
        <w:rPr>
          <w:rFonts w:ascii="Times New Roman" w:cs="Times New Roman" w:eastAsia="Times New Roman" w:hAnsi="Times New Roman"/>
          <w:sz w:val="22"/>
          <w:szCs w:val="22"/>
          <w:color w:val="auto"/>
        </w:rPr>
      </w:pPr>
    </w:p>
    <w:p>
      <w:pPr>
        <w:ind w:left="2280" w:hanging="975"/>
        <w:spacing w:after="0"/>
        <w:tabs>
          <w:tab w:leader="none" w:pos="22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requires the Grantee to relocate his/her principal business office to a different country.</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For the Grantee’s Termination of Service to constitute resignation for Good Reason, the Grantee must notify the Committee in writing within 30 days of the occurrence of such event that Good Reason exists for resignation, the Company must not have taken corrective action within 60 days after such notice is given so that Good Reason for resignation ceases to exist, and the Grantee must terminate his or her employment with the Company and its Subsidiaries within six months after such notice is given or such longer period (but in any event not to exceed two years following the initial occurrence of such event) as may be required by the provisions of any employment agreement or other contract or arrangement with the Company or its Subsidiaries to which the Grantee is a party.</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“Grant Date” has the meaning specified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“Grantee” has the meaning specified in the preamble to this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107" w:name="page108"/>
    <w:bookmarkEnd w:id="107"/>
    <w:p>
      <w:pPr>
        <w:ind w:left="1300"/>
        <w:spacing w:after="0"/>
        <w:rPr>
          <w:sz w:val="20"/>
          <w:szCs w:val="20"/>
          <w:color w:val="auto"/>
        </w:rPr>
      </w:pPr>
      <w:r>
        <w:rPr>
          <w:rFonts w:ascii="Times New Roman" w:cs="Times New Roman" w:eastAsia="Times New Roman" w:hAnsi="Times New Roman"/>
          <w:sz w:val="21"/>
          <w:szCs w:val="21"/>
          <w:color w:val="auto"/>
        </w:rPr>
        <w:t>“[TICKER SYMBOL]” and “Share” means the [SHARE CLASS] ordinary shares, nominal value $.01 per share,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“Maximum Percentage” has the meaning ascribed to such term in </w:t>
      </w:r>
      <w:r>
        <w:rPr>
          <w:rFonts w:ascii="Times New Roman" w:cs="Times New Roman" w:eastAsia="Times New Roman" w:hAnsi="Times New Roman"/>
          <w:sz w:val="22"/>
          <w:szCs w:val="22"/>
          <w:b w:val="1"/>
          <w:bCs w:val="1"/>
          <w:color w:val="auto"/>
        </w:rPr>
        <w:t>Appendix A</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“NEO” means the Company’s Chief Executive Officer (or an individual acting in such capacity) and each other person who is a “covered employee” within the meaning of Section 162(m)(3) of the Code and related Regulations and Treasury pronouncements as of the last day of the Performance Period or is projected to be a “covered employee” as of the last day of the following calendar year based on the compensation and benefits approved for such person for that calendar year as of the time achievement of the Base Performance Objective is certified by the Committee.</w:t>
      </w:r>
    </w:p>
    <w:p>
      <w:pPr>
        <w:spacing w:after="0" w:line="18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 xml:space="preserve">“Performance Metric” or “Performance Metrics” means the performance goal or goals established by the Committee pursuant to Section 10.2 of the Plan and set forth in </w:t>
      </w:r>
      <w:r>
        <w:rPr>
          <w:rFonts w:ascii="Times New Roman" w:cs="Times New Roman" w:eastAsia="Times New Roman" w:hAnsi="Times New Roman"/>
          <w:sz w:val="22"/>
          <w:szCs w:val="22"/>
          <w:b w:val="1"/>
          <w:bCs w:val="1"/>
          <w:color w:val="auto"/>
        </w:rPr>
        <w:t>Appendix A</w:t>
      </w:r>
      <w:r>
        <w:rPr>
          <w:rFonts w:ascii="Times New Roman" w:cs="Times New Roman" w:eastAsia="Times New Roman" w:hAnsi="Times New Roman"/>
          <w:sz w:val="22"/>
          <w:szCs w:val="22"/>
          <w:color w:val="auto"/>
        </w:rPr>
        <w:t xml:space="preserve"> 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“Performance Period” means the three-year period beginning on January 1 of the calendar year in which the Grant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occurs.</w:t>
      </w:r>
    </w:p>
    <w:p>
      <w:pPr>
        <w:spacing w:after="0" w:line="196"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“Performance Share Unit” is a Restricted Share representing the right to receive one share of [TICKER SYMBOL], subject to the performance and other conditions and restrictions set forth herein and in the Plan.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“Plan” has the meaning specified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“Regulations” means the rules and regulations under the Code or a specified section of the Code, as applicable.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“Required Withholding Amount” has the meaning specified in Section 17 of this Agreement.</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“RSU Dividend Equivalents” with respect to a Performance Share Unit means, to the extent specified by the Committee only, an amount equal to all dividends and other distributions (or the economic equivalent thereof) which are payable or transferable to Shareholders of record during the Performance Period and Service Period with respect to one share of [TICKER SYMBOL].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409A” means Section 409A of the Code and related Regulations and Treasury pronouncements.</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“Section 409A Cap Payment Date” means, with respect to any Vesting Date, the March 15 of the calendar year following the calendar year in which such Vesting Date occurred.</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“Service Period” means the period beginning on the January 1 immediately following the expiration of the Performance Period and ending on September 30 of that calendar year.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108" w:name="page109"/>
    <w:bookmarkEnd w:id="108"/>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“Target Performance Share Units” means the initial number of Performance Share Units granted to the Grantee pursuant to this Agreement, with such number subject to adjustment or forfeiture in accordance with the terms of this Agreement and the Plan.</w:t>
      </w:r>
    </w:p>
    <w:p>
      <w:pPr>
        <w:spacing w:after="0" w:line="173"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“Termination of Service” means the termination for any reason of the Grantee’s provision of services to the Company and its Subsidiaries, as an officer, employee or independent contractor. Whether any leave of absence constitutes a Termination of Service will be determined by the Committee subject to Section 11.2(d) of the Plan. Unless the Committee otherwise determines, neither transfers of employment among the Company and its Subsidiaries, nor a change in Grantee’s status from an independent contractor to an employee will be a Termination of Service for purposes of this Agreement. Unless the Committee otherwise determines, however, any change in Grantee’s status from an employee to an independent contractor will be a Termination of Service within the meaning of this Agreement; provided, however, that, to the extent Section 409A is applicable to Grantee, any amounts otherwise be payable hereunder as nonqualified deferred compensation within the meaning of Section 409A on account of Termination of Service shall not be payable before Grantee “separates from service”, as that term is defined in Section 409A, and shall be paid in accordance with Section 17.(c) of this Agreement.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“Unpaid RSU Dividend Equivalents” has the meaning specified in Section 4(b) of this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“Vesting Date” means each date on which any Performance Share Units cease to be subject to a risk of forfeiture or vest, as determined in accordance with this Agreement and the Plan.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“Vested RSU Dividend Equivalents” has the meaning specified in Section 10 of this Agreement.</w:t>
      </w:r>
    </w:p>
    <w:p>
      <w:pPr>
        <w:spacing w:after="0" w:line="216" w:lineRule="exact"/>
        <w:rPr>
          <w:sz w:val="20"/>
          <w:szCs w:val="20"/>
          <w:color w:val="auto"/>
        </w:rPr>
      </w:pPr>
    </w:p>
    <w:p>
      <w:pPr>
        <w:jc w:val="both"/>
        <w:ind w:firstLine="8"/>
        <w:spacing w:after="0" w:line="265" w:lineRule="auto"/>
        <w:tabs>
          <w:tab w:leader="none" w:pos="342"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Target Performance Share Units</w:t>
      </w:r>
      <w:r>
        <w:rPr>
          <w:rFonts w:ascii="Times New Roman" w:cs="Times New Roman" w:eastAsia="Times New Roman" w:hAnsi="Times New Roman"/>
          <w:sz w:val="22"/>
          <w:szCs w:val="22"/>
          <w:color w:val="auto"/>
        </w:rPr>
        <w:t>. Pursuant to the Plan, the Company grants to the Grantee, effective as of the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an Award of the number of Target Performance Share Units set forth on the signature page hereto, subject to the terms, conditions and restrictions set forth herein and in the Plan.</w:t>
      </w:r>
    </w:p>
    <w:p>
      <w:pPr>
        <w:spacing w:after="0" w:line="171" w:lineRule="exact"/>
        <w:rPr>
          <w:rFonts w:ascii="Times New Roman" w:cs="Times New Roman" w:eastAsia="Times New Roman" w:hAnsi="Times New Roman"/>
          <w:sz w:val="22"/>
          <w:szCs w:val="22"/>
          <w:b w:val="1"/>
          <w:bCs w:val="1"/>
          <w:color w:val="auto"/>
        </w:rPr>
      </w:pPr>
    </w:p>
    <w:p>
      <w:pPr>
        <w:ind w:left="1000" w:hanging="344"/>
        <w:spacing w:after="0"/>
        <w:tabs>
          <w:tab w:leader="none" w:pos="1000" w:val="left"/>
        </w:tabs>
        <w:numPr>
          <w:ilvl w:val="1"/>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Performance Conditions For Performance Period</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2"/>
          <w:szCs w:val="22"/>
          <w:b w:val="1"/>
          <w:bCs w:val="1"/>
          <w:color w:val="auto"/>
        </w:rPr>
      </w:pPr>
    </w:p>
    <w:p>
      <w:pPr>
        <w:jc w:val="both"/>
        <w:ind w:firstLine="1305"/>
        <w:spacing w:after="0" w:line="260" w:lineRule="auto"/>
        <w:tabs>
          <w:tab w:leader="none" w:pos="1824"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otherwise provided in Section 7, if the Grantee receives less than an Annual Performance Rating of “Developing”, or its equivalent, for any year in the Performance Period, then upon conclusion of the Company’s Annual Performance Review Process for that year, this Award and Grantee’s Target Performance Share Units and any related Unpaid RSU Dividend Equivalents shall be forfeited and the Grantee shall have no further rights hereunder. Except as otherwise provided in Section 7, if the Base Performance Objective is not met and the Grantee is an NEO, this Award and Grantee’s Target Performance Share Units and any related Unpaid RSU Dividend Equivalents shall be forfeited and the Grantee shall have no further rights hereunder.</w:t>
      </w:r>
    </w:p>
    <w:p>
      <w:pPr>
        <w:spacing w:after="0" w:line="179" w:lineRule="exact"/>
        <w:rPr>
          <w:rFonts w:ascii="Times New Roman" w:cs="Times New Roman" w:eastAsia="Times New Roman" w:hAnsi="Times New Roman"/>
          <w:sz w:val="22"/>
          <w:szCs w:val="22"/>
          <w:color w:val="auto"/>
        </w:rPr>
      </w:pPr>
    </w:p>
    <w:p>
      <w:pPr>
        <w:ind w:firstLine="1305"/>
        <w:spacing w:after="0" w:line="284" w:lineRule="auto"/>
        <w:tabs>
          <w:tab w:leader="none" w:pos="1958"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Base Performance Objective and Performance Metric or Performance Metrics established by the Committee for the Performance Period are set forth on </w:t>
      </w:r>
      <w:r>
        <w:rPr>
          <w:rFonts w:ascii="Times New Roman" w:cs="Times New Roman" w:eastAsia="Times New Roman" w:hAnsi="Times New Roman"/>
          <w:sz w:val="22"/>
          <w:szCs w:val="22"/>
          <w:b w:val="1"/>
          <w:bCs w:val="1"/>
          <w:color w:val="auto"/>
        </w:rPr>
        <w:t>Appendix A</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109" w:name="page110"/>
    <w:bookmarkEnd w:id="109"/>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attached hereto and made a part hereof for all purposes. If the Grantee is not an NEO, the Earned Performance Share Units for the Grantee shall initially be determined by multiplying the number of Target Performance Share Units by the Earned Percentage determined by the Committee in accordance with </w:t>
      </w:r>
      <w:r>
        <w:rPr>
          <w:rFonts w:ascii="Times New Roman" w:cs="Times New Roman" w:eastAsia="Times New Roman" w:hAnsi="Times New Roman"/>
          <w:sz w:val="22"/>
          <w:szCs w:val="22"/>
          <w:b w:val="1"/>
          <w:bCs w:val="1"/>
          <w:color w:val="auto"/>
        </w:rPr>
        <w:t>Appendix A</w:t>
      </w:r>
      <w:r>
        <w:rPr>
          <w:rFonts w:ascii="Times New Roman" w:cs="Times New Roman" w:eastAsia="Times New Roman" w:hAnsi="Times New Roman"/>
          <w:sz w:val="22"/>
          <w:szCs w:val="22"/>
          <w:color w:val="auto"/>
        </w:rPr>
        <w:t xml:space="preserve"> . If the Grantee is an NEO, then the Earned Performance Share Units for the Grantee shall initially be determined by multiplying the number of Target Performance Share Units by the Maximum Percentage, subject to reduction to such lower number as the Committee may determine in its sole discretion, but, except as provided in the following sentence, not below the number determined by multiplying the number of Grantee’s Target Performance Share Units by the Earned Percentage determined by the Committee in accordance with </w:t>
      </w:r>
      <w:r>
        <w:rPr>
          <w:rFonts w:ascii="Times New Roman" w:cs="Times New Roman" w:eastAsia="Times New Roman" w:hAnsi="Times New Roman"/>
          <w:sz w:val="22"/>
          <w:szCs w:val="22"/>
          <w:b w:val="1"/>
          <w:bCs w:val="1"/>
          <w:color w:val="auto"/>
        </w:rPr>
        <w:t>Appendix A</w:t>
      </w:r>
      <w:r>
        <w:rPr>
          <w:rFonts w:ascii="Times New Roman" w:cs="Times New Roman" w:eastAsia="Times New Roman" w:hAnsi="Times New Roman"/>
          <w:sz w:val="22"/>
          <w:szCs w:val="22"/>
          <w:color w:val="auto"/>
        </w:rPr>
        <w:t>. If the Grantee received at least a “Developing” (or its equivalent) but less than a “Strong” (or its equivalent) Annual Performance Rating for any year in the Performance Period, then the Committee may in its discretion reduce the number of Earned Performance Share Units initially so determined in accordance with the applicable of the preceding two sentences to such number of Earned Performance Share Units as the Committee shall determine.</w:t>
      </w:r>
    </w:p>
    <w:p>
      <w:pPr>
        <w:spacing w:after="0" w:line="194" w:lineRule="exact"/>
        <w:rPr>
          <w:sz w:val="20"/>
          <w:szCs w:val="20"/>
          <w:color w:val="auto"/>
        </w:rPr>
      </w:pPr>
    </w:p>
    <w:p>
      <w:pPr>
        <w:jc w:val="both"/>
        <w:ind w:firstLine="1305"/>
        <w:spacing w:after="0" w:line="263" w:lineRule="auto"/>
        <w:tabs>
          <w:tab w:leader="none" w:pos="171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Following the close of the Performance Period, the Committee shall certify whether the Base Performance Objective has been met and the extent to which the Performance Metric or Performance Metrics have been achieved and the calculation of the Earned Percentage in the manner required for qualified performance-based compensation within the meaning of Section 162(m) of the Code and the Regulations. The Committee may, but shall not be obligated to, engage an independent accounting firm to perform agreed upon procedures to verify the calculations. </w:t>
      </w:r>
      <w:r>
        <w:rPr>
          <w:rFonts w:ascii="Times New Roman" w:cs="Times New Roman" w:eastAsia="Times New Roman" w:hAnsi="Times New Roman"/>
          <w:sz w:val="20"/>
          <w:szCs w:val="20"/>
          <w:color w:val="auto"/>
        </w:rPr>
        <w:t>Upon completing its determination, the Committee shall notify the Grantee,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in the form and manner as determined by the Committee, of the number of Earned Performance Share Units that will be subject to the service vesting provisions of Section 4.</w:t>
      </w:r>
    </w:p>
    <w:p>
      <w:pPr>
        <w:spacing w:after="0" w:line="177" w:lineRule="exact"/>
        <w:rPr>
          <w:rFonts w:ascii="Times New Roman" w:cs="Times New Roman" w:eastAsia="Times New Roman" w:hAnsi="Times New Roman"/>
          <w:sz w:val="22"/>
          <w:szCs w:val="22"/>
          <w:color w:val="auto"/>
        </w:rPr>
      </w:pPr>
    </w:p>
    <w:p>
      <w:pPr>
        <w:jc w:val="both"/>
        <w:ind w:firstLine="1305"/>
        <w:spacing w:after="0" w:line="251" w:lineRule="auto"/>
        <w:tabs>
          <w:tab w:leader="none" w:pos="1877"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number of Grantee’s Earned Performance Share Units is less than the number of Grantee’s Target Performance Share Units, the excess Target Performance Share Units and any related unpaid RSU Dividend Equivalents will immediately be cancelled. If the number of Grantee’s Earned Performance Share Units exceeds the number of Grantee’s Target Performance Units, Grantee will be awarded a number of additional Performance Share Units so that the number of Grantee’s Target Performance Share Units and such additional Performance Share Units will equal the number of Grantee’s Earned Performance Share Units.</w:t>
      </w:r>
    </w:p>
    <w:p>
      <w:pPr>
        <w:spacing w:after="0" w:line="17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during Service Period.</w:t>
      </w:r>
    </w:p>
    <w:p>
      <w:pPr>
        <w:spacing w:after="0" w:line="237" w:lineRule="exact"/>
        <w:rPr>
          <w:rFonts w:ascii="Times New Roman" w:cs="Times New Roman" w:eastAsia="Times New Roman" w:hAnsi="Times New Roman"/>
          <w:sz w:val="22"/>
          <w:szCs w:val="22"/>
          <w:b w:val="1"/>
          <w:bCs w:val="1"/>
          <w:color w:val="auto"/>
        </w:rPr>
      </w:pPr>
    </w:p>
    <w:p>
      <w:pPr>
        <w:jc w:val="both"/>
        <w:ind w:firstLine="1305"/>
        <w:spacing w:after="0" w:line="257" w:lineRule="auto"/>
        <w:tabs>
          <w:tab w:leader="none" w:pos="174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Committee otherwise determines in its sole discretion, subject to earlier vesting in accordance with Section 5, 6 or 7 of this Agreement or Section 11.1(b) of the Plan and subject to the forfeiture provisions of this Agreement, the Earned Performance Share Units shall become vested in accordance with the following schedule (each date specified below being a Vesting Date):</w:t>
      </w:r>
    </w:p>
    <w:p>
      <w:pPr>
        <w:spacing w:after="0" w:line="172" w:lineRule="exact"/>
        <w:rPr>
          <w:rFonts w:ascii="Times New Roman" w:cs="Times New Roman" w:eastAsia="Times New Roman" w:hAnsi="Times New Roman"/>
          <w:sz w:val="22"/>
          <w:szCs w:val="22"/>
          <w:color w:val="auto"/>
        </w:rPr>
      </w:pPr>
    </w:p>
    <w:p>
      <w:pPr>
        <w:ind w:left="2600" w:hanging="647"/>
        <w:spacing w:after="0" w:line="271" w:lineRule="auto"/>
        <w:tabs>
          <w:tab w:leader="none" w:pos="2600"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April 1 during the Service Period, 50% of the Earned Performance Share Units shall become vested;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9" w:right="239" w:bottom="1440" w:gutter="0" w:footer="0" w:header="0"/>
        </w:sectPr>
      </w:pPr>
    </w:p>
    <w:bookmarkStart w:id="110" w:name="page111"/>
    <w:bookmarkEnd w:id="110"/>
    <w:p>
      <w:pPr>
        <w:ind w:left="2600" w:hanging="647"/>
        <w:spacing w:after="0" w:line="271" w:lineRule="auto"/>
        <w:tabs>
          <w:tab w:leader="none" w:pos="26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October 1 during the Service Period, 50% of the Earned Performance Share Units shall become vested.</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[Please refer to the website of the Third Party Administrator, UBS Financial Services Inc., which maintains the database for the Plan and provides related services, for the specific Vesting Dates related to the Performance Share Units (click on the specific grant under the tab labeled “Grants/Award/Units”).]</w:t>
      </w:r>
    </w:p>
    <w:p>
      <w:pPr>
        <w:spacing w:after="0" w:line="171" w:lineRule="exact"/>
        <w:rPr>
          <w:sz w:val="20"/>
          <w:szCs w:val="20"/>
          <w:color w:val="auto"/>
        </w:rPr>
      </w:pPr>
    </w:p>
    <w:p>
      <w:pPr>
        <w:jc w:val="both"/>
        <w:ind w:firstLine="1305"/>
        <w:spacing w:after="0" w:line="257" w:lineRule="auto"/>
        <w:tabs>
          <w:tab w:leader="none" w:pos="174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Vesting Date, subject to the satisfaction of any other applicable restrictions, terms and conditions, any RSU Dividend Equivalents with respect to the Earned Performance Share Units that have not theretofore become Vested RSU Dividend Equivalents (“Unpaid RSU Dividend Equivalents”) will become vested to the extent that the Earned Performance Share Units related thereto shall have become vested in accordance with this Agreement.</w:t>
      </w:r>
    </w:p>
    <w:p>
      <w:pPr>
        <w:spacing w:after="0" w:line="178"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Termination, Death or Disability during Performance Period.</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Subject to the remaining provisions of this Section 5 and to Sections 7 and 8, in the event of Termination of Service at any time during the Performance Period, the Grantee shall thereupon forfeit the Grantee’s Target Performance Share Units, any related Unpaid RSU Dividend Equivalents and any rights hereunder, except as indicated below:</w:t>
      </w:r>
    </w:p>
    <w:p>
      <w:pPr>
        <w:spacing w:after="0" w:line="173" w:lineRule="exact"/>
        <w:rPr>
          <w:sz w:val="20"/>
          <w:szCs w:val="20"/>
          <w:color w:val="auto"/>
        </w:rPr>
      </w:pPr>
    </w:p>
    <w:p>
      <w:pPr>
        <w:jc w:val="both"/>
        <w:ind w:firstLine="1305"/>
        <w:spacing w:after="0" w:line="248" w:lineRule="auto"/>
        <w:tabs>
          <w:tab w:leader="none" w:pos="171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of Service occurs after June 30 of the first year of the Performance Period but before January 1 of the third year of the Performance Period and is due to death, then provided that the Grantee’s Annual Performance Rating for any full year, if any, of the Performance Period prior to Termination of Service was not less than “Developing”</w:t>
      </w:r>
      <w:r>
        <w:rPr>
          <w:rFonts w:ascii="Times New Roman" w:cs="Times New Roman" w:eastAsia="Times New Roman" w:hAnsi="Times New Roman"/>
          <w:sz w:val="20"/>
          <w:szCs w:val="20"/>
          <w:color w:val="auto"/>
        </w:rPr>
        <w:t>, or its equivalent</w:t>
      </w:r>
      <w:r>
        <w:rPr>
          <w:rFonts w:ascii="Times New Roman" w:cs="Times New Roman" w:eastAsia="Times New Roman" w:hAnsi="Times New Roman"/>
          <w:sz w:val="22"/>
          <w:szCs w:val="22"/>
          <w:color w:val="auto"/>
        </w:rPr>
        <w:t>, the Grantee’s estate will be entitled to a prorated portion of the Grantee’s Target Performance Share Units and any related Unpaid RSU Dividend Equivalents based on the number of full days of service by the Grantee during the Performance Period</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Subject to the foregoing, the prorated portion of the Target Performance Share Units and any related Unpaid RSU Dividend Equivalents will thereupon become vested and will be settled in accordance with Section 9 as soon as administratively practicable after the Termination of Service, but in no event later than March 15 of the calendar year immediately following the calendar year in which the Termination of Service occurred.</w:t>
      </w:r>
    </w:p>
    <w:p>
      <w:pPr>
        <w:spacing w:after="0" w:line="186" w:lineRule="exact"/>
        <w:rPr>
          <w:rFonts w:ascii="Times New Roman" w:cs="Times New Roman" w:eastAsia="Times New Roman" w:hAnsi="Times New Roman"/>
          <w:sz w:val="22"/>
          <w:szCs w:val="22"/>
          <w:color w:val="auto"/>
        </w:rPr>
      </w:pPr>
    </w:p>
    <w:p>
      <w:pPr>
        <w:jc w:val="both"/>
        <w:ind w:firstLine="1305"/>
        <w:spacing w:after="0" w:line="262" w:lineRule="auto"/>
        <w:tabs>
          <w:tab w:leader="none" w:pos="176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Termination of Service occurs during the third year of the Performance Period and is due to death, then provided that the Grantee’s Annual Performance Rating for any full year of the Performance Period prior to Termination of Service was not less than “Developing”, or its equivalent, the Grantee’s estate will be entitled to (i) a prorated portion of the Target Performance Share Units and any related Unpaid RSU Dividend Equivalents based on the number of full days of service by the Grantee during the Performance Period plus (ii) such additional number of Performance Share Units as the Committee in its sole discretion may determine to the extent the number of Earned Performance Share Units for the Grantee would have exceeded Grantee’s Target Performance Share Units. Subject to the foregoing, the prorated portion of the Target Performance Share Units and any related Unpaid RSU Dividend Equivalents plus any additional Performance Share Units and any related Unpaid RSU Dividend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111" w:name="page112"/>
    <w:bookmarkEnd w:id="111"/>
    <w:p>
      <w:pPr>
        <w:jc w:val="both"/>
        <w:spacing w:after="0" w:line="257" w:lineRule="auto"/>
        <w:rPr>
          <w:sz w:val="20"/>
          <w:szCs w:val="20"/>
          <w:color w:val="auto"/>
        </w:rPr>
      </w:pPr>
      <w:r>
        <w:rPr>
          <w:rFonts w:ascii="Times New Roman" w:cs="Times New Roman" w:eastAsia="Times New Roman" w:hAnsi="Times New Roman"/>
          <w:sz w:val="22"/>
          <w:szCs w:val="22"/>
          <w:color w:val="auto"/>
        </w:rPr>
        <w:t>Equivalents awarded by the Committee will thereupon become vested and will be settled in accordance with Section 9 as soon as administratively practicable thereafter, but in no event later than March 15 of the calendar year immediately following the year in which the Termination of Service occurred.</w:t>
      </w:r>
    </w:p>
    <w:p>
      <w:pPr>
        <w:spacing w:after="0" w:line="173" w:lineRule="exact"/>
        <w:rPr>
          <w:sz w:val="20"/>
          <w:szCs w:val="20"/>
          <w:color w:val="auto"/>
        </w:rPr>
      </w:pPr>
    </w:p>
    <w:p>
      <w:pPr>
        <w:jc w:val="both"/>
        <w:ind w:firstLine="1305"/>
        <w:spacing w:after="0" w:line="246" w:lineRule="auto"/>
        <w:tabs>
          <w:tab w:leader="none" w:pos="179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of Service occurs after June 30 of the first year of the Performance Period and is due to Disability, then provided that the Grantee’s most recent Annual Performance Rating prior to Termination of Service was not less than “Developing”</w:t>
      </w:r>
      <w:r>
        <w:rPr>
          <w:rFonts w:ascii="Times New Roman" w:cs="Times New Roman" w:eastAsia="Times New Roman" w:hAnsi="Times New Roman"/>
          <w:sz w:val="20"/>
          <w:szCs w:val="20"/>
          <w:color w:val="auto"/>
        </w:rPr>
        <w:t>, or its equivalent</w:t>
      </w:r>
      <w:r>
        <w:rPr>
          <w:rFonts w:ascii="Times New Roman" w:cs="Times New Roman" w:eastAsia="Times New Roman" w:hAnsi="Times New Roman"/>
          <w:sz w:val="22"/>
          <w:szCs w:val="22"/>
          <w:color w:val="auto"/>
        </w:rPr>
        <w:t>, the Grantee will retain the right to earn a pro rata portion of the Grantee’s Target Performance Share Units and any related Unpaid RSU Dividend Equivalents. The number of the Grantee’s Earned Performance Share Units will initially be determined in accordance with Section 3 on the same basis as would otherwise apply had no Termination of Service occurred, but (i) if the Termination of Service occurs in the first year of the Performance Period, the level of achievement of the Performance Metric or Performance Metrics will be determined based on the Company’s relative performance during that year as if the Performance Period was one year or (ii) if the Termination of Service occurs in the second year of the Performance Period, the level of achievement of the Performance Metric or Performance Metrics will be determined based on the Company’s relative performance during the first two years as if the Performance Period was two years. The number of Earned Performance Share Units so determined will then be prorated based on the number of full days of service by the Grantee during the full Performance Period. Subject to the foregoing, the prorated portion of the Earned Performance Share Units and any related Unpaid RSU Dividend Equivalents will thereupon become vested and will be settled in accordance with Section 9 as soon as administratively practicable after the Termination of Service, but in no event later than March 15 of the calendar year immediately following the calendar year in which Grantee’s Termination of Service occurred.</w:t>
      </w:r>
    </w:p>
    <w:p>
      <w:pPr>
        <w:spacing w:after="0" w:line="189" w:lineRule="exact"/>
        <w:rPr>
          <w:rFonts w:ascii="Times New Roman" w:cs="Times New Roman" w:eastAsia="Times New Roman" w:hAnsi="Times New Roman"/>
          <w:sz w:val="22"/>
          <w:szCs w:val="22"/>
          <w:color w:val="auto"/>
        </w:rPr>
      </w:pPr>
    </w:p>
    <w:p>
      <w:pPr>
        <w:jc w:val="both"/>
        <w:ind w:firstLine="1305"/>
        <w:spacing w:after="0" w:line="248" w:lineRule="auto"/>
        <w:tabs>
          <w:tab w:leader="none" w:pos="181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of Service occurs after June 30 of the first year of the Performance Period and is due to termination of the Grantee by the Company or any of its Subsidiaries without Cause or resignation by the Grantee for Good Reason, then the Committee may determine, in its sole discretion, that a portion of the Grantee’s Earned Performance Share Units (determined in the manner described in Section 5(c)) and any related Unpaid RSU Dividend Equivalents will thereupon become vested and no longer be subject to a risk of forfeiture in such amount as the Committee may determine, and shall be settled in accordance with Section 9 as soon as administratively practicable after the Termination of Service, but in no event later than March 15 of the calendar year immediately following the calendar year in which the Termination of Service occurred, provided that in no event shall the amount or terms of such settlement be more favorable to the Grantee than if the Grantee’s service had terminated due to Disability.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9" w:right="239" w:bottom="1440" w:gutter="0" w:footer="0" w:header="0"/>
        </w:sectPr>
      </w:pPr>
    </w:p>
    <w:bookmarkStart w:id="112" w:name="page113"/>
    <w:bookmarkEnd w:id="112"/>
    <w:p>
      <w:pPr>
        <w:ind w:left="1000" w:hanging="344"/>
        <w:spacing w:after="0"/>
        <w:tabs>
          <w:tab w:leader="none" w:pos="100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Termination, Death, Disability or Retirement during Service Period.</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Subject to the remaining provisions of this Section 6 and to Sections 7 and 8, in the event of Termination of Service at any time during the Service Period, the Grantee shall, effective upon such Termination of Service, forfeit any Earned Performance Share Units and any related Unpaid RSU Dividend Equivalents, the Vesting Date for which has not yet occurred, except as indicated below:</w:t>
      </w:r>
    </w:p>
    <w:p>
      <w:pPr>
        <w:spacing w:after="0" w:line="180" w:lineRule="exact"/>
        <w:rPr>
          <w:sz w:val="20"/>
          <w:szCs w:val="20"/>
          <w:color w:val="auto"/>
        </w:rPr>
      </w:pPr>
    </w:p>
    <w:p>
      <w:pPr>
        <w:jc w:val="both"/>
        <w:ind w:firstLine="1305"/>
        <w:spacing w:after="0" w:line="257" w:lineRule="auto"/>
        <w:tabs>
          <w:tab w:leader="none" w:pos="177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of Service is due to death or Disability, the Grantee’s unvested Earned Performance Share Units and any related Unpaid RSU Dividend Equivalents will thereupon become vested and no longer be subject to a risk of forfeiture. Such Earned Performance Share Units and any related Unpaid RSU Dividend Equivalents will be settled in accordance with Section 9 as of the originally scheduled Vesting Dates.</w:t>
      </w:r>
    </w:p>
    <w:p>
      <w:pPr>
        <w:spacing w:after="0" w:line="172"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8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of Service is due to termination of the Grantee by the Company or any of its Subsidiaries without Cause or resignation by the Grantee for Good Reason, then the Committee may determine, in its sole discretion, that a portion of the Grantee’s Earned Performance Share Units and any related Unpaid RSU Dividend Equivalents will become vested and no longer be subject to a risk of forfeiture in such amount as the Committee may determine, and shall be settled in accordance with Section 9 as of the originally scheduled Vesting Dates, provided that in no event shall the amount or terms of such settlement be more favorable to the Grantee than if the Grantee’s service had terminated due to death or Disability.</w:t>
      </w:r>
    </w:p>
    <w:p>
      <w:pPr>
        <w:spacing w:after="0" w:line="181" w:lineRule="exact"/>
        <w:rPr>
          <w:rFonts w:ascii="Times New Roman" w:cs="Times New Roman" w:eastAsia="Times New Roman" w:hAnsi="Times New Roman"/>
          <w:sz w:val="22"/>
          <w:szCs w:val="22"/>
          <w:color w:val="auto"/>
        </w:rPr>
      </w:pPr>
    </w:p>
    <w:p>
      <w:pPr>
        <w:jc w:val="both"/>
        <w:ind w:firstLine="1305"/>
        <w:spacing w:after="0" w:line="261" w:lineRule="auto"/>
        <w:tabs>
          <w:tab w:leader="none" w:pos="1716"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Termination of Service is due to Retirement, the Grantee’s unvested Earned Performance Share Units and any related Unpaid RSU Dividend Equivalents will thereupon become vested and no longer subject to a risk of forfeiture in a pro-rata amount determined by multiplying such unvested Earned Performance Share Units (including any Unpaid RSU Dividend Equivalents) by a fraction, the numerator of which shall be the number of months (with any partial month being deemed a full month) of the Grantee’s employment with the Company and its Subsidiaries during the period beginning on the first day of the Performance Period of such Award and ending on the date of the Grantee’s Retirement, and the denominator of which shall be the number of full months in the period beginning on the first day of the Performance Period of such Award and ending on the date such Unvested Earned Performance Share Units would otherwise have become vested in accordance with its terms had the Grantee remained employed with the Company through such date. Such Earned Performance Share Units and any related Unpaid RSU Dividend Equivalents will be settled in accordance with Section 9 as of the originally scheduled Vesting Dates.</w:t>
      </w:r>
    </w:p>
    <w:p>
      <w:pPr>
        <w:spacing w:after="0" w:line="381" w:lineRule="exact"/>
        <w:rPr>
          <w:rFonts w:ascii="Times New Roman" w:cs="Times New Roman" w:eastAsia="Times New Roman" w:hAnsi="Times New Roman"/>
          <w:sz w:val="21"/>
          <w:szCs w:val="21"/>
          <w:color w:val="auto"/>
        </w:rPr>
      </w:pPr>
    </w:p>
    <w:p>
      <w:pPr>
        <w:ind w:left="1000" w:hanging="344"/>
        <w:spacing w:after="0"/>
        <w:tabs>
          <w:tab w:leader="none" w:pos="100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p>
    <w:p>
      <w:pPr>
        <w:spacing w:after="0" w:line="237" w:lineRule="exact"/>
        <w:rPr>
          <w:rFonts w:ascii="Times New Roman" w:cs="Times New Roman" w:eastAsia="Times New Roman" w:hAnsi="Times New Roman"/>
          <w:sz w:val="22"/>
          <w:szCs w:val="22"/>
          <w:b w:val="1"/>
          <w:bCs w:val="1"/>
          <w:color w:val="auto"/>
        </w:rPr>
      </w:pPr>
    </w:p>
    <w:p>
      <w:pPr>
        <w:jc w:val="both"/>
        <w:ind w:firstLine="1305"/>
        <w:spacing w:after="0" w:line="253" w:lineRule="auto"/>
        <w:tabs>
          <w:tab w:leader="none" w:pos="1743"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Approved Transaction, Board Change or Control Purchase occurs on or before the Grantee’s Termination of Service and (x) this Agreement is not continued on the same terms and conditions or (y) in the case of an Approved Transaction, the Committee as constituted prior to such Approved Transaction has not determined, in its discretion, that effective provision has been made for the assumption or continuation of this Agreement on terms and conditions that in the opinion of the Committee are as nearly as practicable equivalent for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75" w:right="239" w:bottom="1440" w:gutter="0" w:footer="0" w:header="0"/>
        </w:sectPr>
      </w:pPr>
    </w:p>
    <w:bookmarkStart w:id="113" w:name="page114"/>
    <w:bookmarkEnd w:id="113"/>
    <w:p>
      <w:pPr>
        <w:jc w:val="both"/>
        <w:spacing w:after="0" w:line="257" w:lineRule="auto"/>
        <w:rPr>
          <w:sz w:val="20"/>
          <w:szCs w:val="20"/>
          <w:color w:val="auto"/>
        </w:rPr>
      </w:pPr>
      <w:r>
        <w:rPr>
          <w:rFonts w:ascii="Times New Roman" w:cs="Times New Roman" w:eastAsia="Times New Roman" w:hAnsi="Times New Roman"/>
          <w:sz w:val="22"/>
          <w:szCs w:val="22"/>
          <w:color w:val="auto"/>
        </w:rPr>
        <w:t>Grantee to the terms and conditions of this Agreement, taking into account, to the extent applicable, the kind and amount of securities, cash or other assets into or for which the [TICKER SYMBOL] may be changed, converted or exchanged in connection with the Approved Transaction, then the provisions of this Section 7(a) will apply, subject to Section 8:</w:t>
      </w:r>
    </w:p>
    <w:p>
      <w:pPr>
        <w:spacing w:after="0" w:line="173" w:lineRule="exact"/>
        <w:rPr>
          <w:sz w:val="20"/>
          <w:szCs w:val="20"/>
          <w:color w:val="auto"/>
        </w:rPr>
      </w:pPr>
    </w:p>
    <w:p>
      <w:pPr>
        <w:jc w:val="both"/>
        <w:ind w:firstLine="2020"/>
        <w:spacing w:after="0" w:line="252" w:lineRule="auto"/>
        <w:tabs>
          <w:tab w:leader="none" w:pos="2783"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Approved Transaction, Board Change or Control Purchase occurs during the Performance Period, then provided that the Grantee’s Annual Performance Rating for any full year, if any, of the Performance Period prior to such event was not less than “Developing</w:t>
      </w:r>
      <w:r>
        <w:rPr>
          <w:rFonts w:ascii="Times New Roman" w:cs="Times New Roman" w:eastAsia="Times New Roman" w:hAnsi="Times New Roman"/>
          <w:sz w:val="20"/>
          <w:szCs w:val="20"/>
          <w:color w:val="auto"/>
        </w:rPr>
        <w:t>”, or its equivalent</w:t>
      </w:r>
      <w:r>
        <w:rPr>
          <w:rFonts w:ascii="Times New Roman" w:cs="Times New Roman" w:eastAsia="Times New Roman" w:hAnsi="Times New Roman"/>
          <w:sz w:val="22"/>
          <w:szCs w:val="22"/>
          <w:color w:val="auto"/>
        </w:rPr>
        <w:t xml:space="preserve">, the Grantee will be deemed to have earned a number of Earned Performance Share Units equal to the greater of the Grantee’s Target Performance Share Units or the Grantee’s Earned Performance Share Units, with the Grantee’s Earned Performance Share Units determined by the Committee after taking into account </w:t>
      </w:r>
      <w:r>
        <w:rPr>
          <w:rFonts w:ascii="Times New Roman" w:cs="Times New Roman" w:eastAsia="Times New Roman" w:hAnsi="Times New Roman"/>
          <w:sz w:val="20"/>
          <w:szCs w:val="20"/>
          <w:color w:val="auto"/>
        </w:rPr>
        <w:t>the level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 xml:space="preserve">achievement of the Performance Metric or Performance Metrics set forth in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during the Performance Period and, if applicable, the relative weighting of the Performance Metric or Performance Metrics, </w:t>
      </w:r>
      <w:r>
        <w:rPr>
          <w:rFonts w:ascii="Times New Roman" w:cs="Times New Roman" w:eastAsia="Times New Roman" w:hAnsi="Times New Roman"/>
          <w:sz w:val="21"/>
          <w:szCs w:val="21"/>
          <w:color w:val="auto"/>
        </w:rPr>
        <w:t>based upon actual or projected performance,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Committee shall deem appropriate in its sole discretion. Such Earned Performance Share Units and any related Unpaid RSU Dividend Equivalents shall thereupon become vested and will be settled in accordance with Section 9 promptly following the occurrence of the Board Change or Control Purchase, but in any event no later than 30 days following such occurrence, or immediately prior to consummation of the Approved Transaction. The accelerated vesting and settlement contemplated by this clause (i) will be in full satisfaction of the Grantee’s rights hereunder.</w:t>
      </w:r>
    </w:p>
    <w:p>
      <w:pPr>
        <w:spacing w:after="0" w:line="180" w:lineRule="exact"/>
        <w:rPr>
          <w:rFonts w:ascii="Times New Roman" w:cs="Times New Roman" w:eastAsia="Times New Roman" w:hAnsi="Times New Roman"/>
          <w:sz w:val="22"/>
          <w:szCs w:val="22"/>
          <w:color w:val="auto"/>
        </w:rPr>
      </w:pPr>
    </w:p>
    <w:p>
      <w:pPr>
        <w:jc w:val="both"/>
        <w:ind w:firstLine="2020"/>
        <w:spacing w:after="0" w:line="247" w:lineRule="auto"/>
        <w:tabs>
          <w:tab w:leader="none" w:pos="2844"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Approved Transaction, Board Change or Control Purchase occurs during the Service Period, the Grantee’s remaining Earned Performance Share Units and any related Unpaid RSU Dividend Equivalents will vest and no longer be subject to a risk of forfeiture upon the occurrence of the Board Change or Control Purchase or immediately prior to consummation of the Approved Transaction. Such Earned Performance Share Units and any related Unpaid RSU Dividend Equivalents shall be settled in accordance with Section 9 promptly following the occurrence of the Board Change or Control Purchase, but in any event no later than 30 days following such occurrence, or immediately prior to consummation of the Approved Transaction. The accelerated vesting and settlement contemplated by this clause (ii) will be in full satisfaction of the Grantee’s rights hereunder.</w:t>
      </w:r>
    </w:p>
    <w:p>
      <w:pPr>
        <w:spacing w:after="0" w:line="186"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5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Approved Transaction, Board Change or Control Purchase occurs on or before the Grantee’s Termination of Service and the provisions of Section 7(a) do not apply because of the assumption or continuation of this Agreement as described therein, then the following will apply, subject to Section 8:</w:t>
      </w:r>
    </w:p>
    <w:p>
      <w:pPr>
        <w:spacing w:after="0" w:line="167" w:lineRule="exact"/>
        <w:rPr>
          <w:rFonts w:ascii="Times New Roman" w:cs="Times New Roman" w:eastAsia="Times New Roman" w:hAnsi="Times New Roman"/>
          <w:sz w:val="22"/>
          <w:szCs w:val="22"/>
          <w:color w:val="auto"/>
        </w:rPr>
      </w:pPr>
    </w:p>
    <w:p>
      <w:pPr>
        <w:jc w:val="both"/>
        <w:ind w:firstLine="1953"/>
        <w:spacing w:after="0" w:line="250" w:lineRule="auto"/>
        <w:tabs>
          <w:tab w:leader="none" w:pos="235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Approved Transaction, Board Change or Control Purchase occurs during the Performance Period, then provided that the Grantee’s Annual Performance Rating for any full year, if any, of the Performance Period prior to such event was not less than “Developing</w:t>
      </w:r>
      <w:r>
        <w:rPr>
          <w:rFonts w:ascii="Times New Roman" w:cs="Times New Roman" w:eastAsia="Times New Roman" w:hAnsi="Times New Roman"/>
          <w:sz w:val="20"/>
          <w:szCs w:val="20"/>
          <w:color w:val="auto"/>
        </w:rPr>
        <w:t>”, or its equivalent</w:t>
      </w:r>
      <w:r>
        <w:rPr>
          <w:rFonts w:ascii="Times New Roman" w:cs="Times New Roman" w:eastAsia="Times New Roman" w:hAnsi="Times New Roman"/>
          <w:sz w:val="22"/>
          <w:szCs w:val="22"/>
          <w:color w:val="auto"/>
        </w:rPr>
        <w:t xml:space="preserve">, the Grantee will thereupon be deemed to have earned a number of Earned Performance Share Units equal to the greater of the Grantee’s Target Performance Share Units and the Grantee’s Earned Performance Share Units, with the Grantee’s Earned Performance Share Units determined by taking into account </w:t>
      </w:r>
      <w:r>
        <w:rPr>
          <w:rFonts w:ascii="Times New Roman" w:cs="Times New Roman" w:eastAsia="Times New Roman" w:hAnsi="Times New Roman"/>
          <w:sz w:val="20"/>
          <w:szCs w:val="20"/>
          <w:color w:val="auto"/>
        </w:rPr>
        <w:t>the level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 xml:space="preserve">achievement of the Performance Metric or Performance Metrics set forth in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during the Performance Period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9" w:right="239" w:bottom="1440" w:gutter="0" w:footer="0" w:header="0"/>
        </w:sectPr>
      </w:pPr>
    </w:p>
    <w:bookmarkStart w:id="114" w:name="page115"/>
    <w:bookmarkEnd w:id="114"/>
    <w:p>
      <w:pPr>
        <w:jc w:val="both"/>
        <w:spacing w:after="0" w:line="268" w:lineRule="auto"/>
        <w:rPr>
          <w:sz w:val="20"/>
          <w:szCs w:val="20"/>
          <w:color w:val="auto"/>
        </w:rPr>
      </w:pPr>
      <w:r>
        <w:rPr>
          <w:rFonts w:ascii="Times New Roman" w:cs="Times New Roman" w:eastAsia="Times New Roman" w:hAnsi="Times New Roman"/>
          <w:sz w:val="21"/>
          <w:szCs w:val="21"/>
          <w:color w:val="auto"/>
        </w:rPr>
        <w:t>and, if applicable, the relative weighting of the Performance Metric or Performance Metrics, based upon actual or projected performance, as determined by the Committee in its sole discretion, and the Grantee shall continue to be subject to the service and vesting requirements of, and to have the rights otherwise provided under, this Agreement with respect to such Earned Performance Share Units.</w:t>
      </w:r>
    </w:p>
    <w:p>
      <w:pPr>
        <w:spacing w:after="0" w:line="164" w:lineRule="exact"/>
        <w:rPr>
          <w:sz w:val="20"/>
          <w:szCs w:val="20"/>
          <w:color w:val="auto"/>
        </w:rPr>
      </w:pPr>
    </w:p>
    <w:p>
      <w:pPr>
        <w:jc w:val="both"/>
        <w:ind w:firstLine="1953"/>
        <w:spacing w:after="0" w:line="263" w:lineRule="auto"/>
        <w:tabs>
          <w:tab w:leader="none" w:pos="2429"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Approved Transaction, Board Change or Control Purchase occurs during the Service Period, the Grantee will continue to have the rights otherwise provided under this Agreement with respect to the Earned Performance Share Units.</w:t>
      </w:r>
    </w:p>
    <w:p>
      <w:pPr>
        <w:spacing w:after="0" w:line="167" w:lineRule="exact"/>
        <w:rPr>
          <w:rFonts w:ascii="Times New Roman" w:cs="Times New Roman" w:eastAsia="Times New Roman" w:hAnsi="Times New Roman"/>
          <w:sz w:val="22"/>
          <w:szCs w:val="22"/>
          <w:color w:val="auto"/>
        </w:rPr>
      </w:pPr>
    </w:p>
    <w:p>
      <w:pPr>
        <w:jc w:val="both"/>
        <w:ind w:firstLine="1953"/>
        <w:spacing w:after="0" w:line="257" w:lineRule="auto"/>
        <w:tabs>
          <w:tab w:leader="none" w:pos="2462"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Service thereafter due to termination of the Grantee by the Company or any of its Subsidiaries for Cause or resignation by the Grantee, but excluding resignation as a result of Disability or for Good Reason, the Grantee shall, effective upon such Termination of Service, forfeit any then unvested Earned Performance Share Units and any related Unpaid RSU Dividend Equivalents, the Vesting Date for which has not yet occurred.</w:t>
      </w:r>
    </w:p>
    <w:p>
      <w:pPr>
        <w:spacing w:after="0" w:line="172" w:lineRule="exact"/>
        <w:rPr>
          <w:rFonts w:ascii="Times New Roman" w:cs="Times New Roman" w:eastAsia="Times New Roman" w:hAnsi="Times New Roman"/>
          <w:sz w:val="22"/>
          <w:szCs w:val="22"/>
          <w:color w:val="auto"/>
        </w:rPr>
      </w:pPr>
    </w:p>
    <w:p>
      <w:pPr>
        <w:jc w:val="both"/>
        <w:ind w:firstLine="1953"/>
        <w:spacing w:after="0" w:line="249" w:lineRule="auto"/>
        <w:tabs>
          <w:tab w:leader="none" w:pos="2464"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Service thereafter due to death, Disability or Retirement, resignation by the Grantee for Good Reason or termination by the Company or any of its Subsidiaries without Cause, then effective upon such Termination of Service, the Grantee’s then unvested Earned Performance Share Units and any related Unpaid RSU Dividend Equivalents shall become vested and no longer subject to a risk of forfeiture. Settlement in accordance with Section 9 of such Earned Performance Share Units and any related Unpaid RSU Dividend Equivalents will be made as soon as administratively practicable after the Termination of Service, but in no event later than March 15 of the calendar year immediately following the calendar year in which the Termination of Service occurred, without regard to whether such termination occurs during the Performance Period or the Service Period.</w:t>
      </w:r>
    </w:p>
    <w:p>
      <w:pPr>
        <w:spacing w:after="0" w:line="394"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Forfeiture and Recoupment Policy.</w:t>
      </w:r>
    </w:p>
    <w:p>
      <w:pPr>
        <w:spacing w:after="0" w:line="237" w:lineRule="exact"/>
        <w:rPr>
          <w:rFonts w:ascii="Times New Roman" w:cs="Times New Roman" w:eastAsia="Times New Roman" w:hAnsi="Times New Roman"/>
          <w:sz w:val="22"/>
          <w:szCs w:val="22"/>
          <w:b w:val="1"/>
          <w:bCs w:val="1"/>
          <w:color w:val="auto"/>
        </w:rPr>
      </w:pPr>
    </w:p>
    <w:p>
      <w:pPr>
        <w:jc w:val="both"/>
        <w:ind w:firstLine="1305"/>
        <w:spacing w:after="0" w:line="238" w:lineRule="auto"/>
        <w:tabs>
          <w:tab w:leader="none" w:pos="182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when the Grantee’s Termination of Service is due to death or Disability, the accelerated vesting of Performance Share Units contemplated or permitted by Sections 5, 6 and 7 shall be contingent upon execution by the Grantee, no later than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the Termination of Service, of a general release, non-solicitation agreement and confidentiality agreement and, if the Committee in its discretion so requires, a non-competition agreement, in each case in favor of the Company and its Subsidiaries and in substance and form approved by the Committee, which form shall be provided by the Company to the Grantee within 15 days after the Termination of Service.</w:t>
      </w:r>
    </w:p>
    <w:p>
      <w:pPr>
        <w:spacing w:after="0" w:line="195" w:lineRule="exact"/>
        <w:rPr>
          <w:rFonts w:ascii="Times New Roman" w:cs="Times New Roman" w:eastAsia="Times New Roman" w:hAnsi="Times New Roman"/>
          <w:sz w:val="22"/>
          <w:szCs w:val="22"/>
          <w:color w:val="auto"/>
        </w:rPr>
      </w:pPr>
    </w:p>
    <w:p>
      <w:pPr>
        <w:jc w:val="both"/>
        <w:ind w:firstLine="1305"/>
        <w:spacing w:after="0" w:line="253" w:lineRule="auto"/>
        <w:tabs>
          <w:tab w:leader="none" w:pos="185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breaches any restrictions, terms or conditions provided in or established by the Committee pursuant to the Plan or this Agreement with respect to the Performance Share Units prior to the vesting thereof (including any attempted or completed transfer of any such unvested Performance Share Units contrary to the terms of the Plan or this Agreement), the unvested Performance Share Units, together with any related Unpaid RSU Dividend Equivalents, will be forfeited immediately.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69" w:right="239" w:bottom="1440" w:gutter="0" w:footer="0" w:header="0"/>
        </w:sectPr>
      </w:pPr>
    </w:p>
    <w:bookmarkStart w:id="115" w:name="page116"/>
    <w:bookmarkEnd w:id="115"/>
    <w:p>
      <w:pPr>
        <w:jc w:val="both"/>
        <w:ind w:firstLine="1305"/>
        <w:spacing w:after="0" w:line="246" w:lineRule="auto"/>
        <w:tabs>
          <w:tab w:leader="none" w:pos="175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consolidated financial statements for any of the years taken into account in the Performance Metrics are required to be restated at any time as a result of an error (whether or not involving fraud or misconduct) and the Committee determines that if the financial results had been properly reported the number of Earned Performance Share Units would have been lower, then the Grantee shall be required to forfeit the excess amount of his or her Earned Performance Share Units, together with any related Unpaid RSU Dividend Equivalents, or to refund any amounts previously delivered to the Grantee. The Grantee’s excess amount will be allocated ratably across the portions of his or her Earned Performance Share Units previously settled and the portions remaining to be settled, unless otherwise determined by the Committee. The amount allocated to portions of the Grantee’s Earned Performance Share Units that have previously been settled shall be promptly refunded to the Company by the Grantee in cash or by transfer of a number of Shares with a Fair Market Value as of the date transferred to the Company that is equal to the Fair Market Value of the Shares as of the date such shares were previously issued or transferred in settlement of the Earned Performance Share Units and the value of any RSU Dividend Equivalents previously paid with respect thereto. The Company shall have the right, exercisable in the Committee’s discretion, to offset, or cause to be offset, any amounts that the Grantee is required to refund to the Company pursuant to this Section 8(c) against any amounts otherwise owed by the Company or any of its subsidiaries to the Grantee.</w:t>
      </w:r>
    </w:p>
    <w:p>
      <w:pPr>
        <w:spacing w:after="0" w:line="191"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42"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forfeiture of any Target Performance Share Units or Earned Performance Share Units, such Performance Share Units and any related Unpaid RSU Dividend Equivalents will be immediately cancelled, and the Grantee will cease to have any rights hereunder with respect thereto.</w:t>
      </w:r>
    </w:p>
    <w:p>
      <w:pPr>
        <w:spacing w:after="0" w:line="163" w:lineRule="exact"/>
        <w:rPr>
          <w:rFonts w:ascii="Times New Roman" w:cs="Times New Roman" w:eastAsia="Times New Roman" w:hAnsi="Times New Roman"/>
          <w:sz w:val="22"/>
          <w:szCs w:val="22"/>
          <w:color w:val="auto"/>
        </w:rPr>
      </w:pPr>
    </w:p>
    <w:p>
      <w:pPr>
        <w:jc w:val="both"/>
        <w:ind w:firstLine="8"/>
        <w:spacing w:after="0" w:line="254" w:lineRule="auto"/>
        <w:tabs>
          <w:tab w:leader="none" w:pos="45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Vested Performance Share Units</w:t>
      </w:r>
      <w:r>
        <w:rPr>
          <w:rFonts w:ascii="Times New Roman" w:cs="Times New Roman" w:eastAsia="Times New Roman" w:hAnsi="Times New Roman"/>
          <w:sz w:val="22"/>
          <w:szCs w:val="22"/>
          <w:color w:val="auto"/>
        </w:rPr>
        <w:t>. Except as otherwise provided in Section 6 and Section 7, settlement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Share Units that vest in accordance with this Agreement shall be made as soon as administratively practicable after the applicable Vesting Date, but in no event later than the Section 409A Cap Payment Date applicable to such Vesting Date. Settlement of vested Performance Share Units shall be made in payment of Shares, together with any related Unpaid RSU Dividend Equivalents, in accordance with Section 11.</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48" w:lineRule="auto"/>
        <w:tabs>
          <w:tab w:leader="none" w:pos="531"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Shareholder Rights; RSU Dividend Equivalents</w:t>
      </w:r>
      <w:r>
        <w:rPr>
          <w:rFonts w:ascii="Times New Roman" w:cs="Times New Roman" w:eastAsia="Times New Roman" w:hAnsi="Times New Roman"/>
          <w:sz w:val="22"/>
          <w:szCs w:val="22"/>
          <w:color w:val="auto"/>
        </w:rPr>
        <w:t>. The Grantee shall have no rights of a Shareholder with respect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represented by any Performance Share Units unless and until such time as Shares represented by vested Performance Share Units have been delivered to the Grantee in accordance with Section 9. The Grantee will have no right to receive, or otherwise with respect to, any RSU Dividend Equivalents until such time, if ever, as the Performance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calendar year following the calendar year in which the Vested RSU Dividend Equivalents became vested.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369" w:right="239" w:bottom="1440" w:gutter="0" w:footer="0" w:header="0"/>
        </w:sectPr>
      </w:pPr>
    </w:p>
    <w:bookmarkStart w:id="116" w:name="page117"/>
    <w:bookmarkEnd w:id="116"/>
    <w:p>
      <w:pPr>
        <w:jc w:val="both"/>
        <w:ind w:firstLine="8"/>
        <w:spacing w:after="0" w:line="246" w:lineRule="auto"/>
        <w:tabs>
          <w:tab w:leader="none" w:pos="50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Delivery by Company. </w:t>
      </w:r>
      <w:r>
        <w:rPr>
          <w:rFonts w:ascii="Times New Roman" w:cs="Times New Roman" w:eastAsia="Times New Roman" w:hAnsi="Times New Roman"/>
          <w:sz w:val="22"/>
          <w:szCs w:val="22"/>
          <w:color w:val="auto"/>
        </w:rPr>
        <w:t>As soon as practicable after the vesting of Performance Share Units, and any related Unpaid RSU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 Equivalents, and subject to the withholding referred to in Section 17 of this Agreement, the Company will deliver or cause to be delivered to or at the direction of the Grantee (i)(a) a certificate or certificates issued or transferred in the Grantee’s name for the Shares represented by such vested Performance Share Units, (b) a statement of holdings reflecting that the Shares represented by such vested Performance Share Units are held for the benefit of the Grantee in uncertificated form by a third party service provider designated by the Company, or (c) a confirmation of deposit of the Shares represented by such vested Performance Share Units, in book-entry form, into the broker’s account designated by the Grantee,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delivered personally to the Grantee or, if delivery is by mail, when the Company or its share transfer agent has deposited the certificate or statement of holdings and/or such other documents in the United States or local country mail, addressed to the Grantee,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mail, addressed to the Grantee or his or her nominee.</w:t>
      </w:r>
    </w:p>
    <w:p>
      <w:pPr>
        <w:spacing w:after="0" w:line="183" w:lineRule="exact"/>
        <w:rPr>
          <w:rFonts w:ascii="Times New Roman" w:cs="Times New Roman" w:eastAsia="Times New Roman" w:hAnsi="Times New Roman"/>
          <w:sz w:val="22"/>
          <w:szCs w:val="22"/>
          <w:b w:val="1"/>
          <w:bCs w:val="1"/>
          <w:color w:val="auto"/>
        </w:rPr>
      </w:pPr>
    </w:p>
    <w:p>
      <w:pPr>
        <w:ind w:left="1100" w:hanging="444"/>
        <w:spacing w:after="0"/>
        <w:tabs>
          <w:tab w:leader="none" w:pos="1100"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Performance Share Units Before Vesting</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jc w:val="both"/>
        <w:ind w:firstLine="1305"/>
        <w:spacing w:after="0" w:line="251" w:lineRule="auto"/>
        <w:tabs>
          <w:tab w:leader="none" w:pos="1784"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vesting and during the Grantee’s lifetime, the Performance Share Units and any related Unpaid RSU Dividend Equivalents may not be sold, assigned, transferred by gift or otherwise, pledged, exchanged, encumbered or disposed of (voluntarily or involuntarily), other than an assignment pursuant to a Domestic Relations Order. In the event of an assignment pursuant to a Domestic Relations Order, the unvested Performance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81" w:lineRule="exact"/>
        <w:rPr>
          <w:rFonts w:ascii="Times New Roman" w:cs="Times New Roman" w:eastAsia="Times New Roman" w:hAnsi="Times New Roman"/>
          <w:sz w:val="22"/>
          <w:szCs w:val="22"/>
          <w:color w:val="auto"/>
        </w:rPr>
      </w:pPr>
    </w:p>
    <w:p>
      <w:pPr>
        <w:jc w:val="both"/>
        <w:ind w:firstLine="1305"/>
        <w:spacing w:after="0" w:line="249" w:lineRule="auto"/>
        <w:tabs>
          <w:tab w:leader="none" w:pos="1769"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may designate a beneficiary or beneficiaries to whom the Performance Share Units, to the extent then vested, and any related Unpaid RSU Dividend Equivalents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Performance Share Units, to the extent then vested, and any related Unpaid RSU Dividend Equivalents will pass by will or the laws of descent and distribution. Following the Grantee’s death, the person to whom such vested Performance Share Units and any related Unpaid RSU Dividend Equivalents pass according to</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365" w:right="239" w:bottom="1440" w:gutter="0" w:footer="0" w:header="0"/>
        </w:sectPr>
      </w:pPr>
    </w:p>
    <w:bookmarkStart w:id="117" w:name="page118"/>
    <w:bookmarkEnd w:id="117"/>
    <w:p>
      <w:pPr>
        <w:spacing w:after="0" w:line="271" w:lineRule="auto"/>
        <w:rPr>
          <w:sz w:val="20"/>
          <w:szCs w:val="20"/>
          <w:color w:val="auto"/>
        </w:rPr>
      </w:pPr>
      <w:r>
        <w:rPr>
          <w:rFonts w:ascii="Times New Roman" w:cs="Times New Roman" w:eastAsia="Times New Roman" w:hAnsi="Times New Roman"/>
          <w:sz w:val="22"/>
          <w:szCs w:val="22"/>
          <w:color w:val="auto"/>
        </w:rPr>
        <w:t>the foregoing will be deemed the Grantee for purposes of any applicable provisions of this Agreement. [CLICK HERE TO ACCESS THE DESIGNATION OF BENEFICIARY FORM.]</w:t>
      </w:r>
    </w:p>
    <w:p>
      <w:pPr>
        <w:spacing w:after="0" w:line="154" w:lineRule="exact"/>
        <w:rPr>
          <w:sz w:val="20"/>
          <w:szCs w:val="20"/>
          <w:color w:val="auto"/>
        </w:rPr>
      </w:pPr>
    </w:p>
    <w:p>
      <w:pPr>
        <w:jc w:val="both"/>
        <w:ind w:firstLine="8"/>
        <w:spacing w:after="0" w:line="265" w:lineRule="auto"/>
        <w:tabs>
          <w:tab w:leader="none" w:pos="464"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The Performance Share Units and any related Unpaid RSU Dividend Equivalents will be subject to adjustment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4.2 of the Plan in such manner as the Committee may deem equitable and appropriate in connection with the occurrence following the Grant Date of any of the events described in Section 4.2 of the Plan.</w:t>
      </w:r>
    </w:p>
    <w:p>
      <w:pPr>
        <w:spacing w:after="0" w:line="161" w:lineRule="exact"/>
        <w:rPr>
          <w:rFonts w:ascii="Times New Roman" w:cs="Times New Roman" w:eastAsia="Times New Roman" w:hAnsi="Times New Roman"/>
          <w:sz w:val="22"/>
          <w:szCs w:val="22"/>
          <w:b w:val="1"/>
          <w:bCs w:val="1"/>
          <w:color w:val="auto"/>
        </w:rPr>
      </w:pPr>
    </w:p>
    <w:p>
      <w:pPr>
        <w:ind w:firstLine="8"/>
        <w:spacing w:after="0" w:line="288" w:lineRule="auto"/>
        <w:tabs>
          <w:tab w:leader="none" w:pos="491"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Company’s Rights. </w:t>
      </w:r>
      <w:r>
        <w:rPr>
          <w:rFonts w:ascii="Times New Roman" w:cs="Times New Roman" w:eastAsia="Times New Roman" w:hAnsi="Times New Roman"/>
          <w:sz w:val="22"/>
          <w:szCs w:val="22"/>
          <w:color w:val="auto"/>
        </w:rPr>
        <w:t>The existence of this Agreement will not affect in any way the right or power of the Company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Shareholders to accomplish any corporate act, including, without limitation, the acts referred to in Section 11.16 of the Plan.</w:t>
      </w:r>
    </w:p>
    <w:p>
      <w:pPr>
        <w:spacing w:after="0" w:line="135" w:lineRule="exact"/>
        <w:rPr>
          <w:rFonts w:ascii="Times New Roman" w:cs="Times New Roman" w:eastAsia="Times New Roman" w:hAnsi="Times New Roman"/>
          <w:sz w:val="22"/>
          <w:szCs w:val="22"/>
          <w:b w:val="1"/>
          <w:bCs w:val="1"/>
          <w:color w:val="auto"/>
        </w:rPr>
      </w:pPr>
    </w:p>
    <w:p>
      <w:pPr>
        <w:jc w:val="both"/>
        <w:ind w:firstLine="8"/>
        <w:spacing w:after="0" w:line="249" w:lineRule="auto"/>
        <w:tabs>
          <w:tab w:leader="none" w:pos="477"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Limitation of Rights; Executive Share Ownership Policy. </w:t>
      </w:r>
      <w:r>
        <w:rPr>
          <w:rFonts w:ascii="Times New Roman" w:cs="Times New Roman" w:eastAsia="Times New Roman" w:hAnsi="Times New Roman"/>
          <w:sz w:val="22"/>
          <w:szCs w:val="22"/>
          <w:color w:val="auto"/>
        </w:rPr>
        <w:t>Nothing in this Agreement or the Plan will be construed to give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Grantee any right to be granted any future Award other than in the sole discretion of the Committee or give the Grantee or any other person any interest in any fund or in any specified asset or assets of the Company or any of its Subsidiaries. Neither the Grantee nor any person claiming through the Grantee will have any right or interest in Shares represented by any Performance Share Units or any related Unpaid RSU Dividend Equivalents unless and until there shall have been full compliance with all the terms, conditions and provisions of this Agreement and the Plan. Grantee acknowledges and agrees that the transfer by Grantee of the Shares received upon vesting of Performance Share Units shall be subject to Grantee’s compliance with the Company’s Executive Share Ownership Policy, as in effect from time to time.</w:t>
      </w:r>
    </w:p>
    <w:p>
      <w:pPr>
        <w:spacing w:after="0" w:line="182" w:lineRule="exact"/>
        <w:rPr>
          <w:rFonts w:ascii="Times New Roman" w:cs="Times New Roman" w:eastAsia="Times New Roman" w:hAnsi="Times New Roman"/>
          <w:sz w:val="22"/>
          <w:szCs w:val="22"/>
          <w:b w:val="1"/>
          <w:bCs w:val="1"/>
          <w:color w:val="auto"/>
        </w:rPr>
      </w:pPr>
    </w:p>
    <w:p>
      <w:pPr>
        <w:jc w:val="both"/>
        <w:ind w:firstLine="8"/>
        <w:spacing w:after="0" w:line="249" w:lineRule="auto"/>
        <w:tabs>
          <w:tab w:leader="none" w:pos="599"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Restrictions Imposed by Law. </w:t>
      </w:r>
      <w:r>
        <w:rPr>
          <w:rFonts w:ascii="Times New Roman" w:cs="Times New Roman" w:eastAsia="Times New Roman" w:hAnsi="Times New Roman"/>
          <w:sz w:val="22"/>
          <w:szCs w:val="22"/>
          <w:color w:val="auto"/>
        </w:rPr>
        <w:t>Without limiting the generality of Section 11.8 of the Plan, the Company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obligated to deliver any Shares represented by vested Performance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Shares or such other securities are listed. The Company will in no event be obligated to take any affirmative action in order to cause the delivery of Shares represented by vested Performance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applicable securities laws.</w:t>
      </w:r>
    </w:p>
    <w:p>
      <w:pPr>
        <w:spacing w:after="0" w:line="176" w:lineRule="exact"/>
        <w:rPr>
          <w:rFonts w:ascii="Times New Roman" w:cs="Times New Roman" w:eastAsia="Times New Roman" w:hAnsi="Times New Roman"/>
          <w:sz w:val="22"/>
          <w:szCs w:val="22"/>
          <w:b w:val="1"/>
          <w:bCs w:val="1"/>
          <w:color w:val="auto"/>
        </w:rPr>
      </w:pPr>
    </w:p>
    <w:p>
      <w:pPr>
        <w:ind w:left="1100" w:hanging="444"/>
        <w:spacing w:after="0"/>
        <w:tabs>
          <w:tab w:leader="none" w:pos="1100" w:val="left"/>
        </w:tabs>
        <w:numPr>
          <w:ilvl w:val="1"/>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w:t>
      </w:r>
    </w:p>
    <w:p>
      <w:pPr>
        <w:spacing w:after="0" w:line="237" w:lineRule="exact"/>
        <w:rPr>
          <w:rFonts w:ascii="Times New Roman" w:cs="Times New Roman" w:eastAsia="Times New Roman" w:hAnsi="Times New Roman"/>
          <w:sz w:val="22"/>
          <w:szCs w:val="22"/>
          <w:b w:val="1"/>
          <w:bCs w:val="1"/>
          <w:color w:val="auto"/>
        </w:rPr>
      </w:pPr>
    </w:p>
    <w:p>
      <w:pPr>
        <w:jc w:val="both"/>
        <w:ind w:firstLine="1305"/>
        <w:spacing w:after="0" w:line="268" w:lineRule="auto"/>
        <w:tabs>
          <w:tab w:leader="none" w:pos="1991" w:val="left"/>
        </w:tabs>
        <w:numPr>
          <w:ilvl w:val="2"/>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Company is subject to withholding tax or employee social security withholding requirements under any national, state, local or other governmental law with respect to the award of the Performance Share Units to the Grantee or the vesting thereof, or the designation of any RSU Dividend Equivalents as payable or distributable or the payment or distribution thereof, the Grantee must make arrangements satisfactory to the Company to make payment to the Company of the amount required to be withheld under such tax laws or employer social security contribution laws, as determined by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369" w:right="239" w:bottom="1440" w:gutter="0" w:footer="0" w:header="0"/>
        </w:sectPr>
      </w:pPr>
    </w:p>
    <w:bookmarkStart w:id="118" w:name="page119"/>
    <w:bookmarkEnd w:id="118"/>
    <w:p>
      <w:pPr>
        <w:jc w:val="both"/>
        <w:spacing w:after="0" w:line="258" w:lineRule="auto"/>
        <w:rPr>
          <w:sz w:val="20"/>
          <w:szCs w:val="20"/>
          <w:color w:val="auto"/>
        </w:rPr>
      </w:pPr>
      <w:r>
        <w:rPr>
          <w:rFonts w:ascii="Times New Roman" w:cs="Times New Roman" w:eastAsia="Times New Roman" w:hAnsi="Times New Roman"/>
          <w:sz w:val="21"/>
          <w:szCs w:val="21"/>
          <w:color w:val="auto"/>
        </w:rPr>
        <w:t>(collectively, the “Required Withholding Amount”). To the extent such withholding is required because the Grantee vests in some or all of the Performance Share Units and any related RSU Dividend Equivalents, the Company shall withhold (i) from the Shares represented by vested Performance Share Units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(subject to compliance with applicable law, including, but not limited to, “financial assistance” prohibitions under UK law),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Earned Performance Share Units through a sale arranged by the Company (on the Grantee’s behalf pursuant to this authorization without further consent). Notwithstanding any other provisions of this Agreement, the delivery of any shares of [TICKER SYMBOL] represented by vested Performance Share Units and any related RSU Dividend Equivalents may be postponed until any required withholding taxes have been paid to the Company.</w:t>
      </w:r>
    </w:p>
    <w:p>
      <w:pPr>
        <w:spacing w:after="0" w:line="174" w:lineRule="exact"/>
        <w:rPr>
          <w:sz w:val="20"/>
          <w:szCs w:val="20"/>
          <w:color w:val="auto"/>
        </w:rPr>
      </w:pPr>
    </w:p>
    <w:p>
      <w:pPr>
        <w:jc w:val="both"/>
        <w:ind w:firstLine="1305"/>
        <w:spacing w:after="0" w:line="247" w:lineRule="auto"/>
        <w:tabs>
          <w:tab w:leader="none" w:pos="175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17(a).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84"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1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prior to the Vesting Date, the benefit payable under this Agreement is subject to a substantial risk of forfeiture within the meaning of Section 409A and Regulation 1.409A-1(d) (or any successor Regulation). Accordingly, this Agreement is not subject to Section 409A under the short term deferral exclusion. Notwithstanding any other provision of this Agreement, if Grantee is a “specified employee” as such term is defined in Section 409A, and determined as described below, any amounts that would otherwise be payable hereunder as nonqualified deferred compensation within the meaning of Section 409A on account of Termination of Service (other than by reason of death) to the Grantee shall not be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369" w:right="239" w:bottom="1440" w:gutter="0" w:footer="0" w:header="0"/>
        </w:sectPr>
      </w:pPr>
    </w:p>
    <w:bookmarkStart w:id="119" w:name="page120"/>
    <w:bookmarkEnd w:id="119"/>
    <w:p>
      <w:pPr>
        <w:jc w:val="both"/>
        <w:spacing w:after="0" w:line="252" w:lineRule="auto"/>
        <w:rPr>
          <w:sz w:val="20"/>
          <w:szCs w:val="20"/>
          <w:color w:val="auto"/>
        </w:rPr>
      </w:pPr>
      <w:r>
        <w:rPr>
          <w:rFonts w:ascii="Times New Roman" w:cs="Times New Roman" w:eastAsia="Times New Roman" w:hAnsi="Times New Roman"/>
          <w:sz w:val="22"/>
          <w:szCs w:val="22"/>
          <w:color w:val="auto"/>
        </w:rPr>
        <w:t>payable before the earlier of (i) the date that is six months after the date of the Grantee’s Termination of Service, (ii) the date of the Grantee’s death or (iii) the date that otherwise complies with the requirements of Section 409A. The Grantee shall be deemed a “specified employee” for the twelve-month period beginning on April 1 of a year if the Grantee is a “key employee” as defined in Section 416(i) of the Code (without regard to Section 416(i)(5)) as of December 31 of the preceding year.</w:t>
      </w:r>
    </w:p>
    <w:p>
      <w:pPr>
        <w:spacing w:after="0" w:line="180" w:lineRule="exact"/>
        <w:rPr>
          <w:sz w:val="20"/>
          <w:szCs w:val="20"/>
          <w:color w:val="auto"/>
        </w:rPr>
      </w:pPr>
    </w:p>
    <w:p>
      <w:pPr>
        <w:jc w:val="both"/>
        <w:ind w:firstLine="1305"/>
        <w:spacing w:after="0" w:line="250" w:lineRule="auto"/>
        <w:tabs>
          <w:tab w:leader="none" w:pos="172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17(e) or 17(f), in the event it shall be determined that any payment or distribution in the nature of compensation (within the meaning of Section 280G(b)(2) of the Code) to or for the benefit of the Grantee pursuant to this Agreement (“Payment”), would be subject to the excise tax imposed by Section 4999 of the Code, or any interest or penalties with respect to such excise tax (such excise tax, together with any such interest or penalties, are hereinafter collectively referred to as the “Excise Tax”), then the amount of “parachute payments” (as defined in Section 280G of the Code) payable or required to be provided to the Grantee under this Agreement shall be automatically reduced (a “Reduction”) to the minimum extent necessary to avoid imposition of such Excise Tax.</w:t>
      </w:r>
    </w:p>
    <w:p>
      <w:pPr>
        <w:spacing w:after="0" w:line="181" w:lineRule="exact"/>
        <w:rPr>
          <w:rFonts w:ascii="Times New Roman" w:cs="Times New Roman" w:eastAsia="Times New Roman" w:hAnsi="Times New Roman"/>
          <w:sz w:val="22"/>
          <w:szCs w:val="22"/>
          <w:color w:val="auto"/>
        </w:rPr>
      </w:pPr>
    </w:p>
    <w:p>
      <w:pPr>
        <w:jc w:val="both"/>
        <w:ind w:firstLine="1305"/>
        <w:spacing w:after="0" w:line="258" w:lineRule="auto"/>
        <w:tabs>
          <w:tab w:leader="none" w:pos="1716"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to the contrary, if a Reduction under Section 17(d) of the amount payable under this Agreement and any similar reduction made pursuant to the terms of any other award of Restricted Shares under the Plan or any similar incentive plan adopted by the Company would result in the amount of parachute payments being reduced by twenty percent (20%) or more of the aggregate parachute payments made to the Grantee under this Agreement and any such other arrangement, then no Reduction shall apply and the Grantee shall be entitled to receive an additional payment (a “Gross-Up Payment”) in an amount such that, after payment (whether through withholding at the source or otherwise) by the Grantee of all federal, state or local taxes (including any interest or penalties imposed with respect to such taxes), including, without limitation, any income taxes (and any interest and penalties imposed with respect thereto), employment taxes and Excise Tax imposed upon the Gross-Up Payment, the Grantee retains an amount of the Gross-Up Payment equal to the Excise Tax imposed on the Payment. Any Gross-up Payment shall be made by the end of the Company’s taxable year next following the Grantee’s taxable year in which the Grantee pays the Excise Tax. For purposes of determining the Excise Tax attributable to the Payment, no portion of the “base amount” (within the meaning of Section 280G(b)(3) of the Code) shall be deemed to be allocable to the Payment so as to reduce the amount of the Gross-Up Payment. All determinations required to be made under this Section 17(e) shall be made by the Company’s accounting firm (the “Accounting Firm”). The Accounting Firm shall provide detailed supporting calculations both to the Company and the Grantee. All fees and expenses of the Accounting Firm shall be borne solely by the Company. Absent manifest error, any determination by the Accounting Firm shall be binding upon the Company and the Grantee.</w:t>
      </w:r>
    </w:p>
    <w:p>
      <w:pPr>
        <w:spacing w:after="0" w:line="181" w:lineRule="exact"/>
        <w:rPr>
          <w:rFonts w:ascii="Times New Roman" w:cs="Times New Roman" w:eastAsia="Times New Roman" w:hAnsi="Times New Roman"/>
          <w:sz w:val="21"/>
          <w:szCs w:val="21"/>
          <w:color w:val="auto"/>
        </w:rPr>
      </w:pPr>
    </w:p>
    <w:p>
      <w:pPr>
        <w:jc w:val="both"/>
        <w:ind w:firstLine="1305"/>
        <w:spacing w:after="0" w:line="257" w:lineRule="auto"/>
        <w:tabs>
          <w:tab w:leader="none" w:pos="169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Grantee is a party to or participant in any other plan or arrangement that provides for a gross-up payment to mitigate the impact of the excise tax imposed by Section 4999 of the Code, or any interest or penalties with respect to such excise tax, then (i) the provisions of Section 17(d) above shall be applied without taking into account any parachute payments payable under such plan or arrangement, and (ii) the provisions of Section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369" w:right="239" w:bottom="1440" w:gutter="0" w:footer="0" w:header="0"/>
        </w:sectPr>
      </w:pPr>
    </w:p>
    <w:bookmarkStart w:id="120" w:name="page121"/>
    <w:bookmarkEnd w:id="120"/>
    <w:p>
      <w:pPr>
        <w:spacing w:after="0" w:line="271" w:lineRule="auto"/>
        <w:rPr>
          <w:sz w:val="20"/>
          <w:szCs w:val="20"/>
          <w:color w:val="auto"/>
        </w:rPr>
      </w:pPr>
      <w:r>
        <w:rPr>
          <w:rFonts w:ascii="Times New Roman" w:cs="Times New Roman" w:eastAsia="Times New Roman" w:hAnsi="Times New Roman"/>
          <w:sz w:val="22"/>
          <w:szCs w:val="22"/>
          <w:color w:val="auto"/>
        </w:rPr>
        <w:t>17(e) above shall apply without reference to the amount of any gross-up payment made to the Grantee pursuant to that plan or arrangement.</w:t>
      </w:r>
    </w:p>
    <w:p>
      <w:pPr>
        <w:spacing w:after="0" w:line="154" w:lineRule="exact"/>
        <w:rPr>
          <w:sz w:val="20"/>
          <w:szCs w:val="20"/>
          <w:color w:val="auto"/>
        </w:rPr>
      </w:pPr>
    </w:p>
    <w:p>
      <w:pPr>
        <w:jc w:val="both"/>
        <w:ind w:firstLine="8"/>
        <w:spacing w:after="0" w:line="284" w:lineRule="auto"/>
        <w:tabs>
          <w:tab w:leader="none" w:pos="450" w:val="left"/>
        </w:tabs>
        <w:numPr>
          <w:ilvl w:val="0"/>
          <w:numId w:val="1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Unless the Company notifies the Grantee in writing of a different procedure, any notice or other communication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with respect to this Agreement will be in writing and will be delivered personally or sent by United States first class or local country mail, postage prepaid, sent by overnight courier, freight prepaid or sent by facsimile and addressed as follows: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Liberty Global plc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1550 Wewatta Street, Suite 1000</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Denver, CO 80202</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Fax: 303-220-6691</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76" w:lineRule="exact"/>
        <w:rPr>
          <w:sz w:val="20"/>
          <w:szCs w:val="20"/>
          <w:color w:val="auto"/>
        </w:rPr>
      </w:pPr>
    </w:p>
    <w:p>
      <w:pPr>
        <w:ind w:firstLine="8"/>
        <w:spacing w:after="0" w:line="288" w:lineRule="auto"/>
        <w:tabs>
          <w:tab w:leader="none" w:pos="518"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Notwithstanding any other provision hereof, this Agreement may be supplemented or amended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as approved by the Committee. Without limiting the generality of the foregoing, without the consent of the Grantee,</w:t>
      </w:r>
    </w:p>
    <w:p>
      <w:pPr>
        <w:spacing w:after="0" w:line="139" w:lineRule="exact"/>
        <w:rPr>
          <w:rFonts w:ascii="Times New Roman" w:cs="Times New Roman" w:eastAsia="Times New Roman" w:hAnsi="Times New Roman"/>
          <w:sz w:val="22"/>
          <w:szCs w:val="22"/>
          <w:b w:val="1"/>
          <w:bCs w:val="1"/>
          <w:color w:val="auto"/>
        </w:rPr>
      </w:pPr>
    </w:p>
    <w:p>
      <w:pPr>
        <w:jc w:val="both"/>
        <w:ind w:firstLine="1305"/>
        <w:spacing w:after="0" w:line="248" w:lineRule="auto"/>
        <w:tabs>
          <w:tab w:leader="none" w:pos="1743"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11.18 of the Plan or to exempt the Award made hereunder from coverage under Section 409A, or (iv) to make such other changes as the Company, upon advice of counsel, determines are necessary or advisable because of the adoption or promulgation of, or change in or of the interpretation of, any law or governmental rule or regulation, including any applicable tax or securities laws; and</w:t>
      </w:r>
    </w:p>
    <w:p>
      <w:pPr>
        <w:spacing w:after="0" w:line="186"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28"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required action by the Board or the Shareholders, the Performance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Performance Share Units that are then vested.</w:t>
      </w:r>
    </w:p>
    <w:p>
      <w:pPr>
        <w:spacing w:after="0" w:line="168"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1"/>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Grantee Employment or Service.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369" w:right="239" w:bottom="1440" w:gutter="0" w:footer="0" w:header="0"/>
        </w:sectPr>
      </w:pPr>
    </w:p>
    <w:bookmarkStart w:id="121" w:name="page122"/>
    <w:bookmarkEnd w:id="121"/>
    <w:p>
      <w:pPr>
        <w:jc w:val="both"/>
        <w:ind w:firstLine="1305"/>
        <w:spacing w:after="0" w:line="251" w:lineRule="auto"/>
        <w:tabs>
          <w:tab w:leader="none" w:pos="1716"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or service agreement to the contrary, to terminate the Grantee’s employment or service at any time, with or without cause, or to increase or decrease the Grantee’s compensation from the rate in effect at the date hereof or to change the Grantee’s title or duties.</w:t>
      </w:r>
    </w:p>
    <w:p>
      <w:pPr>
        <w:spacing w:after="0" w:line="181"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69"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or service agreement or arrangement with the Grantee.</w:t>
      </w:r>
    </w:p>
    <w:p>
      <w:pPr>
        <w:spacing w:after="0" w:line="172" w:lineRule="exact"/>
        <w:rPr>
          <w:rFonts w:ascii="Times New Roman" w:cs="Times New Roman" w:eastAsia="Times New Roman" w:hAnsi="Times New Roman"/>
          <w:sz w:val="22"/>
          <w:szCs w:val="22"/>
          <w:color w:val="auto"/>
        </w:rPr>
      </w:pPr>
    </w:p>
    <w:p>
      <w:pPr>
        <w:jc w:val="both"/>
        <w:ind w:firstLine="1305"/>
        <w:spacing w:after="0" w:line="248" w:lineRule="auto"/>
        <w:tabs>
          <w:tab w:leader="none" w:pos="1838"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Sections 5, 6 and 7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or service agreement or arrangement, if any. The rights and obligations of the Grantee under the terms of his or her employment or service agreement, if any, will not be enhanced hereby.</w:t>
      </w:r>
    </w:p>
    <w:p>
      <w:pPr>
        <w:spacing w:after="0" w:line="186" w:lineRule="exact"/>
        <w:rPr>
          <w:rFonts w:ascii="Times New Roman" w:cs="Times New Roman" w:eastAsia="Times New Roman" w:hAnsi="Times New Roman"/>
          <w:sz w:val="22"/>
          <w:szCs w:val="22"/>
          <w:color w:val="auto"/>
        </w:rPr>
      </w:pPr>
    </w:p>
    <w:p>
      <w:pPr>
        <w:ind w:firstLine="1305"/>
        <w:spacing w:after="0" w:line="284" w:lineRule="auto"/>
        <w:tabs>
          <w:tab w:leader="none" w:pos="1783"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inconsistency between the terms hereof or of the Plan and any employment, severance or other agreement with the Grantee, the terms hereof and of the Plan shall control.</w:t>
      </w:r>
    </w:p>
    <w:p>
      <w:pPr>
        <w:spacing w:after="0" w:line="140" w:lineRule="exact"/>
        <w:rPr>
          <w:rFonts w:ascii="Times New Roman" w:cs="Times New Roman" w:eastAsia="Times New Roman" w:hAnsi="Times New Roman"/>
          <w:sz w:val="22"/>
          <w:szCs w:val="22"/>
          <w:color w:val="auto"/>
        </w:rPr>
      </w:pPr>
    </w:p>
    <w:p>
      <w:pPr>
        <w:jc w:val="both"/>
        <w:ind w:firstLine="656"/>
        <w:spacing w:after="0" w:line="254" w:lineRule="auto"/>
        <w:tabs>
          <w:tab w:leader="none" w:pos="1193"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Nonalienation of Benefits</w:t>
      </w:r>
      <w:r>
        <w:rPr>
          <w:rFonts w:ascii="Times New Roman" w:cs="Times New Roman" w:eastAsia="Times New Roman" w:hAnsi="Times New Roman"/>
          <w:sz w:val="22"/>
          <w:szCs w:val="22"/>
          <w:color w:val="auto"/>
        </w:rPr>
        <w:t>. Except as provided in Section 12 of this Agreement, (i) no right or benefit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subject to 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73" w:lineRule="exact"/>
        <w:rPr>
          <w:rFonts w:ascii="Times New Roman" w:cs="Times New Roman" w:eastAsia="Times New Roman" w:hAnsi="Times New Roman"/>
          <w:sz w:val="22"/>
          <w:szCs w:val="22"/>
          <w:b w:val="1"/>
          <w:bCs w:val="1"/>
          <w:color w:val="auto"/>
        </w:rPr>
      </w:pPr>
    </w:p>
    <w:p>
      <w:pPr>
        <w:ind w:left="1100" w:hanging="444"/>
        <w:spacing w:after="0"/>
        <w:tabs>
          <w:tab w:leader="none" w:pos="110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jc w:val="both"/>
        <w:ind w:firstLine="1305"/>
        <w:spacing w:after="0" w:line="257" w:lineRule="auto"/>
        <w:tabs>
          <w:tab w:leader="none" w:pos="1905"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Grantee’s acceptance hereof shall evidence the Grantee’s explicit and unambiguous consent to the collection, use and transfer, in electronic or other form, of the Grantee’s personal data by and among, as applicable, the Grantee’s employer (the “Employer”) and the Company and its subsidiaries and affiliates for the exclusive purpose of implementing, administering and managing the Grantee’s participation in the Plan. The Grantee understands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369" w:right="239" w:bottom="1440" w:gutter="0" w:footer="0" w:header="0"/>
        </w:sectPr>
      </w:pPr>
    </w:p>
    <w:bookmarkStart w:id="122" w:name="page123"/>
    <w:bookmarkEnd w:id="122"/>
    <w:p>
      <w:pPr>
        <w:jc w:val="both"/>
        <w:spacing w:after="0" w:line="248" w:lineRule="auto"/>
        <w:rPr>
          <w:sz w:val="20"/>
          <w:szCs w:val="20"/>
          <w:color w:val="auto"/>
        </w:rPr>
      </w:pPr>
      <w:r>
        <w:rPr>
          <w:rFonts w:ascii="Times New Roman" w:cs="Times New Roman" w:eastAsia="Times New Roman" w:hAnsi="Times New Roman"/>
          <w:sz w:val="22"/>
          <w:szCs w:val="22"/>
          <w:color w:val="auto"/>
        </w:rPr>
        <w:t>that the Company and the Employer may hold certain personal information about the Grantee,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 (“Data”).</w:t>
      </w:r>
    </w:p>
    <w:p>
      <w:pPr>
        <w:spacing w:after="0" w:line="182" w:lineRule="exact"/>
        <w:rPr>
          <w:sz w:val="20"/>
          <w:szCs w:val="20"/>
          <w:color w:val="auto"/>
        </w:rPr>
      </w:pPr>
    </w:p>
    <w:p>
      <w:pPr>
        <w:jc w:val="both"/>
        <w:ind w:firstLine="1305"/>
        <w:spacing w:after="0" w:line="249" w:lineRule="auto"/>
        <w:tabs>
          <w:tab w:leader="none" w:pos="1837"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82" w:lineRule="exact"/>
        <w:rPr>
          <w:rFonts w:ascii="Times New Roman" w:cs="Times New Roman" w:eastAsia="Times New Roman" w:hAnsi="Times New Roman"/>
          <w:sz w:val="22"/>
          <w:szCs w:val="22"/>
          <w:color w:val="auto"/>
        </w:rPr>
      </w:pPr>
    </w:p>
    <w:p>
      <w:pPr>
        <w:jc w:val="both"/>
        <w:ind w:firstLine="1305"/>
        <w:spacing w:after="0" w:line="247" w:lineRule="auto"/>
        <w:tabs>
          <w:tab w:leader="none" w:pos="182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refuse or withdraw the consents herein, in any case without cost, by contacting in writing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or service and career with the Employer will not be adversely affected; the only adverse consequence of refusing or withdrawing the Grantee’s consent is that the Company would not be able to grant him or her Target Performance Share Units or other equity awards or administer or maintain such awards. Therefore, the Grantee understands that refusing or withdrawing his or her consent may affect the Grantee’s ability to participate in the Plan. For more information on the consequences of a refusal to consent or withdrawal of consent, the Grantee may contact the Grantee’s local human resources representative.</w:t>
      </w:r>
    </w:p>
    <w:p>
      <w:pPr>
        <w:spacing w:after="0" w:line="184" w:lineRule="exact"/>
        <w:rPr>
          <w:rFonts w:ascii="Times New Roman" w:cs="Times New Roman" w:eastAsia="Times New Roman" w:hAnsi="Times New Roman"/>
          <w:sz w:val="22"/>
          <w:szCs w:val="22"/>
          <w:color w:val="auto"/>
        </w:rPr>
      </w:pPr>
    </w:p>
    <w:p>
      <w:pPr>
        <w:jc w:val="both"/>
        <w:ind w:firstLine="8"/>
        <w:spacing w:after="0" w:line="258" w:lineRule="auto"/>
        <w:tabs>
          <w:tab w:leader="none" w:pos="491"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Jurisdiction</w:t>
      </w:r>
      <w:r>
        <w:rPr>
          <w:rFonts w:ascii="Times New Roman" w:cs="Times New Roman" w:eastAsia="Times New Roman" w:hAnsi="Times New Roman"/>
          <w:sz w:val="22"/>
          <w:szCs w:val="22"/>
          <w:color w:val="auto"/>
        </w:rPr>
        <w:t>. This Agreement will be governed by, and construed in accordance with, the internal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Colorado. Each party irrevocably submits to the general jurisdiction of the state and federal courts located in the State of Colorado in any action to interpret or enforce this Agreement and irrevocably waives any objection to jurisdiction that such party may have based on inconvenience of forum.</w:t>
      </w:r>
    </w:p>
    <w:p>
      <w:pPr>
        <w:spacing w:after="0" w:line="168" w:lineRule="exact"/>
        <w:rPr>
          <w:rFonts w:ascii="Times New Roman" w:cs="Times New Roman" w:eastAsia="Times New Roman" w:hAnsi="Times New Roman"/>
          <w:sz w:val="22"/>
          <w:szCs w:val="22"/>
          <w:b w:val="1"/>
          <w:bCs w:val="1"/>
          <w:color w:val="auto"/>
        </w:rPr>
      </w:pPr>
    </w:p>
    <w:p>
      <w:pPr>
        <w:ind w:firstLine="8"/>
        <w:spacing w:after="0" w:line="288" w:lineRule="auto"/>
        <w:tabs>
          <w:tab w:leader="none" w:pos="491"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References in this Agreement to “this Agreement” and the words “herein,” “hereof,” “hereunder” and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include all Exhibits and Schedules appended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369" w:right="239" w:bottom="1440" w:gutter="0" w:footer="0" w:header="0"/>
        </w:sectPr>
      </w:pPr>
    </w:p>
    <w:bookmarkStart w:id="123" w:name="page124"/>
    <w:bookmarkEnd w:id="123"/>
    <w:p>
      <w:pPr>
        <w:jc w:val="both"/>
        <w:spacing w:after="0" w:line="248" w:lineRule="auto"/>
        <w:rPr>
          <w:sz w:val="20"/>
          <w:szCs w:val="20"/>
          <w:color w:val="auto"/>
        </w:rPr>
      </w:pPr>
      <w:r>
        <w:rPr>
          <w:rFonts w:ascii="Times New Roman" w:cs="Times New Roman" w:eastAsia="Times New Roman" w:hAnsi="Times New Roman"/>
          <w:sz w:val="22"/>
          <w:szCs w:val="22"/>
          <w:color w:val="auto"/>
        </w:rPr>
        <w:t>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78" w:lineRule="exact"/>
        <w:rPr>
          <w:sz w:val="20"/>
          <w:szCs w:val="20"/>
          <w:color w:val="auto"/>
        </w:rPr>
      </w:pPr>
    </w:p>
    <w:p>
      <w:pPr>
        <w:ind w:firstLine="8"/>
        <w:spacing w:after="0" w:line="288" w:lineRule="auto"/>
        <w:tabs>
          <w:tab w:leader="none" w:pos="518"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Duplicate Originals</w:t>
      </w:r>
      <w:r>
        <w:rPr>
          <w:rFonts w:ascii="Times New Roman" w:cs="Times New Roman" w:eastAsia="Times New Roman" w:hAnsi="Times New Roman"/>
          <w:sz w:val="22"/>
          <w:szCs w:val="22"/>
          <w:color w:val="auto"/>
        </w:rPr>
        <w:t>. The Company and the Grantee may sign any number of copies of this Agreement. Each signed copy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an original, but all of them together represent the same agreement.</w:t>
      </w:r>
    </w:p>
    <w:p>
      <w:pPr>
        <w:spacing w:after="0" w:line="135" w:lineRule="exact"/>
        <w:rPr>
          <w:rFonts w:ascii="Times New Roman" w:cs="Times New Roman" w:eastAsia="Times New Roman" w:hAnsi="Times New Roman"/>
          <w:sz w:val="22"/>
          <w:szCs w:val="22"/>
          <w:b w:val="1"/>
          <w:bCs w:val="1"/>
          <w:color w:val="auto"/>
        </w:rPr>
      </w:pPr>
    </w:p>
    <w:p>
      <w:pPr>
        <w:ind w:firstLine="8"/>
        <w:spacing w:after="0" w:line="288" w:lineRule="auto"/>
        <w:tabs>
          <w:tab w:leader="none" w:pos="572"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Rules by Committee</w:t>
      </w:r>
      <w:r>
        <w:rPr>
          <w:rFonts w:ascii="Times New Roman" w:cs="Times New Roman" w:eastAsia="Times New Roman" w:hAnsi="Times New Roman"/>
          <w:sz w:val="22"/>
          <w:szCs w:val="22"/>
          <w:color w:val="auto"/>
        </w:rPr>
        <w:t>. The rights of the Grantee and the obligations of the Company hereunder will be subject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rules and regulations as the Committee may adopt from time to time.</w:t>
      </w:r>
    </w:p>
    <w:p>
      <w:pPr>
        <w:spacing w:after="0" w:line="135" w:lineRule="exact"/>
        <w:rPr>
          <w:rFonts w:ascii="Times New Roman" w:cs="Times New Roman" w:eastAsia="Times New Roman" w:hAnsi="Times New Roman"/>
          <w:sz w:val="22"/>
          <w:szCs w:val="22"/>
          <w:b w:val="1"/>
          <w:bCs w:val="1"/>
          <w:color w:val="auto"/>
        </w:rPr>
      </w:pPr>
    </w:p>
    <w:p>
      <w:pPr>
        <w:jc w:val="both"/>
        <w:ind w:firstLine="8"/>
        <w:spacing w:after="0" w:line="252" w:lineRule="auto"/>
        <w:tabs>
          <w:tab w:leader="none" w:pos="504"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is in satisfaction of and in lieu of all prior discussions and agreements, oral or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58" w:lineRule="auto"/>
        <w:tabs>
          <w:tab w:leader="none" w:pos="612"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Grantee Acceptance</w:t>
      </w:r>
      <w:r>
        <w:rPr>
          <w:rFonts w:ascii="Times New Roman" w:cs="Times New Roman" w:eastAsia="Times New Roman" w:hAnsi="Times New Roman"/>
          <w:sz w:val="22"/>
          <w:szCs w:val="22"/>
          <w:color w:val="auto"/>
        </w:rPr>
        <w:t>. The Grantee will signify acceptance hereof and consent to all the terms and conditions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signing in the space provided on the signature page hereto and returning a signed copy to the Company. If the Grantee does not execute and return this Agreement within 150 days of the Grant Date, the grant of Performance Share Units shall be null and void.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368" w:right="2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21"/>
          <w:szCs w:val="21"/>
          <w:b w:val="1"/>
          <w:bCs w:val="1"/>
          <w:color w:val="auto"/>
        </w:rPr>
        <w:t>Signature Page to Performance Share Units Agreement dated as of ______ __, 20__, between Liberty Global plc 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Grantee</w:t>
      </w:r>
    </w:p>
    <w:p>
      <w:pPr>
        <w:spacing w:after="0" w:line="3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LIBERTY GLOBAL PLC</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311150</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-13970</wp:posOffset>
            </wp:positionV>
            <wp:extent cx="5486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-29210</wp:posOffset>
            </wp:positionV>
            <wp:extent cx="5486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City/State/Country: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-29210</wp:posOffset>
            </wp:positionV>
            <wp:extent cx="5486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Optionee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-13970</wp:posOffset>
            </wp:positionV>
            <wp:extent cx="6858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No. 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-13970</wp:posOffset>
            </wp:positionV>
            <wp:extent cx="13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Target Performance Share Units (TICKER SYMBOL)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-13970</wp:posOffset>
            </wp:positionV>
            <wp:extent cx="274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340"/>
          </w:cols>
          <w:pgMar w:left="240" w:top="621" w:right="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H.R. Bracken, certify that:</w:t>
      </w:r>
    </w:p>
    <w:p>
      <w:pPr>
        <w:spacing w:after="0" w:line="171"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Liberty Global plc;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2016</w:t>
      </w:r>
    </w:p>
    <w:p>
      <w:pPr>
        <w:spacing w:after="0" w:line="252"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13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63"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8"/>
          <w:szCs w:val="18"/>
          <w:color w:val="auto"/>
        </w:rPr>
        <w:t>Executive Vice President and Co-Chief Financial Officer</w:t>
      </w:r>
    </w:p>
    <w:p>
      <w:pPr>
        <w:spacing w:after="0" w:line="63"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Bernard G. Dvorak, certify that:</w:t>
      </w:r>
    </w:p>
    <w:p>
      <w:pPr>
        <w:spacing w:after="0" w:line="171"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Liberty Global plc;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2016</w:t>
      </w:r>
    </w:p>
    <w:p>
      <w:pPr>
        <w:spacing w:after="0" w:line="252"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8"/>
          <w:szCs w:val="18"/>
          <w:color w:val="auto"/>
        </w:rPr>
        <w:t>/s/ Bernard G. Dvorak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13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8"/>
          <w:szCs w:val="18"/>
          <w:color w:val="auto"/>
        </w:rPr>
        <w:t>Bernard G. Dvorak</w:t>
      </w:r>
    </w:p>
    <w:p>
      <w:pPr>
        <w:spacing w:after="0" w:line="63"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8"/>
          <w:szCs w:val="18"/>
          <w:color w:val="auto"/>
        </w:rPr>
        <w:t>Executive Vice President and Co-Chief Financial Officer</w:t>
      </w:r>
    </w:p>
    <w:p>
      <w:pPr>
        <w:spacing w:after="0" w:line="63"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420"/>
          </w:cols>
          <w:pgMar w:left="240" w:top="576"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T. Fries, certify that:</w:t>
      </w:r>
    </w:p>
    <w:p>
      <w:pPr>
        <w:spacing w:after="0" w:line="171"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Liberty Global plc;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2016</w:t>
      </w:r>
    </w:p>
    <w:p>
      <w:pPr>
        <w:spacing w:after="0" w:line="252"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13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8"/>
          <w:szCs w:val="18"/>
          <w:color w:val="auto"/>
        </w:rPr>
        <w:t>Michael T. Fries</w:t>
      </w:r>
    </w:p>
    <w:p>
      <w:pPr>
        <w:spacing w:after="0" w:line="63"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Quarterly Report on Form 10-Q for the period ended March 31, 2016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March 31, 2016 and December 31, 2015, and for the three months ended March 31, 2016 and 2015.</w:t>
      </w:r>
    </w:p>
    <w:p>
      <w:pPr>
        <w:spacing w:after="0" w:line="342" w:lineRule="exact"/>
        <w:rPr>
          <w:sz w:val="20"/>
          <w:szCs w:val="20"/>
          <w:color w:val="auto"/>
        </w:rPr>
      </w:pPr>
    </w:p>
    <w:p>
      <w:pPr>
        <w:ind w:left="200"/>
        <w:spacing w:after="0"/>
        <w:tabs>
          <w:tab w:leader="none" w:pos="6160" w:val="left"/>
          <w:tab w:leader="none" w:pos="6560" w:val="left"/>
        </w:tabs>
        <w:rPr>
          <w:sz w:val="20"/>
          <w:szCs w:val="20"/>
          <w:color w:val="auto"/>
        </w:rPr>
      </w:pPr>
      <w:r>
        <w:rPr>
          <w:rFonts w:ascii="Times New Roman" w:cs="Times New Roman" w:eastAsia="Times New Roman" w:hAnsi="Times New Roman"/>
          <w:sz w:val="18"/>
          <w:szCs w:val="18"/>
          <w:color w:val="auto"/>
        </w:rPr>
        <w:t>Dated: May 9, 2016</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T. Fries</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tabs>
          <w:tab w:leader="none" w:pos="6160" w:val="left"/>
          <w:tab w:leader="none" w:pos="6560" w:val="left"/>
        </w:tabs>
        <w:rPr>
          <w:sz w:val="20"/>
          <w:szCs w:val="20"/>
          <w:color w:val="auto"/>
        </w:rPr>
      </w:pPr>
      <w:r>
        <w:rPr>
          <w:rFonts w:ascii="Times New Roman" w:cs="Times New Roman" w:eastAsia="Times New Roman" w:hAnsi="Times New Roman"/>
          <w:sz w:val="18"/>
          <w:szCs w:val="18"/>
          <w:color w:val="auto"/>
        </w:rPr>
        <w:t>Dated: May 9, 2016</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 Co-Chief Financial Officer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tabs>
          <w:tab w:leader="none" w:pos="6160" w:val="left"/>
          <w:tab w:leader="none" w:pos="6560" w:val="left"/>
        </w:tabs>
        <w:rPr>
          <w:sz w:val="20"/>
          <w:szCs w:val="20"/>
          <w:color w:val="auto"/>
        </w:rPr>
      </w:pPr>
      <w:r>
        <w:rPr>
          <w:rFonts w:ascii="Times New Roman" w:cs="Times New Roman" w:eastAsia="Times New Roman" w:hAnsi="Times New Roman"/>
          <w:sz w:val="18"/>
          <w:szCs w:val="18"/>
          <w:color w:val="auto"/>
        </w:rPr>
        <w:t>Dated: May 9, 2016</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Bernard G. Dvorak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Bernard G. Dvorak</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 Co-Chief Financial Officer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ectPr>
          <w:pgSz w:w="11900" w:h="16838" w:orient="portrait"/>
          <w:cols w:equalWidth="0" w:num="1">
            <w:col w:w="11420"/>
          </w:cols>
          <w:pgMar w:left="240" w:top="576" w:right="2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8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ATTRIBUTED FINANCIAL INFORMATION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Unless otherwise defined herein, the capitalized terms used herein are defined in the notes to our March 31, 2016 condensed consolidated financial statements included in this Quarterly Report on Form 10-Q (our </w:t>
      </w:r>
      <w:r>
        <w:rPr>
          <w:rFonts w:ascii="Times New Roman" w:cs="Times New Roman" w:eastAsia="Times New Roman" w:hAnsi="Times New Roman"/>
          <w:sz w:val="18"/>
          <w:szCs w:val="18"/>
          <w:b w:val="1"/>
          <w:bCs w:val="1"/>
          <w:color w:val="auto"/>
        </w:rPr>
        <w:t>March 31, 2016 Quarterly Report</w:t>
      </w:r>
      <w:r>
        <w:rPr>
          <w:rFonts w:ascii="Times New Roman" w:cs="Times New Roman" w:eastAsia="Times New Roman" w:hAnsi="Times New Roman"/>
          <w:sz w:val="18"/>
          <w:szCs w:val="18"/>
          <w:color w:val="auto"/>
        </w:rPr>
        <w:t>). The financial information presented herein should be read in conjunction with the financial information and related discussion and analysis included in our March 31, 2016 Quarterly Report and our 2015 Annual Report on Form 10-K. In the following text, the terms “we,” “our,” “our company” and “us” may refer, as the context requires, to Liberty Global or collectively to Liberty Global and its subsidiaries.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assets, liabilities, revenue, expenses and cash flows that are intended to track and reflect the separate economic performance of the businesses and assets attributed to (i) the Liberty Global Group and (ii) the LiLAC Group. For additional information regarding our tracking shares, see note 1 to our March 31, 2016 condensed consolidated financial statements included in our March 31, 2016 Quarterly Report.</w:t>
      </w:r>
    </w:p>
    <w:p>
      <w:pPr>
        <w:spacing w:after="0" w:line="13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attributed financial information presented herein has been prepared assuming the attribution of net assets to the Liberty Global Group and the LiLAC Group had been completed as of January 1, 2015. However, this attribution of historical financial information does not necessarily represent the actual results and balances that would have occurred if such attribution had actually been in place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420"/>
          </w:cols>
          <w:pgMar w:left="240" w:top="117" w:right="239" w:bottom="1440" w:gutter="0" w:footer="0" w:header="0"/>
        </w:sectPr>
      </w:pPr>
    </w:p>
    <w:bookmarkStart w:id="130" w:name="page131"/>
    <w:bookmarkEnd w:id="130"/>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ATTRIBUTED BALANCE SHEET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606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400" w:type="dxa"/>
            <w:vAlign w:val="bottom"/>
            <w:gridSpan w:val="5"/>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980.5</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1,493.8</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515.0</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264.8</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314.9</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3,124.6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3,569.0</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2,583.9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2,583.9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21,891.4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22,787.3</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27,232.4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28,030.4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7,369.7</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net (note 4)</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4,519.8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5,511.2</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66,608.2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3,261.0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69,851.5</w:t>
            </w: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41" w:right="239" w:bottom="1440" w:gutter="0" w:footer="0" w:header="0"/>
        </w:sectPr>
      </w:pPr>
    </w:p>
    <w:bookmarkStart w:id="131" w:name="page132"/>
    <w:bookmarkEnd w:id="131"/>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ATTRIBUTED BALANCE SHEET INFORMATION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400" w:type="dxa"/>
            <w:vAlign w:val="bottom"/>
            <w:gridSpan w:val="5"/>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r>
      <w:tr>
        <w:trPr>
          <w:trHeight w:val="33"/>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0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971.0</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advance payments from subscribers and others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1,531.6</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 and capital lease obligations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3,240.3</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647.8</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617.3</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income taxes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488.4</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427.3</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2,245.4</w:t>
            </w:r>
          </w:p>
        </w:tc>
      </w:tr>
      <w:tr>
        <w:trPr>
          <w:trHeight w:val="27"/>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9,722.4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10,169.1</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and capital lease obligations (note 4)</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43,539.9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2,300.2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45,831.8</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3,982.4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4,272.6</w:t>
            </w:r>
          </w:p>
        </w:tc>
      </w:tr>
      <w:tr>
        <w:trPr>
          <w:trHeight w:val="237"/>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57,244.7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3,046.5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60,273.5</w:t>
            </w:r>
          </w:p>
        </w:tc>
      </w:tr>
      <w:tr>
        <w:trPr>
          <w:trHeight w:val="27"/>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attributable to Liberty Global shareholders (note 4)</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9,906.1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10,057.5</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7"/>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9,363.5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9,578.0</w:t>
            </w:r>
          </w:p>
        </w:tc>
      </w:tr>
      <w:tr>
        <w:trPr>
          <w:trHeight w:val="237"/>
        </w:trPr>
        <w:tc>
          <w:tcPr>
            <w:tcW w:w="5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7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66,608.2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3,261.0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69,851.5</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940" w:type="dxa"/>
            <w:vAlign w:val="bottom"/>
            <w:gridSpan w:val="2"/>
          </w:tcPr>
          <w:p>
            <w:pPr>
              <w:jc w:val="right"/>
              <w:ind w:right="374"/>
              <w:spacing w:after="0"/>
              <w:rPr>
                <w:sz w:val="20"/>
                <w:szCs w:val="20"/>
                <w:color w:val="auto"/>
              </w:rPr>
            </w:pPr>
            <w:r>
              <w:rPr>
                <w:rFonts w:ascii="Times New Roman" w:cs="Times New Roman" w:eastAsia="Times New Roman" w:hAnsi="Times New Roman"/>
                <w:sz w:val="18"/>
                <w:szCs w:val="18"/>
                <w:color w:val="auto"/>
              </w:rPr>
              <w:t>F-3</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32" w:name="page133"/>
    <w:bookmarkEnd w:id="132"/>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ATTRIBUTED BALANCE SHEET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606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400" w:type="dxa"/>
            <w:vAlign w:val="bottom"/>
            <w:gridSpan w:val="5"/>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982.1</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1,467.7</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421.9</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144.2</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341.5</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2,927.4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3,357.4</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2,839.6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2,839.6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20,840.5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21,684.0</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26,244.8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27,020.4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6,975.1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7,092.5</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net (note 4)</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4,504.1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1,062.6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5,565.1</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64,331.5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3,238.1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67,559.0</w:t>
            </w: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41" w:right="239" w:bottom="1440" w:gutter="0" w:footer="0" w:header="0"/>
        </w:sectPr>
      </w:pPr>
    </w:p>
    <w:bookmarkStart w:id="133" w:name="page134"/>
    <w:bookmarkEnd w:id="133"/>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ATTRIBUTED BALANCE SHEET INFORMATION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400" w:type="dxa"/>
            <w:vAlign w:val="bottom"/>
            <w:gridSpan w:val="5"/>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r>
      <w:tr>
        <w:trPr>
          <w:trHeight w:val="33"/>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0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1,050.1</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advance payments from subscribers and others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1,393.5</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 and capital lease obligations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2,537.9</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346.3</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832.8</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income taxes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483.5</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441.8</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2,072.0</w:t>
            </w:r>
          </w:p>
        </w:tc>
      </w:tr>
      <w:tr>
        <w:trPr>
          <w:trHeight w:val="27"/>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8,767.3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9,157.9</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and capital lease obligations (note 4)</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41,907.7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2,304.6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44,211.2</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3,751.9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4,015.6</w:t>
            </w:r>
          </w:p>
        </w:tc>
      </w:tr>
      <w:tr>
        <w:trPr>
          <w:trHeight w:val="237"/>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54,426.9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2,968.4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57,384.7</w:t>
            </w:r>
          </w:p>
        </w:tc>
      </w:tr>
      <w:tr>
        <w:trPr>
          <w:trHeight w:val="27"/>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attributable to Liberty Global shareholders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10,446.0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10,652.4</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r>
      <w:tr>
        <w:trPr>
          <w:trHeight w:val="27"/>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9,904.6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10,174.3</w:t>
            </w:r>
          </w:p>
        </w:tc>
      </w:tr>
      <w:tr>
        <w:trPr>
          <w:trHeight w:val="237"/>
        </w:trPr>
        <w:tc>
          <w:tcPr>
            <w:tcW w:w="5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7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64,331.5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3,238.1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67,559.0</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940" w:type="dxa"/>
            <w:vAlign w:val="bottom"/>
            <w:gridSpan w:val="2"/>
          </w:tcPr>
          <w:p>
            <w:pPr>
              <w:jc w:val="right"/>
              <w:ind w:right="374"/>
              <w:spacing w:after="0"/>
              <w:rPr>
                <w:sz w:val="20"/>
                <w:szCs w:val="20"/>
                <w:color w:val="auto"/>
              </w:rPr>
            </w:pPr>
            <w:r>
              <w:rPr>
                <w:rFonts w:ascii="Times New Roman" w:cs="Times New Roman" w:eastAsia="Times New Roman" w:hAnsi="Times New Roman"/>
                <w:sz w:val="18"/>
                <w:szCs w:val="18"/>
                <w:color w:val="auto"/>
              </w:rPr>
              <w:t>F-5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34" w:name="page135"/>
    <w:bookmarkEnd w:id="134"/>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ATTRIBUTED STATEMENT OF OPERATIONS AND COMPREHENSIVE EARNINGS (LOSS)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20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LiLAC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628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20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4,284.1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303.9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4,588.0</w:t>
            </w:r>
          </w:p>
        </w:tc>
        <w:tc>
          <w:tcPr>
            <w:tcW w:w="0" w:type="dxa"/>
            <w:vAlign w:val="bottom"/>
          </w:tcPr>
          <w:p>
            <w:pPr>
              <w:spacing w:after="0"/>
              <w:rPr>
                <w:sz w:val="1"/>
                <w:szCs w:val="1"/>
                <w:color w:val="auto"/>
              </w:rPr>
            </w:pPr>
          </w:p>
        </w:tc>
      </w:tr>
      <w:tr>
        <w:trPr>
          <w:trHeight w:val="22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 (note 3):</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(other than depreciation and amortization) (including share-based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1,725.1</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SG&amp;A (including share-based compensation)</w:t>
            </w: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816.4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Inter-group fees and allocations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1,435.5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3,757.5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4,001.4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586.6</w:t>
            </w:r>
          </w:p>
        </w:tc>
        <w:tc>
          <w:tcPr>
            <w:tcW w:w="0" w:type="dxa"/>
            <w:vAlign w:val="bottom"/>
          </w:tcPr>
          <w:p>
            <w:pPr>
              <w:spacing w:after="0"/>
              <w:rPr>
                <w:sz w:val="1"/>
                <w:szCs w:val="1"/>
                <w:color w:val="auto"/>
              </w:rPr>
            </w:pPr>
          </w:p>
        </w:tc>
      </w:tr>
      <w:tr>
        <w:trPr>
          <w:trHeight w:val="22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and unrealized losses on derivative instruments, net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 gains, net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25"/>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and unrealized losses due to changes in fair values of certain investments,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on debt modification and extinguishment, net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0" w:type="dxa"/>
            <w:vAlign w:val="bottom"/>
          </w:tcPr>
          <w:p>
            <w:pPr>
              <w:spacing w:after="0"/>
              <w:rPr>
                <w:sz w:val="1"/>
                <w:szCs w:val="1"/>
                <w:color w:val="auto"/>
              </w:rPr>
            </w:pPr>
          </w:p>
        </w:tc>
      </w:tr>
      <w:tr>
        <w:trPr>
          <w:trHeight w:val="237"/>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(note 2)</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7"/>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97"/>
        </w:trPr>
        <w:tc>
          <w:tcPr>
            <w:tcW w:w="6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Liberty Global shareholders</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311"/>
        </w:trPr>
        <w:tc>
          <w:tcPr>
            <w:tcW w:w="6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(loss), net of taxes: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included in net loss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 attributable to Liberty Global shareholders</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F-6</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35" w:name="page136"/>
    <w:bookmarkEnd w:id="135"/>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ATTRIBUTED STATEMENT OF OPERATIONS AND COMPREHENSIVE EARNINGS (LOSS)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06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4,229.1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4,516.9</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 (note 3):</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(other than depreciation and amortization) (including share-based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1,559.7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1,688.5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SG&amp;A (including share-based compensation)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802.5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1,451.4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3,723.6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3,959.4</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557.5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and unrealized gains on derivative instruments,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 losses,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and unrealized gains due to changes in fair values of certain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net</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on debt modification and extinguishment,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 (note 2)</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 (loss) attributable to Liberty Global shareholders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(loss)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(loss), net of taxes:</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included in net earnings (loss)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earnings attributable to noncontrolling interests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Comprehensive earnings (loss) attributable to Liberty Global shareholders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F-7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36" w:name="page137"/>
    <w:bookmarkEnd w:id="136"/>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ATTRIBUTED STATEMENT OF CASH FLOWS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606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Pr>
          <w:p>
            <w:pPr>
              <w:spacing w:after="0"/>
              <w:rPr>
                <w:sz w:val="21"/>
                <w:szCs w:val="21"/>
                <w:color w:val="auto"/>
              </w:rPr>
            </w:pPr>
          </w:p>
        </w:tc>
        <w:tc>
          <w:tcPr>
            <w:tcW w:w="5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69.0</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Inter-group fees and allocations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1,435.5</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 accretion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Realized and unrealized losses on derivative instruments,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508.7</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transaction gains,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Realized and unrealized losses due to changes in fair values of certain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60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investments, net</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268.2</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Losses on debt modification and extinguishment,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the effects of acquisitions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1"/>
        </w:trPr>
        <w:tc>
          <w:tcPr>
            <w:tcW w:w="60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dispositions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r>
      <w:tr>
        <w:trPr>
          <w:trHeight w:val="237"/>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1,019.0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1,088.9</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and loans to affiliates and others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Inter-group payments,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77.1</w:t>
            </w:r>
          </w:p>
        </w:tc>
      </w:tr>
      <w:tr>
        <w:trPr>
          <w:trHeight w:val="237"/>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(1,927.5)</w:t>
            </w: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41" w:right="239" w:bottom="1440" w:gutter="0" w:footer="0" w:header="0"/>
        </w:sectPr>
      </w:pPr>
    </w:p>
    <w:bookmarkStart w:id="137" w:name="page138"/>
    <w:bookmarkEnd w:id="137"/>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ATTRIBUTED STATEMENT OF CASH FLOWS INFORMATION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06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of debt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2,642.0</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and repurchases of debt and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Liberty Global ordinary shares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cash collateral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25"/>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paid associated with call option contracts on Liberty Global ordinary</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paid related to 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financing costs and debt premiums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Inter-group receipts,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318"/>
        </w:trPr>
        <w:tc>
          <w:tcPr>
            <w:tcW w:w="60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318"/>
        </w:trPr>
        <w:tc>
          <w:tcPr>
            <w:tcW w:w="60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982.1</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980.5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755.9</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cash paid for taxes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F-9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38" w:name="page139"/>
    <w:bookmarkEnd w:id="138"/>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ATTRIBUTED STATEMENT OF CASH FLOWS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606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6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 (loss)</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tcPr>
          <w:p>
            <w:pPr>
              <w:spacing w:after="0"/>
              <w:rPr>
                <w:sz w:val="21"/>
                <w:szCs w:val="21"/>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(loss) to net cash provided by operating</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71.4</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1,451.4</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 accretion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Realized and unrealized gains on derivative instruments,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transaction losses,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1,035.6</w:t>
            </w:r>
          </w:p>
        </w:tc>
      </w:tr>
      <w:tr>
        <w:trPr>
          <w:trHeight w:val="225"/>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Realized and unrealized gains due to changes in fair values of certain</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6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investments, net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Losses on debt modification and extinguishment,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274.5</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5"/>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the effects of acquisitions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6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dispositions</w:t>
            </w:r>
          </w:p>
        </w:tc>
        <w:tc>
          <w:tcPr>
            <w:tcW w:w="24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1,353.9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1,373.9</w:t>
            </w:r>
          </w:p>
        </w:tc>
      </w:tr>
      <w:tr>
        <w:trPr>
          <w:trHeight w:val="318"/>
        </w:trPr>
        <w:tc>
          <w:tcPr>
            <w:tcW w:w="60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and loans to affiliates and others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Inter-group receipts,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r>
      <w:tr>
        <w:trPr>
          <w:trHeight w:val="669"/>
        </w:trPr>
        <w:tc>
          <w:tcPr>
            <w:tcW w:w="60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F-10</w:t>
            </w: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39" w:name="page140"/>
    <w:bookmarkEnd w:id="139"/>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ATTRIBUTED STATEMENT OF CASH FLOWS INFORMATION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06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of debt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6,695.2</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6,695.2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and repurchases of debt and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Liberty Global ordinary shares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cash collateral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25"/>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paid associated with call option contracts on Liberty Global ordinary</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paid related to 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financing costs and debt premiums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Inter-group payments,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0" w:type="dxa"/>
            <w:vAlign w:val="bottom"/>
          </w:tcPr>
          <w:p>
            <w:pPr>
              <w:spacing w:after="0"/>
              <w:rPr>
                <w:sz w:val="1"/>
                <w:szCs w:val="1"/>
                <w:color w:val="auto"/>
              </w:rPr>
            </w:pPr>
          </w:p>
        </w:tc>
      </w:tr>
      <w:tr>
        <w:trPr>
          <w:trHeight w:val="318"/>
        </w:trPr>
        <w:tc>
          <w:tcPr>
            <w:tcW w:w="60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318"/>
        </w:trPr>
        <w:tc>
          <w:tcPr>
            <w:tcW w:w="60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1,051.4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1,158.5</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cash paid for taxes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F-11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Attributed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Attributed Financial Information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“LiLAC Group” and “Liberty Global Group” do not represent separate legal entities, rather they represent those businesses, assets and liabilities that have been attributed to each group. The LiLAC Group comprises our businesses, assets and liabilities in Latin America and the Caribbean and has attributed to it (i) VTR Finance and its subsidiaries, which include VTR, (ii) Lila Chile Holding B.V. (</w:t>
      </w:r>
      <w:r>
        <w:rPr>
          <w:rFonts w:ascii="Times New Roman" w:cs="Times New Roman" w:eastAsia="Times New Roman" w:hAnsi="Times New Roman"/>
          <w:sz w:val="18"/>
          <w:szCs w:val="18"/>
          <w:b w:val="1"/>
          <w:bCs w:val="1"/>
          <w:color w:val="auto"/>
        </w:rPr>
        <w:t>Lila Chile Holding</w:t>
      </w:r>
      <w:r>
        <w:rPr>
          <w:rFonts w:ascii="Times New Roman" w:cs="Times New Roman" w:eastAsia="Times New Roman" w:hAnsi="Times New Roman"/>
          <w:sz w:val="18"/>
          <w:szCs w:val="18"/>
          <w:color w:val="auto"/>
        </w:rPr>
        <w:t>), which is the parent entity of VTR Finance, (iii) LiLAC Holdings and its subsidiaries, which include Liberty Puerto Rico, (iv) LGE Coral and its subsidiary, which were formed in anticipation of the acquisition of CWC and (v) prior to July 1, 2015, the LiLAC Corporate Costs. Effective July 1, 2015, the LiLAC Corporate Costs were transferred to LiLAC Holdings. The Liberty Global Group comprises our businesses, assets and liabilities not attributed to the LiLAC Group, including Virgin Media, Ziggo Group Holding, Unitymedia, Telenet, UPC Holding, our corporate entities (excluding the LiLAC Corporate Costs) and certain other less significant entities. Accordingly, the accompanying attributed financial information for the Liberty Global Group and the LiLAC Group includes the assets, liabilities, revenue, expenses and cash flows of the respective entities within each group. Any business that we may acquire in the future that we do not attribute to the LiLAC Group will be attributed to the Liberty Global Group.</w:t>
      </w:r>
    </w:p>
    <w:p>
      <w:pPr>
        <w:spacing w:after="0" w:line="14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is vested with discretion to reattribute businesses, assets and liabilities that are attributed to either the Liberty Global Group or the LiLAC Group to the other group, without the approval of any of our shareholders, and may use the liquidity of one group to fund the liquidity and capital resource requirements of the other group. Accordingly, shareholders may have difficulty evaluating the future prospects and liquidity and capital resources of each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117" w:right="2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Attributed Financial Information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260" w:hanging="252"/>
        <w:spacing w:after="0"/>
        <w:tabs>
          <w:tab w:leader="none" w:pos="2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have accounted for income taxes for the Liberty Global Group and the LiLAC Group in the accompanying attributed financial information on a separate return basis, as adjusted to reflect the consolidated view of the tax asset, liability, benefit or expense (tax attribute) of each group. Accordingly, except as otherwise noted below, any tax attribute associated with an entity attributed to the Liberty Global Group has been allocated to the Liberty Global Group and any tax attribute associated with an entity attributed to the LiLAC Group has been allocated to the LiLAC Group.</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Liberty Global owns consolidated interests in a number of entities that are included in combined or consolidated tax returns, including tax returns in the Netherlands (the </w:t>
      </w:r>
      <w:r>
        <w:rPr>
          <w:rFonts w:ascii="Times New Roman" w:cs="Times New Roman" w:eastAsia="Times New Roman" w:hAnsi="Times New Roman"/>
          <w:sz w:val="18"/>
          <w:szCs w:val="18"/>
          <w:b w:val="1"/>
          <w:bCs w:val="1"/>
          <w:color w:val="auto"/>
        </w:rPr>
        <w:t>Dutch Fiscal Unity</w:t>
      </w:r>
      <w:r>
        <w:rPr>
          <w:rFonts w:ascii="Times New Roman" w:cs="Times New Roman" w:eastAsia="Times New Roman" w:hAnsi="Times New Roman"/>
          <w:sz w:val="18"/>
          <w:szCs w:val="18"/>
          <w:color w:val="auto"/>
        </w:rPr>
        <w:t xml:space="preserve">), the U.K. (the </w:t>
      </w:r>
      <w:r>
        <w:rPr>
          <w:rFonts w:ascii="Times New Roman" w:cs="Times New Roman" w:eastAsia="Times New Roman" w:hAnsi="Times New Roman"/>
          <w:sz w:val="18"/>
          <w:szCs w:val="18"/>
          <w:b w:val="1"/>
          <w:bCs w:val="1"/>
          <w:color w:val="auto"/>
        </w:rPr>
        <w:t>U.K. Tax Group</w:t>
      </w:r>
      <w:r>
        <w:rPr>
          <w:rFonts w:ascii="Times New Roman" w:cs="Times New Roman" w:eastAsia="Times New Roman" w:hAnsi="Times New Roman"/>
          <w:sz w:val="18"/>
          <w:szCs w:val="18"/>
          <w:color w:val="auto"/>
        </w:rPr>
        <w:t xml:space="preserve">) and the U.S (the </w:t>
      </w:r>
      <w:r>
        <w:rPr>
          <w:rFonts w:ascii="Times New Roman" w:cs="Times New Roman" w:eastAsia="Times New Roman" w:hAnsi="Times New Roman"/>
          <w:sz w:val="18"/>
          <w:szCs w:val="18"/>
          <w:b w:val="1"/>
          <w:bCs w:val="1"/>
          <w:color w:val="auto"/>
        </w:rPr>
        <w:t>U.S. Tax Group</w:t>
      </w:r>
      <w:r>
        <w:rPr>
          <w:rFonts w:ascii="Times New Roman" w:cs="Times New Roman" w:eastAsia="Times New Roman" w:hAnsi="Times New Roman"/>
          <w:sz w:val="18"/>
          <w:szCs w:val="18"/>
          <w:color w:val="auto"/>
        </w:rPr>
        <w:t>). Different members of the Liberty Global Group file combined tax returns for the Dutch Fiscal Unity, U.K. tax returns, where sharing of certain tax attributes is permitted, and consolidated tax returns for the U.S. Tax Group. Certain entities included in the Dutch Fiscal Unity, the U.K. Tax Group and the U.S. Tax Group are attributed to the LiLAC Group. As a result, we record inter-group tax allocations to recognize changes in the tax attributes of certain members of the LiLAC Group that are included in the Dutch Fiscal Unity, the U.K. Tax Group or the U.S. Tax Group. Prior to July 1, 2015, the inter-group tax allocations reflected in the attributed financial information were not cash settled and were not the subject of tax sharing agreements. Accordingly, inter-group tax allocations prior to July 1, 2015 are reflected in the attributed financial information as adjustments of equity. Following the adoption of the tax sharing policy described below, certain inter-group tax allocations are expected to be cash settled.</w:t>
      </w:r>
    </w:p>
    <w:p>
      <w:pPr>
        <w:spacing w:after="0" w:line="1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Effective July 1, 2015 (the date we distributed the LiLAC Shares), the allocation of tax attributes between the Liberty Global Group and the LiLAC Group is based on a tax sharing policy. This tax sharing policy, which may be changed in future periods at the discretion of the board of directors of Liberty Global, generally results in the allocation of Liberty Global’s tax attributes to the Liberty Global Group and the LiLAC Group based on the tax attributes of the legal entities attributed to each of the groups. Nevertheless, to the extent that Liberty Global management concludes that the actions or results of one group give rise to changes in the tax attributes of the other group, the change in those tax attributes are generally allocated to the group whose actions or results gave rise to such changes. Similarly, in cases where legal entities in one group join in a common tax filing with members of the other group, changes in the tax attributes of the group that includes the filing entity that are the result of the actions or financial results of one or more members of the other group are allocated to the group that does not include the filing entity. For periods beginning on and after July 1, 2015, we will record non-interest bearing inter-group payables and receivables in connection with the allocation of tax attributes. These inter-group payables and receivables are expected to be cash settled annually within 90 days following the filing of the relevant tax return to the extent that tax assets are utilized or taxable income is included in the return for the applicable taxable year. In the case of allocated tax assets, inter-group payables and receivables will only be recorded to the extent that the realization by the ultimate tax-paying entity is considered to be more-likely-than-not. At March 31, 2016, we do not believe that it is more-likely-than-not that we will realize the tax assets of the Dutch Fiscal Unity. To the extent that tax assets are not utilized in the year generated, the related receivables and payables will remain outstanding until such time as the underlying tax assets are utilized.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117" w:right="2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Attributed Financial Information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Liberty Global Group</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rPr>
              <w:t>Liberty Global Group</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Computed “expected” tax benefit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allowances (b):</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effect of intercompany financing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rate differences (b) (c):</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 (b):</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Recognition of previously unrecognized tax benefits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or non-taxable interest and other expenses (b):</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Basis and other differences in the treatment of items associated with investments in subsidiaries and affiliates (b):</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income tax benefit</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500" w:hanging="492"/>
        <w:spacing w:after="0" w:line="261" w:lineRule="auto"/>
        <w:tabs>
          <w:tab w:leader="none" w:pos="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20.0% and 20.25% for the three months ended March 31, 2016 and 2015, respectively. During 2015, the U.K. enacted legislation that will change the corporate income tax rate from the current rate of 20.0% to 19.0% in April 2017 and 18.0% in April 2020. Substantially all of the impact of these rate changes on our deferred tax balances was recorded in the fourth quarter of 2015 when the change in law was enacted.</w:t>
      </w:r>
    </w:p>
    <w:p>
      <w:pPr>
        <w:spacing w:after="0" w:line="13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jurisdictions giving rise to increases are grouped together and shown separately from country jurisdictions giving rise to decreases.</w:t>
      </w:r>
    </w:p>
    <w:p>
      <w:pPr>
        <w:spacing w:after="0" w:line="1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an increase or a decrease) to “expected” tax benefit for statutory rates in jurisdictions in which we operate outside of the U.K.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117" w:right="2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Attributed Financial Information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LiLAC Group</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Income tax benefit (expense) attributable to our earnings (loss) before income taxes differs from the amounts computed using the applicable income tax rate as a result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800" w:type="dxa"/>
            <w:vAlign w:val="bottom"/>
          </w:tcPr>
          <w:p>
            <w:pPr>
              <w:spacing w:after="0"/>
              <w:rPr>
                <w:sz w:val="18"/>
                <w:szCs w:val="18"/>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8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8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Computed “expected” tax benefit (expense) (a)</w:t>
            </w: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allowances (b):</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rate differences (b) (c):</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Basis and other differences in the treatment of items associated with investments in subsidiaries and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500" w:hanging="492"/>
        <w:spacing w:after="0" w:line="261" w:lineRule="auto"/>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20.0% and 20.25% for the three months ended March 31, 2016 and 2015, respectively. During 2015, the U.K. enacted legislation that will change the corporate income tax rate from the current rate of 20.0% to 19.0% in April 2017 and 18.0% in April 2020. Substantially all of the impact of these rate changes on our deferred tax balances was recorded in the fourth quarter of 2015 when the change in law was enacted.</w:t>
      </w:r>
    </w:p>
    <w:p>
      <w:pPr>
        <w:spacing w:after="0" w:line="13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jurisdictions giving rise to increases are grouped together and shown separately from country jurisdictions giving rise to decreases.</w:t>
      </w:r>
    </w:p>
    <w:p>
      <w:pPr>
        <w:spacing w:after="0" w:line="1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an increase or a decrease) to “expected” tax benefit for statutory rates in jurisdictions in which we operate outside of the U.K.</w:t>
      </w:r>
    </w:p>
    <w:p>
      <w:pPr>
        <w:spacing w:after="0" w:line="117" w:lineRule="exact"/>
        <w:rPr>
          <w:sz w:val="20"/>
          <w:szCs w:val="20"/>
          <w:color w:val="auto"/>
        </w:rPr>
      </w:pPr>
    </w:p>
    <w:p>
      <w:pPr>
        <w:ind w:left="500" w:hanging="492"/>
        <w:spacing w:after="0"/>
        <w:tabs>
          <w:tab w:leader="none" w:pos="50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Allocated Expenses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July 1, 2015, we did not allocate any of the costs of the Liberty Global Group’s corporate functions to the LiLAC Group. Following the July 1, 2015 distribution of the LiLAC Shares, we began to allocate a portion of these costs, excluding share-based compensation expense, to the LiLAC Group based primarily on the estimated percentage of time spent by corporate personnel providing services for each group. The allocated amount, which is cash settled and is periodically re-evaluated, is presented as inter-group fees and allocations in the attributed statement of operations information.</w:t>
      </w:r>
    </w:p>
    <w:p>
      <w:pPr>
        <w:spacing w:after="0" w:line="14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 reflected in the accompanying attributed statement of operations information is based on the share incentive awards held by the employees of the respective entities comprising the Liberty Global Group and the LiLAC Group.</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income tax benefit and expense of the Liberty Global Group and the LiLAC Group includes inter-group tax allocations. For additional information concerning our inter-group tax allocations, see note 2 to this attributed financial information.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While we believe that our allocation methodologies are reasonable, we may elect to change these allocation methodologies or the percentages used to allocate operating and SG&amp;A expenses in the future.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117" w:right="2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Attributed Financial Information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Inter-group Transactions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Inter-group Interests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2016, Liberty Global and CWC each received shareholder approval for our acquisition of CWC, which, pending court sanction of the scheme of arrangement, is expected to be completed on May 16, 2016. Following completion of the acquisition, we intend to attribute CWC to the LiLAC Group, with the Liberty Global Group being granted an inter-group interest in the LiLAC Group. Based on the fully-diluted numbers of Liberty Global Shares, LiLAC Shares and CWC shares outstanding on November 16, 2015, after giving effect to the acquisition and such attribution, and treating the Liberty Global Group’s inter-group interest in the LiLAC Group as being represented by additional LiLAC Shares, Liberty Global Group shareholders would have had an approximate 67.4% ownership interest in the LiLAC Group.</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Lila Chile Note</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11, 2014, Lila Chile Holding and Liberty Global Holding B.V. (</w:t>
      </w:r>
      <w:r>
        <w:rPr>
          <w:rFonts w:ascii="Times New Roman" w:cs="Times New Roman" w:eastAsia="Times New Roman" w:hAnsi="Times New Roman"/>
          <w:sz w:val="18"/>
          <w:szCs w:val="18"/>
          <w:b w:val="1"/>
          <w:bCs w:val="1"/>
          <w:color w:val="auto"/>
        </w:rPr>
        <w:t>Liberty Global Holding</w:t>
      </w:r>
      <w:r>
        <w:rPr>
          <w:rFonts w:ascii="Times New Roman" w:cs="Times New Roman" w:eastAsia="Times New Roman" w:hAnsi="Times New Roman"/>
          <w:sz w:val="18"/>
          <w:szCs w:val="18"/>
          <w:color w:val="auto"/>
        </w:rPr>
        <w:t xml:space="preserve">), an entity attributed to the Liberty Global Group, entered into a loan agreement (the </w:t>
      </w:r>
      <w:r>
        <w:rPr>
          <w:rFonts w:ascii="Times New Roman" w:cs="Times New Roman" w:eastAsia="Times New Roman" w:hAnsi="Times New Roman"/>
          <w:sz w:val="18"/>
          <w:szCs w:val="18"/>
          <w:b w:val="1"/>
          <w:bCs w:val="1"/>
          <w:color w:val="auto"/>
        </w:rPr>
        <w:t>Lila Chile Note</w:t>
      </w:r>
      <w:r>
        <w:rPr>
          <w:rFonts w:ascii="Times New Roman" w:cs="Times New Roman" w:eastAsia="Times New Roman" w:hAnsi="Times New Roman"/>
          <w:sz w:val="18"/>
          <w:szCs w:val="18"/>
          <w:color w:val="auto"/>
        </w:rPr>
        <w:t>). At March 31, 2016 and December 31, 2015, Liberty Global Holding owed Lila Chile Holding $8.3 million and $1.1 million, respectively, in principal pursuant to the Lila Chile Note. The Lila Chile Note bears interest at 5.9% per annum and has a repayment date of July 11, 2022. The principal and accrued interest on the Lila Chile Note are included in the LiLAC Group’s other assets, net, and the Liberty Global Group’s long-term debt and capital lease obligations in the attributed balance sheet information. Accrued and unpaid interest is generally transferred to the principal balance on January 1 of each year. The net increase in the Lila Chile Note during the three months ended March 31, 2016 includes (i) cash loans of $6.8 million and (ii) the transfer of $0.4 million in non-cash accrued interest to the principal balance.</w:t>
      </w:r>
    </w:p>
    <w:p>
      <w:pPr>
        <w:spacing w:after="0" w:line="143" w:lineRule="exact"/>
        <w:rPr>
          <w:sz w:val="20"/>
          <w:szCs w:val="20"/>
          <w:color w:val="auto"/>
        </w:rPr>
      </w:pPr>
    </w:p>
    <w:p>
      <w:pPr>
        <w:ind w:left="500" w:hanging="492"/>
        <w:spacing w:after="0"/>
        <w:tabs>
          <w:tab w:leader="none" w:pos="50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have entered into agreements that commit our company to make cash payments in future periods with respect to programming contracts, network and connectivity commitments, purchases of customer premises and other equipment and services, non-cancellable operating leases and other items. The following table sets forth the U.S. dollar equivalents of such commitments as of March 31, 2016: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Payments due during: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Remainder</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 2016</w:t>
            </w:r>
          </w:p>
        </w:tc>
        <w:tc>
          <w:tcPr>
            <w:tcW w:w="200" w:type="dxa"/>
            <w:vAlign w:val="bottom"/>
          </w:tcPr>
          <w:p>
            <w:pPr>
              <w:spacing w:after="0"/>
              <w:rPr>
                <w:sz w:val="18"/>
                <w:szCs w:val="18"/>
                <w:color w:val="auto"/>
              </w:rPr>
            </w:pPr>
          </w:p>
        </w:tc>
        <w:tc>
          <w:tcPr>
            <w:tcW w:w="7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80" w:type="dxa"/>
            <w:vAlign w:val="bottom"/>
          </w:tcPr>
          <w:p>
            <w:pPr>
              <w:spacing w:after="0"/>
              <w:rPr>
                <w:sz w:val="18"/>
                <w:szCs w:val="18"/>
                <w:color w:val="auto"/>
              </w:rPr>
            </w:pPr>
          </w:p>
        </w:tc>
        <w:tc>
          <w:tcPr>
            <w:tcW w:w="7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Programming commitments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767.8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2,724.6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Network and connectivity</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commitments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2,131.3</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commitments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1,542.0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766.4</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commitments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Total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7,401.6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LiLAC Group:</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Programming commitments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Network and connectivity</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commitments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 commitments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7"/>
        </w:trPr>
        <w:tc>
          <w:tcPr>
            <w:tcW w:w="28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Total (a)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7"/>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F-16</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5"/>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45" w:name="page146"/>
    <w:bookmarkEnd w:id="145"/>
    <w:p>
      <w:pPr>
        <w:jc w:val="center"/>
        <w:ind w:right="-451"/>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8"/>
          <w:szCs w:val="18"/>
          <w:b w:val="1"/>
          <w:bCs w:val="1"/>
          <w:color w:val="auto"/>
        </w:rPr>
        <w:t>Notes to Attributed Financial Information — (Continued)</w:t>
      </w:r>
    </w:p>
    <w:p>
      <w:pPr>
        <w:spacing w:after="0" w:line="9"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492" w:hanging="492"/>
        <w:spacing w:after="0"/>
        <w:tabs>
          <w:tab w:leader="none" w:pos="492"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commitments included in this table do not reflect any liabilities that are included in our March 31, 2016 attributed balance sheet information.</w:t>
      </w:r>
    </w:p>
    <w:p>
      <w:pPr>
        <w:spacing w:after="0" w:line="200" w:lineRule="exact"/>
        <w:rPr>
          <w:rFonts w:ascii="Times New Roman" w:cs="Times New Roman" w:eastAsia="Times New Roman" w:hAnsi="Times New Roman"/>
          <w:sz w:val="17"/>
          <w:szCs w:val="17"/>
          <w:color w:val="auto"/>
        </w:rPr>
      </w:pPr>
    </w:p>
    <w:p>
      <w:pPr>
        <w:spacing w:after="0" w:line="239" w:lineRule="exact"/>
        <w:rPr>
          <w:rFonts w:ascii="Times New Roman" w:cs="Times New Roman" w:eastAsia="Times New Roman" w:hAnsi="Times New Roman"/>
          <w:sz w:val="17"/>
          <w:szCs w:val="17"/>
          <w:color w:val="auto"/>
        </w:rPr>
      </w:pPr>
    </w:p>
    <w:p>
      <w:pPr>
        <w:ind w:left="553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F-17</w:t>
      </w:r>
    </w:p>
    <w:sectPr>
      <w:pgSz w:w="11900" w:h="16838" w:orient="portrait"/>
      <w:cols w:equalWidth="0" w:num="1">
        <w:col w:w="10952"/>
      </w:cols>
      <w:pgMar w:left="248" w:top="11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1)"/>
      <w:numFmt w:val="decimal"/>
      <w:start w:val="1"/>
    </w:lvl>
  </w:abstractNum>
  <w:abstractNum w:abstractNumId="3">
    <w:nsid w:val="2F305DEF"/>
    <w:multiLevelType w:val="hybridMultilevel"/>
    <w:lvl w:ilvl="0">
      <w:lvlJc w:val="left"/>
      <w:lvlText w:val="(%1)"/>
      <w:numFmt w:val="decimal"/>
      <w:start w:val="2"/>
    </w:lvl>
  </w:abstractNum>
  <w:abstractNum w:abstractNumId="4">
    <w:nsid w:val="25A70BF7"/>
    <w:multiLevelType w:val="hybridMultilevel"/>
    <w:lvl w:ilvl="0">
      <w:lvlJc w:val="left"/>
      <w:lvlText w:val="(%1)"/>
      <w:numFmt w:val="decimal"/>
      <w:start w:val="3"/>
    </w:lvl>
  </w:abstractNum>
  <w:abstractNum w:abstractNumId="5">
    <w:nsid w:val="1DBABF00"/>
    <w:multiLevelType w:val="hybridMultilevel"/>
    <w:lvl w:ilvl="0">
      <w:lvlJc w:val="left"/>
      <w:lvlText w:val="(%1)"/>
      <w:numFmt w:val="lowerLetter"/>
      <w:start w:val="1"/>
    </w:lvl>
  </w:abstractNum>
  <w:abstractNum w:abstractNumId="6">
    <w:nsid w:val="4AD084E9"/>
    <w:multiLevelType w:val="hybridMultilevel"/>
    <w:lvl w:ilvl="0">
      <w:lvlJc w:val="left"/>
      <w:lvlText w:val="(%1)"/>
      <w:numFmt w:val="lowerLetter"/>
      <w:start w:val="4"/>
    </w:lvl>
  </w:abstractNum>
  <w:abstractNum w:abstractNumId="7">
    <w:nsid w:val="1F48EAA1"/>
    <w:multiLevelType w:val="hybridMultilevel"/>
    <w:lvl w:ilvl="0">
      <w:lvlJc w:val="left"/>
      <w:lvlText w:val="(%1)"/>
      <w:numFmt w:val="lowerLetter"/>
      <w:start w:val="1"/>
    </w:lvl>
  </w:abstractNum>
  <w:abstractNum w:abstractNumId="8">
    <w:nsid w:val="1381823A"/>
    <w:multiLevelType w:val="hybridMultilevel"/>
    <w:lvl w:ilvl="0">
      <w:lvlJc w:val="left"/>
      <w:lvlText w:val="(%1)"/>
      <w:numFmt w:val="decimal"/>
      <w:start w:val="4"/>
    </w:lvl>
  </w:abstractNum>
  <w:abstractNum w:abstractNumId="9">
    <w:nsid w:val="5DB70AE5"/>
    <w:multiLevelType w:val="hybridMultilevel"/>
    <w:lvl w:ilvl="0">
      <w:lvlJc w:val="left"/>
      <w:lvlText w:val="(%1)"/>
      <w:numFmt w:val="lowerLetter"/>
      <w:start w:val="1"/>
    </w:lvl>
  </w:abstractNum>
  <w:abstractNum w:abstractNumId="10">
    <w:nsid w:val="100F8FCA"/>
    <w:multiLevelType w:val="hybridMultilevel"/>
    <w:lvl w:ilvl="0">
      <w:lvlJc w:val="left"/>
      <w:lvlText w:val="(%1)"/>
      <w:numFmt w:val="lowerLetter"/>
      <w:start w:val="1"/>
    </w:lvl>
  </w:abstractNum>
  <w:abstractNum w:abstractNumId="11">
    <w:nsid w:val="6590700B"/>
    <w:multiLevelType w:val="hybridMultilevel"/>
    <w:lvl w:ilvl="0">
      <w:lvlJc w:val="left"/>
      <w:lvlText w:val="(%1)"/>
      <w:numFmt w:val="lowerLetter"/>
      <w:start w:val="1"/>
    </w:lvl>
  </w:abstractNum>
  <w:abstractNum w:abstractNumId="12">
    <w:nsid w:val="15014ACB"/>
    <w:multiLevelType w:val="hybridMultilevel"/>
    <w:lvl w:ilvl="0">
      <w:lvlJc w:val="left"/>
      <w:lvlText w:val="(%1)"/>
      <w:numFmt w:val="lowerLetter"/>
      <w:start w:val="1"/>
    </w:lvl>
  </w:abstractNum>
  <w:abstractNum w:abstractNumId="13">
    <w:nsid w:val="5F5E7FD0"/>
    <w:multiLevelType w:val="hybridMultilevel"/>
    <w:lvl w:ilvl="0">
      <w:lvlJc w:val="left"/>
      <w:lvlText w:val="(%1)"/>
      <w:numFmt w:val="lowerLetter"/>
      <w:start w:val="1"/>
    </w:lvl>
  </w:abstractNum>
  <w:abstractNum w:abstractNumId="14">
    <w:nsid w:val="98A3148"/>
    <w:multiLevelType w:val="hybridMultilevel"/>
    <w:lvl w:ilvl="0">
      <w:lvlJc w:val="left"/>
      <w:lvlText w:val="(%1)"/>
      <w:numFmt w:val="decimal"/>
      <w:start w:val="5"/>
    </w:lvl>
  </w:abstractNum>
  <w:abstractNum w:abstractNumId="15">
    <w:nsid w:val="799D0247"/>
    <w:multiLevelType w:val="hybridMultilevel"/>
    <w:lvl w:ilvl="0">
      <w:lvlJc w:val="left"/>
      <w:lvlText w:val="(%1)"/>
      <w:numFmt w:val="lowerLetter"/>
      <w:start w:val="1"/>
    </w:lvl>
  </w:abstractNum>
  <w:abstractNum w:abstractNumId="16">
    <w:nsid w:val="6B94764"/>
    <w:multiLevelType w:val="hybridMultilevel"/>
    <w:lvl w:ilvl="0">
      <w:lvlJc w:val="left"/>
      <w:lvlText w:val="(%1)"/>
      <w:numFmt w:val="lowerLetter"/>
      <w:start w:val="1"/>
    </w:lvl>
  </w:abstractNum>
  <w:abstractNum w:abstractNumId="17">
    <w:nsid w:val="42C296BD"/>
    <w:multiLevelType w:val="hybridMultilevel"/>
    <w:lvl w:ilvl="0">
      <w:lvlJc w:val="left"/>
      <w:lvlText w:val="(%1)"/>
      <w:numFmt w:val="decimal"/>
      <w:start w:val="7"/>
    </w:lvl>
  </w:abstractNum>
  <w:abstractNum w:abstractNumId="18">
    <w:nsid w:val="168E121F"/>
    <w:multiLevelType w:val="hybridMultilevel"/>
    <w:lvl w:ilvl="0">
      <w:lvlJc w:val="left"/>
      <w:lvlText w:val="(%1)"/>
      <w:numFmt w:val="lowerLetter"/>
      <w:start w:val="1"/>
    </w:lvl>
  </w:abstractNum>
  <w:abstractNum w:abstractNumId="19">
    <w:nsid w:val="1EBA5D23"/>
    <w:multiLevelType w:val="hybridMultilevel"/>
    <w:lvl w:ilvl="0">
      <w:lvlJc w:val="left"/>
      <w:lvlText w:val="(%1)"/>
      <w:numFmt w:val="lowerLetter"/>
      <w:start w:val="3"/>
    </w:lvl>
  </w:abstractNum>
  <w:abstractNum w:abstractNumId="20">
    <w:nsid w:val="661E3F1E"/>
    <w:multiLevelType w:val="hybridMultilevel"/>
    <w:lvl w:ilvl="0">
      <w:lvlJc w:val="left"/>
      <w:lvlText w:val="(%1)"/>
      <w:numFmt w:val="lowerLetter"/>
      <w:start w:val="6"/>
    </w:lvl>
  </w:abstractNum>
  <w:abstractNum w:abstractNumId="21">
    <w:nsid w:val="5DC79EA8"/>
    <w:multiLevelType w:val="hybridMultilevel"/>
    <w:lvl w:ilvl="0">
      <w:lvlJc w:val="left"/>
      <w:lvlText w:val="(%1)"/>
      <w:numFmt w:val="lowerLetter"/>
      <w:start w:val="1"/>
    </w:lvl>
  </w:abstractNum>
  <w:abstractNum w:abstractNumId="22">
    <w:nsid w:val="540A471C"/>
    <w:multiLevelType w:val="hybridMultilevel"/>
    <w:lvl w:ilvl="0">
      <w:lvlJc w:val="left"/>
      <w:lvlText w:val="(%1)"/>
      <w:numFmt w:val="decimal"/>
      <w:start w:val="8"/>
    </w:lvl>
  </w:abstractNum>
  <w:abstractNum w:abstractNumId="23">
    <w:nsid w:val="7BD3EE7B"/>
    <w:multiLevelType w:val="hybridMultilevel"/>
    <w:lvl w:ilvl="0">
      <w:lvlJc w:val="left"/>
      <w:lvlText w:val="(%1)"/>
      <w:numFmt w:val="lowerLetter"/>
      <w:start w:val="1"/>
    </w:lvl>
  </w:abstractNum>
  <w:abstractNum w:abstractNumId="24">
    <w:nsid w:val="51D9C564"/>
    <w:multiLevelType w:val="hybridMultilevel"/>
    <w:lvl w:ilvl="0">
      <w:lvlJc w:val="left"/>
      <w:lvlText w:val="(%1)"/>
      <w:numFmt w:val="decimal"/>
      <w:start w:val="9"/>
    </w:lvl>
  </w:abstractNum>
  <w:abstractNum w:abstractNumId="25">
    <w:nsid w:val="613EFDC5"/>
    <w:multiLevelType w:val="hybridMultilevel"/>
    <w:lvl w:ilvl="0">
      <w:lvlJc w:val="left"/>
      <w:lvlText w:val="(%1)"/>
      <w:numFmt w:val="decimal"/>
      <w:start w:val="10"/>
    </w:lvl>
  </w:abstractNum>
  <w:abstractNum w:abstractNumId="26">
    <w:nsid w:val="BF72B14"/>
    <w:multiLevelType w:val="hybridMultilevel"/>
    <w:lvl w:ilvl="0">
      <w:lvlJc w:val="left"/>
      <w:lvlText w:val="(%1)"/>
      <w:numFmt w:val="lowerLetter"/>
      <w:start w:val="1"/>
    </w:lvl>
  </w:abstractNum>
  <w:abstractNum w:abstractNumId="27">
    <w:nsid w:val="11447B73"/>
    <w:multiLevelType w:val="hybridMultilevel"/>
    <w:lvl w:ilvl="0">
      <w:lvlJc w:val="left"/>
      <w:lvlText w:val="(%1)"/>
      <w:numFmt w:val="lowerLetter"/>
      <w:start w:val="1"/>
    </w:lvl>
  </w:abstractNum>
  <w:abstractNum w:abstractNumId="28">
    <w:nsid w:val="42963E5A"/>
    <w:multiLevelType w:val="hybridMultilevel"/>
    <w:lvl w:ilvl="0">
      <w:lvlJc w:val="left"/>
      <w:lvlText w:val="(%1)"/>
      <w:numFmt w:val="lowerLetter"/>
      <w:start w:val="2"/>
    </w:lvl>
  </w:abstractNum>
  <w:abstractNum w:abstractNumId="29">
    <w:nsid w:val="A0382C5"/>
    <w:multiLevelType w:val="hybridMultilevel"/>
    <w:lvl w:ilvl="0">
      <w:lvlJc w:val="left"/>
      <w:lvlText w:val="(%1)"/>
      <w:numFmt w:val="decimal"/>
      <w:start w:val="11"/>
    </w:lvl>
  </w:abstractNum>
  <w:abstractNum w:abstractNumId="30">
    <w:nsid w:val="8F2B15E"/>
    <w:multiLevelType w:val="hybridMultilevel"/>
    <w:lvl w:ilvl="0">
      <w:lvlJc w:val="left"/>
      <w:lvlText w:val="(%1)"/>
      <w:numFmt w:val="decimal"/>
      <w:start w:val="12"/>
    </w:lvl>
  </w:abstractNum>
  <w:abstractNum w:abstractNumId="31">
    <w:nsid w:val="1A32234B"/>
    <w:multiLevelType w:val="hybridMultilevel"/>
    <w:lvl w:ilvl="0">
      <w:lvlJc w:val="left"/>
      <w:lvlText w:val="(%1)"/>
      <w:numFmt w:val="decimal"/>
      <w:start w:val="13"/>
    </w:lvl>
  </w:abstractNum>
  <w:abstractNum w:abstractNumId="32">
    <w:nsid w:val="3B0FD379"/>
    <w:multiLevelType w:val="hybridMultilevel"/>
    <w:lvl w:ilvl="0">
      <w:lvlJc w:val="left"/>
      <w:lvlText w:val="(%1)"/>
      <w:numFmt w:val="lowerLetter"/>
      <w:start w:val="1"/>
    </w:lvl>
  </w:abstractNum>
  <w:abstractNum w:abstractNumId="33">
    <w:nsid w:val="68EB2F63"/>
    <w:multiLevelType w:val="hybridMultilevel"/>
    <w:lvl w:ilvl="0">
      <w:lvlJc w:val="left"/>
      <w:lvlText w:val="(%1)"/>
      <w:numFmt w:val="decimal"/>
      <w:start w:val="14"/>
    </w:lvl>
  </w:abstractNum>
  <w:abstractNum w:abstractNumId="34">
    <w:nsid w:val="4962813B"/>
    <w:multiLevelType w:val="hybridMultilevel"/>
    <w:lvl w:ilvl="0">
      <w:lvlJc w:val="left"/>
      <w:lvlText w:val="(%1)"/>
      <w:numFmt w:val="decimal"/>
      <w:start w:val="3"/>
    </w:lvl>
  </w:abstractNum>
  <w:abstractNum w:abstractNumId="35">
    <w:nsid w:val="60B6DF70"/>
    <w:multiLevelType w:val="hybridMultilevel"/>
    <w:lvl w:ilvl="0">
      <w:lvlJc w:val="left"/>
      <w:lvlText w:val="•"/>
      <w:numFmt w:val="bullet"/>
      <w:start w:val="1"/>
    </w:lvl>
    <w:lvl w:ilvl="1">
      <w:lvlJc w:val="left"/>
      <w:lvlText w:val="•"/>
      <w:numFmt w:val="bullet"/>
      <w:start w:val="1"/>
    </w:lvl>
  </w:abstractNum>
  <w:abstractNum w:abstractNumId="36">
    <w:nsid w:val="6A5EE64"/>
    <w:multiLevelType w:val="hybridMultilevel"/>
    <w:lvl w:ilvl="0">
      <w:lvlJc w:val="left"/>
      <w:lvlText w:val="(%1)"/>
      <w:numFmt w:val="lowerLetter"/>
      <w:start w:val="1"/>
    </w:lvl>
  </w:abstractNum>
  <w:abstractNum w:abstractNumId="37">
    <w:nsid w:val="14330624"/>
    <w:multiLevelType w:val="hybridMultilevel"/>
    <w:lvl w:ilvl="0">
      <w:lvlJc w:val="left"/>
      <w:lvlText w:val="(%1)"/>
      <w:numFmt w:val="lowerLetter"/>
      <w:start w:val="1"/>
    </w:lvl>
  </w:abstractNum>
  <w:abstractNum w:abstractNumId="38">
    <w:nsid w:val="7FFFCA11"/>
    <w:multiLevelType w:val="hybridMultilevel"/>
    <w:lvl w:ilvl="0">
      <w:lvlJc w:val="left"/>
      <w:lvlText w:val="(%1)"/>
      <w:numFmt w:val="lowerLetter"/>
      <w:start w:val="1"/>
    </w:lvl>
  </w:abstractNum>
  <w:abstractNum w:abstractNumId="39">
    <w:nsid w:val="1A27709E"/>
    <w:multiLevelType w:val="hybridMultilevel"/>
    <w:lvl w:ilvl="0">
      <w:lvlJc w:val="left"/>
      <w:lvlText w:val="(%1)"/>
      <w:numFmt w:val="lowerLetter"/>
      <w:start w:val="1"/>
    </w:lvl>
  </w:abstractNum>
  <w:abstractNum w:abstractNumId="40">
    <w:nsid w:val="71EA1109"/>
    <w:multiLevelType w:val="hybridMultilevel"/>
    <w:lvl w:ilvl="0">
      <w:lvlJc w:val="left"/>
      <w:lvlText w:val="(%1)"/>
      <w:numFmt w:val="lowerLetter"/>
      <w:start w:val="1"/>
    </w:lvl>
  </w:abstractNum>
  <w:abstractNum w:abstractNumId="41">
    <w:nsid w:val="100F59DC"/>
    <w:multiLevelType w:val="hybridMultilevel"/>
    <w:lvl w:ilvl="0">
      <w:lvlJc w:val="left"/>
      <w:lvlText w:val="(%1)"/>
      <w:numFmt w:val="decimal"/>
      <w:start w:val="15"/>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1)"/>
      <w:numFmt w:val="lowerRoman"/>
      <w:start w:val="2"/>
    </w:lvl>
  </w:abstractNum>
  <w:abstractNum w:abstractNumId="47">
    <w:nsid w:val="76272110"/>
    <w:multiLevelType w:val="hybridMultilevel"/>
    <w:lvl w:ilvl="0">
      <w:lvlJc w:val="left"/>
      <w:lvlText w:val="(%1)"/>
      <w:numFmt w:val="lowerRoman"/>
      <w:start w:val="1"/>
    </w:lvl>
  </w:abstractNum>
  <w:abstractNum w:abstractNumId="48">
    <w:nsid w:val="4C04A8AF"/>
    <w:multiLevelType w:val="hybridMultilevel"/>
    <w:lvl w:ilvl="0">
      <w:lvlJc w:val="left"/>
      <w:lvlText w:val="(%1)"/>
      <w:numFmt w:val="lowerLetter"/>
      <w:start w:val="1"/>
    </w:lvl>
  </w:abstractNum>
  <w:abstractNum w:abstractNumId="49">
    <w:nsid w:val="1716703B"/>
    <w:multiLevelType w:val="hybridMultilevel"/>
    <w:lvl w:ilvl="0">
      <w:lvlJc w:val="left"/>
      <w:lvlText w:val="(%1)"/>
      <w:numFmt w:val="lowerLetter"/>
      <w:start w:val="1"/>
    </w:lvl>
  </w:abstractNum>
  <w:abstractNum w:abstractNumId="50">
    <w:nsid w:val="14E17E33"/>
    <w:multiLevelType w:val="hybridMultilevel"/>
    <w:lvl w:ilvl="0">
      <w:lvlJc w:val="left"/>
      <w:lvlText w:val="(%1)"/>
      <w:numFmt w:val="lowerLetter"/>
      <w:start w:val="1"/>
    </w:lvl>
  </w:abstractNum>
  <w:abstractNum w:abstractNumId="51">
    <w:nsid w:val="3222E7CD"/>
    <w:multiLevelType w:val="hybridMultilevel"/>
    <w:lvl w:ilvl="0">
      <w:lvlJc w:val="left"/>
      <w:lvlText w:val="(%1)"/>
      <w:numFmt w:val="lowerLetter"/>
      <w:start w:val="1"/>
    </w:lvl>
  </w:abstractNum>
  <w:abstractNum w:abstractNumId="52">
    <w:nsid w:val="74DE0EE3"/>
    <w:multiLevelType w:val="hybridMultilevel"/>
    <w:lvl w:ilvl="0">
      <w:lvlJc w:val="left"/>
      <w:lvlText w:val="(%1)"/>
      <w:numFmt w:val="lowerLetter"/>
      <w:start w:val="1"/>
    </w:lvl>
  </w:abstractNum>
  <w:abstractNum w:abstractNumId="53">
    <w:nsid w:val="68EBC550"/>
    <w:multiLevelType w:val="hybridMultilevel"/>
    <w:lvl w:ilvl="0">
      <w:lvlJc w:val="left"/>
      <w:lvlText w:val="(%1)"/>
      <w:numFmt w:val="lowerLetter"/>
      <w:start w:val="1"/>
    </w:lvl>
  </w:abstractNum>
  <w:abstractNum w:abstractNumId="54">
    <w:nsid w:val="2DF6D648"/>
    <w:multiLevelType w:val="hybridMultilevel"/>
    <w:lvl w:ilvl="0">
      <w:lvlJc w:val="left"/>
      <w:lvlText w:val="(%1)"/>
      <w:numFmt w:val="lowerLetter"/>
      <w:start w:val="1"/>
    </w:lvl>
  </w:abstractNum>
  <w:abstractNum w:abstractNumId="55">
    <w:nsid w:val="46B7D447"/>
    <w:multiLevelType w:val="hybridMultilevel"/>
    <w:lvl w:ilvl="0">
      <w:lvlJc w:val="left"/>
      <w:lvlText w:val="(%1)"/>
      <w:numFmt w:val="lowerLetter"/>
      <w:start w:val="1"/>
    </w:lvl>
  </w:abstractNum>
  <w:abstractNum w:abstractNumId="56">
    <w:nsid w:val="4A2AC315"/>
    <w:multiLevelType w:val="hybridMultilevel"/>
    <w:lvl w:ilvl="0">
      <w:lvlJc w:val="left"/>
      <w:lvlText w:val="(%1)"/>
      <w:numFmt w:val="lowerLetter"/>
      <w:start w:val="1"/>
    </w:lvl>
  </w:abstractNum>
  <w:abstractNum w:abstractNumId="57">
    <w:nsid w:val="39EE015C"/>
    <w:multiLevelType w:val="hybridMultilevel"/>
    <w:lvl w:ilvl="0">
      <w:lvlJc w:val="left"/>
      <w:lvlText w:val="(%1)"/>
      <w:numFmt w:val="lowerLetter"/>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1)"/>
      <w:numFmt w:val="lowerLetter"/>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1)"/>
      <w:numFmt w:val="lowerLetter"/>
      <w:start w:val="1"/>
    </w:lvl>
  </w:abstractNum>
  <w:abstractNum w:abstractNumId="63">
    <w:nsid w:val="7F01579B"/>
    <w:multiLevelType w:val="hybridMultilevel"/>
    <w:lvl w:ilvl="0">
      <w:lvlJc w:val="left"/>
      <w:lvlText w:val="(%1)"/>
      <w:numFmt w:val="lowerLetter"/>
      <w:start w:val="1"/>
    </w:lvl>
  </w:abstractNum>
  <w:abstractNum w:abstractNumId="64">
    <w:nsid w:val="49DA307D"/>
    <w:multiLevelType w:val="hybridMultilevel"/>
    <w:lvl w:ilvl="0">
      <w:lvlJc w:val="left"/>
      <w:lvlText w:val="(%1)"/>
      <w:numFmt w:val="lowerLetter"/>
      <w:start w:val="1"/>
    </w:lvl>
  </w:abstractNum>
  <w:abstractNum w:abstractNumId="65">
    <w:nsid w:val="7055A5F5"/>
    <w:multiLevelType w:val="hybridMultilevel"/>
    <w:lvl w:ilvl="0">
      <w:lvlJc w:val="left"/>
      <w:lvlText w:val="(%1)"/>
      <w:numFmt w:val="lowerLetter"/>
      <w:start w:val="1"/>
    </w:lvl>
  </w:abstractNum>
  <w:abstractNum w:abstractNumId="66">
    <w:nsid w:val="5FB8370B"/>
    <w:multiLevelType w:val="hybridMultilevel"/>
    <w:lvl w:ilvl="0">
      <w:lvlJc w:val="left"/>
      <w:lvlText w:val="(%1)"/>
      <w:numFmt w:val="lowerLetter"/>
      <w:start w:val="1"/>
    </w:lvl>
  </w:abstractNum>
  <w:abstractNum w:abstractNumId="67">
    <w:nsid w:val="50801EE1"/>
    <w:multiLevelType w:val="hybridMultilevel"/>
    <w:lvl w:ilvl="0">
      <w:lvlJc w:val="left"/>
      <w:lvlText w:val="(%1)"/>
      <w:numFmt w:val="lowerLetter"/>
      <w:start w:val="1"/>
    </w:lvl>
    <w:lvl w:ilvl="1">
      <w:lvlJc w:val="left"/>
      <w:lvlText w:val="(%2)"/>
      <w:numFmt w:val="lowerLetter"/>
      <w:start w:val="61"/>
    </w:lvl>
  </w:abstractNum>
  <w:abstractNum w:abstractNumId="68">
    <w:nsid w:val="488AC1A"/>
    <w:multiLevelType w:val="hybridMultilevel"/>
    <w:lvl w:ilvl="0">
      <w:lvlJc w:val="left"/>
      <w:lvlText w:val="(%1)"/>
      <w:numFmt w:val="lowerLetter"/>
      <w:start w:val="1"/>
    </w:lvl>
  </w:abstractNum>
  <w:abstractNum w:abstractNumId="69">
    <w:nsid w:val="5FB8011C"/>
    <w:multiLevelType w:val="hybridMultilevel"/>
    <w:lvl w:ilvl="0">
      <w:lvlJc w:val="left"/>
      <w:lvlText w:val="(%1)"/>
      <w:numFmt w:val="lowerLetter"/>
      <w:start w:val="1"/>
    </w:lvl>
  </w:abstractNum>
  <w:abstractNum w:abstractNumId="70">
    <w:nsid w:val="6AA78F7F"/>
    <w:multiLevelType w:val="hybridMultilevel"/>
    <w:lvl w:ilvl="0">
      <w:lvlJc w:val="left"/>
      <w:lvlText w:val="(%1)"/>
      <w:numFmt w:val="lowerLetter"/>
      <w:start w:val="3"/>
    </w:lvl>
  </w:abstractNum>
  <w:abstractNum w:abstractNumId="71">
    <w:nsid w:val="7672BD23"/>
    <w:multiLevelType w:val="hybridMultilevel"/>
    <w:lvl w:ilvl="0">
      <w:lvlJc w:val="left"/>
      <w:lvlText w:val="(%1)"/>
      <w:numFmt w:val="lowerLetter"/>
      <w:start w:val="2"/>
    </w:lvl>
  </w:abstractNum>
  <w:abstractNum w:abstractNumId="72">
    <w:nsid w:val="6FC75AF8"/>
    <w:multiLevelType w:val="hybridMultilevel"/>
    <w:lvl w:ilvl="0">
      <w:lvlJc w:val="left"/>
      <w:lvlText w:val="(%1)"/>
      <w:numFmt w:val="lowerRoman"/>
      <w:start w:val="3"/>
    </w:lvl>
  </w:abstractNum>
  <w:abstractNum w:abstractNumId="73">
    <w:nsid w:val="6A5F7029"/>
    <w:multiLevelType w:val="hybridMultilevel"/>
    <w:lvl w:ilvl="0">
      <w:lvlJc w:val="left"/>
      <w:lvlText w:val="(%1)"/>
      <w:numFmt w:val="lowerLetter"/>
      <w:start w:val="1"/>
    </w:lvl>
  </w:abstractNum>
  <w:abstractNum w:abstractNumId="74">
    <w:nsid w:val="7D5E18F8"/>
    <w:multiLevelType w:val="hybridMultilevel"/>
    <w:lvl w:ilvl="0">
      <w:lvlJc w:val="left"/>
      <w:lvlText w:val="(%1)"/>
      <w:numFmt w:val="lowerLetter"/>
      <w:start w:val="1"/>
    </w:lvl>
  </w:abstractNum>
  <w:abstractNum w:abstractNumId="75">
    <w:nsid w:val="5F3534A4"/>
    <w:multiLevelType w:val="hybridMultilevel"/>
    <w:lvl w:ilvl="0">
      <w:lvlJc w:val="left"/>
      <w:lvlText w:val="(%1)"/>
      <w:numFmt w:val="lowerRoman"/>
      <w:start w:val="1"/>
    </w:lvl>
  </w:abstractNum>
  <w:abstractNum w:abstractNumId="76">
    <w:nsid w:val="73A1821B"/>
    <w:multiLevelType w:val="hybridMultilevel"/>
    <w:lvl w:ilvl="0">
      <w:lvlJc w:val="left"/>
      <w:lvlText w:val="(%1)"/>
      <w:numFmt w:val="lowerRoman"/>
      <w:start w:val="1"/>
    </w:lvl>
  </w:abstractNum>
  <w:abstractNum w:abstractNumId="77">
    <w:nsid w:val="7DE67713"/>
    <w:multiLevelType w:val="hybridMultilevel"/>
    <w:lvl w:ilvl="0">
      <w:lvlJc w:val="left"/>
      <w:lvlText w:val="(%1)"/>
      <w:numFmt w:val="lowerRoman"/>
      <w:start w:val="1"/>
    </w:lvl>
  </w:abstractNum>
  <w:abstractNum w:abstractNumId="78">
    <w:nsid w:val="555C55B5"/>
    <w:multiLevelType w:val="hybridMultilevel"/>
    <w:lvl w:ilvl="0">
      <w:lvlJc w:val="left"/>
      <w:lvlText w:val="(%1)"/>
      <w:numFmt w:val="lowerLetter"/>
      <w:start w:val="1"/>
    </w:lvl>
  </w:abstractNum>
  <w:abstractNum w:abstractNumId="79">
    <w:nsid w:val="3FA62ACA"/>
    <w:multiLevelType w:val="hybridMultilevel"/>
    <w:lvl w:ilvl="0">
      <w:lvlJc w:val="left"/>
      <w:lvlText w:val="(%1)"/>
      <w:numFmt w:val="lowerLetter"/>
      <w:start w:val="3"/>
    </w:lvl>
  </w:abstractNum>
  <w:abstractNum w:abstractNumId="80">
    <w:nsid w:val="14FCE74E"/>
    <w:multiLevelType w:val="hybridMultilevel"/>
    <w:lvl w:ilvl="0">
      <w:lvlJc w:val="left"/>
      <w:lvlText w:val="(%1)"/>
      <w:numFmt w:val="lowerLetter"/>
      <w:start w:val="1"/>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1."/>
      <w:numFmt w:val="decimal"/>
      <w:start w:val="1"/>
    </w:lvl>
  </w:abstractNum>
  <w:abstractNum w:abstractNumId="86">
    <w:nsid w:val="5092CA79"/>
    <w:multiLevelType w:val="hybridMultilevel"/>
    <w:lvl w:ilvl="0">
      <w:lvlJc w:val="left"/>
      <w:lvlText w:val="(%1)"/>
      <w:numFmt w:val="lowerRoman"/>
      <w:start w:val="1"/>
    </w:lvl>
  </w:abstractNum>
  <w:abstractNum w:abstractNumId="87">
    <w:nsid w:val="1D545C4D"/>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88">
    <w:nsid w:val="59ADEA3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9">
    <w:nsid w:val="288F1A3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0">
    <w:nsid w:val="2A155DBC"/>
    <w:multiLevelType w:val="hybridMultilevel"/>
    <w:lvl w:ilvl="0">
      <w:lvlJc w:val="left"/>
      <w:lvlText w:val="(%1)"/>
      <w:numFmt w:val="lowerRoman"/>
      <w:start w:val="2"/>
    </w:lvl>
  </w:abstractNum>
  <w:abstractNum w:abstractNumId="91">
    <w:nsid w:val="1D9F6E5F"/>
    <w:multiLevelType w:val="hybridMultilevel"/>
    <w:lvl w:ilvl="0">
      <w:lvlJc w:val="left"/>
      <w:lvlText w:val="%1"/>
      <w:numFmt w:val="decimal"/>
      <w:start w:val="1"/>
    </w:lvl>
    <w:lvl w:ilvl="1">
      <w:lvlJc w:val="left"/>
      <w:lvlText w:val="(%2)"/>
      <w:numFmt w:val="lowerLetter"/>
      <w:start w:val="2"/>
    </w:lvl>
  </w:abstractNum>
  <w:abstractNum w:abstractNumId="92">
    <w:nsid w:val="97E1B4E"/>
    <w:multiLevelType w:val="hybridMultilevel"/>
    <w:lvl w:ilvl="0">
      <w:lvlJc w:val="left"/>
      <w:lvlText w:val="%1."/>
      <w:numFmt w:val="decimal"/>
      <w:start w:val="5"/>
    </w:lvl>
    <w:lvl w:ilvl="1">
      <w:lvlJc w:val="left"/>
      <w:lvlText w:val="%2"/>
      <w:numFmt w:val="lowerLetter"/>
      <w:start w:val="1"/>
    </w:lvl>
  </w:abstractNum>
  <w:abstractNum w:abstractNumId="93">
    <w:nsid w:val="51088277"/>
    <w:multiLevelType w:val="hybridMultilevel"/>
    <w:lvl w:ilvl="0">
      <w:lvlJc w:val="left"/>
      <w:lvlText w:val="(%1)"/>
      <w:numFmt w:val="lowerLetter"/>
      <w:start w:val="1"/>
    </w:lvl>
  </w:abstractNum>
  <w:abstractNum w:abstractNumId="94">
    <w:nsid w:val="1CA0C5FA"/>
    <w:multiLevelType w:val="hybridMultilevel"/>
    <w:lvl w:ilvl="0">
      <w:lvlJc w:val="left"/>
      <w:lvlText w:val="(%1)"/>
      <w:numFmt w:val="lowerLetter"/>
      <w:start w:val="3"/>
    </w:lvl>
  </w:abstractNum>
  <w:abstractNum w:abstractNumId="95">
    <w:nsid w:val="53584BCB"/>
    <w:multiLevelType w:val="hybridMultilevel"/>
    <w:lvl w:ilvl="0">
      <w:lvlJc w:val="left"/>
      <w:lvlText w:val="%1."/>
      <w:numFmt w:val="decimal"/>
      <w:start w:val="6"/>
    </w:lvl>
  </w:abstractNum>
  <w:abstractNum w:abstractNumId="96">
    <w:nsid w:val="415E286C"/>
    <w:multiLevelType w:val="hybridMultilevel"/>
    <w:lvl w:ilvl="0">
      <w:lvlJc w:val="left"/>
      <w:lvlText w:val="%1"/>
      <w:numFmt w:val="decimal"/>
      <w:start w:val="1"/>
    </w:lvl>
    <w:lvl w:ilvl="1">
      <w:lvlJc w:val="left"/>
      <w:lvlText w:val="(%2)"/>
      <w:numFmt w:val="lowerLetter"/>
      <w:start w:val="1"/>
    </w:lvl>
  </w:abstractNum>
  <w:abstractNum w:abstractNumId="97">
    <w:nsid w:val="7C58FD05"/>
    <w:multiLevelType w:val="hybridMultilevel"/>
    <w:lvl w:ilvl="0">
      <w:lvlJc w:val="left"/>
      <w:lvlText w:val="%1."/>
      <w:numFmt w:val="decimal"/>
      <w:start w:val="7"/>
    </w:lvl>
    <w:lvl w:ilvl="1">
      <w:lvlJc w:val="left"/>
      <w:lvlText w:val="(%2)"/>
      <w:numFmt w:val="lowerLetter"/>
      <w:start w:val="1"/>
    </w:lvl>
  </w:abstractNum>
  <w:abstractNum w:abstractNumId="98">
    <w:nsid w:val="23D86AA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99">
    <w:nsid w:val="45E6D486"/>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1"/>
    </w:lvl>
  </w:abstractNum>
  <w:abstractNum w:abstractNumId="100">
    <w:nsid w:val="5C10FE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1">
    <w:nsid w:val="E7FFA2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2">
    <w:nsid w:val="3C5991AA"/>
    <w:multiLevelType w:val="hybridMultilevel"/>
    <w:lvl w:ilvl="0">
      <w:lvlJc w:val="left"/>
      <w:lvlText w:val="%1"/>
      <w:numFmt w:val="decimal"/>
      <w:start w:val="1"/>
    </w:lvl>
    <w:lvl w:ilvl="1">
      <w:lvlJc w:val="left"/>
      <w:lvlText w:val="(%2)"/>
      <w:numFmt w:val="lowerLetter"/>
      <w:start w:val="3"/>
    </w:lvl>
  </w:abstractNum>
  <w:abstractNum w:abstractNumId="103">
    <w:nsid w:val="4BD8591A"/>
    <w:multiLevelType w:val="hybridMultilevel"/>
    <w:lvl w:ilvl="0">
      <w:lvlJc w:val="left"/>
      <w:lvlText w:val="%1."/>
      <w:numFmt w:val="decimal"/>
      <w:start w:val="9"/>
    </w:lvl>
    <w:lvl w:ilvl="1">
      <w:lvlJc w:val="left"/>
      <w:lvlText w:val="%2"/>
      <w:numFmt w:val="lowerLetter"/>
      <w:start w:val="1"/>
    </w:lvl>
  </w:abstractNum>
  <w:abstractNum w:abstractNumId="104">
    <w:nsid w:val="78DF6A55"/>
    <w:multiLevelType w:val="hybridMultilevel"/>
    <w:lvl w:ilvl="0">
      <w:lvlJc w:val="left"/>
      <w:lvlText w:val="%1."/>
      <w:numFmt w:val="decimal"/>
      <w:start w:val="11"/>
    </w:lvl>
    <w:lvl w:ilvl="1">
      <w:lvlJc w:val="left"/>
      <w:lvlText w:val="%2."/>
      <w:numFmt w:val="decimal"/>
      <w:start w:val="12"/>
    </w:lvl>
    <w:lvl w:ilvl="2">
      <w:lvlJc w:val="left"/>
      <w:lvlText w:val="(%3)"/>
      <w:numFmt w:val="lowerLetter"/>
      <w:start w:val="1"/>
    </w:lvl>
  </w:abstractNum>
  <w:abstractNum w:abstractNumId="105">
    <w:nsid w:val="39B7AAA2"/>
    <w:multiLevelType w:val="hybridMultilevel"/>
    <w:lvl w:ilvl="0">
      <w:lvlJc w:val="left"/>
      <w:lvlText w:val="%1."/>
      <w:numFmt w:val="decimal"/>
      <w:start w:val="13"/>
    </w:lvl>
    <w:lvl w:ilvl="1">
      <w:lvlJc w:val="left"/>
      <w:lvlText w:val="%2."/>
      <w:numFmt w:val="decimal"/>
      <w:start w:val="17"/>
    </w:lvl>
    <w:lvl w:ilvl="2">
      <w:lvlJc w:val="left"/>
      <w:lvlText w:val="(%3)"/>
      <w:numFmt w:val="lowerLetter"/>
      <w:start w:val="1"/>
    </w:lvl>
  </w:abstractNum>
  <w:abstractNum w:abstractNumId="106">
    <w:nsid w:val="2B0D8DBE"/>
    <w:multiLevelType w:val="hybridMultilevel"/>
    <w:lvl w:ilvl="0">
      <w:lvlJc w:val="left"/>
      <w:lvlText w:val="(%1)"/>
      <w:numFmt w:val="lowerLetter"/>
      <w:start w:val="2"/>
    </w:lvl>
  </w:abstractNum>
  <w:abstractNum w:abstractNumId="107">
    <w:nsid w:val="6C80EC70"/>
    <w:multiLevelType w:val="hybridMultilevel"/>
    <w:lvl w:ilvl="0">
      <w:lvlJc w:val="left"/>
      <w:lvlText w:val="(%1)"/>
      <w:numFmt w:val="lowerLetter"/>
      <w:start w:val="4"/>
    </w:lvl>
  </w:abstractNum>
  <w:abstractNum w:abstractNumId="108">
    <w:nsid w:val="379E21B5"/>
    <w:multiLevelType w:val="hybridMultilevel"/>
    <w:lvl w:ilvl="0">
      <w:lvlJc w:val="left"/>
      <w:lvlText w:val="%1."/>
      <w:numFmt w:val="decimal"/>
      <w:start w:val="18"/>
    </w:lvl>
  </w:abstractNum>
  <w:abstractNum w:abstractNumId="109">
    <w:nsid w:val="69E373"/>
    <w:multiLevelType w:val="hybridMultilevel"/>
    <w:lvl w:ilvl="0">
      <w:lvlJc w:val="left"/>
      <w:lvlText w:val="%1."/>
      <w:numFmt w:val="decimal"/>
      <w:start w:val="19"/>
    </w:lvl>
    <w:lvl w:ilvl="1">
      <w:lvlJc w:val="left"/>
      <w:lvlText w:val="%2."/>
      <w:numFmt w:val="decimal"/>
      <w:start w:val="19"/>
    </w:lvl>
    <w:lvl w:ilvl="2">
      <w:lvlJc w:val="left"/>
      <w:lvlText w:val="(%3)"/>
      <w:numFmt w:val="lowerLetter"/>
      <w:start w:val="1"/>
    </w:lvl>
  </w:abstractNum>
  <w:abstractNum w:abstractNumId="110">
    <w:nsid w:val="2C27173B"/>
    <w:multiLevelType w:val="hybridMultilevel"/>
    <w:lvl w:ilvl="0">
      <w:lvlJc w:val="left"/>
      <w:lvlText w:val="%1"/>
      <w:numFmt w:val="decimal"/>
      <w:start w:val="1"/>
    </w:lvl>
    <w:lvl w:ilvl="1">
      <w:lvlJc w:val="left"/>
      <w:lvlText w:val="(%2)"/>
      <w:numFmt w:val="lowerLetter"/>
      <w:start w:val="1"/>
    </w:lvl>
  </w:abstractNum>
  <w:abstractNum w:abstractNumId="111">
    <w:nsid w:val="4C9B0904"/>
    <w:multiLevelType w:val="hybridMultilevel"/>
    <w:lvl w:ilvl="0">
      <w:lvlJc w:val="left"/>
      <w:lvlText w:val="%1."/>
      <w:numFmt w:val="decimal"/>
      <w:start w:val="21"/>
    </w:lvl>
    <w:lvl w:ilvl="1">
      <w:lvlJc w:val="left"/>
      <w:lvlText w:val="(%2)"/>
      <w:numFmt w:val="lowerLetter"/>
      <w:start w:val="1"/>
    </w:lvl>
  </w:abstractNum>
  <w:abstractNum w:abstractNumId="112">
    <w:nsid w:val="6AA7B75C"/>
    <w:multiLevelType w:val="hybridMultilevel"/>
    <w:lvl w:ilvl="0">
      <w:lvlJc w:val="left"/>
      <w:lvlText w:val="%1"/>
      <w:numFmt w:val="decimal"/>
      <w:start w:val="1"/>
    </w:lvl>
    <w:lvl w:ilvl="1">
      <w:lvlJc w:val="left"/>
      <w:lvlText w:val="(%2)"/>
      <w:numFmt w:val="lowerLetter"/>
      <w:start w:val="2"/>
    </w:lvl>
  </w:abstractNum>
  <w:abstractNum w:abstractNumId="113">
    <w:nsid w:val="1DF029D3"/>
    <w:multiLevelType w:val="hybridMultilevel"/>
    <w:lvl w:ilvl="0">
      <w:lvlJc w:val="left"/>
      <w:lvlText w:val="%1."/>
      <w:numFmt w:val="decimal"/>
      <w:start w:val="23"/>
    </w:lvl>
    <w:lvl w:ilvl="1">
      <w:lvlJc w:val="left"/>
      <w:lvlText w:val="%2"/>
      <w:numFmt w:val="lowerLetter"/>
      <w:start w:val="1"/>
    </w:lvl>
  </w:abstractNum>
  <w:abstractNum w:abstractNumId="114">
    <w:nsid w:val="5675FF36"/>
    <w:multiLevelType w:val="hybridMultilevel"/>
    <w:lvl w:ilvl="0">
      <w:lvlJc w:val="left"/>
      <w:lvlText w:val="%1."/>
      <w:numFmt w:val="decimal"/>
      <w:start w:val="25"/>
    </w:lvl>
  </w:abstractNum>
  <w:abstractNum w:abstractNumId="115">
    <w:nsid w:val="3DD15094"/>
    <w:multiLevelType w:val="hybridMultilevel"/>
    <w:lvl w:ilvl="0">
      <w:lvlJc w:val="left"/>
      <w:lvlText w:val="%1."/>
      <w:numFmt w:val="decimal"/>
      <w:start w:val="1"/>
    </w:lvl>
    <w:lvl w:ilvl="1">
      <w:lvlJc w:val="left"/>
      <w:lvlText w:val="%2)"/>
      <w:numFmt w:val="lowerLetter"/>
      <w:start w:val="1"/>
    </w:lvl>
  </w:abstractNum>
  <w:abstractNum w:abstractNumId="116">
    <w:nsid w:val="3DB012B3"/>
    <w:multiLevelType w:val="hybridMultilevel"/>
    <w:lvl w:ilvl="0">
      <w:lvlJc w:val="left"/>
      <w:lvlText w:val="%1."/>
      <w:numFmt w:val="decimal"/>
      <w:start w:val="1"/>
    </w:lvl>
    <w:lvl w:ilvl="1">
      <w:lvlJc w:val="left"/>
      <w:lvlText w:val="%2)"/>
      <w:numFmt w:val="lowerLetter"/>
      <w:start w:val="1"/>
    </w:lvl>
  </w:abstractNum>
  <w:abstractNum w:abstractNumId="117">
    <w:nsid w:val="2708C9AF"/>
    <w:multiLevelType w:val="hybridMultilevel"/>
    <w:lvl w:ilvl="0">
      <w:lvlJc w:val="left"/>
      <w:lvlText w:val="%1."/>
      <w:numFmt w:val="decimal"/>
      <w:start w:val="1"/>
    </w:lvl>
    <w:lvl w:ilvl="1">
      <w:lvlJc w:val="left"/>
      <w:lvlText w:val="%2)"/>
      <w:numFmt w:val="lowerLetter"/>
      <w:start w:val="1"/>
    </w:lvl>
  </w:abstractNum>
  <w:abstractNum w:abstractNumId="118">
    <w:nsid w:val="5B25ACE2"/>
    <w:multiLevelType w:val="hybridMultilevel"/>
    <w:lvl w:ilvl="0">
      <w:lvlJc w:val="left"/>
      <w:lvlText w:val="(%1)"/>
      <w:numFmt w:val="decimal"/>
      <w:start w:val="1"/>
    </w:lvl>
  </w:abstractNum>
  <w:abstractNum w:abstractNumId="119">
    <w:nsid w:val="175DFCF0"/>
    <w:multiLevelType w:val="hybridMultilevel"/>
    <w:lvl w:ilvl="0">
      <w:lvlJc w:val="left"/>
      <w:lvlText w:val="(%1)"/>
      <w:numFmt w:val="decimal"/>
      <w:start w:val="2"/>
    </w:lvl>
  </w:abstractNum>
  <w:abstractNum w:abstractNumId="120">
    <w:nsid w:val="4F97E3E4"/>
    <w:multiLevelType w:val="hybridMultilevel"/>
    <w:lvl w:ilvl="0">
      <w:lvlJc w:val="left"/>
      <w:lvlText w:val="(%1)"/>
      <w:numFmt w:val="lowerLetter"/>
      <w:start w:val="1"/>
    </w:lvl>
  </w:abstractNum>
  <w:abstractNum w:abstractNumId="121">
    <w:nsid w:val="53B0A9E"/>
    <w:multiLevelType w:val="hybridMultilevel"/>
    <w:lvl w:ilvl="0">
      <w:lvlJc w:val="left"/>
      <w:lvlText w:val="(%1)"/>
      <w:numFmt w:val="lowerLetter"/>
      <w:start w:val="1"/>
    </w:lvl>
  </w:abstractNum>
  <w:abstractNum w:abstractNumId="122">
    <w:nsid w:val="34FD6B4F"/>
    <w:multiLevelType w:val="hybridMultilevel"/>
    <w:lvl w:ilvl="0">
      <w:lvlJc w:val="left"/>
      <w:lvlText w:val="(%1)"/>
      <w:numFmt w:val="decimal"/>
      <w:start w:val="3"/>
    </w:lvl>
  </w:abstractNum>
  <w:abstractNum w:abstractNumId="123">
    <w:nsid w:val="5915FF32"/>
    <w:multiLevelType w:val="hybridMultilevel"/>
    <w:lvl w:ilvl="0">
      <w:lvlJc w:val="left"/>
      <w:lvlText w:val="(%1)"/>
      <w:numFmt w:val="decimal"/>
      <w:start w:val="4"/>
    </w:lvl>
  </w:abstractNum>
  <w:abstractNum w:abstractNumId="124">
    <w:nsid w:val="56438D15"/>
    <w:multiLevelType w:val="hybridMultilevel"/>
    <w:lvl w:ilvl="0">
      <w:lvlJc w:val="left"/>
      <w:lvlText w:val="(%1)"/>
      <w:numFmt w:val="decimal"/>
      <w:start w:val="5"/>
    </w:lvl>
  </w:abstractNum>
  <w:abstractNum w:abstractNumId="125">
    <w:nsid w:val="519E314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2019-12-29T11:31:22Z</dcterms:created>
  <dcterms:modified xsi:type="dcterms:W3CDTF">2019-12-29T11:31:22Z</dcterms:modified>
</cp:coreProperties>
</file>