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September 1, 2026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Liberty Global Ltd.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tbl>
      <w:tblPr>
        <w:tblW w:w="5962" w:type="dxa"/>
        <w:jc w:val="left"/>
        <w:tblInd w:w="0" w:type="dxa"/>
        <w:tblLayout w:type="fixed"/>
        <w:tblCellMar>
          <w:top w:w="28" w:type="dxa"/>
          <w:left w:w="28" w:type="dxa"/>
          <w:bottom w:w="28" w:type="dxa"/>
          <w:right w:w="28" w:type="dxa"/>
        </w:tblCellMar>
      </w:tblPr>
      <w:tblGrid>
        <w:gridCol w:w="710"/>
        <w:gridCol w:w="625"/>
        <w:gridCol w:w="630"/>
        <w:gridCol w:w="109"/>
        <w:gridCol w:w="109"/>
        <w:gridCol w:w="109"/>
        <w:gridCol w:w="687"/>
        <w:gridCol w:w="687"/>
        <w:gridCol w:w="695"/>
        <w:gridCol w:w="109"/>
        <w:gridCol w:w="109"/>
        <w:gridCol w:w="109"/>
        <w:gridCol w:w="371"/>
        <w:gridCol w:w="371"/>
        <w:gridCol w:w="532"/>
      </w:tblGrid>
      <w:tr>
        <w:trPr/>
        <w:tc>
          <w:tcPr>
            <w:tcW w:w="71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Bermuda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001-35961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98-1750381</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br/>
              <w:t>Identification #)</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Clarendon House, 2 Church Street, Hamilton HM 11, Bermuda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+1.303.220.6600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6883" w:type="dxa"/>
        <w:jc w:val="center"/>
        <w:tblInd w:w="0" w:type="dxa"/>
        <w:tblLayout w:type="fixed"/>
        <w:tblCellMar>
          <w:top w:w="28" w:type="dxa"/>
          <w:left w:w="28" w:type="dxa"/>
          <w:bottom w:w="28" w:type="dxa"/>
          <w:right w:w="28" w:type="dxa"/>
        </w:tblCellMar>
      </w:tblPr>
      <w:tblGrid>
        <w:gridCol w:w="667"/>
        <w:gridCol w:w="587"/>
        <w:gridCol w:w="591"/>
        <w:gridCol w:w="519"/>
        <w:gridCol w:w="519"/>
        <w:gridCol w:w="521"/>
        <w:gridCol w:w="1019"/>
        <w:gridCol w:w="1019"/>
        <w:gridCol w:w="144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A common shares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LBTYA</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B common shares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LBTYB</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C common shares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LBTYK</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lineRule="auto" w:line="288" w:before="120" w:after="12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18"/>
        </w:rPr>
        <w:t>Written communications pursuant to Rule 425 under the Securities Act (17 CFR 230.425)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18"/>
        </w:rPr>
        <w:t>Soliciting material pursuant to Rule 14a-12 under the Exchange Act (17 CFR 240.14a-12)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18"/>
        </w:rPr>
        <w:t>Pre-commencement communications pursuant to Rule 14d-2(b) under the Exchange Act (17 CFR 240.14d-2(b))</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18"/>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18"/>
        </w:rPr>
        <w:t>Emerging growth company </w:t>
      </w:r>
      <w:r>
        <w:rPr>
          <w:color w:val="000000"/>
        </w:rPr>
        <w:t xml:space="preserv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Current Report on Form 8-K and the information contained in the Press Release attached hereto as Exhibit 99.1 are being furnished pursuant to Item 7.01 and shall not be deemed to be “filed” for purposes of Section 18 of the Securities Exchange Act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of 1934 or otherwise subject to the liabilities of that Section.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8785" w:type="dxa"/>
        <w:jc w:val="left"/>
        <w:tblInd w:w="0" w:type="dxa"/>
        <w:tblLayout w:type="fixed"/>
        <w:tblCellMar>
          <w:top w:w="28" w:type="dxa"/>
          <w:left w:w="28" w:type="dxa"/>
          <w:bottom w:w="28" w:type="dxa"/>
          <w:right w:w="28" w:type="dxa"/>
        </w:tblCellMar>
      </w:tblPr>
      <w:tblGrid>
        <w:gridCol w:w="363"/>
        <w:gridCol w:w="320"/>
        <w:gridCol w:w="321"/>
        <w:gridCol w:w="109"/>
        <w:gridCol w:w="109"/>
        <w:gridCol w:w="109"/>
        <w:gridCol w:w="2179"/>
        <w:gridCol w:w="2179"/>
        <w:gridCol w:w="3096"/>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3096"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 Name</w:t>
            </w:r>
          </w:p>
        </w:tc>
      </w:tr>
      <w:tr>
        <w:trPr/>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991q32026earningscalltim.htm">
              <w:r>
                <w:rPr>
                  <w:rStyle w:val="InternetLink"/>
                  <w:rFonts w:ascii="Times New Roman;serif" w:hAnsi="Times New Roman;serif"/>
                  <w:b w:val="false"/>
                  <w:color w:val="0000FF"/>
                  <w:sz w:val="20"/>
                  <w:u w:val="single"/>
                </w:rPr>
                <w:t>Press release dated September 1, 2026</w:t>
              </w:r>
            </w:hyperlink>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Exhibit is furnished herewith and not deemed to be filed.</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3572" w:type="dxa"/>
        <w:jc w:val="left"/>
        <w:tblInd w:w="0" w:type="dxa"/>
        <w:tblLayout w:type="fixed"/>
        <w:tblCellMar>
          <w:top w:w="28" w:type="dxa"/>
          <w:left w:w="28" w:type="dxa"/>
          <w:bottom w:w="28" w:type="dxa"/>
          <w:right w:w="28" w:type="dxa"/>
        </w:tblCellMar>
      </w:tblPr>
      <w:tblGrid>
        <w:gridCol w:w="124"/>
        <w:gridCol w:w="109"/>
        <w:gridCol w:w="109"/>
        <w:gridCol w:w="352"/>
        <w:gridCol w:w="352"/>
        <w:gridCol w:w="352"/>
        <w:gridCol w:w="635"/>
        <w:gridCol w:w="635"/>
        <w:gridCol w:w="9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LIBERTY GLOBAL LTD.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RANDY L. LAZZELL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Randy L. Lazzell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w:t>
            </w:r>
          </w:p>
        </w:tc>
      </w:tr>
    </w:tbl>
    <w:p>
      <w:pPr>
        <w:pStyle w:val="TextBody"/>
        <w:bidi w:val="0"/>
        <w:spacing w:lineRule="auto" w:line="288" w:before="0" w:after="0"/>
        <w:jc w:val="left"/>
        <w:rPr>
          <w:color w:val="000000"/>
        </w:rPr>
      </w:pPr>
      <w:r>
        <w:rPr>
          <w:color w:val="000000"/>
        </w:rPr>
        <w:t> </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Date: September 1,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106" w:type="dxa"/>
        <w:jc w:val="right"/>
        <w:tblInd w:w="0" w:type="dxa"/>
        <w:tblLayout w:type="fixed"/>
        <w:tblCellMar>
          <w:top w:w="28" w:type="dxa"/>
          <w:left w:w="28" w:type="dxa"/>
          <w:bottom w:w="28" w:type="dxa"/>
          <w:right w:w="28" w:type="dxa"/>
        </w:tblCellMar>
      </w:tblPr>
      <w:tblGrid>
        <w:gridCol w:w="3238"/>
        <w:gridCol w:w="2846"/>
        <w:gridCol w:w="4022"/>
      </w:tblGrid>
      <w:tr>
        <w:trPr/>
        <w:tc>
          <w:tcPr>
            <w:tcW w:w="3238" w:type="dxa"/>
            <w:tcBorders/>
            <w:vAlign w:val="center"/>
          </w:tcPr>
          <w:p>
            <w:pPr>
              <w:pStyle w:val="TableContents"/>
              <w:bidi w:val="0"/>
              <w:spacing w:before="0" w:after="283"/>
              <w:jc w:val="left"/>
              <w:rPr>
                <w:sz w:val="4"/>
                <w:szCs w:val="4"/>
              </w:rPr>
            </w:pPr>
            <w:r>
              <w:rPr>
                <w:sz w:val="4"/>
                <w:szCs w:val="4"/>
              </w:rPr>
            </w:r>
          </w:p>
        </w:tc>
        <w:tc>
          <w:tcPr>
            <w:tcW w:w="2846" w:type="dxa"/>
            <w:tcBorders/>
            <w:vAlign w:val="center"/>
          </w:tcPr>
          <w:p>
            <w:pPr>
              <w:pStyle w:val="TableContents"/>
              <w:bidi w:val="0"/>
              <w:spacing w:before="0" w:after="283"/>
              <w:jc w:val="left"/>
              <w:rPr>
                <w:sz w:val="4"/>
                <w:szCs w:val="4"/>
              </w:rPr>
            </w:pPr>
            <w:r>
              <w:rPr>
                <w:sz w:val="4"/>
                <w:szCs w:val="4"/>
              </w:rPr>
            </w:r>
          </w:p>
        </w:tc>
        <w:tc>
          <w:tcPr>
            <w:tcW w:w="4022" w:type="dxa"/>
            <w:tcBorders/>
            <w:vAlign w:val="center"/>
          </w:tcPr>
          <w:p>
            <w:pPr>
              <w:pStyle w:val="TableContents"/>
              <w:bidi w:val="0"/>
              <w:spacing w:before="0" w:after="283"/>
              <w:jc w:val="left"/>
              <w:rPr>
                <w:sz w:val="4"/>
                <w:szCs w:val="4"/>
              </w:rPr>
            </w:pPr>
            <w:r>
              <w:rPr>
                <w:sz w:val="4"/>
                <w:szCs w:val="4"/>
              </w:rPr>
            </w:r>
          </w:p>
        </w:tc>
      </w:tr>
      <w:tr>
        <w:trPr/>
        <w:tc>
          <w:tcPr>
            <w:tcW w:w="10106" w:type="dxa"/>
            <w:gridSpan w:val="3"/>
            <w:tcBorders/>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6324600" cy="21336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6324600" cy="2133600"/>
                          </a:xfrm>
                          <a:prstGeom prst="rect">
                            <a:avLst/>
                          </a:prstGeom>
                        </pic:spPr>
                      </pic:pic>
                    </a:graphicData>
                  </a:graphic>
                </wp:inline>
              </w:drawing>
            </w:r>
          </w:p>
        </w:tc>
      </w:tr>
    </w:tbl>
    <w:p>
      <w:pPr>
        <w:pStyle w:val="TextBody"/>
        <w:bidi w:val="0"/>
        <w:spacing w:lineRule="auto" w:line="276" w:before="0" w:after="160"/>
        <w:jc w:val="right"/>
        <w:rPr>
          <w:rFonts w:ascii="Times New Roman;serif" w:hAnsi="Times New Roman;serif"/>
          <w:b/>
          <w:color w:val="243347"/>
          <w:sz w:val="20"/>
        </w:rPr>
      </w:pPr>
      <w:r>
        <w:rPr>
          <w:rFonts w:ascii="Times New Roman;serif" w:hAnsi="Times New Roman;serif"/>
          <w:b/>
          <w:color w:val="243347"/>
          <w:sz w:val="20"/>
        </w:rPr>
        <w:t>Exhibit 99.1</w:t>
      </w:r>
    </w:p>
    <w:p>
      <w:pPr>
        <w:pStyle w:val="TextBody"/>
        <w:bidi w:val="0"/>
        <w:spacing w:lineRule="auto" w:line="288" w:before="0" w:after="0"/>
        <w:jc w:val="left"/>
        <w:rPr>
          <w:rFonts w:ascii="Arial;sans-serif" w:hAnsi="Arial;sans-serif"/>
          <w:b/>
          <w:color w:val="243347"/>
          <w:sz w:val="40"/>
        </w:rPr>
      </w:pPr>
      <w:r>
        <w:rPr>
          <w:rFonts w:ascii="Arial;sans-serif" w:hAnsi="Arial;sans-serif"/>
          <w:b/>
          <w:color w:val="243347"/>
          <w:sz w:val="40"/>
        </w:rPr>
        <w:t>Liberty Global Schedules Investor Call for Third Quarter 2026 Results</w:t>
      </w:r>
    </w:p>
    <w:p>
      <w:pPr>
        <w:pStyle w:val="TextBody"/>
        <w:bidi w:val="0"/>
        <w:spacing w:before="0" w:after="0"/>
        <w:jc w:val="left"/>
        <w:rPr/>
      </w:pPr>
      <w:r>
        <w:rPr/>
      </w:r>
    </w:p>
    <w:p>
      <w:pPr>
        <w:pStyle w:val="TextBody"/>
        <w:bidi w:val="0"/>
        <w:spacing w:lineRule="auto" w:line="333" w:before="0" w:after="0"/>
        <w:jc w:val="left"/>
        <w:rPr/>
      </w:pPr>
      <w:r>
        <w:rPr>
          <w:rFonts w:ascii="Arial;sans-serif" w:hAnsi="Arial;sans-serif"/>
          <w:b/>
          <w:color w:val="243347"/>
          <w:sz w:val="20"/>
        </w:rPr>
        <w:t>Denver, Colorado</w:t>
      </w:r>
      <w:r>
        <w:rPr>
          <w:color w:val="243347"/>
        </w:rPr>
        <w:t xml:space="preserve"> – </w:t>
      </w:r>
      <w:r>
        <w:rPr>
          <w:rFonts w:ascii="Arial;sans-serif" w:hAnsi="Arial;sans-serif"/>
          <w:b w:val="false"/>
          <w:color w:val="243347"/>
          <w:sz w:val="20"/>
        </w:rPr>
        <w:t>September 1, 2026</w:t>
      </w:r>
    </w:p>
    <w:p>
      <w:pPr>
        <w:pStyle w:val="TextBody"/>
        <w:bidi w:val="0"/>
        <w:spacing w:before="0" w:after="0"/>
        <w:jc w:val="left"/>
        <w:rPr/>
      </w:pPr>
      <w:r>
        <w:rPr/>
      </w:r>
    </w:p>
    <w:p>
      <w:pPr>
        <w:pStyle w:val="TextBody"/>
        <w:bidi w:val="0"/>
        <w:spacing w:lineRule="auto" w:line="304" w:before="0" w:after="0"/>
        <w:jc w:val="both"/>
        <w:rPr>
          <w:rFonts w:ascii="Arial;sans-serif" w:hAnsi="Arial;sans-serif"/>
          <w:b w:val="false"/>
          <w:color w:val="243347"/>
          <w:sz w:val="20"/>
        </w:rPr>
      </w:pPr>
      <w:r>
        <w:rPr>
          <w:rFonts w:ascii="Arial;sans-serif" w:hAnsi="Arial;sans-serif"/>
          <w:b w:val="false"/>
          <w:color w:val="243347"/>
          <w:sz w:val="20"/>
        </w:rPr>
        <w:t xml:space="preserve">Liberty Global Ltd. (“Liberty Global” or the “Company”) (NASDAQ: LBTYA, LBTYB and LBTYK) today announced plans to release its third quarter 2026 results on the morning of Tuesday, November 3, 2026. You are invited to join in its Investor Call, which will begin at 09:00 a.m. (Eastern Time). During the call, management will discuss the Company’s results and may provide other forward-looking information.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243347"/>
          <w:sz w:val="20"/>
        </w:rPr>
      </w:pPr>
      <w:r>
        <w:rPr>
          <w:rFonts w:ascii="Arial;sans-serif" w:hAnsi="Arial;sans-serif"/>
          <w:b w:val="false"/>
          <w:color w:val="243347"/>
          <w:sz w:val="20"/>
        </w:rPr>
        <w:t xml:space="preserve">A listen-only webcast, along with a summary investor presentation, can be found on the Liberty Global website at https://edge.media-server.com/mmc/p/vsdnjqin. The webcast will be archived in the Investor Relations section of the Company’s website for at least 75 days. </w:t>
      </w:r>
    </w:p>
    <w:p>
      <w:pPr>
        <w:pStyle w:val="TextBody"/>
        <w:bidi w:val="0"/>
        <w:spacing w:lineRule="auto" w:line="333" w:before="300" w:after="283"/>
        <w:jc w:val="left"/>
        <w:rPr>
          <w:rFonts w:ascii="Arial;sans-serif" w:hAnsi="Arial;sans-serif"/>
          <w:b/>
          <w:color w:val="EE742B"/>
          <w:sz w:val="24"/>
        </w:rPr>
      </w:pPr>
      <w:r>
        <w:rPr>
          <w:rFonts w:ascii="Arial;sans-serif" w:hAnsi="Arial;sans-serif"/>
          <w:b/>
          <w:color w:val="EE742B"/>
          <w:sz w:val="24"/>
        </w:rPr>
        <w:t xml:space="preserve">ABOUT LIBERTY GLOBAL </w:t>
      </w:r>
    </w:p>
    <w:p>
      <w:pPr>
        <w:pStyle w:val="TextBody"/>
        <w:bidi w:val="0"/>
        <w:spacing w:before="0" w:after="0"/>
        <w:jc w:val="left"/>
        <w:rPr/>
      </w:pPr>
      <w:r>
        <w:rPr/>
      </w:r>
    </w:p>
    <w:p>
      <w:pPr>
        <w:pStyle w:val="TextBody"/>
        <w:bidi w:val="0"/>
        <w:spacing w:lineRule="auto" w:line="388" w:before="0" w:after="0"/>
        <w:jc w:val="both"/>
        <w:rPr/>
      </w:pPr>
      <w:r>
        <w:rPr>
          <w:rFonts w:ascii="Arial;sans-serif" w:hAnsi="Arial;sans-serif"/>
          <w:b/>
          <w:color w:val="243347"/>
          <w:sz w:val="20"/>
        </w:rPr>
        <w:t>Liberty Global Ltd.</w:t>
      </w:r>
      <w:r>
        <w:rPr>
          <w:color w:val="243347"/>
        </w:rPr>
        <w:t xml:space="preserve"> </w:t>
      </w:r>
      <w:r>
        <w:rPr>
          <w:rFonts w:ascii="Arial;sans-serif" w:hAnsi="Arial;sans-serif"/>
          <w:b w:val="false"/>
          <w:color w:val="243347"/>
          <w:sz w:val="20"/>
        </w:rPr>
        <w:t>(Nasdaq: LBTYA, LBTYB, LBTYK) delivers long-term shareholder value through the strategic management of two complementary platforms: Liberty Telecom and Liberty Growth.</w:t>
      </w:r>
    </w:p>
    <w:p>
      <w:pPr>
        <w:pStyle w:val="TextBody"/>
        <w:bidi w:val="0"/>
        <w:spacing w:before="0" w:after="0"/>
        <w:jc w:val="both"/>
        <w:rPr/>
      </w:pPr>
      <w:r>
        <w:rPr/>
      </w:r>
    </w:p>
    <w:p>
      <w:pPr>
        <w:pStyle w:val="TextBody"/>
        <w:bidi w:val="0"/>
        <w:spacing w:lineRule="auto" w:line="333" w:before="0" w:after="0"/>
        <w:jc w:val="both"/>
        <w:rPr/>
      </w:pPr>
      <w:r>
        <w:rPr>
          <w:rFonts w:ascii="Arial;sans-serif" w:hAnsi="Arial;sans-serif"/>
          <w:b/>
          <w:color w:val="243347"/>
          <w:sz w:val="20"/>
        </w:rPr>
        <w:t>Liberty Telecom</w:t>
      </w:r>
      <w:r>
        <w:rPr>
          <w:color w:val="243347"/>
        </w:rPr>
        <w:t xml:space="preserve"> </w:t>
      </w:r>
      <w:r>
        <w:rPr>
          <w:rFonts w:ascii="Arial;sans-serif" w:hAnsi="Arial;sans-serif"/>
          <w:b w:val="false"/>
          <w:color w:val="243347"/>
          <w:sz w:val="20"/>
        </w:rPr>
        <w:t>is a world leader in converged broadband, video and mobile communications, providing approximately 80 million fixed and mobile connections across Europe through advanced fiber and 5G networks that empower customers and strengthen national economies. The business generates aggregate revenue of $22 billion, including approximately $18 billion from nonconsolidated joint ventures and $4 billion from consolidated operations.</w:t>
      </w:r>
    </w:p>
    <w:p>
      <w:pPr>
        <w:pStyle w:val="TextBody"/>
        <w:bidi w:val="0"/>
        <w:spacing w:before="0" w:after="0"/>
        <w:jc w:val="both"/>
        <w:rPr/>
      </w:pPr>
      <w:r>
        <w:rPr/>
      </w:r>
    </w:p>
    <w:p>
      <w:pPr>
        <w:pStyle w:val="TextBody"/>
        <w:bidi w:val="0"/>
        <w:spacing w:lineRule="auto" w:line="333" w:before="0" w:after="0"/>
        <w:jc w:val="both"/>
        <w:rPr/>
      </w:pPr>
      <w:r>
        <w:rPr>
          <w:rFonts w:ascii="Arial;sans-serif" w:hAnsi="Arial;sans-serif"/>
          <w:b/>
          <w:color w:val="243347"/>
          <w:sz w:val="20"/>
        </w:rPr>
        <w:t>Liberty Growth</w:t>
      </w:r>
      <w:r>
        <w:rPr>
          <w:color w:val="243347"/>
        </w:rPr>
        <w:t xml:space="preserve"> </w:t>
      </w:r>
      <w:r>
        <w:rPr>
          <w:rFonts w:ascii="Arial;sans-serif" w:hAnsi="Arial;sans-serif"/>
          <w:b w:val="false"/>
          <w:color w:val="243347"/>
          <w:sz w:val="20"/>
        </w:rPr>
        <w:t>invests in scalable businesses across the technology, media, sports and infrastructure sectors, with a portfolio of roughly 70 companies and funds valued at $3.4 billion.*</w:t>
      </w:r>
    </w:p>
    <w:p>
      <w:pPr>
        <w:pStyle w:val="TextBody"/>
        <w:bidi w:val="0"/>
        <w:spacing w:before="0" w:after="0"/>
        <w:jc w:val="both"/>
        <w:rPr/>
      </w:pPr>
      <w:r>
        <w:rPr/>
      </w:r>
    </w:p>
    <w:p>
      <w:pPr>
        <w:pStyle w:val="TextBody"/>
        <w:bidi w:val="0"/>
        <w:spacing w:lineRule="auto" w:line="388" w:before="0" w:after="0"/>
        <w:jc w:val="both"/>
        <w:rPr>
          <w:rFonts w:ascii="Arial;sans-serif" w:hAnsi="Arial;sans-serif"/>
          <w:b w:val="false"/>
          <w:color w:val="243347"/>
          <w:sz w:val="20"/>
        </w:rPr>
      </w:pPr>
      <w:r>
        <w:rPr>
          <w:rFonts w:ascii="Arial;sans-serif" w:hAnsi="Arial;sans-serif"/>
          <w:b w:val="false"/>
          <w:color w:val="243347"/>
          <w:sz w:val="20"/>
        </w:rPr>
        <w:t>Together, these platforms reflect Liberty Global's focus on operating, enabling and investing in businesses with strong strategic fit and the potential to deliver sustainable long-term returns.</w:t>
      </w:r>
    </w:p>
    <w:p>
      <w:pPr>
        <w:pStyle w:val="TextBody"/>
        <w:bidi w:val="0"/>
        <w:spacing w:before="0" w:after="0"/>
        <w:jc w:val="both"/>
        <w:rPr/>
      </w:pPr>
      <w:r>
        <w:rPr/>
      </w:r>
    </w:p>
    <w:p>
      <w:pPr>
        <w:pStyle w:val="TextBody"/>
        <w:bidi w:val="0"/>
        <w:spacing w:lineRule="auto" w:line="388" w:before="0" w:after="0"/>
        <w:jc w:val="left"/>
        <w:rPr>
          <w:rFonts w:ascii="Arial;sans-serif" w:hAnsi="Arial;sans-serif"/>
          <w:b w:val="false"/>
          <w:color w:val="243347"/>
          <w:sz w:val="20"/>
        </w:rPr>
      </w:pPr>
      <w:r>
        <w:rPr>
          <w:rFonts w:ascii="Arial;sans-serif" w:hAnsi="Arial;sans-serif"/>
          <w:b w:val="false"/>
          <w:color w:val="243347"/>
          <w:sz w:val="20"/>
        </w:rPr>
        <w:t>*As independently valued as of December 31, 2025.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106" w:type="dxa"/>
        <w:jc w:val="right"/>
        <w:tblInd w:w="0" w:type="dxa"/>
        <w:tblLayout w:type="fixed"/>
        <w:tblCellMar>
          <w:top w:w="28" w:type="dxa"/>
          <w:left w:w="28" w:type="dxa"/>
          <w:bottom w:w="28" w:type="dxa"/>
          <w:right w:w="28" w:type="dxa"/>
        </w:tblCellMar>
      </w:tblPr>
      <w:tblGrid>
        <w:gridCol w:w="3238"/>
        <w:gridCol w:w="2846"/>
        <w:gridCol w:w="4022"/>
      </w:tblGrid>
      <w:tr>
        <w:trPr/>
        <w:tc>
          <w:tcPr>
            <w:tcW w:w="3238" w:type="dxa"/>
            <w:tcBorders/>
            <w:vAlign w:val="center"/>
          </w:tcPr>
          <w:p>
            <w:pPr>
              <w:pStyle w:val="TableContents"/>
              <w:bidi w:val="0"/>
              <w:spacing w:before="0" w:after="283"/>
              <w:jc w:val="left"/>
              <w:rPr>
                <w:sz w:val="4"/>
                <w:szCs w:val="4"/>
              </w:rPr>
            </w:pPr>
            <w:r>
              <w:rPr>
                <w:sz w:val="4"/>
                <w:szCs w:val="4"/>
              </w:rPr>
            </w:r>
          </w:p>
        </w:tc>
        <w:tc>
          <w:tcPr>
            <w:tcW w:w="2846" w:type="dxa"/>
            <w:tcBorders/>
            <w:vAlign w:val="center"/>
          </w:tcPr>
          <w:p>
            <w:pPr>
              <w:pStyle w:val="TableContents"/>
              <w:bidi w:val="0"/>
              <w:spacing w:before="0" w:after="283"/>
              <w:jc w:val="left"/>
              <w:rPr>
                <w:sz w:val="4"/>
                <w:szCs w:val="4"/>
              </w:rPr>
            </w:pPr>
            <w:r>
              <w:rPr>
                <w:sz w:val="4"/>
                <w:szCs w:val="4"/>
              </w:rPr>
            </w:r>
          </w:p>
        </w:tc>
        <w:tc>
          <w:tcPr>
            <w:tcW w:w="4022" w:type="dxa"/>
            <w:tcBorders/>
            <w:vAlign w:val="center"/>
          </w:tcPr>
          <w:p>
            <w:pPr>
              <w:pStyle w:val="TableContents"/>
              <w:bidi w:val="0"/>
              <w:spacing w:before="0" w:after="283"/>
              <w:jc w:val="left"/>
              <w:rPr>
                <w:sz w:val="4"/>
                <w:szCs w:val="4"/>
              </w:rPr>
            </w:pPr>
            <w:r>
              <w:rPr>
                <w:sz w:val="4"/>
                <w:szCs w:val="4"/>
              </w:rPr>
            </w:r>
          </w:p>
        </w:tc>
      </w:tr>
      <w:tr>
        <w:trPr/>
        <w:tc>
          <w:tcPr>
            <w:tcW w:w="10106" w:type="dxa"/>
            <w:gridSpan w:val="3"/>
            <w:tcBorders/>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6324600" cy="21336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6324600" cy="2133600"/>
                          </a:xfrm>
                          <a:prstGeom prst="rect">
                            <a:avLst/>
                          </a:prstGeom>
                        </pic:spPr>
                      </pic:pic>
                    </a:graphicData>
                  </a:graphic>
                </wp:inline>
              </w:drawing>
            </w:r>
          </w:p>
        </w:tc>
      </w:tr>
    </w:tbl>
    <w:p>
      <w:pPr>
        <w:pStyle w:val="TextBody"/>
        <w:bidi w:val="0"/>
        <w:spacing w:lineRule="auto" w:line="388" w:before="0" w:after="0"/>
        <w:jc w:val="left"/>
        <w:rPr>
          <w:rFonts w:ascii="Arial;sans-serif" w:hAnsi="Arial;sans-serif"/>
          <w:b w:val="false"/>
          <w:color w:val="000000"/>
          <w:sz w:val="20"/>
        </w:rPr>
      </w:pPr>
      <w:r>
        <w:rPr>
          <w:rFonts w:ascii="Arial;sans-serif" w:hAnsi="Arial;sans-serif"/>
          <w:b w:val="false"/>
          <w:color w:val="000000"/>
          <w:sz w:val="20"/>
        </w:rPr>
        <w:t>For more information, please visit www.libertyglobal.com or contact:</w:t>
      </w:r>
    </w:p>
    <w:p>
      <w:pPr>
        <w:pStyle w:val="TextBody"/>
        <w:bidi w:val="0"/>
        <w:spacing w:before="0" w:after="0"/>
        <w:jc w:val="left"/>
        <w:rPr/>
      </w:pPr>
      <w:r>
        <w:rPr/>
      </w:r>
    </w:p>
    <w:tbl>
      <w:tblPr>
        <w:tblW w:w="6776" w:type="dxa"/>
        <w:jc w:val="left"/>
        <w:tblInd w:w="0" w:type="dxa"/>
        <w:tblLayout w:type="fixed"/>
        <w:tblCellMar>
          <w:top w:w="28" w:type="dxa"/>
          <w:left w:w="28" w:type="dxa"/>
          <w:bottom w:w="28" w:type="dxa"/>
          <w:right w:w="28" w:type="dxa"/>
        </w:tblCellMar>
      </w:tblPr>
      <w:tblGrid>
        <w:gridCol w:w="1114"/>
        <w:gridCol w:w="977"/>
        <w:gridCol w:w="984"/>
        <w:gridCol w:w="109"/>
        <w:gridCol w:w="109"/>
        <w:gridCol w:w="109"/>
        <w:gridCol w:w="988"/>
        <w:gridCol w:w="988"/>
        <w:gridCol w:w="1398"/>
      </w:tblGrid>
      <w:tr>
        <w:trPr/>
        <w:tc>
          <w:tcPr>
            <w:tcW w:w="111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88" w:before="0" w:after="60"/>
              <w:jc w:val="both"/>
              <w:rPr>
                <w:rFonts w:ascii="Arial;sans-serif" w:hAnsi="Arial;sans-serif"/>
                <w:b/>
                <w:color w:val="000000"/>
                <w:sz w:val="20"/>
              </w:rPr>
            </w:pPr>
            <w:r>
              <w:rPr>
                <w:rFonts w:ascii="Arial;sans-serif" w:hAnsi="Arial;sans-serif"/>
                <w:b/>
                <w:color w:val="000000"/>
                <w:sz w:val="20"/>
              </w:rPr>
              <w:t>Investor Relations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lineRule="auto" w:line="288" w:before="0" w:after="60"/>
              <w:jc w:val="both"/>
              <w:rPr>
                <w:rFonts w:ascii="Arial;sans-serif" w:hAnsi="Arial;sans-serif"/>
                <w:b/>
                <w:color w:val="000000"/>
                <w:sz w:val="20"/>
              </w:rPr>
            </w:pPr>
            <w:r>
              <w:rPr>
                <w:rFonts w:ascii="Arial;sans-serif" w:hAnsi="Arial;sans-serif"/>
                <w:b/>
                <w:color w:val="000000"/>
                <w:sz w:val="20"/>
              </w:rPr>
              <w:t>Corporate Communications</w:t>
            </w:r>
          </w:p>
        </w:tc>
      </w:tr>
      <w:tr>
        <w:trPr/>
        <w:tc>
          <w:tcPr>
            <w:tcW w:w="30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Michael Bishop +44 20 8483 6246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Pádraig McGarrigle +44 7474 736967</w:t>
            </w:r>
          </w:p>
        </w:tc>
      </w:tr>
      <w:tr>
        <w:trPr/>
        <w:tc>
          <w:tcPr>
            <w:tcW w:w="3075" w:type="dxa"/>
            <w:gridSpan w:val="3"/>
            <w:tcBorders/>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Lewis Chong +44 7927 583187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88"/>
        <w:jc w:val="left"/>
        <w:rPr>
          <w:color w:val="000000"/>
        </w:rPr>
      </w:pPr>
      <w:r>
        <w:rPr>
          <w:color w:val="000000"/>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779</Words>
  <Characters>4479</Characters>
  <CharactersWithSpaces>5227</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