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546100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511810</wp:posOffset>
            </wp:positionV>
            <wp:extent cx="716661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22860"/>
                    </a:xfrm>
                    <a:prstGeom prst="rect">
                      <a:avLst/>
                    </a:prstGeom>
                    <a:noFill/>
                  </pic:spPr>
                </pic:pic>
              </a:graphicData>
            </a:graphic>
          </wp:anchor>
        </w:drawing>
        <w:t>UNITED STATES</w:t>
      </w:r>
    </w:p>
    <w:p>
      <w:pPr>
        <w:spacing w:after="0" w:line="31" w:lineRule="exact"/>
        <w:rPr>
          <w:sz w:val="24"/>
          <w:szCs w:val="24"/>
          <w:color w:val="auto"/>
        </w:rPr>
      </w:pPr>
    </w:p>
    <w:p>
      <w:pPr>
        <w:jc w:val="center"/>
        <w:ind w:right="-267"/>
        <w:spacing w:after="0"/>
        <w:rPr>
          <w:sz w:val="20"/>
          <w:szCs w:val="20"/>
          <w:color w:val="auto"/>
        </w:rPr>
      </w:pPr>
      <w:r>
        <w:rPr>
          <w:rFonts w:ascii="Arial" w:cs="Arial" w:eastAsia="Arial" w:hAnsi="Arial"/>
          <w:sz w:val="19"/>
          <w:szCs w:val="19"/>
          <w:b w:val="1"/>
          <w:bCs w:val="1"/>
          <w:color w:val="auto"/>
        </w:rPr>
        <w:t>SECURITIES AND EXCHANGE COMMISSION</w:t>
      </w:r>
    </w:p>
    <w:p>
      <w:pPr>
        <w:spacing w:after="0" w:line="16" w:lineRule="exact"/>
        <w:rPr>
          <w:sz w:val="24"/>
          <w:szCs w:val="24"/>
          <w:color w:val="auto"/>
        </w:rPr>
      </w:pPr>
    </w:p>
    <w:p>
      <w:pPr>
        <w:jc w:val="center"/>
        <w:ind w:right="-26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76835</wp:posOffset>
            </wp:positionV>
            <wp:extent cx="19373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151" w:lineRule="exact"/>
        <w:rPr>
          <w:sz w:val="24"/>
          <w:szCs w:val="24"/>
          <w:color w:val="auto"/>
        </w:rPr>
      </w:pPr>
    </w:p>
    <w:p>
      <w:pPr>
        <w:jc w:val="center"/>
        <w:ind w:right="-26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92710</wp:posOffset>
            </wp:positionV>
            <wp:extent cx="19373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27" w:lineRule="exact"/>
        <w:rPr>
          <w:sz w:val="24"/>
          <w:szCs w:val="24"/>
          <w:color w:val="auto"/>
        </w:rPr>
      </w:pPr>
    </w:p>
    <w:p>
      <w:pPr>
        <w:jc w:val="center"/>
        <w:ind w:right="-267"/>
        <w:spacing w:after="0"/>
        <w:rPr>
          <w:sz w:val="20"/>
          <w:szCs w:val="20"/>
          <w:color w:val="auto"/>
        </w:rPr>
      </w:pPr>
      <w:r>
        <w:rPr>
          <w:rFonts w:ascii="Arial" w:cs="Arial" w:eastAsia="Arial" w:hAnsi="Arial"/>
          <w:sz w:val="13"/>
          <w:szCs w:val="13"/>
          <w:b w:val="1"/>
          <w:bCs w:val="1"/>
          <w:color w:val="auto"/>
        </w:rPr>
        <w:t>CURRENT REPORT</w:t>
      </w:r>
    </w:p>
    <w:p>
      <w:pPr>
        <w:spacing w:after="0" w:line="166" w:lineRule="exact"/>
        <w:rPr>
          <w:sz w:val="24"/>
          <w:szCs w:val="24"/>
          <w:color w:val="auto"/>
        </w:rPr>
      </w:pPr>
    </w:p>
    <w:p>
      <w:pPr>
        <w:jc w:val="center"/>
        <w:ind w:right="-26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58" w:lineRule="exact"/>
        <w:rPr>
          <w:sz w:val="24"/>
          <w:szCs w:val="24"/>
          <w:color w:val="auto"/>
        </w:rPr>
      </w:pPr>
    </w:p>
    <w:p>
      <w:pPr>
        <w:jc w:val="center"/>
        <w:ind w:right="-267"/>
        <w:spacing w:after="0"/>
        <w:rPr>
          <w:sz w:val="20"/>
          <w:szCs w:val="20"/>
          <w:color w:val="auto"/>
        </w:rPr>
      </w:pPr>
      <w:r>
        <w:rPr>
          <w:rFonts w:ascii="Arial" w:cs="Arial" w:eastAsia="Arial" w:hAnsi="Arial"/>
          <w:sz w:val="12"/>
          <w:szCs w:val="12"/>
          <w:b w:val="1"/>
          <w:bCs w:val="1"/>
          <w:color w:val="auto"/>
        </w:rPr>
        <w:t>Date of report (Date of earliest event reported): May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80645</wp:posOffset>
            </wp:positionV>
            <wp:extent cx="19373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01" w:lineRule="exact"/>
        <w:rPr>
          <w:sz w:val="24"/>
          <w:szCs w:val="24"/>
          <w:color w:val="auto"/>
        </w:rPr>
      </w:pPr>
    </w:p>
    <w:p>
      <w:pPr>
        <w:jc w:val="center"/>
        <w:ind w:right="-267"/>
        <w:spacing w:after="0"/>
        <w:rPr>
          <w:sz w:val="20"/>
          <w:szCs w:val="20"/>
          <w:color w:val="auto"/>
        </w:rPr>
      </w:pPr>
      <w:r>
        <w:rPr>
          <w:rFonts w:ascii="Arial" w:cs="Arial" w:eastAsia="Arial" w:hAnsi="Arial"/>
          <w:sz w:val="19"/>
          <w:szCs w:val="19"/>
          <w:b w:val="1"/>
          <w:bCs w:val="1"/>
          <w:color w:val="auto"/>
        </w:rPr>
        <w:t>Liberty Global plc</w:t>
      </w:r>
    </w:p>
    <w:p>
      <w:pPr>
        <w:spacing w:after="0" w:line="31" w:lineRule="exact"/>
        <w:rPr>
          <w:sz w:val="24"/>
          <w:szCs w:val="24"/>
          <w:color w:val="auto"/>
        </w:rPr>
      </w:pPr>
    </w:p>
    <w:p>
      <w:pPr>
        <w:jc w:val="center"/>
        <w:ind w:right="-267"/>
        <w:spacing w:after="0"/>
        <w:rPr>
          <w:sz w:val="20"/>
          <w:szCs w:val="20"/>
          <w:color w:val="auto"/>
        </w:rPr>
      </w:pPr>
      <w:r>
        <w:rPr>
          <w:rFonts w:ascii="Arial" w:cs="Arial" w:eastAsia="Arial" w:hAnsi="Arial"/>
          <w:sz w:val="11"/>
          <w:szCs w:val="1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73025</wp:posOffset>
            </wp:positionV>
            <wp:extent cx="19373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391" w:lineRule="exact"/>
        <w:rPr>
          <w:sz w:val="24"/>
          <w:szCs w:val="24"/>
          <w:color w:val="auto"/>
        </w:rPr>
      </w:pPr>
    </w:p>
    <w:tbl>
      <w:tblPr>
        <w:tblLayout w:type="fixed"/>
        <w:tblInd w:w="1148" w:type="dxa"/>
        <w:tblCellMar>
          <w:top w:w="0" w:type="dxa"/>
          <w:left w:w="0" w:type="dxa"/>
          <w:bottom w:w="0" w:type="dxa"/>
          <w:right w:w="0" w:type="dxa"/>
        </w:tblCellMar>
      </w:tblPr>
      <w:tr>
        <w:trPr>
          <w:trHeight w:val="140"/>
        </w:trPr>
        <w:tc>
          <w:tcPr>
            <w:tcW w:w="2500" w:type="dxa"/>
            <w:vAlign w:val="bottom"/>
          </w:tcPr>
          <w:p>
            <w:pPr>
              <w:jc w:val="center"/>
              <w:ind w:right="1306"/>
              <w:spacing w:after="0"/>
              <w:rPr>
                <w:sz w:val="20"/>
                <w:szCs w:val="20"/>
                <w:color w:val="auto"/>
              </w:rPr>
            </w:pPr>
            <w:r>
              <w:rPr>
                <w:rFonts w:ascii="Arial" w:cs="Arial" w:eastAsia="Arial" w:hAnsi="Arial"/>
                <w:sz w:val="11"/>
                <w:szCs w:val="11"/>
                <w:b w:val="1"/>
                <w:bCs w:val="1"/>
                <w:color w:val="auto"/>
                <w:w w:val="89"/>
              </w:rPr>
              <w:t>England and Wales</w:t>
            </w:r>
          </w:p>
        </w:tc>
        <w:tc>
          <w:tcPr>
            <w:tcW w:w="4040" w:type="dxa"/>
            <w:vAlign w:val="bottom"/>
          </w:tcPr>
          <w:p>
            <w:pPr>
              <w:jc w:val="right"/>
              <w:ind w:right="1786"/>
              <w:spacing w:after="0"/>
              <w:rPr>
                <w:sz w:val="20"/>
                <w:szCs w:val="20"/>
                <w:color w:val="auto"/>
              </w:rPr>
            </w:pPr>
            <w:r>
              <w:rPr>
                <w:rFonts w:ascii="Arial" w:cs="Arial" w:eastAsia="Arial" w:hAnsi="Arial"/>
                <w:sz w:val="11"/>
                <w:szCs w:val="11"/>
                <w:b w:val="1"/>
                <w:bCs w:val="1"/>
                <w:color w:val="auto"/>
              </w:rPr>
              <w:t>001-35961</w:t>
            </w:r>
          </w:p>
        </w:tc>
        <w:tc>
          <w:tcPr>
            <w:tcW w:w="2180" w:type="dxa"/>
            <w:vAlign w:val="bottom"/>
          </w:tcPr>
          <w:p>
            <w:pPr>
              <w:jc w:val="center"/>
              <w:ind w:left="1426"/>
              <w:spacing w:after="0"/>
              <w:rPr>
                <w:sz w:val="20"/>
                <w:szCs w:val="20"/>
                <w:color w:val="auto"/>
              </w:rPr>
            </w:pPr>
            <w:r>
              <w:rPr>
                <w:rFonts w:ascii="Arial" w:cs="Arial" w:eastAsia="Arial" w:hAnsi="Arial"/>
                <w:sz w:val="11"/>
                <w:szCs w:val="11"/>
                <w:b w:val="1"/>
                <w:bCs w:val="1"/>
                <w:color w:val="auto"/>
                <w:w w:val="85"/>
              </w:rPr>
              <w:t>98-1112770</w:t>
            </w:r>
          </w:p>
        </w:tc>
      </w:tr>
      <w:tr>
        <w:trPr>
          <w:trHeight w:val="116"/>
        </w:trPr>
        <w:tc>
          <w:tcPr>
            <w:tcW w:w="2500" w:type="dxa"/>
            <w:vAlign w:val="bottom"/>
          </w:tcPr>
          <w:p>
            <w:pPr>
              <w:jc w:val="center"/>
              <w:ind w:right="1306"/>
              <w:spacing w:after="0" w:line="116" w:lineRule="exact"/>
              <w:rPr>
                <w:sz w:val="20"/>
                <w:szCs w:val="20"/>
                <w:color w:val="auto"/>
              </w:rPr>
            </w:pPr>
            <w:r>
              <w:rPr>
                <w:rFonts w:ascii="Arial" w:cs="Arial" w:eastAsia="Arial" w:hAnsi="Arial"/>
                <w:sz w:val="11"/>
                <w:szCs w:val="11"/>
                <w:color w:val="auto"/>
                <w:w w:val="90"/>
              </w:rPr>
              <w:t>(State or other jurisdiction</w:t>
            </w:r>
          </w:p>
        </w:tc>
        <w:tc>
          <w:tcPr>
            <w:tcW w:w="4040" w:type="dxa"/>
            <w:vAlign w:val="bottom"/>
          </w:tcPr>
          <w:p>
            <w:pPr>
              <w:jc w:val="center"/>
              <w:ind w:right="46"/>
              <w:spacing w:after="0" w:line="116" w:lineRule="exact"/>
              <w:rPr>
                <w:sz w:val="20"/>
                <w:szCs w:val="20"/>
                <w:color w:val="auto"/>
              </w:rPr>
            </w:pPr>
            <w:r>
              <w:rPr>
                <w:rFonts w:ascii="Arial" w:cs="Arial" w:eastAsia="Arial" w:hAnsi="Arial"/>
                <w:sz w:val="11"/>
                <w:szCs w:val="11"/>
                <w:color w:val="auto"/>
                <w:w w:val="90"/>
              </w:rPr>
              <w:t>(Commission File Number)</w:t>
            </w:r>
          </w:p>
        </w:tc>
        <w:tc>
          <w:tcPr>
            <w:tcW w:w="2180" w:type="dxa"/>
            <w:vAlign w:val="bottom"/>
          </w:tcPr>
          <w:p>
            <w:pPr>
              <w:jc w:val="center"/>
              <w:ind w:left="1426"/>
              <w:spacing w:after="0" w:line="116" w:lineRule="exact"/>
              <w:rPr>
                <w:sz w:val="20"/>
                <w:szCs w:val="20"/>
                <w:color w:val="auto"/>
              </w:rPr>
            </w:pPr>
            <w:r>
              <w:rPr>
                <w:rFonts w:ascii="Arial" w:cs="Arial" w:eastAsia="Arial" w:hAnsi="Arial"/>
                <w:sz w:val="11"/>
                <w:szCs w:val="11"/>
                <w:color w:val="auto"/>
                <w:w w:val="92"/>
              </w:rPr>
              <w:t>(IRS Employer</w:t>
            </w:r>
          </w:p>
        </w:tc>
      </w:tr>
      <w:tr>
        <w:trPr>
          <w:trHeight w:val="136"/>
        </w:trPr>
        <w:tc>
          <w:tcPr>
            <w:tcW w:w="2500" w:type="dxa"/>
            <w:vAlign w:val="bottom"/>
          </w:tcPr>
          <w:p>
            <w:pPr>
              <w:jc w:val="center"/>
              <w:ind w:right="1306"/>
              <w:spacing w:after="0"/>
              <w:rPr>
                <w:sz w:val="20"/>
                <w:szCs w:val="20"/>
                <w:color w:val="auto"/>
              </w:rPr>
            </w:pPr>
            <w:r>
              <w:rPr>
                <w:rFonts w:ascii="Arial" w:cs="Arial" w:eastAsia="Arial" w:hAnsi="Arial"/>
                <w:sz w:val="11"/>
                <w:szCs w:val="11"/>
                <w:color w:val="auto"/>
                <w:w w:val="93"/>
              </w:rPr>
              <w:t>of incorporation)</w:t>
            </w:r>
          </w:p>
        </w:tc>
        <w:tc>
          <w:tcPr>
            <w:tcW w:w="4040" w:type="dxa"/>
            <w:vAlign w:val="bottom"/>
          </w:tcPr>
          <w:p>
            <w:pPr>
              <w:spacing w:after="0"/>
              <w:rPr>
                <w:sz w:val="11"/>
                <w:szCs w:val="11"/>
                <w:color w:val="auto"/>
              </w:rPr>
            </w:pPr>
          </w:p>
        </w:tc>
        <w:tc>
          <w:tcPr>
            <w:tcW w:w="2180" w:type="dxa"/>
            <w:vAlign w:val="bottom"/>
          </w:tcPr>
          <w:p>
            <w:pPr>
              <w:jc w:val="center"/>
              <w:ind w:left="1426"/>
              <w:spacing w:after="0"/>
              <w:rPr>
                <w:sz w:val="20"/>
                <w:szCs w:val="20"/>
                <w:color w:val="auto"/>
              </w:rPr>
            </w:pPr>
            <w:r>
              <w:rPr>
                <w:rFonts w:ascii="Arial" w:cs="Arial" w:eastAsia="Arial" w:hAnsi="Arial"/>
                <w:sz w:val="11"/>
                <w:szCs w:val="11"/>
                <w:color w:val="auto"/>
                <w:w w:val="93"/>
              </w:rPr>
              <w:t>Identification #)</w:t>
            </w:r>
          </w:p>
        </w:tc>
      </w:tr>
    </w:tbl>
    <w:p>
      <w:pPr>
        <w:spacing w:after="0" w:line="189" w:lineRule="exact"/>
        <w:rPr>
          <w:sz w:val="24"/>
          <w:szCs w:val="24"/>
          <w:color w:val="auto"/>
        </w:rPr>
      </w:pPr>
    </w:p>
    <w:p>
      <w:pPr>
        <w:jc w:val="center"/>
        <w:ind w:right="-267"/>
        <w:spacing w:after="0"/>
        <w:rPr>
          <w:sz w:val="20"/>
          <w:szCs w:val="20"/>
          <w:color w:val="auto"/>
        </w:rPr>
      </w:pPr>
      <w:r>
        <w:rPr>
          <w:rFonts w:ascii="Arial" w:cs="Arial" w:eastAsia="Arial" w:hAnsi="Arial"/>
          <w:sz w:val="12"/>
          <w:szCs w:val="12"/>
          <w:b w:val="1"/>
          <w:bCs w:val="1"/>
          <w:color w:val="auto"/>
        </w:rPr>
        <w:t>Griffin House, 161 Hammersmith Rd, London, United Kingdom</w:t>
      </w:r>
    </w:p>
    <w:p>
      <w:pPr>
        <w:spacing w:after="0" w:line="19" w:lineRule="exact"/>
        <w:rPr>
          <w:sz w:val="24"/>
          <w:szCs w:val="24"/>
          <w:color w:val="auto"/>
        </w:rPr>
      </w:pPr>
    </w:p>
    <w:p>
      <w:pPr>
        <w:jc w:val="center"/>
        <w:ind w:right="-267"/>
        <w:spacing w:after="0"/>
        <w:rPr>
          <w:sz w:val="20"/>
          <w:szCs w:val="20"/>
          <w:color w:val="auto"/>
        </w:rPr>
      </w:pPr>
      <w:r>
        <w:rPr>
          <w:rFonts w:ascii="Arial" w:cs="Arial" w:eastAsia="Arial" w:hAnsi="Arial"/>
          <w:sz w:val="12"/>
          <w:szCs w:val="12"/>
          <w:b w:val="1"/>
          <w:bCs w:val="1"/>
          <w:color w:val="auto"/>
        </w:rPr>
        <w:t>W6 8BS</w:t>
      </w:r>
    </w:p>
    <w:p>
      <w:pPr>
        <w:spacing w:after="0" w:line="6" w:lineRule="exact"/>
        <w:rPr>
          <w:sz w:val="24"/>
          <w:szCs w:val="24"/>
          <w:color w:val="auto"/>
        </w:rPr>
      </w:pPr>
    </w:p>
    <w:p>
      <w:pPr>
        <w:jc w:val="center"/>
        <w:ind w:right="-267"/>
        <w:spacing w:after="0"/>
        <w:rPr>
          <w:sz w:val="20"/>
          <w:szCs w:val="20"/>
          <w:color w:val="auto"/>
        </w:rPr>
      </w:pPr>
      <w:r>
        <w:rPr>
          <w:rFonts w:ascii="Arial" w:cs="Arial" w:eastAsia="Arial" w:hAnsi="Arial"/>
          <w:sz w:val="11"/>
          <w:szCs w:val="11"/>
          <w:color w:val="auto"/>
        </w:rPr>
        <w:t>(Address of Principal Executive Office)</w:t>
      </w:r>
    </w:p>
    <w:p>
      <w:pPr>
        <w:spacing w:after="0" w:line="140" w:lineRule="exact"/>
        <w:rPr>
          <w:sz w:val="24"/>
          <w:szCs w:val="24"/>
          <w:color w:val="auto"/>
        </w:rPr>
      </w:pPr>
    </w:p>
    <w:p>
      <w:pPr>
        <w:jc w:val="center"/>
        <w:ind w:right="-267"/>
        <w:spacing w:after="0"/>
        <w:rPr>
          <w:sz w:val="20"/>
          <w:szCs w:val="20"/>
          <w:color w:val="auto"/>
        </w:rPr>
      </w:pPr>
      <w:r>
        <w:rPr>
          <w:rFonts w:ascii="Arial" w:cs="Arial" w:eastAsia="Arial" w:hAnsi="Arial"/>
          <w:sz w:val="12"/>
          <w:szCs w:val="12"/>
          <w:b w:val="1"/>
          <w:bCs w:val="1"/>
          <w:color w:val="auto"/>
        </w:rPr>
        <w:t>+44.208.483.6449 or 303.220.6600</w:t>
      </w:r>
    </w:p>
    <w:p>
      <w:pPr>
        <w:spacing w:after="0" w:line="19" w:lineRule="exact"/>
        <w:rPr>
          <w:sz w:val="24"/>
          <w:szCs w:val="24"/>
          <w:color w:val="auto"/>
        </w:rPr>
      </w:pPr>
    </w:p>
    <w:p>
      <w:pPr>
        <w:jc w:val="center"/>
        <w:ind w:right="-267"/>
        <w:spacing w:after="0"/>
        <w:rPr>
          <w:sz w:val="20"/>
          <w:szCs w:val="20"/>
          <w:color w:val="auto"/>
        </w:rPr>
      </w:pPr>
      <w:r>
        <w:rPr>
          <w:rFonts w:ascii="Arial" w:cs="Arial" w:eastAsia="Arial" w:hAnsi="Arial"/>
          <w:sz w:val="12"/>
          <w:szCs w:val="12"/>
          <w:color w:val="auto"/>
        </w:rPr>
        <w:t>(Registrant’s telephone number, including area code)</w:t>
      </w:r>
    </w:p>
    <w:p>
      <w:pPr>
        <w:spacing w:after="0" w:line="73" w:lineRule="exact"/>
        <w:rPr>
          <w:sz w:val="24"/>
          <w:szCs w:val="24"/>
          <w:color w:val="auto"/>
        </w:rPr>
      </w:pPr>
    </w:p>
    <w:tbl>
      <w:tblPr>
        <w:tblLayout w:type="fixed"/>
        <w:tblInd w:w="1948" w:type="dxa"/>
        <w:tblCellMar>
          <w:top w:w="0" w:type="dxa"/>
          <w:left w:w="0" w:type="dxa"/>
          <w:bottom w:w="0" w:type="dxa"/>
          <w:right w:w="0" w:type="dxa"/>
        </w:tblCellMar>
      </w:tblPr>
      <w:tr>
        <w:trPr>
          <w:trHeight w:val="136"/>
        </w:trPr>
        <w:tc>
          <w:tcPr>
            <w:tcW w:w="1740" w:type="dxa"/>
            <w:vAlign w:val="bottom"/>
          </w:tcPr>
          <w:p>
            <w:pPr>
              <w:spacing w:after="0"/>
              <w:rPr>
                <w:sz w:val="11"/>
                <w:szCs w:val="11"/>
                <w:color w:val="auto"/>
              </w:rPr>
            </w:pPr>
          </w:p>
        </w:tc>
        <w:tc>
          <w:tcPr>
            <w:tcW w:w="3480" w:type="dxa"/>
            <w:vAlign w:val="bottom"/>
          </w:tcPr>
          <w:p>
            <w:pPr>
              <w:ind w:left="720"/>
              <w:spacing w:after="0"/>
              <w:rPr>
                <w:sz w:val="20"/>
                <w:szCs w:val="20"/>
                <w:color w:val="auto"/>
              </w:rPr>
            </w:pPr>
            <w:r>
              <w:rPr>
                <w:rFonts w:ascii="Arial" w:cs="Arial" w:eastAsia="Arial" w:hAnsi="Arial"/>
                <w:sz w:val="11"/>
                <w:szCs w:val="11"/>
                <w:color w:val="auto"/>
                <w:w w:val="98"/>
              </w:rPr>
              <w:t>Securities registered pursuant to Section 12(b) of the Act:</w:t>
            </w:r>
          </w:p>
        </w:tc>
        <w:tc>
          <w:tcPr>
            <w:tcW w:w="2280" w:type="dxa"/>
            <w:vAlign w:val="bottom"/>
          </w:tcPr>
          <w:p>
            <w:pPr>
              <w:spacing w:after="0"/>
              <w:rPr>
                <w:sz w:val="11"/>
                <w:szCs w:val="11"/>
                <w:color w:val="auto"/>
              </w:rPr>
            </w:pPr>
          </w:p>
        </w:tc>
      </w:tr>
      <w:tr>
        <w:trPr>
          <w:trHeight w:val="153"/>
        </w:trPr>
        <w:tc>
          <w:tcPr>
            <w:tcW w:w="1740" w:type="dxa"/>
            <w:vAlign w:val="bottom"/>
          </w:tcPr>
          <w:p>
            <w:pPr>
              <w:jc w:val="center"/>
              <w:ind w:right="646"/>
              <w:spacing w:after="0"/>
              <w:rPr>
                <w:sz w:val="20"/>
                <w:szCs w:val="20"/>
                <w:color w:val="auto"/>
              </w:rPr>
            </w:pPr>
            <w:r>
              <w:rPr>
                <w:rFonts w:ascii="Arial" w:cs="Arial" w:eastAsia="Arial" w:hAnsi="Arial"/>
                <w:sz w:val="11"/>
                <w:szCs w:val="11"/>
                <w:b w:val="1"/>
                <w:bCs w:val="1"/>
                <w:color w:val="auto"/>
                <w:w w:val="84"/>
              </w:rPr>
              <w:t>Title of each class</w:t>
            </w:r>
          </w:p>
        </w:tc>
        <w:tc>
          <w:tcPr>
            <w:tcW w:w="3480" w:type="dxa"/>
            <w:vAlign w:val="bottom"/>
          </w:tcPr>
          <w:p>
            <w:pPr>
              <w:jc w:val="center"/>
              <w:ind w:right="286"/>
              <w:spacing w:after="0"/>
              <w:rPr>
                <w:sz w:val="20"/>
                <w:szCs w:val="20"/>
                <w:color w:val="auto"/>
              </w:rPr>
            </w:pPr>
            <w:r>
              <w:rPr>
                <w:rFonts w:ascii="Arial" w:cs="Arial" w:eastAsia="Arial" w:hAnsi="Arial"/>
                <w:sz w:val="11"/>
                <w:szCs w:val="11"/>
                <w:b w:val="1"/>
                <w:bCs w:val="1"/>
                <w:color w:val="auto"/>
                <w:w w:val="89"/>
              </w:rPr>
              <w:t>Trading Symbol(s)</w:t>
            </w:r>
          </w:p>
        </w:tc>
        <w:tc>
          <w:tcPr>
            <w:tcW w:w="2280" w:type="dxa"/>
            <w:vAlign w:val="bottom"/>
          </w:tcPr>
          <w:p>
            <w:pPr>
              <w:jc w:val="center"/>
              <w:ind w:left="206"/>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80"/>
        </w:trPr>
        <w:tc>
          <w:tcPr>
            <w:tcW w:w="1740" w:type="dxa"/>
            <w:vAlign w:val="bottom"/>
          </w:tcPr>
          <w:p>
            <w:pPr>
              <w:jc w:val="center"/>
              <w:ind w:right="646"/>
              <w:spacing w:after="0"/>
              <w:rPr>
                <w:sz w:val="20"/>
                <w:szCs w:val="20"/>
                <w:color w:val="auto"/>
              </w:rPr>
            </w:pPr>
            <w:r>
              <w:rPr>
                <w:rFonts w:ascii="Arial" w:cs="Arial" w:eastAsia="Arial" w:hAnsi="Arial"/>
                <w:sz w:val="11"/>
                <w:szCs w:val="11"/>
                <w:color w:val="auto"/>
                <w:w w:val="89"/>
              </w:rPr>
              <w:t>Class A ordinary shares</w:t>
            </w:r>
          </w:p>
        </w:tc>
        <w:tc>
          <w:tcPr>
            <w:tcW w:w="3480" w:type="dxa"/>
            <w:vAlign w:val="bottom"/>
          </w:tcPr>
          <w:p>
            <w:pPr>
              <w:jc w:val="center"/>
              <w:ind w:right="286"/>
              <w:spacing w:after="0"/>
              <w:rPr>
                <w:sz w:val="20"/>
                <w:szCs w:val="20"/>
                <w:color w:val="auto"/>
              </w:rPr>
            </w:pPr>
            <w:r>
              <w:rPr>
                <w:rFonts w:ascii="Arial" w:cs="Arial" w:eastAsia="Arial" w:hAnsi="Arial"/>
                <w:sz w:val="11"/>
                <w:szCs w:val="11"/>
                <w:color w:val="auto"/>
                <w:w w:val="97"/>
              </w:rPr>
              <w:t>LBTYA</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r>
        <w:trPr>
          <w:trHeight w:val="144"/>
        </w:trPr>
        <w:tc>
          <w:tcPr>
            <w:tcW w:w="1740" w:type="dxa"/>
            <w:vAlign w:val="bottom"/>
          </w:tcPr>
          <w:p>
            <w:pPr>
              <w:jc w:val="center"/>
              <w:ind w:right="666"/>
              <w:spacing w:after="0"/>
              <w:rPr>
                <w:sz w:val="20"/>
                <w:szCs w:val="20"/>
                <w:color w:val="auto"/>
              </w:rPr>
            </w:pPr>
            <w:r>
              <w:rPr>
                <w:rFonts w:ascii="Arial" w:cs="Arial" w:eastAsia="Arial" w:hAnsi="Arial"/>
                <w:sz w:val="11"/>
                <w:szCs w:val="11"/>
                <w:color w:val="auto"/>
                <w:w w:val="87"/>
              </w:rPr>
              <w:t>Class B ordinary shares</w:t>
            </w:r>
          </w:p>
        </w:tc>
        <w:tc>
          <w:tcPr>
            <w:tcW w:w="3480" w:type="dxa"/>
            <w:vAlign w:val="bottom"/>
          </w:tcPr>
          <w:p>
            <w:pPr>
              <w:jc w:val="center"/>
              <w:ind w:right="266"/>
              <w:spacing w:after="0"/>
              <w:rPr>
                <w:sz w:val="20"/>
                <w:szCs w:val="20"/>
                <w:color w:val="auto"/>
              </w:rPr>
            </w:pPr>
            <w:r>
              <w:rPr>
                <w:rFonts w:ascii="Arial" w:cs="Arial" w:eastAsia="Arial" w:hAnsi="Arial"/>
                <w:sz w:val="11"/>
                <w:szCs w:val="11"/>
                <w:color w:val="auto"/>
              </w:rPr>
              <w:t>LBTYB</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r>
        <w:trPr>
          <w:trHeight w:val="144"/>
        </w:trPr>
        <w:tc>
          <w:tcPr>
            <w:tcW w:w="1740" w:type="dxa"/>
            <w:vAlign w:val="bottom"/>
          </w:tcPr>
          <w:p>
            <w:pPr>
              <w:jc w:val="center"/>
              <w:ind w:right="666"/>
              <w:spacing w:after="0"/>
              <w:rPr>
                <w:sz w:val="20"/>
                <w:szCs w:val="20"/>
                <w:color w:val="auto"/>
              </w:rPr>
            </w:pPr>
            <w:r>
              <w:rPr>
                <w:rFonts w:ascii="Arial" w:cs="Arial" w:eastAsia="Arial" w:hAnsi="Arial"/>
                <w:sz w:val="11"/>
                <w:szCs w:val="11"/>
                <w:color w:val="auto"/>
                <w:w w:val="86"/>
              </w:rPr>
              <w:t>Class C ordinary shares</w:t>
            </w:r>
          </w:p>
        </w:tc>
        <w:tc>
          <w:tcPr>
            <w:tcW w:w="3480" w:type="dxa"/>
            <w:vAlign w:val="bottom"/>
          </w:tcPr>
          <w:p>
            <w:pPr>
              <w:jc w:val="center"/>
              <w:ind w:right="266"/>
              <w:spacing w:after="0"/>
              <w:rPr>
                <w:sz w:val="20"/>
                <w:szCs w:val="20"/>
                <w:color w:val="auto"/>
              </w:rPr>
            </w:pPr>
            <w:r>
              <w:rPr>
                <w:rFonts w:ascii="Arial" w:cs="Arial" w:eastAsia="Arial" w:hAnsi="Arial"/>
                <w:sz w:val="11"/>
                <w:szCs w:val="11"/>
                <w:color w:val="auto"/>
              </w:rPr>
              <w:t>LBTYK</w:t>
            </w:r>
          </w:p>
        </w:tc>
        <w:tc>
          <w:tcPr>
            <w:tcW w:w="2280" w:type="dxa"/>
            <w:vAlign w:val="bottom"/>
          </w:tcPr>
          <w:p>
            <w:pPr>
              <w:jc w:val="center"/>
              <w:ind w:left="206"/>
              <w:spacing w:after="0"/>
              <w:rPr>
                <w:sz w:val="20"/>
                <w:szCs w:val="20"/>
                <w:color w:val="auto"/>
              </w:rPr>
            </w:pPr>
            <w:r>
              <w:rPr>
                <w:rFonts w:ascii="Arial" w:cs="Arial" w:eastAsia="Arial" w:hAnsi="Arial"/>
                <w:sz w:val="11"/>
                <w:szCs w:val="11"/>
                <w:color w:val="auto"/>
                <w:w w:val="88"/>
              </w:rPr>
              <w:t>Nasdaq Global Select Market</w:t>
            </w:r>
          </w:p>
        </w:tc>
      </w:tr>
    </w:tbl>
    <w:p>
      <w:pPr>
        <w:spacing w:after="0" w:line="143"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26"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0"/>
          <w:szCs w:val="10"/>
          <w:color w:val="auto"/>
        </w:rPr>
      </w:pPr>
      <w:r>
        <w:rPr>
          <w:rFonts w:ascii="Arial" w:cs="Arial" w:eastAsia="Arial" w:hAnsi="Arial"/>
          <w:sz w:val="11"/>
          <w:szCs w:val="11"/>
          <w:color w:val="auto"/>
        </w:rPr>
        <w:t>Soliciting material pursuant to Rule 14a-12 under the Exchange Act (17 CFR 240.14a-12)</w:t>
      </w:r>
    </w:p>
    <w:p>
      <w:pPr>
        <w:spacing w:after="0" w:line="135" w:lineRule="exact"/>
        <w:rPr>
          <w:sz w:val="24"/>
          <w:szCs w:val="24"/>
          <w:color w:val="auto"/>
        </w:rPr>
      </w:pPr>
    </w:p>
    <w:p>
      <w:pPr>
        <w:ind w:left="268" w:hanging="268"/>
        <w:spacing w:after="0"/>
        <w:tabs>
          <w:tab w:leader="none" w:pos="268"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34" w:lineRule="exact"/>
        <w:rPr>
          <w:rFonts w:ascii="MS PGothic" w:cs="MS PGothic" w:eastAsia="MS PGothic" w:hAnsi="MS PGothic"/>
          <w:sz w:val="11"/>
          <w:szCs w:val="11"/>
          <w:color w:val="auto"/>
        </w:rPr>
      </w:pPr>
    </w:p>
    <w:p>
      <w:pPr>
        <w:ind w:left="268" w:hanging="268"/>
        <w:spacing w:after="0"/>
        <w:tabs>
          <w:tab w:leader="none" w:pos="268"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1" w:lineRule="exact"/>
        <w:rPr>
          <w:sz w:val="24"/>
          <w:szCs w:val="24"/>
          <w:color w:val="auto"/>
        </w:rPr>
      </w:pPr>
    </w:p>
    <w:p>
      <w:pPr>
        <w:ind w:left="8" w:right="600"/>
        <w:spacing w:after="0" w:line="200"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94" w:lineRule="exact"/>
        <w:rPr>
          <w:sz w:val="24"/>
          <w:szCs w:val="24"/>
          <w:color w:val="auto"/>
        </w:rPr>
      </w:pPr>
    </w:p>
    <w:p>
      <w:pPr>
        <w:ind w:left="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617855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716661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228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716661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028"/>
          </w:cols>
          <w:pgMar w:left="292" w:top="1044" w:right="57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8.01 OTHER EVENTS.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On May 10, 2023, Liberty Global plc (“</w:t>
      </w:r>
      <w:r>
        <w:rPr>
          <w:rFonts w:ascii="Arial" w:cs="Arial" w:eastAsia="Arial" w:hAnsi="Arial"/>
          <w:sz w:val="12"/>
          <w:szCs w:val="12"/>
          <w:u w:val="single" w:color="auto"/>
          <w:color w:val="auto"/>
        </w:rPr>
        <w:t>Liberty Global</w:t>
      </w:r>
      <w:r>
        <w:rPr>
          <w:rFonts w:ascii="Arial" w:cs="Arial" w:eastAsia="Arial" w:hAnsi="Arial"/>
          <w:sz w:val="12"/>
          <w:szCs w:val="12"/>
          <w:color w:val="auto"/>
        </w:rPr>
        <w:t>”) held its quarterly earnings call (the “</w:t>
      </w:r>
      <w:r>
        <w:rPr>
          <w:rFonts w:ascii="Arial" w:cs="Arial" w:eastAsia="Arial" w:hAnsi="Arial"/>
          <w:sz w:val="12"/>
          <w:szCs w:val="12"/>
          <w:u w:val="single" w:color="auto"/>
          <w:color w:val="auto"/>
        </w:rPr>
        <w:t>Earnings Call</w:t>
      </w:r>
      <w:r>
        <w:rPr>
          <w:rFonts w:ascii="Arial" w:cs="Arial" w:eastAsia="Arial" w:hAnsi="Arial"/>
          <w:sz w:val="12"/>
          <w:szCs w:val="12"/>
          <w:color w:val="auto"/>
        </w:rPr>
        <w:t>”). During the Earnings Call, Liberty Global’s Chief Executive Officer, Michael T. Fries, discussed Liberty Global’s proposed redomiciliation from the United Kingdom to Bermuda (the “</w:t>
      </w:r>
      <w:r>
        <w:rPr>
          <w:rFonts w:ascii="Arial" w:cs="Arial" w:eastAsia="Arial" w:hAnsi="Arial"/>
          <w:sz w:val="12"/>
          <w:szCs w:val="12"/>
          <w:u w:val="single" w:color="auto"/>
          <w:color w:val="auto"/>
        </w:rPr>
        <w:t>Redomiciliation</w:t>
      </w:r>
      <w:r>
        <w:rPr>
          <w:rFonts w:ascii="Arial" w:cs="Arial" w:eastAsia="Arial" w:hAnsi="Arial"/>
          <w:sz w:val="12"/>
          <w:szCs w:val="12"/>
          <w:color w:val="auto"/>
        </w:rPr>
        <w:t>”). A copy of the relevant portions of the Earnings Call presentation and the associated transcript are attached hereto as Exhibit 99.1 and Exhibit 99.2, respectively, and incorporated herein by reference. An excerpt of Liberty Global’s earnings release, which also discussed the Redomiciliation, is attached hereto as Exhibit 99.3.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This communication contains certain statements which are, or may be deemed to be, “forward-looking statements” with respect to the business of Liberty Global and certain plans and objectives of Liberty Global with respect to the Redomiciliation. Forward-looking statements are statements of future expectations that are based on current expectations, assumptions and projections about future events, and are, therefore, are qualified in their entirety by, and subject to, risks and uncertainties which could cause actual results, performance or events to differ materially from those expressed or implied by the forward-looking statements. Often, but not always, forward-looking statements can be identified by the use of forward-looking words such as “plans”, “expects”, “is expected”, “is subject to”, “budget”, “scheduled”, “estimates”, “forecasts”, “intends”, “anticipates”, “believes”, “targets”, “aims”, “projects” or words or terms of similar substance or the negative thereof, as well as variations of such words and phrases or statements that certain actions, events or results “may”, “could”, “should”, “would”, “might” or “will” be taken, occur or be achieved.</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Although Liberty Global believes that the expectations reflected in such forward-looking statements are reasonable, we cannot give assurance that such expectations will prove to be correct. There are a number of factors that could cause actual results and developments to differ materially from those expressed or implied by such forward-looking statements, including, but not limited to, the matters set forth under “Forward Looking Statements” in Part I, Item 1 of Liberty Global’s Annual Report on Form 10-K for the fiscal year ended December 31, 2022 and in Part I, Item 2 of Liberty Global’s Quarterly Report on Form 10-Q for the fiscal quarter ended March 31, 2022. Other factors that could cause actual results and developments to differ materially from those expressed or implied by such forward-looking statements include our ability to obtain the approval of Liberty Global shareholders for the Redomiciliation and the resolutions proposed at related meetings of our shareholders, our ability to satisfy the other conditions to the Redomiciliation on the expected timeframe, or at all, our ability to realize the expected benefits from the Redomiciliation and the occurrence of unanticipated difficulties or costs in connection with the Redomiciliation.</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All of our forward-looking statements speak only as of the date they were made, and we undertake no obligation to update our forward-looking statements or risk factors to reflect new information, future events or otherwise, except as may be required under applicable securities laws and regulations. Accordingly, you should not place undue reliance on any such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1"/>
          <w:szCs w:val="11"/>
          <w:color w:val="auto"/>
        </w:rPr>
        <w:t>This communication does not constitute an offer to sell or the solicitation of an offer to buy any securities or a solicitation of any vote or approval. This communication may be deemed to be solicitation material in respect of the Redomiciliation. In connection with the Redomiciliation, on April 24, 2023, Liberty Global filed with the SEC a preliminary proxy statement and will file with the SEC and mail to its shareholders a definitive proxy statement on Schedule 14A, as well as other relevant documents regarding the proposed Redomiciliation. LIBERTY GLOBAL SHAREHOLDERS ARE URGED TO READ THE DEFINITIVE PROXY STATEMENT AND SCHEME CIRCULAR (THE “</w:t>
      </w:r>
      <w:r>
        <w:rPr>
          <w:rFonts w:ascii="Arial" w:cs="Arial" w:eastAsia="Arial" w:hAnsi="Arial"/>
          <w:sz w:val="11"/>
          <w:szCs w:val="11"/>
          <w:u w:val="single" w:color="auto"/>
          <w:color w:val="auto"/>
        </w:rPr>
        <w:t>DEFINITIVE PROXY STATEMENT</w:t>
      </w:r>
      <w:r>
        <w:rPr>
          <w:rFonts w:ascii="Arial" w:cs="Arial" w:eastAsia="Arial" w:hAnsi="Arial"/>
          <w:sz w:val="11"/>
          <w:szCs w:val="11"/>
          <w:color w:val="auto"/>
        </w:rPr>
        <w:t>”) AS WELL AS ANY AMENDMENTS OR SUPPLEMENTS THERETO AND ANY DOCUMENTS INCORPORATED BY REFERENCE THEREIN AND OTHER RELEVANT DOCUMENTS IN CONNECTION WITH THE PROPOSED TRANSACTION THAT LIBERTY GLOBAL WILL FILE WITH THE SEC WHEN THEY BECOME AVAILABLE BECAUSE THEY WILL CONTAIN IMPORTANT INFORMATION ABOUT THE REDOMICILATION. Liberty Global shareholders and investors may obtain free copies of the Definitive Proxy Statement and other relevant materials (when they become available) and other documents filed by Liberty Global at the SEC’s website at www.sec.gov. Copies of the Definitive Proxy Statement (and other relevant materials when they become available) and the filings that will be incorporated by reference therein may also be obtained, without charge, by contacting Liberty Global’s Investor Relations at ir@libertyglobal.com or +1(303) 220-6600.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Solicitation</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Liberty Global and its directors, executive officers and certain employees, may be deemed, under SEC rules, to be participants in the solicitation of proxies in respect of the proposed Redomiciliation. Information regarding Liberty Global’s directors and executive officers is available in its preliminary proxy statement filed with the SEC on April 24, 2023. Other information regarding the participants in the proxy solicitation and a description of their direct and indirect interests, by security holdings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356870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8"/>
        <w:spacing w:after="0"/>
        <w:rPr>
          <w:sz w:val="20"/>
          <w:szCs w:val="20"/>
          <w:color w:val="auto"/>
        </w:rPr>
      </w:pPr>
      <w:r>
        <w:rPr>
          <w:rFonts w:ascii="Arial" w:cs="Arial" w:eastAsia="Arial" w:hAnsi="Arial"/>
          <w:sz w:val="10"/>
          <w:szCs w:val="10"/>
          <w:color w:val="auto"/>
        </w:rPr>
        <w:t>otherwise, will be contained in the Definitive Proxy Statement and other relevant materials to be filed with the SEC (when they become available). These documents can be obtained free of charge from the sources indicated above.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ind w:left="288" w:hanging="288"/>
        <w:spacing w:after="0"/>
        <w:tabs>
          <w:tab w:leader="none" w:pos="288" w:val="left"/>
        </w:tabs>
        <w:numPr>
          <w:ilvl w:val="0"/>
          <w:numId w:val="4"/>
        </w:numPr>
        <w:rPr>
          <w:rFonts w:ascii="Arial" w:cs="Arial" w:eastAsia="Arial" w:hAnsi="Arial"/>
          <w:sz w:val="12"/>
          <w:szCs w:val="12"/>
          <w:color w:val="auto"/>
        </w:rPr>
      </w:pPr>
      <w:r>
        <w:rPr>
          <w:rFonts w:ascii="Arial" w:cs="Arial" w:eastAsia="Arial" w:hAnsi="Arial"/>
          <w:sz w:val="12"/>
          <w:szCs w:val="12"/>
          <w:color w:val="auto"/>
        </w:rPr>
        <w:t>Exhibits.</w:t>
      </w:r>
    </w:p>
    <w:p>
      <w:pPr>
        <w:spacing w:after="0" w:line="29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Exhibit No.</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ind w:left="600"/>
              <w:spacing w:after="0"/>
              <w:rPr>
                <w:sz w:val="20"/>
                <w:szCs w:val="20"/>
                <w:color w:val="auto"/>
              </w:rPr>
            </w:pPr>
            <w:r>
              <w:rPr>
                <w:rFonts w:ascii="Arial" w:cs="Arial" w:eastAsia="Arial" w:hAnsi="Arial"/>
                <w:sz w:val="11"/>
                <w:szCs w:val="11"/>
                <w:b w:val="1"/>
                <w:bCs w:val="1"/>
                <w:color w:val="auto"/>
              </w:rPr>
              <w:t>Exhibit Name</w:t>
            </w:r>
          </w:p>
        </w:tc>
      </w:tr>
      <w:tr>
        <w:trPr>
          <w:trHeight w:val="288"/>
        </w:trPr>
        <w:tc>
          <w:tcPr>
            <w:tcW w:w="8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Borders>
              <w:top w:val="single" w:sz="8" w:color="auto"/>
              <w:bottom w:val="single" w:sz="8" w:color="0000FF"/>
            </w:tcBorders>
            <w:gridSpan w:val="3"/>
          </w:tcPr>
          <w:p>
            <w:pPr>
              <w:spacing w:after="0"/>
              <w:rPr>
                <w:sz w:val="20"/>
                <w:szCs w:val="20"/>
                <w:color w:val="auto"/>
              </w:rPr>
            </w:pPr>
            <w:r>
              <w:rPr>
                <w:rFonts w:ascii="Arial" w:cs="Arial" w:eastAsia="Arial" w:hAnsi="Arial"/>
                <w:sz w:val="12"/>
                <w:szCs w:val="12"/>
                <w:color w:val="0000FF"/>
                <w:w w:val="89"/>
              </w:rPr>
              <w:t>Earnings Call Presentation Excerpt</w:t>
            </w:r>
          </w:p>
        </w:tc>
        <w:tc>
          <w:tcPr>
            <w:tcW w:w="3520" w:type="dxa"/>
            <w:vAlign w:val="bottom"/>
            <w:tcBorders>
              <w:top w:val="single" w:sz="8" w:color="auto"/>
            </w:tcBorders>
          </w:tcPr>
          <w:p>
            <w:pPr>
              <w:spacing w:after="0"/>
              <w:rPr>
                <w:sz w:val="24"/>
                <w:szCs w:val="24"/>
                <w:color w:val="auto"/>
              </w:rPr>
            </w:pPr>
          </w:p>
        </w:tc>
      </w:tr>
      <w:tr>
        <w:trPr>
          <w:trHeight w:val="196"/>
        </w:trPr>
        <w:tc>
          <w:tcPr>
            <w:tcW w:w="820" w:type="dxa"/>
            <w:vAlign w:val="bottom"/>
          </w:tcPr>
          <w:p>
            <w:pPr>
              <w:spacing w:after="0"/>
              <w:rPr>
                <w:sz w:val="20"/>
                <w:szCs w:val="20"/>
                <w:color w:val="auto"/>
              </w:rPr>
            </w:pPr>
            <w:r>
              <w:rPr>
                <w:rFonts w:ascii="Arial" w:cs="Arial" w:eastAsia="Arial" w:hAnsi="Arial"/>
                <w:sz w:val="12"/>
                <w:szCs w:val="12"/>
                <w:color w:val="auto"/>
              </w:rPr>
              <w:t>99.2*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90"/>
              </w:rPr>
              <w:t>Earnings Call Transcript Excerpt</w:t>
            </w:r>
          </w:p>
        </w:tc>
        <w:tc>
          <w:tcPr>
            <w:tcW w:w="3620" w:type="dxa"/>
            <w:vAlign w:val="bottom"/>
            <w:gridSpan w:val="2"/>
          </w:tcPr>
          <w:p>
            <w:pPr>
              <w:spacing w:after="0"/>
              <w:rPr>
                <w:sz w:val="17"/>
                <w:szCs w:val="17"/>
                <w:color w:val="auto"/>
              </w:rPr>
            </w:pPr>
          </w:p>
        </w:tc>
      </w:tr>
      <w:tr>
        <w:trPr>
          <w:trHeight w:val="196"/>
        </w:trPr>
        <w:tc>
          <w:tcPr>
            <w:tcW w:w="820" w:type="dxa"/>
            <w:vAlign w:val="bottom"/>
          </w:tcPr>
          <w:p>
            <w:pPr>
              <w:spacing w:after="0"/>
              <w:rPr>
                <w:sz w:val="20"/>
                <w:szCs w:val="20"/>
                <w:color w:val="auto"/>
              </w:rPr>
            </w:pPr>
            <w:r>
              <w:rPr>
                <w:rFonts w:ascii="Arial" w:cs="Arial" w:eastAsia="Arial" w:hAnsi="Arial"/>
                <w:sz w:val="12"/>
                <w:szCs w:val="12"/>
                <w:color w:val="auto"/>
              </w:rPr>
              <w:t>99.3*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4"/>
          </w:tcPr>
          <w:p>
            <w:pPr>
              <w:spacing w:after="0"/>
              <w:rPr>
                <w:sz w:val="20"/>
                <w:szCs w:val="20"/>
                <w:color w:val="auto"/>
              </w:rPr>
            </w:pPr>
            <w:r>
              <w:rPr>
                <w:rFonts w:ascii="Arial" w:cs="Arial" w:eastAsia="Arial" w:hAnsi="Arial"/>
                <w:sz w:val="12"/>
                <w:szCs w:val="12"/>
                <w:color w:val="0000FF"/>
              </w:rPr>
              <w:t>Earnings Release Excerpt</w:t>
            </w:r>
          </w:p>
        </w:tc>
      </w:tr>
      <w:tr>
        <w:trPr>
          <w:trHeight w:val="20"/>
        </w:trPr>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2"/>
                <w:szCs w:val="12"/>
                <w:color w:val="auto"/>
              </w:rPr>
              <w:t>101.SCH</w:t>
            </w:r>
          </w:p>
        </w:tc>
        <w:tc>
          <w:tcPr>
            <w:tcW w:w="20" w:type="dxa"/>
            <w:vAlign w:val="bottom"/>
          </w:tcPr>
          <w:p>
            <w:pPr>
              <w:spacing w:after="0"/>
              <w:rPr>
                <w:sz w:val="19"/>
                <w:szCs w:val="19"/>
                <w:color w:val="auto"/>
              </w:rPr>
            </w:pPr>
          </w:p>
        </w:tc>
        <w:tc>
          <w:tcPr>
            <w:tcW w:w="5200" w:type="dxa"/>
            <w:vAlign w:val="bottom"/>
            <w:gridSpan w:val="4"/>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2"/>
                <w:szCs w:val="12"/>
                <w:color w:val="auto"/>
              </w:rPr>
              <w:t>101.LAB</w:t>
            </w:r>
          </w:p>
        </w:tc>
        <w:tc>
          <w:tcPr>
            <w:tcW w:w="2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216"/>
        </w:trPr>
        <w:tc>
          <w:tcPr>
            <w:tcW w:w="900" w:type="dxa"/>
            <w:vAlign w:val="bottom"/>
            <w:gridSpan w:val="2"/>
          </w:tcPr>
          <w:p>
            <w:pPr>
              <w:spacing w:after="0"/>
              <w:rPr>
                <w:sz w:val="20"/>
                <w:szCs w:val="20"/>
                <w:color w:val="auto"/>
              </w:rPr>
            </w:pPr>
            <w:r>
              <w:rPr>
                <w:rFonts w:ascii="Arial" w:cs="Arial" w:eastAsia="Arial" w:hAnsi="Arial"/>
                <w:sz w:val="12"/>
                <w:szCs w:val="12"/>
                <w:color w:val="auto"/>
              </w:rPr>
              <w:t>101.PRE</w:t>
            </w:r>
          </w:p>
        </w:tc>
        <w:tc>
          <w:tcPr>
            <w:tcW w:w="2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2"/>
                <w:szCs w:val="12"/>
                <w:color w:val="auto"/>
              </w:rPr>
              <w:t>Inline XBRL Taxonomy Extension Presentation Linkbase Document</w:t>
            </w:r>
          </w:p>
        </w:tc>
      </w:tr>
    </w:tbl>
    <w:p>
      <w:pPr>
        <w:spacing w:after="0" w:line="63" w:lineRule="exact"/>
        <w:rPr>
          <w:sz w:val="20"/>
          <w:szCs w:val="20"/>
          <w:color w:val="auto"/>
        </w:rPr>
      </w:pPr>
    </w:p>
    <w:p>
      <w:pPr>
        <w:ind w:left="8" w:right="5760" w:firstLine="4"/>
        <w:spacing w:after="0" w:line="699" w:lineRule="auto"/>
        <w:tabs>
          <w:tab w:leader="none" w:pos="929" w:val="left"/>
        </w:tabs>
        <w:numPr>
          <w:ilvl w:val="1"/>
          <w:numId w:val="5"/>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 * Exhibit is furnished herewith and not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8"/>
          </w:cols>
          <w:pgMar w:left="292" w:top="635" w:right="57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p>
      <w:pPr>
        <w:ind w:left="2880"/>
        <w:spacing w:after="0"/>
        <w:rPr>
          <w:sz w:val="20"/>
          <w:szCs w:val="20"/>
          <w:color w:val="auto"/>
        </w:rPr>
      </w:pPr>
      <w:r>
        <w:rPr>
          <w:rFonts w:ascii="Arial" w:cs="Arial" w:eastAsia="Arial" w:hAnsi="Arial"/>
          <w:sz w:val="12"/>
          <w:szCs w:val="12"/>
          <w:color w:val="auto"/>
        </w:rPr>
        <w:t>LIBERTY GLOBAL PLC</w:t>
      </w:r>
    </w:p>
    <w:p>
      <w:pPr>
        <w:spacing w:after="0" w:line="222" w:lineRule="exact"/>
        <w:rPr>
          <w:sz w:val="20"/>
          <w:szCs w:val="20"/>
          <w:color w:val="auto"/>
        </w:rPr>
      </w:pPr>
    </w:p>
    <w:p>
      <w:pPr>
        <w:ind w:left="2880"/>
        <w:spacing w:after="0"/>
        <w:tabs>
          <w:tab w:leader="none" w:pos="32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26670</wp:posOffset>
            </wp:positionV>
            <wp:extent cx="18288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Randy L. Lazzell</w:t>
      </w:r>
    </w:p>
    <w:p>
      <w:pPr>
        <w:spacing w:after="0" w:line="33"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Vice President</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Date: May 10, 2023</w:t>
      </w:r>
    </w:p>
    <w:p>
      <w:pPr>
        <w:sectPr>
          <w:pgSz w:w="11900" w:h="16838" w:orient="portrait"/>
          <w:cols w:equalWidth="0" w:num="1">
            <w:col w:w="10159"/>
          </w:cols>
          <w:pgMar w:left="300" w:top="64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2023-05-10T15:50:05Z</dcterms:created>
  <dcterms:modified xsi:type="dcterms:W3CDTF">2023-05-10T15:50:05Z</dcterms:modified>
</cp:coreProperties>
</file>