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274320</wp:posOffset>
            </wp:positionH>
            <wp:positionV relativeFrom="page">
              <wp:posOffset>694690</wp:posOffset>
            </wp:positionV>
            <wp:extent cx="700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652780</wp:posOffset>
            </wp:positionV>
            <wp:extent cx="700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1714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104" w:lineRule="exact"/>
        <w:rPr>
          <w:sz w:val="24"/>
          <w:szCs w:val="24"/>
          <w:color w:val="auto"/>
        </w:rPr>
      </w:pPr>
    </w:p>
    <w:p>
      <w:pPr>
        <w:ind w:left="880" w:hanging="856"/>
        <w:spacing w:after="0"/>
        <w:tabs>
          <w:tab w:leader="none" w:pos="880" w:val="left"/>
        </w:tabs>
        <w:numPr>
          <w:ilvl w:val="0"/>
          <w:numId w:val="1"/>
        </w:numPr>
        <w:rPr>
          <w:rFonts w:ascii="MS PGothic" w:cs="MS PGothic" w:eastAsia="MS PGothic" w:hAnsi="MS PGothic"/>
          <w:sz w:val="25"/>
          <w:szCs w:val="25"/>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880" w:hanging="856"/>
        <w:spacing w:after="0"/>
        <w:tabs>
          <w:tab w:leader="none" w:pos="880" w:val="left"/>
        </w:tabs>
        <w:numPr>
          <w:ilvl w:val="0"/>
          <w:numId w:val="2"/>
        </w:numPr>
        <w:rPr>
          <w:rFonts w:ascii="MS PGothic" w:cs="MS PGothic" w:eastAsia="MS PGothic" w:hAnsi="MS PGothic"/>
          <w:sz w:val="25"/>
          <w:szCs w:val="25"/>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0" w:lineRule="exact"/>
        <w:rPr>
          <w:sz w:val="24"/>
          <w:szCs w:val="24"/>
          <w:color w:val="auto"/>
        </w:rPr>
      </w:pPr>
    </w:p>
    <w:p>
      <w:pPr>
        <w:ind w:left="880"/>
        <w:spacing w:after="0"/>
        <w:tabs>
          <w:tab w:leader="none" w:pos="3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3234690</wp:posOffset>
            </wp:positionH>
            <wp:positionV relativeFrom="paragraph">
              <wp:posOffset>9525</wp:posOffset>
            </wp:positionV>
            <wp:extent cx="681355" cy="681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35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25" w:right="339" w:bottom="1440" w:gutter="0" w:footer="0" w:header="0"/>
        </w:sectPr>
      </w:pPr>
    </w:p>
    <w:p>
      <w:pPr>
        <w:spacing w:after="0" w:line="127" w:lineRule="exact"/>
        <w:rPr>
          <w:sz w:val="24"/>
          <w:szCs w:val="24"/>
          <w:color w:val="auto"/>
        </w:rPr>
      </w:pPr>
    </w:p>
    <w:p>
      <w:pPr>
        <w:ind w:left="3260"/>
        <w:spacing w:after="0"/>
        <w:rPr>
          <w:sz w:val="20"/>
          <w:szCs w:val="20"/>
          <w:color w:val="auto"/>
        </w:rPr>
      </w:pPr>
      <w:r>
        <w:rPr>
          <w:rFonts w:ascii="Arial" w:cs="Arial" w:eastAsia="Arial" w:hAnsi="Arial"/>
          <w:sz w:val="12"/>
          <w:szCs w:val="12"/>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35" w:lineRule="exact"/>
        <w:rPr>
          <w:sz w:val="24"/>
          <w:szCs w:val="24"/>
          <w:color w:val="auto"/>
        </w:rPr>
      </w:pPr>
    </w:p>
    <w:p>
      <w:pPr>
        <w:sectPr>
          <w:pgSz w:w="11900" w:h="16838" w:orient="portrait"/>
          <w:cols w:equalWidth="0" w:num="2">
            <w:col w:w="6340" w:space="720"/>
            <w:col w:w="4180"/>
          </w:cols>
          <w:pgMar w:left="320" w:top="1225" w:right="339" w:bottom="1440" w:gutter="0" w:footer="0" w:header="0"/>
          <w:type w:val="continuous"/>
        </w:sectPr>
      </w:pPr>
    </w:p>
    <w:p>
      <w:pPr>
        <w:spacing w:after="0" w:line="12"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40"/>
        <w:spacing w:after="0"/>
        <w:rPr>
          <w:sz w:val="20"/>
          <w:szCs w:val="20"/>
          <w:color w:val="auto"/>
        </w:rPr>
      </w:pPr>
      <w:r>
        <w:rPr>
          <w:rFonts w:ascii="Arial" w:cs="Arial" w:eastAsia="Arial" w:hAnsi="Arial"/>
          <w:sz w:val="14"/>
          <w:szCs w:val="14"/>
          <w:i w:val="1"/>
          <w:iCs w:val="1"/>
          <w:color w:val="auto"/>
        </w:rPr>
        <w:t>(I.R.S. Employer</w:t>
      </w:r>
    </w:p>
    <w:p>
      <w:pPr>
        <w:jc w:val="center"/>
        <w:ind w:right="3340"/>
        <w:spacing w:after="0"/>
        <w:rPr>
          <w:sz w:val="20"/>
          <w:szCs w:val="20"/>
          <w:color w:val="auto"/>
        </w:rPr>
      </w:pPr>
      <w:r>
        <w:rPr>
          <w:rFonts w:ascii="Arial" w:cs="Arial" w:eastAsia="Arial" w:hAnsi="Arial"/>
          <w:sz w:val="13"/>
          <w:szCs w:val="13"/>
          <w:i w:val="1"/>
          <w:iCs w:val="1"/>
          <w:color w:val="auto"/>
        </w:rPr>
        <w:t>Identification No.)</w:t>
      </w:r>
    </w:p>
    <w:p>
      <w:pPr>
        <w:spacing w:after="0" w:line="73" w:lineRule="exact"/>
        <w:rPr>
          <w:sz w:val="24"/>
          <w:szCs w:val="24"/>
          <w:color w:val="auto"/>
        </w:rPr>
      </w:pPr>
    </w:p>
    <w:p>
      <w:pPr>
        <w:sectPr>
          <w:pgSz w:w="11900" w:h="16838" w:orient="portrait"/>
          <w:cols w:equalWidth="0" w:num="2">
            <w:col w:w="6140" w:space="720"/>
            <w:col w:w="4380"/>
          </w:cols>
          <w:pgMar w:left="320" w:top="1225" w:right="339" w:bottom="1440" w:gutter="0" w:footer="0" w:header="0"/>
          <w:type w:val="continuous"/>
        </w:sectPr>
      </w:pPr>
    </w:p>
    <w:p>
      <w:pPr>
        <w:jc w:val="center"/>
        <w:ind w:left="1340"/>
        <w:spacing w:after="0"/>
        <w:rPr>
          <w:sz w:val="20"/>
          <w:szCs w:val="20"/>
          <w:color w:val="auto"/>
        </w:rPr>
      </w:pPr>
      <w:r>
        <w:rPr>
          <w:rFonts w:ascii="Arial" w:cs="Arial" w:eastAsia="Arial" w:hAnsi="Arial"/>
          <w:sz w:val="14"/>
          <w:szCs w:val="14"/>
          <w:b w:val="1"/>
          <w:bCs w:val="1"/>
          <w:color w:val="auto"/>
        </w:rPr>
        <w:t>Griffin House</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161 Hammersmith Rd</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London</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United Kingdom</w:t>
      </w:r>
    </w:p>
    <w:p>
      <w:pPr>
        <w:spacing w:after="0" w:line="29" w:lineRule="exact"/>
        <w:rPr>
          <w:sz w:val="24"/>
          <w:szCs w:val="24"/>
          <w:color w:val="auto"/>
        </w:rPr>
      </w:pPr>
    </w:p>
    <w:p>
      <w:pPr>
        <w:jc w:val="center"/>
        <w:ind w:left="134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jc w:val="center"/>
        <w:ind w:right="3540"/>
        <w:spacing w:after="0"/>
        <w:rPr>
          <w:sz w:val="20"/>
          <w:szCs w:val="20"/>
          <w:color w:val="auto"/>
        </w:rPr>
      </w:pPr>
      <w:r>
        <w:rPr>
          <w:rFonts w:ascii="Arial" w:cs="Arial" w:eastAsia="Arial" w:hAnsi="Arial"/>
          <w:sz w:val="14"/>
          <w:szCs w:val="14"/>
          <w:b w:val="1"/>
          <w:bCs w:val="1"/>
          <w:color w:val="auto"/>
        </w:rPr>
        <w:t>W6 8BS</w:t>
      </w:r>
    </w:p>
    <w:p>
      <w:pPr>
        <w:spacing w:after="0" w:line="29" w:lineRule="exact"/>
        <w:rPr>
          <w:sz w:val="24"/>
          <w:szCs w:val="24"/>
          <w:color w:val="auto"/>
        </w:rPr>
      </w:pPr>
    </w:p>
    <w:p>
      <w:pPr>
        <w:jc w:val="center"/>
        <w:ind w:right="3540"/>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25" w:right="339" w:bottom="144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25" w:right="339" w:bottom="1440" w:gutter="0" w:footer="0" w:header="0"/>
          <w:type w:val="continuous"/>
        </w:sectPr>
      </w:pPr>
    </w:p>
    <w:p>
      <w:pPr>
        <w:spacing w:after="0" w:line="166"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8" w:lineRule="exact"/>
        <w:rPr>
          <w:sz w:val="24"/>
          <w:szCs w:val="24"/>
          <w:color w:val="auto"/>
        </w:rPr>
      </w:pPr>
    </w:p>
    <w:p>
      <w:pPr>
        <w:sectPr>
          <w:pgSz w:w="11900" w:h="16838" w:orient="portrait"/>
          <w:cols w:equalWidth="0" w:num="3">
            <w:col w:w="3900" w:space="720"/>
            <w:col w:w="1540" w:space="720"/>
            <w:col w:w="4360"/>
          </w:cols>
          <w:pgMar w:left="320" w:top="1225"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spacing w:after="0" w:line="67" w:lineRule="exact"/>
        <w:rPr>
          <w:sz w:val="24"/>
          <w:szCs w:val="24"/>
          <w:color w:val="auto"/>
        </w:rPr>
      </w:pPr>
    </w:p>
    <w:p>
      <w:pPr>
        <w:ind w:right="160"/>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2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ind w:right="6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32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3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356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44"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The number of outstanding ordinary shares of Liberty Global plc as of October 29, 2021 was: 176,880,589 class A ordinary shares, 12,930,839 class B ordinary shares and 353,109,359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768350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83185</wp:posOffset>
            </wp:positionV>
            <wp:extent cx="700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1714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57785</wp:posOffset>
            </wp:positionV>
            <wp:extent cx="700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type w:val="continuous"/>
        </w:sectPr>
      </w:pPr>
    </w:p>
    <w:bookmarkStart w:id="1" w:name="page2"/>
    <w:bookmarkEnd w:id="1"/>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9400" w:type="dxa"/>
            <w:vAlign w:val="bottom"/>
            <w:gridSpan w:val="14"/>
          </w:tcPr>
          <w:p>
            <w:pPr>
              <w:spacing w:after="0" w:line="187" w:lineRule="exact"/>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as of September 30, 2021 and December 31, 2020 (unaudited)</w:t>
              </w:r>
            </w:hyperlink>
          </w:p>
        </w:tc>
        <w:tc>
          <w:tcPr>
            <w:tcW w:w="460" w:type="dxa"/>
            <w:vAlign w:val="bottom"/>
            <w:gridSpan w:val="4"/>
          </w:tcPr>
          <w:p>
            <w:pPr>
              <w:jc w:val="center"/>
              <w:ind w:left="215"/>
              <w:spacing w:after="0" w:line="187"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 xml:space="preserve">Condensed Consolidated Statements of Operations for the Three and Nine Months Ended </w:t>
              </w:r>
            </w:hyperlink>
            <w:r>
              <w:rPr>
                <w:rFonts w:ascii="Arial" w:cs="Arial" w:eastAsia="Arial" w:hAnsi="Arial"/>
                <w:sz w:val="18"/>
                <w:szCs w:val="18"/>
                <w:color w:val="0000FF"/>
                <w:w w:val="88"/>
              </w:rPr>
              <w:t xml:space="preserve">September </w:t>
            </w:r>
            <w:hyperlink w:anchor="page4">
              <w:r>
                <w:rPr>
                  <w:rFonts w:ascii="Arial" w:cs="Arial" w:eastAsia="Arial" w:hAnsi="Arial"/>
                  <w:sz w:val="18"/>
                  <w:szCs w:val="18"/>
                  <w:color w:val="0000FF"/>
                  <w:w w:val="88"/>
                </w:rPr>
                <w:t>30, 2021 and 2020 (unaudited)</w:t>
              </w:r>
            </w:hyperlink>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320" w:type="dxa"/>
            <w:vAlign w:val="bottom"/>
            <w:gridSpan w:val="13"/>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Statements of Comprehensive Earnings (Loss) for the Three and Nine Months Ended September 30, 2021</w:t>
              </w:r>
            </w:hyperlink>
          </w:p>
        </w:tc>
        <w:tc>
          <w:tcPr>
            <w:tcW w:w="80" w:type="dxa"/>
            <w:vAlign w:val="bottom"/>
          </w:tcPr>
          <w:p>
            <w:pPr>
              <w:spacing w:after="0"/>
              <w:rPr>
                <w:sz w:val="17"/>
                <w:szCs w:val="17"/>
                <w:color w:val="auto"/>
              </w:rPr>
            </w:pPr>
          </w:p>
        </w:tc>
        <w:tc>
          <w:tcPr>
            <w:tcW w:w="460" w:type="dxa"/>
            <w:vAlign w:val="bottom"/>
            <w:gridSpan w:val="4"/>
            <w:vMerge w:val="restart"/>
          </w:tcPr>
          <w:p>
            <w:pPr>
              <w:jc w:val="center"/>
              <w:ind w:left="215"/>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gridSpan w:val="2"/>
          </w:tcPr>
          <w:p>
            <w:pPr>
              <w:spacing w:after="0" w:line="152" w:lineRule="exact"/>
              <w:rPr>
                <w:rFonts w:ascii="Arial" w:cs="Arial" w:eastAsia="Arial" w:hAnsi="Arial"/>
                <w:sz w:val="17"/>
                <w:szCs w:val="17"/>
                <w:color w:val="0000FF"/>
                <w:w w:val="92"/>
              </w:rPr>
            </w:pPr>
            <w:hyperlink w:anchor="page5">
              <w:r>
                <w:rPr>
                  <w:rFonts w:ascii="Arial" w:cs="Arial" w:eastAsia="Arial" w:hAnsi="Arial"/>
                  <w:sz w:val="17"/>
                  <w:szCs w:val="17"/>
                  <w:color w:val="0000FF"/>
                  <w:w w:val="92"/>
                </w:rPr>
                <w:t>and 2020 (unaudited)</w:t>
              </w:r>
            </w:hyperlink>
          </w:p>
        </w:tc>
        <w:tc>
          <w:tcPr>
            <w:tcW w:w="766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Equity for the Three and Nine Months Ended September 30, 2021 and 2020 (unaudited)</w:t>
              </w:r>
            </w:hyperlink>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020" w:type="dxa"/>
            <w:vAlign w:val="bottom"/>
            <w:gridSpan w:val="12"/>
          </w:tcPr>
          <w:p>
            <w:pPr>
              <w:spacing w:after="0" w:line="205" w:lineRule="exact"/>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Cash Flows for the Nine Months Ended September 30, 2021 and 2020 (unaudited)</w:t>
              </w:r>
            </w:hyperlink>
          </w:p>
        </w:tc>
        <w:tc>
          <w:tcPr>
            <w:tcW w:w="380" w:type="dxa"/>
            <w:vAlign w:val="bottom"/>
            <w:gridSpan w:val="2"/>
          </w:tcPr>
          <w:p>
            <w:pPr>
              <w:spacing w:after="0"/>
              <w:rPr>
                <w:sz w:val="17"/>
                <w:szCs w:val="17"/>
                <w:color w:val="auto"/>
              </w:rPr>
            </w:pPr>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620" w:type="dxa"/>
            <w:vAlign w:val="bottom"/>
            <w:gridSpan w:val="10"/>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780" w:type="dxa"/>
            <w:vAlign w:val="bottom"/>
            <w:gridSpan w:val="4"/>
          </w:tcPr>
          <w:p>
            <w:pPr>
              <w:spacing w:after="0"/>
              <w:rPr>
                <w:sz w:val="17"/>
                <w:szCs w:val="17"/>
                <w:color w:val="auto"/>
              </w:rPr>
            </w:pPr>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11"/>
          </w:tcPr>
          <w:p>
            <w:pPr>
              <w:spacing w:after="0" w:line="205" w:lineRule="exact"/>
              <w:rPr>
                <w:rFonts w:ascii="Arial" w:cs="Arial" w:eastAsia="Arial" w:hAnsi="Arial"/>
                <w:sz w:val="18"/>
                <w:szCs w:val="18"/>
                <w:color w:val="0000FF"/>
                <w:w w:val="95"/>
              </w:rPr>
            </w:pPr>
            <w:hyperlink w:anchor="page53">
              <w:r>
                <w:rPr>
                  <w:rFonts w:ascii="Arial" w:cs="Arial" w:eastAsia="Arial" w:hAnsi="Arial"/>
                  <w:sz w:val="18"/>
                  <w:szCs w:val="18"/>
                  <w:color w:val="0000FF"/>
                  <w:w w:val="95"/>
                </w:rPr>
                <w:t>MANAGEMENT’S DISCUSSION AND ANALYSIS OF FINANCIAL CONDITION AND RESULTS OF OPERATIONS</w:t>
              </w:r>
            </w:hyperlink>
          </w:p>
        </w:tc>
        <w:tc>
          <w:tcPr>
            <w:tcW w:w="6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3.</w:t>
            </w:r>
          </w:p>
        </w:tc>
        <w:tc>
          <w:tcPr>
            <w:tcW w:w="6020" w:type="dxa"/>
            <w:vAlign w:val="bottom"/>
            <w:gridSpan w:val="8"/>
          </w:tcPr>
          <w:p>
            <w:pPr>
              <w:spacing w:after="0" w:line="205" w:lineRule="exact"/>
              <w:rPr>
                <w:rFonts w:ascii="Arial" w:cs="Arial" w:eastAsia="Arial" w:hAnsi="Arial"/>
                <w:sz w:val="18"/>
                <w:szCs w:val="18"/>
                <w:color w:val="0000FF"/>
                <w:w w:val="96"/>
              </w:rPr>
            </w:pPr>
            <w:hyperlink w:anchor="page86">
              <w:r>
                <w:rPr>
                  <w:rFonts w:ascii="Arial" w:cs="Arial" w:eastAsia="Arial" w:hAnsi="Arial"/>
                  <w:sz w:val="18"/>
                  <w:szCs w:val="18"/>
                  <w:color w:val="0000FF"/>
                  <w:w w:val="96"/>
                </w:rPr>
                <w:t>QUANTITATIVE AND QUALITATIVE DISCLOSURES ABOUT MARKET RISK</w:t>
              </w:r>
            </w:hyperlink>
          </w:p>
        </w:tc>
        <w:tc>
          <w:tcPr>
            <w:tcW w:w="2720" w:type="dxa"/>
            <w:vAlign w:val="bottom"/>
            <w:gridSpan w:val="3"/>
          </w:tcPr>
          <w:p>
            <w:pPr>
              <w:spacing w:after="0"/>
              <w:rPr>
                <w:sz w:val="17"/>
                <w:szCs w:val="17"/>
                <w:color w:val="auto"/>
              </w:rPr>
            </w:pPr>
          </w:p>
        </w:tc>
        <w:tc>
          <w:tcPr>
            <w:tcW w:w="6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4.</w:t>
            </w:r>
          </w:p>
        </w:tc>
        <w:tc>
          <w:tcPr>
            <w:tcW w:w="6020" w:type="dxa"/>
            <w:vAlign w:val="bottom"/>
            <w:gridSpan w:val="8"/>
          </w:tcPr>
          <w:p>
            <w:pPr>
              <w:spacing w:after="0" w:line="205" w:lineRule="exact"/>
              <w:rPr>
                <w:rFonts w:ascii="Arial" w:cs="Arial" w:eastAsia="Arial" w:hAnsi="Arial"/>
                <w:sz w:val="18"/>
                <w:szCs w:val="18"/>
                <w:color w:val="0000FF"/>
              </w:rPr>
            </w:pPr>
            <w:hyperlink w:anchor="page90">
              <w:r>
                <w:rPr>
                  <w:rFonts w:ascii="Arial" w:cs="Arial" w:eastAsia="Arial" w:hAnsi="Arial"/>
                  <w:sz w:val="18"/>
                  <w:szCs w:val="18"/>
                  <w:color w:val="0000FF"/>
                </w:rPr>
                <w:t>CONTROLS AND PROCEDURES</w:t>
              </w:r>
            </w:hyperlink>
          </w:p>
        </w:tc>
        <w:tc>
          <w:tcPr>
            <w:tcW w:w="33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88</w:t>
              </w:r>
            </w:hyperlink>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6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rPr>
              <w:t>PART II — OTHER INFORMATION</w:t>
            </w:r>
          </w:p>
        </w:tc>
        <w:tc>
          <w:tcPr>
            <w:tcW w:w="28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80" w:type="dxa"/>
            <w:vAlign w:val="bottom"/>
          </w:tcPr>
          <w:p>
            <w:pPr>
              <w:ind w:left="20"/>
              <w:spacing w:after="0" w:line="187" w:lineRule="exact"/>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line="187" w:lineRule="exact"/>
              <w:rPr>
                <w:rFonts w:ascii="Arial" w:cs="Arial" w:eastAsia="Arial" w:hAnsi="Arial"/>
                <w:sz w:val="18"/>
                <w:szCs w:val="18"/>
                <w:color w:val="0000FF"/>
              </w:rPr>
            </w:pPr>
            <w:hyperlink w:anchor="page91">
              <w:r>
                <w:rPr>
                  <w:rFonts w:ascii="Arial" w:cs="Arial" w:eastAsia="Arial" w:hAnsi="Arial"/>
                  <w:sz w:val="18"/>
                  <w:szCs w:val="18"/>
                  <w:color w:val="0000FF"/>
                </w:rPr>
                <w:t>LEGAL PROCEEDINGS</w:t>
              </w:r>
            </w:hyperlink>
          </w:p>
        </w:tc>
        <w:tc>
          <w:tcPr>
            <w:tcW w:w="760" w:type="dxa"/>
            <w:vAlign w:val="bottom"/>
            <w:gridSpan w:val="5"/>
          </w:tcPr>
          <w:p>
            <w:pPr>
              <w:jc w:val="center"/>
              <w:ind w:right="20"/>
              <w:spacing w:after="0" w:line="187"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89</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9400" w:type="dxa"/>
            <w:vAlign w:val="bottom"/>
            <w:gridSpan w:val="14"/>
          </w:tcPr>
          <w:p>
            <w:pPr>
              <w:spacing w:after="0" w:line="205" w:lineRule="exact"/>
              <w:rPr>
                <w:rFonts w:ascii="Arial" w:cs="Arial" w:eastAsia="Arial" w:hAnsi="Arial"/>
                <w:sz w:val="18"/>
                <w:szCs w:val="18"/>
                <w:color w:val="0000FF"/>
              </w:rPr>
            </w:pPr>
            <w:hyperlink w:anchor="page91">
              <w:r>
                <w:rPr>
                  <w:rFonts w:ascii="Arial" w:cs="Arial" w:eastAsia="Arial" w:hAnsi="Arial"/>
                  <w:sz w:val="18"/>
                  <w:szCs w:val="18"/>
                  <w:color w:val="0000FF"/>
                </w:rPr>
                <w:t>UNREGISTERED SALES OF EQUITY SECURITIES AND USE OF PROCEEDS</w:t>
              </w:r>
            </w:hyperlink>
          </w:p>
        </w:tc>
        <w:tc>
          <w:tcPr>
            <w:tcW w:w="760" w:type="dxa"/>
            <w:vAlign w:val="bottom"/>
            <w:gridSpan w:val="5"/>
          </w:tcPr>
          <w:p>
            <w:pPr>
              <w:jc w:val="center"/>
              <w:ind w:right="20"/>
              <w:spacing w:after="0" w:line="205"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89</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6.</w:t>
            </w:r>
          </w:p>
        </w:tc>
        <w:tc>
          <w:tcPr>
            <w:tcW w:w="5940" w:type="dxa"/>
            <w:vAlign w:val="bottom"/>
            <w:gridSpan w:val="7"/>
          </w:tcPr>
          <w:p>
            <w:pPr>
              <w:spacing w:after="0" w:line="205" w:lineRule="exact"/>
              <w:rPr>
                <w:rFonts w:ascii="Arial" w:cs="Arial" w:eastAsia="Arial" w:hAnsi="Arial"/>
                <w:sz w:val="18"/>
                <w:szCs w:val="18"/>
                <w:color w:val="0000FF"/>
              </w:rPr>
            </w:pPr>
            <w:hyperlink w:anchor="page91">
              <w:r>
                <w:rPr>
                  <w:rFonts w:ascii="Arial" w:cs="Arial" w:eastAsia="Arial" w:hAnsi="Arial"/>
                  <w:sz w:val="18"/>
                  <w:szCs w:val="18"/>
                  <w:color w:val="0000FF"/>
                </w:rPr>
                <w:t>EXHIBITS</w:t>
              </w:r>
            </w:hyperlink>
          </w:p>
        </w:tc>
        <w:tc>
          <w:tcPr>
            <w:tcW w:w="34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90</w:t>
              </w:r>
            </w:hyperlink>
          </w:p>
        </w:tc>
        <w:tc>
          <w:tcPr>
            <w:tcW w:w="0" w:type="dxa"/>
            <w:vAlign w:val="bottom"/>
          </w:tcPr>
          <w:p>
            <w:pPr>
              <w:spacing w:after="0"/>
              <w:rPr>
                <w:sz w:val="1"/>
                <w:szCs w:val="1"/>
                <w:color w:val="auto"/>
              </w:rPr>
            </w:pPr>
          </w:p>
        </w:tc>
      </w:tr>
      <w:tr>
        <w:trPr>
          <w:trHeight w:val="1219"/>
        </w:trPr>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40" w:type="dxa"/>
            <w:vAlign w:val="bottom"/>
          </w:tcPr>
          <w:p>
            <w:pPr>
              <w:ind w:left="39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of discontinued operations (note 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4, 5 and 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5,802.4</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line="173" w:lineRule="exact"/>
              <w:rPr>
                <w:sz w:val="20"/>
                <w:szCs w:val="20"/>
                <w:color w:val="auto"/>
              </w:rPr>
            </w:pPr>
            <w:r>
              <w:rPr>
                <w:rFonts w:ascii="Arial" w:cs="Arial" w:eastAsia="Arial" w:hAnsi="Arial"/>
                <w:sz w:val="18"/>
                <w:szCs w:val="18"/>
                <w:color w:val="auto"/>
                <w:w w:val="91"/>
              </w:rPr>
              <w:t>Investments and related notes receivable (including $2,286.9 million and $1,865.8 million, respectively, measured at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19,549.2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5,354.5</w:t>
            </w:r>
          </w:p>
        </w:tc>
        <w:tc>
          <w:tcPr>
            <w:tcW w:w="0" w:type="dxa"/>
            <w:vAlign w:val="bottom"/>
          </w:tcPr>
          <w:p>
            <w:pPr>
              <w:spacing w:after="0"/>
              <w:rPr>
                <w:sz w:val="1"/>
                <w:szCs w:val="1"/>
                <w:color w:val="auto"/>
              </w:rPr>
            </w:pPr>
          </w:p>
        </w:tc>
      </w:tr>
      <w:tr>
        <w:trPr>
          <w:trHeight w:val="224"/>
        </w:trPr>
        <w:tc>
          <w:tcPr>
            <w:tcW w:w="8440" w:type="dxa"/>
            <w:vAlign w:val="bottom"/>
          </w:tcPr>
          <w:p>
            <w:pPr>
              <w:ind w:left="180"/>
              <w:spacing w:after="0"/>
              <w:rPr>
                <w:sz w:val="20"/>
                <w:szCs w:val="20"/>
                <w:color w:val="auto"/>
              </w:rPr>
            </w:pPr>
            <w:r>
              <w:rPr>
                <w:rFonts w:ascii="Arial" w:cs="Arial" w:eastAsia="Arial" w:hAnsi="Arial"/>
                <w:sz w:val="18"/>
                <w:szCs w:val="18"/>
                <w:color w:val="auto"/>
              </w:rPr>
              <w:t>fair value on a recurring basis) (note 5)</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7,626.6</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9,965.7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Assets held for sale (note 4)</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24,282.7</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 (notes 3, 4, 6, 8 and 10)</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0" w:type="dxa"/>
            <w:vAlign w:val="bottom"/>
          </w:tcPr>
          <w:p>
            <w:pPr>
              <w:spacing w:after="0"/>
              <w:rPr>
                <w:sz w:val="1"/>
                <w:szCs w:val="1"/>
                <w:color w:val="auto"/>
              </w:rPr>
            </w:pPr>
          </w:p>
        </w:tc>
      </w:tr>
      <w:tr>
        <w:trPr>
          <w:trHeight w:val="218"/>
        </w:trPr>
        <w:tc>
          <w:tcPr>
            <w:tcW w:w="8440" w:type="dxa"/>
            <w:vAlign w:val="bottom"/>
          </w:tcPr>
          <w:p>
            <w:pPr>
              <w:ind w:left="340"/>
              <w:spacing w:after="0" w:line="204"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40" w:type="dxa"/>
            <w:vAlign w:val="bottom"/>
          </w:tcPr>
          <w:p>
            <w:pPr>
              <w:ind w:left="320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 (note 11)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Derivative instruments (note 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of discontinued operations (note 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and current liabilities (note 10)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4,511.1</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13,861.3</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associated with assets held for sale (note 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23,197.2</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 10)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3, 6 and 13)</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2,969.3</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45,794.3</w:t>
            </w:r>
          </w:p>
        </w:tc>
        <w:tc>
          <w:tcPr>
            <w:tcW w:w="0" w:type="dxa"/>
            <w:vAlign w:val="bottom"/>
          </w:tcPr>
          <w:p>
            <w:pPr>
              <w:spacing w:after="0"/>
              <w:rPr>
                <w:sz w:val="1"/>
                <w:szCs w:val="1"/>
                <w:color w:val="auto"/>
              </w:rPr>
            </w:pPr>
          </w:p>
        </w:tc>
      </w:tr>
      <w:tr>
        <w:trPr>
          <w:trHeight w:val="179"/>
        </w:trPr>
        <w:tc>
          <w:tcPr>
            <w:tcW w:w="8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contingencies (notes 6, 9, 11 and 15)</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Equity (note 12):</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20"/>
              <w:spacing w:after="0" w:line="173" w:lineRule="exact"/>
              <w:rPr>
                <w:sz w:val="20"/>
                <w:szCs w:val="20"/>
                <w:color w:val="auto"/>
              </w:rPr>
            </w:pPr>
            <w:r>
              <w:rPr>
                <w:rFonts w:ascii="Arial" w:cs="Arial" w:eastAsia="Arial" w:hAnsi="Arial"/>
                <w:sz w:val="18"/>
                <w:szCs w:val="18"/>
                <w:color w:val="auto"/>
                <w:w w:val="88"/>
              </w:rPr>
              <w:t>Class A ordinary shares, $0.01 nominal value. Issued and outstanding 176,670,566 shares and 181,348,114 shares,</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4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0"/>
              </w:rPr>
              <w:t>Class B ordinary shares, $0.01 nominal value. Issued and outstanding 12,930,839 shares and 12,561,444 shares,</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20"/>
              <w:spacing w:after="0" w:line="173" w:lineRule="exact"/>
              <w:rPr>
                <w:sz w:val="20"/>
                <w:szCs w:val="20"/>
                <w:color w:val="auto"/>
              </w:rPr>
            </w:pPr>
            <w:r>
              <w:rPr>
                <w:rFonts w:ascii="Arial" w:cs="Arial" w:eastAsia="Arial" w:hAnsi="Arial"/>
                <w:sz w:val="18"/>
                <w:szCs w:val="18"/>
                <w:color w:val="auto"/>
                <w:w w:val="88"/>
              </w:rPr>
              <w:t>Class C ordinary shares, $0.01 nominal value. Issued and outstanding 356,298,700 shares and 386,588,921 shares,</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84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5,271.7</w:t>
            </w:r>
          </w:p>
        </w:tc>
        <w:tc>
          <w:tcPr>
            <w:tcW w:w="0" w:type="dxa"/>
            <w:vAlign w:val="bottom"/>
          </w:tcPr>
          <w:p>
            <w:pPr>
              <w:spacing w:after="0"/>
              <w:rPr>
                <w:sz w:val="1"/>
                <w:szCs w:val="1"/>
                <w:color w:val="auto"/>
              </w:rPr>
            </w:pPr>
          </w:p>
        </w:tc>
      </w:tr>
      <w:tr>
        <w:trPr>
          <w:trHeight w:val="225"/>
        </w:trPr>
        <w:tc>
          <w:tcPr>
            <w:tcW w:w="8440" w:type="dxa"/>
            <w:vAlign w:val="bottom"/>
          </w:tcPr>
          <w:p>
            <w:pPr>
              <w:ind w:left="220"/>
              <w:spacing w:after="0"/>
              <w:rPr>
                <w:sz w:val="20"/>
                <w:szCs w:val="20"/>
                <w:color w:val="auto"/>
              </w:rPr>
            </w:pPr>
            <w:r>
              <w:rPr>
                <w:rFonts w:ascii="Arial" w:cs="Arial" w:eastAsia="Arial" w:hAnsi="Arial"/>
                <w:sz w:val="18"/>
                <w:szCs w:val="18"/>
                <w:color w:val="auto"/>
              </w:rPr>
              <w:t>Accumulated earnings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17,508.4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shares, at cost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shareholders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13,662.6</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18"/>
        </w:trPr>
        <w:tc>
          <w:tcPr>
            <w:tcW w:w="8440" w:type="dxa"/>
            <w:vAlign w:val="bottom"/>
          </w:tcPr>
          <w:p>
            <w:pPr>
              <w:ind w:left="540"/>
              <w:spacing w:after="0" w:line="204" w:lineRule="exact"/>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360" w:type="dxa"/>
            <w:vAlign w:val="bottom"/>
            <w:gridSpan w:val="4"/>
          </w:tcPr>
          <w:p>
            <w:pPr>
              <w:jc w:val="right"/>
              <w:ind w:right="576"/>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w w:val="95"/>
              </w:rPr>
              <w:t>2020</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in millions, except per share amounts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(notes 3, 4, 5 and 16)</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1,901.4</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2,845.4</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8,390.5</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8,233.7</w:t>
            </w:r>
          </w:p>
        </w:tc>
        <w:tc>
          <w:tcPr>
            <w:tcW w:w="0" w:type="dxa"/>
            <w:vAlign w:val="bottom"/>
          </w:tcPr>
          <w:p>
            <w:pPr>
              <w:spacing w:after="0"/>
              <w:rPr>
                <w:sz w:val="1"/>
                <w:szCs w:val="1"/>
                <w:color w:val="auto"/>
              </w:rPr>
            </w:pPr>
          </w:p>
        </w:tc>
      </w:tr>
      <w:tr>
        <w:trPr>
          <w:trHeight w:val="139"/>
        </w:trPr>
        <w:tc>
          <w:tcPr>
            <w:tcW w:w="5660" w:type="dxa"/>
            <w:vAlign w:val="bottom"/>
          </w:tcPr>
          <w:p>
            <w:pPr>
              <w:ind w:left="40"/>
              <w:spacing w:after="0" w:line="139" w:lineRule="exact"/>
              <w:rPr>
                <w:sz w:val="20"/>
                <w:szCs w:val="20"/>
                <w:color w:val="auto"/>
              </w:rPr>
            </w:pPr>
            <w:r>
              <w:rPr>
                <w:rFonts w:ascii="Arial" w:cs="Arial" w:eastAsia="Arial" w:hAnsi="Arial"/>
                <w:sz w:val="16"/>
                <w:szCs w:val="16"/>
                <w:color w:val="auto"/>
                <w:w w:val="96"/>
              </w:rPr>
              <w:t>Operating costs and expenses (exclusive of depreciation and amortization, shown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660" w:type="dxa"/>
            <w:vAlign w:val="bottom"/>
          </w:tcPr>
          <w:p>
            <w:pPr>
              <w:ind w:left="200"/>
              <w:spacing w:after="0"/>
              <w:rPr>
                <w:sz w:val="20"/>
                <w:szCs w:val="20"/>
                <w:color w:val="auto"/>
              </w:rPr>
            </w:pPr>
            <w:r>
              <w:rPr>
                <w:rFonts w:ascii="Arial" w:cs="Arial" w:eastAsia="Arial" w:hAnsi="Arial"/>
                <w:sz w:val="17"/>
                <w:szCs w:val="17"/>
                <w:color w:val="auto"/>
              </w:rPr>
              <w:t>separately below):</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Programming and other direct costs of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2,305.0</w:t>
            </w:r>
          </w:p>
        </w:tc>
        <w:tc>
          <w:tcPr>
            <w:tcW w:w="0" w:type="dxa"/>
            <w:vAlign w:val="bottom"/>
          </w:tcPr>
          <w:p>
            <w:pPr>
              <w:spacing w:after="0"/>
              <w:rPr>
                <w:sz w:val="1"/>
                <w:szCs w:val="1"/>
                <w:color w:val="auto"/>
              </w:rPr>
            </w:pPr>
          </w:p>
        </w:tc>
      </w:tr>
      <w:tr>
        <w:trPr>
          <w:trHeight w:val="212"/>
        </w:trPr>
        <w:tc>
          <w:tcPr>
            <w:tcW w:w="5660" w:type="dxa"/>
            <w:vAlign w:val="bottom"/>
          </w:tcPr>
          <w:p>
            <w:pPr>
              <w:ind w:left="140"/>
              <w:spacing w:after="0"/>
              <w:rPr>
                <w:sz w:val="20"/>
                <w:szCs w:val="20"/>
                <w:color w:val="auto"/>
              </w:rPr>
            </w:pPr>
            <w:r>
              <w:rPr>
                <w:rFonts w:ascii="Arial" w:cs="Arial" w:eastAsia="Arial" w:hAnsi="Arial"/>
                <w:sz w:val="17"/>
                <w:szCs w:val="17"/>
                <w:color w:val="auto"/>
              </w:rPr>
              <w:t>Other operating (note 13)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279.5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456.2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1,225.6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1,250.7</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w:t>
            </w:r>
            <w:r>
              <w:rPr>
                <w:rFonts w:ascii="Arial" w:cs="Arial" w:eastAsia="Arial" w:hAnsi="Arial"/>
                <w:sz w:val="17"/>
                <w:szCs w:val="17"/>
                <w:b w:val="1"/>
                <w:bCs w:val="1"/>
                <w:color w:val="auto"/>
              </w:rPr>
              <w:t>SG&amp;A</w:t>
            </w:r>
            <w:r>
              <w:rPr>
                <w:rFonts w:ascii="Arial" w:cs="Arial" w:eastAsia="Arial" w:hAnsi="Arial"/>
                <w:sz w:val="17"/>
                <w:szCs w:val="17"/>
                <w:color w:val="auto"/>
              </w:rPr>
              <w:t>) (note 13)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1,515.3</w:t>
            </w:r>
          </w:p>
        </w:tc>
        <w:tc>
          <w:tcPr>
            <w:tcW w:w="0" w:type="dxa"/>
            <w:vAlign w:val="bottom"/>
          </w:tcPr>
          <w:p>
            <w:pPr>
              <w:spacing w:after="0"/>
              <w:rPr>
                <w:sz w:val="1"/>
                <w:szCs w:val="1"/>
                <w:color w:val="auto"/>
              </w:rPr>
            </w:pPr>
          </w:p>
        </w:tc>
      </w:tr>
      <w:tr>
        <w:trPr>
          <w:trHeight w:val="212"/>
        </w:trPr>
        <w:tc>
          <w:tcPr>
            <w:tcW w:w="56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582.3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1,744.8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1,710.1</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restructuring and other operating items,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05"/>
        </w:trPr>
        <w:tc>
          <w:tcPr>
            <w:tcW w:w="5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1,800.4</w:t>
            </w:r>
          </w:p>
        </w:tc>
        <w:tc>
          <w:tcPr>
            <w:tcW w:w="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2,201.6</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7,151.1</w:t>
            </w: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6,827.6</w:t>
            </w:r>
          </w:p>
        </w:tc>
        <w:tc>
          <w:tcPr>
            <w:tcW w:w="0" w:type="dxa"/>
            <w:vAlign w:val="bottom"/>
          </w:tcPr>
          <w:p>
            <w:pPr>
              <w:spacing w:after="0"/>
              <w:rPr>
                <w:sz w:val="1"/>
                <w:szCs w:val="1"/>
                <w:color w:val="auto"/>
              </w:rPr>
            </w:pPr>
          </w:p>
        </w:tc>
      </w:tr>
      <w:tr>
        <w:trPr>
          <w:trHeight w:val="205"/>
        </w:trPr>
        <w:tc>
          <w:tcPr>
            <w:tcW w:w="5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3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643.8</w:t>
            </w:r>
          </w:p>
        </w:tc>
        <w:tc>
          <w:tcPr>
            <w:tcW w:w="3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1,239.4</w:t>
            </w:r>
          </w:p>
        </w:tc>
        <w:tc>
          <w:tcPr>
            <w:tcW w:w="3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1,406.1</w:t>
            </w:r>
          </w:p>
        </w:tc>
        <w:tc>
          <w:tcPr>
            <w:tcW w:w="0" w:type="dxa"/>
            <w:vAlign w:val="bottom"/>
          </w:tcPr>
          <w:p>
            <w:pPr>
              <w:spacing w:after="0"/>
              <w:rPr>
                <w:sz w:val="1"/>
                <w:szCs w:val="1"/>
                <w:color w:val="auto"/>
              </w:rPr>
            </w:pPr>
          </w:p>
        </w:tc>
      </w:tr>
      <w:tr>
        <w:trPr>
          <w:trHeight w:val="192"/>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Non-operating income (expense):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(873.5)</w:t>
            </w:r>
          </w:p>
        </w:tc>
        <w:tc>
          <w:tcPr>
            <w:tcW w:w="0" w:type="dxa"/>
            <w:vAlign w:val="bottom"/>
          </w:tcPr>
          <w:p>
            <w:pPr>
              <w:spacing w:after="0"/>
              <w:rPr>
                <w:sz w:val="1"/>
                <w:szCs w:val="1"/>
                <w:color w:val="auto"/>
              </w:rPr>
            </w:pPr>
          </w:p>
        </w:tc>
      </w:tr>
      <w:tr>
        <w:trPr>
          <w:trHeight w:val="212"/>
        </w:trPr>
        <w:tc>
          <w:tcPr>
            <w:tcW w:w="5660" w:type="dxa"/>
            <w:vAlign w:val="bottom"/>
          </w:tcPr>
          <w:p>
            <w:pPr>
              <w:ind w:left="140"/>
              <w:spacing w:after="0"/>
              <w:rPr>
                <w:sz w:val="20"/>
                <w:szCs w:val="20"/>
                <w:color w:val="auto"/>
              </w:rPr>
            </w:pPr>
            <w:r>
              <w:rPr>
                <w:rFonts w:ascii="Arial" w:cs="Arial" w:eastAsia="Arial" w:hAnsi="Arial"/>
                <w:sz w:val="17"/>
                <w:szCs w:val="17"/>
                <w:color w:val="auto"/>
                <w:w w:val="94"/>
              </w:rPr>
              <w:t>Realized and unrealized gains (losses) on derivative instruments, net (note 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(717.5)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707.4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200.4</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transaction gains (losses),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(836.3)</w:t>
            </w:r>
          </w:p>
        </w:tc>
        <w:tc>
          <w:tcPr>
            <w:tcW w:w="0" w:type="dxa"/>
            <w:vAlign w:val="bottom"/>
          </w:tcPr>
          <w:p>
            <w:pPr>
              <w:spacing w:after="0"/>
              <w:rPr>
                <w:sz w:val="1"/>
                <w:szCs w:val="1"/>
                <w:color w:val="auto"/>
              </w:rPr>
            </w:pPr>
          </w:p>
        </w:tc>
      </w:tr>
      <w:tr>
        <w:trPr>
          <w:trHeight w:val="159"/>
        </w:trPr>
        <w:tc>
          <w:tcPr>
            <w:tcW w:w="5660" w:type="dxa"/>
            <w:vAlign w:val="bottom"/>
          </w:tcPr>
          <w:p>
            <w:pPr>
              <w:ind w:left="140"/>
              <w:spacing w:after="0" w:line="159" w:lineRule="exact"/>
              <w:rPr>
                <w:sz w:val="20"/>
                <w:szCs w:val="20"/>
                <w:color w:val="auto"/>
              </w:rPr>
            </w:pPr>
            <w:r>
              <w:rPr>
                <w:rFonts w:ascii="Arial" w:cs="Arial" w:eastAsia="Arial" w:hAnsi="Arial"/>
                <w:sz w:val="17"/>
                <w:szCs w:val="17"/>
                <w:color w:val="auto"/>
                <w:w w:val="93"/>
              </w:rPr>
              <w:t>Realized and unrealized gains (losses) due to changes in fair values of certain</w:t>
            </w: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(109.4)</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(21.5)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373.3</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(399.0)</w:t>
            </w:r>
          </w:p>
        </w:tc>
        <w:tc>
          <w:tcPr>
            <w:tcW w:w="0" w:type="dxa"/>
            <w:vAlign w:val="bottom"/>
          </w:tcPr>
          <w:p>
            <w:pPr>
              <w:spacing w:after="0"/>
              <w:rPr>
                <w:sz w:val="1"/>
                <w:szCs w:val="1"/>
                <w:color w:val="auto"/>
              </w:rPr>
            </w:pPr>
          </w:p>
        </w:tc>
      </w:tr>
      <w:tr>
        <w:trPr>
          <w:trHeight w:val="212"/>
        </w:trPr>
        <w:tc>
          <w:tcPr>
            <w:tcW w:w="5660" w:type="dxa"/>
            <w:vAlign w:val="bottom"/>
          </w:tcPr>
          <w:p>
            <w:pPr>
              <w:ind w:left="300"/>
              <w:spacing w:after="0"/>
              <w:rPr>
                <w:sz w:val="20"/>
                <w:szCs w:val="20"/>
                <w:color w:val="auto"/>
              </w:rPr>
            </w:pPr>
            <w:r>
              <w:rPr>
                <w:rFonts w:ascii="Arial" w:cs="Arial" w:eastAsia="Arial" w:hAnsi="Arial"/>
                <w:sz w:val="17"/>
                <w:szCs w:val="17"/>
                <w:color w:val="auto"/>
              </w:rPr>
              <w:t>investments and debt, net (notes 5, 7 and 9)</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Losses on debt extinguishment, net (note 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0" w:type="dxa"/>
            <w:vAlign w:val="bottom"/>
          </w:tcPr>
          <w:p>
            <w:pPr>
              <w:spacing w:after="0"/>
              <w:rPr>
                <w:sz w:val="1"/>
                <w:szCs w:val="1"/>
                <w:color w:val="auto"/>
              </w:rPr>
            </w:pPr>
          </w:p>
        </w:tc>
      </w:tr>
      <w:tr>
        <w:trPr>
          <w:trHeight w:val="212"/>
        </w:trPr>
        <w:tc>
          <w:tcPr>
            <w:tcW w:w="5660" w:type="dxa"/>
            <w:vAlign w:val="bottom"/>
          </w:tcPr>
          <w:p>
            <w:pPr>
              <w:ind w:left="140"/>
              <w:spacing w:after="0"/>
              <w:rPr>
                <w:sz w:val="20"/>
                <w:szCs w:val="20"/>
                <w:color w:val="auto"/>
              </w:rPr>
            </w:pPr>
            <w:r>
              <w:rPr>
                <w:rFonts w:ascii="Arial" w:cs="Arial" w:eastAsia="Arial" w:hAnsi="Arial"/>
                <w:sz w:val="17"/>
                <w:szCs w:val="17"/>
                <w:color w:val="auto"/>
              </w:rPr>
              <w:t>Share of results of affiliates, net (note 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(adjustment to gain) on U.K. JV Transaction (note 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10,790.7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660" w:type="dxa"/>
            <w:vAlign w:val="bottom"/>
          </w:tcPr>
          <w:p>
            <w:pPr>
              <w:ind w:left="140"/>
              <w:spacing w:after="0"/>
              <w:rPr>
                <w:sz w:val="20"/>
                <w:szCs w:val="20"/>
                <w:color w:val="auto"/>
              </w:rPr>
            </w:pPr>
            <w:r>
              <w:rPr>
                <w:rFonts w:ascii="Arial" w:cs="Arial" w:eastAsia="Arial" w:hAnsi="Arial"/>
                <w:sz w:val="17"/>
                <w:szCs w:val="17"/>
                <w:color w:val="auto"/>
              </w:rPr>
              <w:t>Gain on Atlas Edge JV Transactions (note 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213.7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213.7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05"/>
        </w:trPr>
        <w:tc>
          <w:tcPr>
            <w:tcW w:w="5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w:t>
            </w:r>
          </w:p>
        </w:tc>
        <w:tc>
          <w:tcPr>
            <w:tcW w:w="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(1,794.9)</w:t>
            </w: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12,094.0</w:t>
            </w: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(2,160.5)</w:t>
            </w:r>
          </w:p>
        </w:tc>
        <w:tc>
          <w:tcPr>
            <w:tcW w:w="0" w:type="dxa"/>
            <w:vAlign w:val="bottom"/>
          </w:tcPr>
          <w:p>
            <w:pPr>
              <w:spacing w:after="0"/>
              <w:rPr>
                <w:sz w:val="1"/>
                <w:szCs w:val="1"/>
                <w:color w:val="auto"/>
              </w:rPr>
            </w:pPr>
          </w:p>
        </w:tc>
      </w:tr>
      <w:tr>
        <w:trPr>
          <w:trHeight w:val="205"/>
        </w:trPr>
        <w:tc>
          <w:tcPr>
            <w:tcW w:w="5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Earnings (loss) from continuing operations before income taxes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317.8</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13,333.4</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(754.4)</w:t>
            </w:r>
          </w:p>
        </w:tc>
        <w:tc>
          <w:tcPr>
            <w:tcW w:w="0" w:type="dxa"/>
            <w:vAlign w:val="bottom"/>
          </w:tcPr>
          <w:p>
            <w:pPr>
              <w:spacing w:after="0"/>
              <w:rPr>
                <w:sz w:val="1"/>
                <w:szCs w:val="1"/>
                <w:color w:val="auto"/>
              </w:rPr>
            </w:pPr>
          </w:p>
        </w:tc>
      </w:tr>
      <w:tr>
        <w:trPr>
          <w:trHeight w:val="21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(expense) (note 11)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252.2</w:t>
            </w:r>
          </w:p>
        </w:tc>
        <w:tc>
          <w:tcPr>
            <w:tcW w:w="0" w:type="dxa"/>
            <w:vAlign w:val="bottom"/>
          </w:tcPr>
          <w:p>
            <w:pPr>
              <w:spacing w:after="0"/>
              <w:rPr>
                <w:sz w:val="1"/>
                <w:szCs w:val="1"/>
                <w:color w:val="auto"/>
              </w:rPr>
            </w:pPr>
          </w:p>
        </w:tc>
      </w:tr>
      <w:tr>
        <w:trPr>
          <w:trHeight w:val="205"/>
        </w:trPr>
        <w:tc>
          <w:tcPr>
            <w:tcW w:w="5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Earnings (loss) from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12,889.2</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1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Earnings from discontinued operations, net of taxes (note 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5"/>
        </w:trPr>
        <w:tc>
          <w:tcPr>
            <w:tcW w:w="5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earnings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12,933.5</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w:t>
            </w:r>
          </w:p>
        </w:tc>
        <w:tc>
          <w:tcPr>
            <w:tcW w:w="0" w:type="dxa"/>
            <w:vAlign w:val="bottom"/>
          </w:tcPr>
          <w:p>
            <w:pPr>
              <w:spacing w:after="0"/>
              <w:rPr>
                <w:sz w:val="1"/>
                <w:szCs w:val="1"/>
                <w:color w:val="auto"/>
              </w:rPr>
            </w:pPr>
          </w:p>
        </w:tc>
      </w:tr>
      <w:tr>
        <w:trPr>
          <w:trHeight w:val="21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earnings attributable to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earnings (loss) attributable to Liberty Global shareholders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w:t>
            </w:r>
          </w:p>
        </w:tc>
        <w:tc>
          <w:tcPr>
            <w:tcW w:w="3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(1,023.1)</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12,790.7</w:t>
            </w:r>
          </w:p>
        </w:tc>
        <w:tc>
          <w:tcPr>
            <w:tcW w:w="3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5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5660" w:type="dxa"/>
            <w:vAlign w:val="bottom"/>
            <w:shd w:val="clear" w:color="auto" w:fill="CCEEFF"/>
          </w:tcPr>
          <w:p>
            <w:pPr>
              <w:ind w:left="20"/>
              <w:spacing w:after="0" w:line="159" w:lineRule="exact"/>
              <w:rPr>
                <w:sz w:val="20"/>
                <w:szCs w:val="20"/>
                <w:color w:val="auto"/>
              </w:rPr>
            </w:pPr>
            <w:r>
              <w:rPr>
                <w:rFonts w:ascii="Arial" w:cs="Arial" w:eastAsia="Arial" w:hAnsi="Arial"/>
                <w:sz w:val="17"/>
                <w:szCs w:val="17"/>
                <w:color w:val="auto"/>
                <w:w w:val="93"/>
              </w:rPr>
              <w:t>Basic earnings (loss) attributable to Liberty Global shareholders per share (note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tcPr>
          <w:p>
            <w:pPr>
              <w:ind w:left="200"/>
              <w:spacing w:after="0"/>
              <w:rPr>
                <w:sz w:val="20"/>
                <w:szCs w:val="20"/>
                <w:color w:val="auto"/>
              </w:rPr>
            </w:pPr>
            <w:r>
              <w:rPr>
                <w:rFonts w:ascii="Arial" w:cs="Arial" w:eastAsia="Arial" w:hAnsi="Arial"/>
                <w:sz w:val="17"/>
                <w:szCs w:val="17"/>
                <w:color w:val="auto"/>
              </w:rPr>
              <w:t>Continuing operations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0.49</w:t>
            </w:r>
          </w:p>
        </w:tc>
        <w:tc>
          <w:tcPr>
            <w:tcW w:w="34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(1.75)</w:t>
            </w:r>
          </w:p>
        </w:tc>
        <w:tc>
          <w:tcPr>
            <w:tcW w:w="3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22.71</w:t>
            </w:r>
          </w:p>
        </w:tc>
        <w:tc>
          <w:tcPr>
            <w:tcW w:w="32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5"/>
        </w:trPr>
        <w:tc>
          <w:tcPr>
            <w:tcW w:w="566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34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22.79</w:t>
            </w:r>
          </w:p>
        </w:tc>
        <w:tc>
          <w:tcPr>
            <w:tcW w:w="320" w:type="dxa"/>
            <w:vAlign w:val="bottom"/>
          </w:tcPr>
          <w:p>
            <w:pPr>
              <w:spacing w:after="0"/>
              <w:rPr>
                <w:sz w:val="17"/>
                <w:szCs w:val="17"/>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66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Diluted earnings (loss) attributable to Liberty Global shareholders per share (note</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tcPr>
          <w:p>
            <w:pPr>
              <w:ind w:left="200"/>
              <w:spacing w:after="0"/>
              <w:rPr>
                <w:sz w:val="20"/>
                <w:szCs w:val="20"/>
                <w:color w:val="auto"/>
              </w:rPr>
            </w:pPr>
            <w:r>
              <w:rPr>
                <w:rFonts w:ascii="Arial" w:cs="Arial" w:eastAsia="Arial" w:hAnsi="Arial"/>
                <w:sz w:val="17"/>
                <w:szCs w:val="17"/>
                <w:color w:val="auto"/>
              </w:rPr>
              <w:t>Continuing operations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0.48</w:t>
            </w:r>
          </w:p>
        </w:tc>
        <w:tc>
          <w:tcPr>
            <w:tcW w:w="34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(1.75)</w:t>
            </w:r>
          </w:p>
        </w:tc>
        <w:tc>
          <w:tcPr>
            <w:tcW w:w="3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22.19</w:t>
            </w:r>
          </w:p>
        </w:tc>
        <w:tc>
          <w:tcPr>
            <w:tcW w:w="32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5"/>
        </w:trPr>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6"/>
        </w:trPr>
        <w:tc>
          <w:tcPr>
            <w:tcW w:w="566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0.49</w:t>
            </w:r>
          </w:p>
        </w:tc>
        <w:tc>
          <w:tcPr>
            <w:tcW w:w="34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c>
          <w:tcPr>
            <w:tcW w:w="320" w:type="dxa"/>
            <w:vAlign w:val="bottom"/>
          </w:tcPr>
          <w:p>
            <w:pPr>
              <w:spacing w:after="0"/>
              <w:rPr>
                <w:sz w:val="17"/>
                <w:szCs w:val="17"/>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Three months ended</w:t>
            </w:r>
          </w:p>
        </w:tc>
        <w:tc>
          <w:tcPr>
            <w:tcW w:w="360" w:type="dxa"/>
            <w:vAlign w:val="bottom"/>
          </w:tcPr>
          <w:p>
            <w:pPr>
              <w:spacing w:after="0"/>
              <w:rPr>
                <w:sz w:val="18"/>
                <w:szCs w:val="18"/>
                <w:color w:val="auto"/>
              </w:rPr>
            </w:pPr>
          </w:p>
        </w:tc>
        <w:tc>
          <w:tcPr>
            <w:tcW w:w="200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w w:val="96"/>
              </w:rPr>
              <w:t>Nine months ended</w:t>
            </w:r>
          </w:p>
        </w:tc>
      </w:tr>
      <w:tr>
        <w:trPr>
          <w:trHeight w:val="214"/>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60" w:type="dxa"/>
            <w:vAlign w:val="bottom"/>
          </w:tcPr>
          <w:p>
            <w:pPr>
              <w:spacing w:after="0"/>
              <w:rPr>
                <w:sz w:val="18"/>
                <w:szCs w:val="18"/>
                <w:color w:val="auto"/>
              </w:rPr>
            </w:pPr>
          </w:p>
        </w:tc>
        <w:tc>
          <w:tcPr>
            <w:tcW w:w="200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September 30,</w:t>
            </w:r>
          </w:p>
        </w:tc>
      </w:tr>
      <w:tr>
        <w:trPr>
          <w:trHeight w:val="206"/>
        </w:trPr>
        <w:tc>
          <w:tcPr>
            <w:tcW w:w="64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12,933.5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r>
      <w:tr>
        <w:trPr>
          <w:trHeight w:val="205"/>
        </w:trPr>
        <w:tc>
          <w:tcPr>
            <w:tcW w:w="640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(loss), net of taxes: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6"/>
        </w:trPr>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969.2</w:t>
            </w:r>
          </w:p>
        </w:tc>
      </w:tr>
      <w:tr>
        <w:trPr>
          <w:trHeight w:val="22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included in net earnings (loss) (note 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1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r>
      <w:tr>
        <w:trPr>
          <w:trHeight w:val="225"/>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earnings (loss) from discontinued operations (note 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19"/>
        </w:trPr>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r>
      <w:tr>
        <w:trPr>
          <w:trHeight w:val="218"/>
        </w:trPr>
        <w:tc>
          <w:tcPr>
            <w:tcW w:w="6400" w:type="dxa"/>
            <w:vAlign w:val="bottom"/>
          </w:tcPr>
          <w:p>
            <w:pPr>
              <w:ind w:left="580"/>
              <w:spacing w:after="0"/>
              <w:rPr>
                <w:sz w:val="20"/>
                <w:szCs w:val="20"/>
                <w:color w:val="auto"/>
              </w:rPr>
            </w:pPr>
            <w:r>
              <w:rPr>
                <w:rFonts w:ascii="Arial" w:cs="Arial" w:eastAsia="Arial" w:hAnsi="Arial"/>
                <w:sz w:val="18"/>
                <w:szCs w:val="18"/>
                <w:color w:val="auto"/>
              </w:rPr>
              <w:t>Comprehensive earnings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13,240.1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476.1</w:t>
            </w:r>
          </w:p>
        </w:tc>
      </w:tr>
      <w:tr>
        <w:trPr>
          <w:trHeight w:val="225"/>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19"/>
        </w:trPr>
        <w:tc>
          <w:tcPr>
            <w:tcW w:w="6400" w:type="dxa"/>
            <w:vAlign w:val="bottom"/>
          </w:tcPr>
          <w:p>
            <w:pPr>
              <w:ind w:left="500"/>
              <w:spacing w:after="0"/>
              <w:rPr>
                <w:sz w:val="20"/>
                <w:szCs w:val="20"/>
                <w:color w:val="auto"/>
              </w:rPr>
            </w:pPr>
            <w:r>
              <w:rPr>
                <w:rFonts w:ascii="Arial" w:cs="Arial" w:eastAsia="Arial" w:hAnsi="Arial"/>
                <w:sz w:val="18"/>
                <w:szCs w:val="18"/>
                <w:color w:val="auto"/>
                <w:w w:val="99"/>
              </w:rPr>
              <w:t>Comprehensive earnings (loss) attributable to Liberty Global shareholders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13,096.0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6"/>
            <w:vMerge w:val="restart"/>
          </w:tcPr>
          <w:p>
            <w:pPr>
              <w:jc w:val="center"/>
              <w:ind w:left="112"/>
              <w:spacing w:after="0"/>
              <w:rPr>
                <w:sz w:val="20"/>
                <w:szCs w:val="20"/>
                <w:color w:val="auto"/>
              </w:rPr>
            </w:pPr>
            <w:r>
              <w:rPr>
                <w:rFonts w:ascii="Arial" w:cs="Arial" w:eastAsia="Arial" w:hAnsi="Arial"/>
                <w:sz w:val="16"/>
                <w:szCs w:val="16"/>
                <w:b w:val="1"/>
                <w:bCs w:val="1"/>
                <w:color w:val="auto"/>
                <w:w w:val="89"/>
              </w:rPr>
              <w:t>Ordinary shares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9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2"/>
                <w:szCs w:val="12"/>
                <w:color w:val="auto"/>
              </w:rPr>
            </w:pP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40" w:type="dxa"/>
            <w:vAlign w:val="bottom"/>
          </w:tcPr>
          <w:p>
            <w:pPr>
              <w:jc w:val="right"/>
              <w:ind w:right="152"/>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9"/>
              </w:rPr>
              <w:t>earnings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$ 6,136.9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13,575.9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$ 13,168.5</w:t>
            </w:r>
          </w:p>
        </w:tc>
        <w:tc>
          <w:tcPr>
            <w:tcW w:w="0" w:type="dxa"/>
            <w:vAlign w:val="bottom"/>
          </w:tcPr>
          <w:p>
            <w:pPr>
              <w:spacing w:after="0"/>
              <w:rPr>
                <w:sz w:val="1"/>
                <w:szCs w:val="1"/>
                <w:color w:val="auto"/>
              </w:rPr>
            </w:pPr>
          </w:p>
        </w:tc>
      </w:tr>
      <w:tr>
        <w:trPr>
          <w:trHeight w:val="225"/>
        </w:trPr>
        <w:tc>
          <w:tcPr>
            <w:tcW w:w="27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Other comprehensive loss, net of</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(1,072.5)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rPr>
              <w:t>Repurchases by Telenet of its</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20"/>
              <w:spacing w:after="0" w:line="204" w:lineRule="exact"/>
              <w:rPr>
                <w:sz w:val="20"/>
                <w:szCs w:val="20"/>
                <w:color w:val="auto"/>
              </w:rPr>
            </w:pPr>
            <w:r>
              <w:rPr>
                <w:rFonts w:ascii="Arial" w:cs="Arial" w:eastAsia="Arial" w:hAnsi="Arial"/>
                <w:sz w:val="18"/>
                <w:szCs w:val="18"/>
                <w:color w:val="auto"/>
              </w:rPr>
              <w:t>Balance at March 31, 2020</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5,927.9</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7,269.9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13,244.1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12,912.2</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w w:val="92"/>
              </w:rPr>
              <w:t>Other comprehensive earnings, net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636.6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636.6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rPr>
              <w:t>of taxes</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tcPr>
          <w:p>
            <w:pPr>
              <w:ind w:left="140"/>
              <w:spacing w:after="0"/>
              <w:rPr>
                <w:sz w:val="20"/>
                <w:szCs w:val="20"/>
                <w:color w:val="auto"/>
              </w:rPr>
            </w:pPr>
            <w:r>
              <w:rPr>
                <w:rFonts w:ascii="Arial" w:cs="Arial" w:eastAsia="Arial" w:hAnsi="Arial"/>
                <w:sz w:val="18"/>
                <w:szCs w:val="18"/>
                <w:color w:val="auto"/>
                <w:w w:val="87"/>
              </w:rPr>
              <w:t>Share-based compensation (note 13)</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20"/>
              <w:spacing w:after="0" w:line="204" w:lineRule="exact"/>
              <w:rPr>
                <w:sz w:val="20"/>
                <w:szCs w:val="20"/>
                <w:color w:val="auto"/>
              </w:rPr>
            </w:pPr>
            <w:r>
              <w:rPr>
                <w:rFonts w:ascii="Arial" w:cs="Arial" w:eastAsia="Arial" w:hAnsi="Arial"/>
                <w:sz w:val="18"/>
                <w:szCs w:val="18"/>
                <w:color w:val="auto"/>
              </w:rPr>
              <w:t>Balance at June 30, 2020</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5,505.7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6,745.7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676.8</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12,934.0</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12,550.5</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w w:val="92"/>
              </w:rPr>
              <w:t>Other comprehensive earnings, net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1,378.4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1,378.4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rPr>
              <w:t>of taxes</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6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tcPr>
          <w:p>
            <w:pPr>
              <w:ind w:left="140"/>
              <w:spacing w:after="0"/>
              <w:rPr>
                <w:sz w:val="20"/>
                <w:szCs w:val="20"/>
                <w:color w:val="auto"/>
              </w:rPr>
            </w:pPr>
            <w:r>
              <w:rPr>
                <w:rFonts w:ascii="Arial" w:cs="Arial" w:eastAsia="Arial" w:hAnsi="Arial"/>
                <w:sz w:val="18"/>
                <w:szCs w:val="18"/>
                <w:color w:val="auto"/>
                <w:w w:val="87"/>
              </w:rPr>
              <w:t>Share-based compensation (note 13)</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20"/>
              <w:spacing w:after="0" w:line="204" w:lineRule="exact"/>
              <w:rPr>
                <w:sz w:val="20"/>
                <w:szCs w:val="20"/>
                <w:color w:val="auto"/>
              </w:rPr>
            </w:pPr>
            <w:r>
              <w:rPr>
                <w:rFonts w:ascii="Arial" w:cs="Arial" w:eastAsia="Arial" w:hAnsi="Arial"/>
                <w:sz w:val="18"/>
                <w:szCs w:val="18"/>
                <w:color w:val="auto"/>
              </w:rPr>
              <w:t>Balance at September 30, 2020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$ 5,312.2</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5,722.6</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2,055.2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13,095.7</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(330.7)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$ 12,765.0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0"/>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Ordinary 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102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7"/>
              </w:rPr>
              <w:t>Accumulated</w:t>
            </w: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40" w:type="dxa"/>
            <w:vAlign w:val="bottom"/>
          </w:tcPr>
          <w:p>
            <w:pPr>
              <w:jc w:val="right"/>
              <w:ind w:right="153"/>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B</w:t>
            </w: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88"/>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6"/>
              </w:rPr>
              <w:t>earnings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$ 13,298.4</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Other comprehensive loss, net of</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1"/>
              </w:rPr>
              <w:t>(0.2)</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March 31, 2021</w:t>
            </w: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13,796.0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13,488.1</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11,128.2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11,128.2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11,174.5</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Other comprehensive earnings, net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taxes</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June 30, 2021</w:t>
            </w: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17,205.7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26,882.1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26,550.0</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Other comprehensive loss, net of</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1"/>
              </w:rPr>
              <w:t>(0.1)</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8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September 30, 2021</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$ 4,395.8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17,508.4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25,908.0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$ 25,592.7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center"/>
              <w:ind w:right="192"/>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4"/>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6"/>
                <w:szCs w:val="16"/>
                <w:b w:val="1"/>
                <w:bCs w:val="1"/>
                <w:color w:val="auto"/>
                <w:w w:val="87"/>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2020</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13"/>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12,933.5</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8"/>
        </w:trPr>
        <w:tc>
          <w:tcPr>
            <w:tcW w:w="8680" w:type="dxa"/>
            <w:vAlign w:val="bottom"/>
          </w:tcPr>
          <w:p>
            <w:pPr>
              <w:ind w:left="240"/>
              <w:spacing w:after="0" w:line="204" w:lineRule="exact"/>
              <w:rPr>
                <w:sz w:val="20"/>
                <w:szCs w:val="20"/>
                <w:color w:val="auto"/>
              </w:rPr>
            </w:pPr>
            <w:r>
              <w:rPr>
                <w:rFonts w:ascii="Arial" w:cs="Arial" w:eastAsia="Arial" w:hAnsi="Arial"/>
                <w:sz w:val="18"/>
                <w:szCs w:val="18"/>
                <w:color w:val="auto"/>
              </w:rPr>
              <w:t>Earnings (loss) from continuing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174"/>
        </w:trPr>
        <w:tc>
          <w:tcPr>
            <w:tcW w:w="868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1"/>
              </w:rPr>
              <w:t>Adjustments to reconcile earnings (loss) from continuing operations to net cash provided by operating activities from</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w:t>
            </w: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w w:val="99"/>
              </w:rPr>
              <w:t>Realized and unrealized losses (gains) due to changes in fair values of certain investments and debt,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rPr>
              <w:t>Gain on U.K. JV Transaction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Atlas Edge JV Transactions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6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received from the VodafoneZiggo JV</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8"/>
        </w:trPr>
        <w:tc>
          <w:tcPr>
            <w:tcW w:w="8680" w:type="dxa"/>
            <w:vAlign w:val="bottom"/>
          </w:tcPr>
          <w:p>
            <w:pPr>
              <w:ind w:left="420"/>
              <w:spacing w:after="0" w:line="204" w:lineRule="exact"/>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2,568.4</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8"/>
        </w:trPr>
        <w:tc>
          <w:tcPr>
            <w:tcW w:w="8680" w:type="dxa"/>
            <w:vAlign w:val="bottom"/>
            <w:tcBorders>
              <w:bottom w:val="single" w:sz="8" w:color="CCEEFF"/>
            </w:tcBorders>
          </w:tcPr>
          <w:p>
            <w:pPr>
              <w:ind w:left="52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2,692.3</w:t>
            </w:r>
          </w:p>
        </w:tc>
        <w:tc>
          <w:tcPr>
            <w:tcW w:w="0" w:type="dxa"/>
            <w:vAlign w:val="bottom"/>
          </w:tcPr>
          <w:p>
            <w:pPr>
              <w:spacing w:after="0"/>
              <w:rPr>
                <w:sz w:val="1"/>
                <w:szCs w:val="1"/>
                <w:color w:val="auto"/>
              </w:rPr>
            </w:pPr>
          </w:p>
        </w:tc>
      </w:tr>
      <w:tr>
        <w:trPr>
          <w:trHeight w:val="179"/>
        </w:trPr>
        <w:tc>
          <w:tcPr>
            <w:tcW w:w="8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(6,864.7)</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3,766.3</w:t>
            </w:r>
          </w:p>
        </w:tc>
        <w:tc>
          <w:tcPr>
            <w:tcW w:w="0" w:type="dxa"/>
            <w:vAlign w:val="bottom"/>
          </w:tcPr>
          <w:p>
            <w:pPr>
              <w:spacing w:after="0"/>
              <w:rPr>
                <w:sz w:val="1"/>
                <w:szCs w:val="1"/>
                <w:color w:val="auto"/>
              </w:rPr>
            </w:pPr>
          </w:p>
        </w:tc>
      </w:tr>
      <w:tr>
        <w:trPr>
          <w:trHeight w:val="174"/>
        </w:trPr>
        <w:tc>
          <w:tcPr>
            <w:tcW w:w="86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Cash and restricted cash contributed to the VMED O2 JV in connection with the U.K. JV</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to the VodafoneZiggo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received in connection with the Atlas Edge JV Transactions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in connection with the U.K. JV Transaction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Net cash used by investing activities of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ind w:left="520"/>
              <w:spacing w:after="0" w:line="205" w:lineRule="exact"/>
              <w:rPr>
                <w:sz w:val="20"/>
                <w:szCs w:val="20"/>
                <w:color w:val="auto"/>
              </w:rPr>
            </w:pPr>
            <w:r>
              <w:rPr>
                <w:rFonts w:ascii="Arial" w:cs="Arial" w:eastAsia="Arial" w:hAnsi="Arial"/>
                <w:sz w:val="18"/>
                <w:szCs w:val="18"/>
                <w:color w:val="auto"/>
              </w:rPr>
              <w:t>Net cash used by investing activities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center"/>
              <w:ind w:right="192"/>
              <w:spacing w:after="0"/>
              <w:rPr>
                <w:sz w:val="20"/>
                <w:szCs w:val="20"/>
                <w:color w:val="auto"/>
              </w:rPr>
            </w:pPr>
            <w:r>
              <w:rPr>
                <w:rFonts w:ascii="Arial" w:cs="Arial" w:eastAsia="Arial" w:hAnsi="Arial"/>
                <w:sz w:val="16"/>
                <w:szCs w:val="16"/>
                <w:b w:val="1"/>
                <w:bCs w:val="1"/>
                <w:color w:val="auto"/>
                <w:w w:val="88"/>
              </w:rPr>
              <w:t>Nine months ended</w:t>
            </w:r>
          </w:p>
        </w:tc>
      </w:tr>
      <w:tr>
        <w:trPr>
          <w:trHeight w:val="214"/>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6"/>
                <w:szCs w:val="16"/>
                <w:b w:val="1"/>
                <w:bCs w:val="1"/>
                <w:color w:val="auto"/>
                <w:w w:val="87"/>
              </w:rPr>
              <w:t>September 30,</w:t>
            </w:r>
          </w:p>
        </w:tc>
        <w:tc>
          <w:tcPr>
            <w:tcW w:w="780" w:type="dxa"/>
            <w:vAlign w:val="bottom"/>
            <w:tcBorders>
              <w:bottom w:val="single" w:sz="8" w:color="auto"/>
            </w:tcBorders>
          </w:tcPr>
          <w:p>
            <w:pPr>
              <w:spacing w:after="0"/>
              <w:rPr>
                <w:sz w:val="18"/>
                <w:szCs w:val="18"/>
                <w:color w:val="auto"/>
              </w:rPr>
            </w:pPr>
          </w:p>
        </w:tc>
      </w:tr>
      <w:tr>
        <w:trPr>
          <w:trHeight w:val="206"/>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2020</w:t>
            </w: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13"/>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7"/>
                <w:szCs w:val="17"/>
                <w:color w:val="auto"/>
              </w:rPr>
            </w:pPr>
          </w:p>
        </w:tc>
      </w:tr>
      <w:tr>
        <w:trPr>
          <w:trHeight w:val="150"/>
        </w:trPr>
        <w:tc>
          <w:tcPr>
            <w:tcW w:w="8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Borrowings of debt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4,228.2</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11,065.2</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(9,444.3)</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(975.7)</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Net cash received related to derivative instruments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18"/>
        </w:trPr>
        <w:tc>
          <w:tcPr>
            <w:tcW w:w="8680" w:type="dxa"/>
            <w:vAlign w:val="bottom"/>
          </w:tcPr>
          <w:p>
            <w:pPr>
              <w:ind w:left="260"/>
              <w:spacing w:after="0" w:line="204" w:lineRule="exact"/>
              <w:rPr>
                <w:sz w:val="20"/>
                <w:szCs w:val="20"/>
                <w:color w:val="auto"/>
              </w:rPr>
            </w:pPr>
            <w:r>
              <w:rPr>
                <w:rFonts w:ascii="Arial" w:cs="Arial" w:eastAsia="Arial" w:hAnsi="Arial"/>
                <w:sz w:val="18"/>
                <w:szCs w:val="18"/>
                <w:color w:val="auto"/>
              </w:rPr>
              <w:t>Net cash provided (used) by financing activities of continuing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363.2</w:t>
            </w: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8"/>
        </w:trPr>
        <w:tc>
          <w:tcPr>
            <w:tcW w:w="8680" w:type="dxa"/>
            <w:vAlign w:val="bottom"/>
            <w:tcBorders>
              <w:bottom w:val="single" w:sz="8" w:color="CCEEFF"/>
            </w:tcBorders>
          </w:tcPr>
          <w:p>
            <w:pPr>
              <w:ind w:left="420"/>
              <w:spacing w:after="0" w:line="204" w:lineRule="exact"/>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w:t>
            </w:r>
          </w:p>
        </w:tc>
      </w:tr>
      <w:tr>
        <w:trPr>
          <w:trHeight w:val="139"/>
        </w:trPr>
        <w:tc>
          <w:tcPr>
            <w:tcW w:w="8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25"/>
        </w:trPr>
        <w:tc>
          <w:tcPr>
            <w:tcW w:w="86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68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5"/>
        </w:trPr>
        <w:tc>
          <w:tcPr>
            <w:tcW w:w="8680" w:type="dxa"/>
            <w:vAlign w:val="bottom"/>
          </w:tcPr>
          <w:p>
            <w:pPr>
              <w:ind w:left="40"/>
              <w:spacing w:after="0" w:line="204" w:lineRule="exact"/>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r>
      <w:tr>
        <w:trPr>
          <w:trHeight w:val="225"/>
        </w:trPr>
        <w:tc>
          <w:tcPr>
            <w:tcW w:w="8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r>
      <w:tr>
        <w:trPr>
          <w:trHeight w:val="219"/>
        </w:trPr>
        <w:tc>
          <w:tcPr>
            <w:tcW w:w="86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r>
      <w:tr>
        <w:trPr>
          <w:trHeight w:val="205"/>
        </w:trPr>
        <w:tc>
          <w:tcPr>
            <w:tcW w:w="8680" w:type="dxa"/>
            <w:vAlign w:val="bottom"/>
          </w:tcPr>
          <w:p>
            <w:pPr>
              <w:ind w:left="120"/>
              <w:spacing w:after="0" w:line="204" w:lineRule="exact"/>
              <w:rPr>
                <w:sz w:val="20"/>
                <w:szCs w:val="20"/>
                <w:color w:val="auto"/>
              </w:rPr>
            </w:pPr>
            <w:r>
              <w:rPr>
                <w:rFonts w:ascii="Arial" w:cs="Arial" w:eastAsia="Arial" w:hAnsi="Arial"/>
                <w:sz w:val="18"/>
                <w:szCs w:val="18"/>
                <w:color w:val="auto"/>
              </w:rPr>
              <w:t>Cash and cash equivalents and restricted cash:</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6"/>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8,180.9</w:t>
            </w:r>
          </w:p>
        </w:tc>
      </w:tr>
      <w:tr>
        <w:trPr>
          <w:trHeight w:val="225"/>
        </w:trPr>
        <w:tc>
          <w:tcPr>
            <w:tcW w:w="8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decrease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w:t>
            </w:r>
          </w:p>
        </w:tc>
      </w:tr>
      <w:tr>
        <w:trPr>
          <w:trHeight w:val="244"/>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6"/>
        </w:trPr>
        <w:tc>
          <w:tcPr>
            <w:tcW w:w="8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25"/>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913.5</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92"/>
        </w:trPr>
        <w:tc>
          <w:tcPr>
            <w:tcW w:w="8680" w:type="dxa"/>
            <w:vAlign w:val="bottom"/>
          </w:tcPr>
          <w:p>
            <w:pPr>
              <w:ind w:left="340"/>
              <w:spacing w:after="0" w:line="192"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line="19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785.3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52"/>
              <w:spacing w:after="0" w:line="19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914.8</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868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color w:val="auto"/>
              </w:rPr>
              <w:t>Net cash paid for taxes: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8"/>
        </w:trPr>
        <w:tc>
          <w:tcPr>
            <w:tcW w:w="868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8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and restricted cash included in assets held for sale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3,284.9</w:t>
            </w: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 included in current assets of discontinued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4"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60.7%-owned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In addition, we own 50% noncontrolling interests in (a) a 50:50 joint venture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(the </w:t>
      </w:r>
      <w:r>
        <w:rPr>
          <w:rFonts w:ascii="Arial" w:cs="Arial" w:eastAsia="Arial" w:hAnsi="Arial"/>
          <w:sz w:val="18"/>
          <w:szCs w:val="18"/>
          <w:b w:val="1"/>
          <w:bCs w:val="1"/>
          <w:color w:val="auto"/>
        </w:rPr>
        <w:t>VodafoneZiggo JV</w:t>
      </w:r>
      <w:r>
        <w:rPr>
          <w:rFonts w:ascii="Arial" w:cs="Arial" w:eastAsia="Arial" w:hAnsi="Arial"/>
          <w:sz w:val="18"/>
          <w:szCs w:val="18"/>
          <w:color w:val="auto"/>
        </w:rPr>
        <w:t>), which provides residential and B2B communication services in the Netherlands, and (b) a 50:50 joint venture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(the </w:t>
      </w:r>
      <w:r>
        <w:rPr>
          <w:rFonts w:ascii="Arial" w:cs="Arial" w:eastAsia="Arial" w:hAnsi="Arial"/>
          <w:sz w:val="18"/>
          <w:szCs w:val="18"/>
          <w:b w:val="1"/>
          <w:bCs w:val="1"/>
          <w:color w:val="auto"/>
        </w:rPr>
        <w:t>VMED O2 JV</w:t>
      </w:r>
      <w:r>
        <w:rPr>
          <w:rFonts w:ascii="Arial" w:cs="Arial" w:eastAsia="Arial" w:hAnsi="Arial"/>
          <w:sz w:val="18"/>
          <w:szCs w:val="18"/>
          <w:color w:val="auto"/>
        </w:rPr>
        <w:t>), which provides residential and B2B communication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w:t>
      </w:r>
    </w:p>
    <w:p>
      <w:pPr>
        <w:spacing w:after="0" w:line="2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we currently provide residential and B2B communications services in Poland through UPC Holding. On September 22, 2021, we entered into an agreement to sell our operations in Poland. Accordingly, in these condensed consolidated financial statements, our operations in Poland are reflected as discontinued operations for all periods presented. For additional information, see note 4.</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4) to the VMED O2 JV and began accounting for our 50% interest in the VMED O2 JV as an equity method investment. For additional information, see note 4.</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unaudited condensed consolidated financial statements have been prepared in accordance with accounting principles generally accepted in the United States (</w:t>
      </w:r>
      <w:r>
        <w:rPr>
          <w:rFonts w:ascii="Arial" w:cs="Arial" w:eastAsia="Arial" w:hAnsi="Arial"/>
          <w:sz w:val="15"/>
          <w:szCs w:val="15"/>
          <w:b w:val="1"/>
          <w:bCs w:val="1"/>
          <w:color w:val="auto"/>
        </w:rPr>
        <w:t>GAAP</w:t>
      </w:r>
      <w:r>
        <w:rPr>
          <w:rFonts w:ascii="Arial" w:cs="Arial" w:eastAsia="Arial" w:hAnsi="Arial"/>
          <w:sz w:val="15"/>
          <w:szCs w:val="15"/>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2020 consolidated financial statements and notes thereto included in our 2020 Annual Report on Form 10-K, as amended (our </w:t>
      </w:r>
      <w:r>
        <w:rPr>
          <w:rFonts w:ascii="Arial" w:cs="Arial" w:eastAsia="Arial" w:hAnsi="Arial"/>
          <w:sz w:val="15"/>
          <w:szCs w:val="15"/>
          <w:b w:val="1"/>
          <w:bCs w:val="1"/>
          <w:color w:val="auto"/>
        </w:rPr>
        <w:t>10-K</w:t>
      </w:r>
      <w:r>
        <w:rPr>
          <w:rFonts w:ascii="Arial" w:cs="Arial" w:eastAsia="Arial" w:hAnsi="Arial"/>
          <w:sz w:val="15"/>
          <w:szCs w:val="15"/>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September 30,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2019-12</w:t>
      </w:r>
    </w:p>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December 2019,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2019-12,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 (</w:t>
      </w:r>
      <w:r>
        <w:rPr>
          <w:rFonts w:ascii="Arial" w:cs="Arial" w:eastAsia="Arial" w:hAnsi="Arial"/>
          <w:sz w:val="18"/>
          <w:szCs w:val="18"/>
          <w:b w:val="1"/>
          <w:bCs w:val="1"/>
          <w:color w:val="auto"/>
        </w:rPr>
        <w:t>ASU 2019-12</w:t>
      </w:r>
      <w:r>
        <w:rPr>
          <w:rFonts w:ascii="Arial" w:cs="Arial" w:eastAsia="Arial" w:hAnsi="Arial"/>
          <w:sz w:val="18"/>
          <w:szCs w:val="18"/>
          <w:color w:val="auto"/>
        </w:rPr>
        <w:t>), which is intended to improve consistency and simplify several areas of existing guidance.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did not have a significant impact on our consolidated financial statements.</w:t>
      </w:r>
    </w:p>
    <w:p>
      <w:pPr>
        <w:spacing w:after="0" w:line="212" w:lineRule="exact"/>
        <w:rPr>
          <w:sz w:val="20"/>
          <w:szCs w:val="20"/>
          <w:color w:val="auto"/>
        </w:rPr>
      </w:pPr>
    </w:p>
    <w:p>
      <w:pPr>
        <w:ind w:left="380" w:hanging="37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$63.6 million and $48.3 million at September 30, 2021 and December 31, 2020, respectively.</w:t>
      </w:r>
    </w:p>
    <w:p>
      <w:pPr>
        <w:spacing w:after="0" w:line="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$31.4 million and $43.3 million as of September 30, 2021 and December 31, 2020, respectively. The current and long-term portions of our contract asset balances are included within other current assets and other assets, net, respectively, on our condensed consolidated balance sheets.</w:t>
      </w:r>
    </w:p>
    <w:p>
      <w:pPr>
        <w:spacing w:after="0" w:line="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$331.7 million and $437.3 million as of September 30, 2021 and December 31, 2020, respectively. The decrease in deferred revenue for the nine months ended September 30, 2021 is primarily due to the net effect of (a) the recognition of $292.8 million of revenue that was included in our deferred revenue balance at December 31, 2020 and (b) the impact of additions during the period. The long-term portions of our deferred revenue balances are included within other long-term liabilities on our condensed consolidated balance sheets.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aggregate assets associated with incremental costs to obtain and fulfill our contracts were $54.1 million and $34.8 million at September 30, 2021 and December 31, 2020, respectively. The current and long-term portions of our assets related to contract costs are included within other current assets and other assets, net, respectively, on our condensed consolidated balance sheets. We amortized $4.9 million and $76.7 million during the three and nine months ended September 30, 2021, respectively, and $26.4 million and $80.3 million during the three and nine months ended September 30, 2020, respectively, to operating costs and expenses related to these assets.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Pending Disposition</w:t>
      </w:r>
    </w:p>
    <w:p>
      <w:pPr>
        <w:spacing w:after="0" w:line="23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On September 22, 2021, we entered into a sale and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we agreed to sell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third party for a total enterprise value of Polish zloty (</w:t>
      </w:r>
      <w:r>
        <w:rPr>
          <w:rFonts w:ascii="Arial" w:cs="Arial" w:eastAsia="Arial" w:hAnsi="Arial"/>
          <w:sz w:val="18"/>
          <w:szCs w:val="18"/>
          <w:b w:val="1"/>
          <w:bCs w:val="1"/>
          <w:color w:val="auto"/>
        </w:rPr>
        <w:t>PLN</w:t>
      </w:r>
      <w:r>
        <w:rPr>
          <w:rFonts w:ascii="Arial" w:cs="Arial" w:eastAsia="Arial" w:hAnsi="Arial"/>
          <w:sz w:val="18"/>
          <w:szCs w:val="18"/>
          <w:color w:val="auto"/>
        </w:rPr>
        <w:t>) 7,025.0 million ($1,763.5 million), subject to customary debt and working capital adjustments at completion. Closing of the transaction, which we currently expect to occur in the first half of 2022, is subject to the satisfaction of certain conditions, including receipt of requisite regulatory approvals.</w:t>
      </w:r>
    </w:p>
    <w:p>
      <w:pPr>
        <w:spacing w:after="0" w:line="21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proceeds from the sale are expected to be used (i) to repay a portion of the UPC Holding borrowing group’s outstanding indebtedness and (ii) for general corporate purposes, which may include reinvestment into our business and support for our share buyback program, which is further described in note 12.</w:t>
      </w:r>
    </w:p>
    <w:p>
      <w:pPr>
        <w:spacing w:after="0" w:line="215"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have agreed to provide certain transitional services for a period of up to five years, depending on the service. These services principally will comprise network and information technology-related functions. The annual charges will depend on the actual level of services required by the purchaser.</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Effective with the signing of the Purchase Agreement, we began presenting UPC Poland as a discontinued operation and, accordingly, we no longer depreciate or amortize the associated long-lived assets. In our condensed consolidated balance sheets, statements of operations and cash flows, UPC Poland is reflected as a discontinued operation for all periods presented. Our operations in Poland are held through UPC Holding. No debt, interest or derivative instruments of the UPC Holding borrowing group have been allocated to discontinued operations. Prior to being presented as discontinued operations, the operations of UPC Poland were included in our former Central and Eastern Europe reportable segment.</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carrying amounts of the major classes of assets and liabilities of UPC Poland as of September 30, 2021 and December 31, 2020 are summarized in the following table. Due to the fact that we expect to complete the sale of UPC Poland within 12 months, all of the associated assets and liabilities are classified as current on our condensed 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September 30, 2021</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December 31, 2020</w:t>
            </w:r>
          </w:p>
        </w:tc>
      </w:tr>
      <w:tr>
        <w:trPr>
          <w:trHeight w:val="203"/>
        </w:trPr>
        <w:tc>
          <w:tcPr>
            <w:tcW w:w="8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gridSpan w:val="3"/>
          </w:tcPr>
          <w:p>
            <w:pPr>
              <w:jc w:val="right"/>
              <w:ind w:right="233"/>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63"/>
        </w:trPr>
        <w:tc>
          <w:tcPr>
            <w:tcW w:w="8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620" w:type="dxa"/>
            <w:vAlign w:val="bottom"/>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501.0</w:t>
            </w:r>
          </w:p>
        </w:tc>
      </w:tr>
      <w:tr>
        <w:trPr>
          <w:trHeight w:val="225"/>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9"/>
        </w:trPr>
        <w:tc>
          <w:tcPr>
            <w:tcW w:w="83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debt and finance lease obligations</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Other accrued and current liabilities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44"/>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7"/>
          <w:szCs w:val="17"/>
          <w:color w:val="auto"/>
        </w:rPr>
        <w:t>The operating results of UPC Poland for the three and nine months ended September 30, 2021 and 2020 are summarized in the following table. These amounts exclude intercompany revenue and expenses that are eliminated within our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2800" w:type="dxa"/>
            <w:vAlign w:val="bottom"/>
            <w:gridSpan w:val="6"/>
          </w:tcPr>
          <w:p>
            <w:pPr>
              <w:ind w:left="14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8"/>
                <w:szCs w:val="18"/>
                <w:color w:val="auto"/>
              </w:rPr>
            </w:pPr>
          </w:p>
        </w:tc>
        <w:tc>
          <w:tcPr>
            <w:tcW w:w="252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89"/>
              </w:rPr>
              <w:t>Nine months ended September 30,</w:t>
            </w:r>
          </w:p>
        </w:tc>
      </w:tr>
      <w:tr>
        <w:trPr>
          <w:trHeight w:val="206"/>
        </w:trPr>
        <w:tc>
          <w:tcPr>
            <w:tcW w:w="58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203"/>
        </w:trPr>
        <w:tc>
          <w:tcPr>
            <w:tcW w:w="5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3"/>
        </w:trPr>
        <w:tc>
          <w:tcPr>
            <w:tcW w:w="5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800" w:type="dxa"/>
            <w:vAlign w:val="bottom"/>
          </w:tcPr>
          <w:p>
            <w:pPr>
              <w:ind w:left="20"/>
              <w:spacing w:after="0" w:line="198" w:lineRule="exact"/>
              <w:rPr>
                <w:sz w:val="20"/>
                <w:szCs w:val="20"/>
                <w:color w:val="auto"/>
              </w:rPr>
            </w:pPr>
            <w:r>
              <w:rPr>
                <w:rFonts w:ascii="Arial" w:cs="Arial" w:eastAsia="Arial" w:hAnsi="Arial"/>
                <w:sz w:val="18"/>
                <w:szCs w:val="18"/>
                <w:color w:val="auto"/>
              </w:rPr>
              <w:t>Operating income</w:t>
            </w:r>
          </w:p>
        </w:tc>
        <w:tc>
          <w:tcPr>
            <w:tcW w:w="820" w:type="dxa"/>
            <w:vAlign w:val="bottom"/>
            <w:tcBorders>
              <w:bottom w:val="single" w:sz="8" w:color="auto"/>
            </w:tcBorders>
          </w:tcPr>
          <w:p>
            <w:pPr>
              <w:jc w:val="right"/>
              <w:ind w:right="615"/>
              <w:spacing w:after="0" w:line="198"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18.3</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63.4</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 and noncontrolling interests</w:t>
            </w: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the calculation of our basic and diluted weighted average shares outstanding, see note 14.</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U.K. JV Transaction</w:t>
      </w:r>
    </w:p>
    <w:p>
      <w:pPr>
        <w:spacing w:after="0" w:line="23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 xml:space="preserve">On June 1, 2021, pursuant to a Contribution Agreement dated May 7, 2020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xml:space="preserve">) with, among others, Telefónica, (i) we contributed Virgin Media’s U.K. operations and certain other Liberty Global subsidiaries (together, the </w:t>
      </w:r>
      <w:r>
        <w:rPr>
          <w:rFonts w:ascii="Arial" w:cs="Arial" w:eastAsia="Arial" w:hAnsi="Arial"/>
          <w:sz w:val="17"/>
          <w:szCs w:val="17"/>
          <w:b w:val="1"/>
          <w:bCs w:val="1"/>
          <w:color w:val="auto"/>
        </w:rPr>
        <w:t>U.K. JV Entities</w:t>
      </w:r>
      <w:r>
        <w:rPr>
          <w:rFonts w:ascii="Arial" w:cs="Arial" w:eastAsia="Arial" w:hAnsi="Arial"/>
          <w:sz w:val="17"/>
          <w:szCs w:val="17"/>
          <w:color w:val="auto"/>
        </w:rPr>
        <w:t>) to the VMED O2 JV and (ii) Telefónica contributed its U.K. mobile business to the VMED O2 JV, creating a nationwide integrated communications provider (herein referred to as the “</w:t>
      </w:r>
      <w:r>
        <w:rPr>
          <w:rFonts w:ascii="Arial" w:cs="Arial" w:eastAsia="Arial" w:hAnsi="Arial"/>
          <w:sz w:val="17"/>
          <w:szCs w:val="17"/>
          <w:b w:val="1"/>
          <w:bCs w:val="1"/>
          <w:color w:val="auto"/>
        </w:rPr>
        <w:t>U.K. JV Transaction</w:t>
      </w:r>
      <w:r>
        <w:rPr>
          <w:rFonts w:ascii="Arial" w:cs="Arial" w:eastAsia="Arial" w:hAnsi="Arial"/>
          <w:sz w:val="17"/>
          <w:szCs w:val="17"/>
          <w:color w:val="auto"/>
        </w:rPr>
        <w:t>”). We account for our 50% interest in the VMED O2 JV as an equity method investment.</w:t>
      </w:r>
    </w:p>
    <w:p>
      <w:pPr>
        <w:spacing w:after="0" w:line="20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June 1, 2021, we received net cash of $52.0 million, which includes (i) an equalization payment received from Telefónica (which is subject to post-closing adjustments), (ii) our share of the proceeds associated with related recapitalization financing transactions completed by the VMED O2 JV and (iii) $44.5 million of cash paid by Liberty Global to settle certain centrally-held vendor financing obligations associated with the VMED O2 JV.</w:t>
      </w:r>
    </w:p>
    <w:p>
      <w:pPr>
        <w:spacing w:after="0" w:line="19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connection with the U.K. JV Transaction, we recognized a provisional pre-tax gain during the second quarter of 2021 of $11,138.0 million, net of the recognition of a cumulative foreign currency translation loss of $1,198.6 million. During the third quarter of 2021, we recorded a measurement period adjustment to the provisional fair value estimates associated with our 50% interest in the VMED O2 JV that reduced the pre-tax gain by $347.3 million. There was no cash impact associated with this measurement period adjustment. The adjusted gain represents the net impact of the estimated fair value assigned to our 50% interest in the VMED O2 JV of $14,670.8 million plus the $96.6 million of aggregate cash received pursuant to the aforementioned equalization payment and recapitalization transactions, less the sum of (i) the $2,677.4 million carrying value of the U.K. JV Entities at May 31, 2021 (excluding the related foreign currency translation loss), (ii) the foreign currency translation loss of $1,198.6 million and (iii) $100.7 million related to (a) the settlement of certain receivables due from Telefónica associated with the aforementioned recapitalization transactions and (b) third-party fees and expenses. Our estimates continue to be preliminary and are subject to further adjustment based on our final assessment of the fair value of the net assets of the VMED O2 JV. For information regarding our approach to the valuation of our interest in the VMED O2 JV,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summary of the preliminary fair value of the assets and liabilities of the VMED O2 JV at the June 1, 2021 transaction date is presented in the following table. The preliminary amounts below are subject to adjustment based on the final assessment of the fair values of the identifiable assets and liabilities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4,753.6</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12,496.0</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29,173.4</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13,274.4</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7,480.1</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(4,352.5)</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(6,055.0)</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(21,959.1)</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(5,469.3)</w:t>
            </w:r>
          </w:p>
        </w:tc>
      </w:tr>
      <w:tr>
        <w:trPr>
          <w:trHeight w:val="219"/>
        </w:trPr>
        <w:tc>
          <w:tcPr>
            <w:tcW w:w="9820" w:type="dxa"/>
            <w:vAlign w:val="bottom"/>
          </w:tcPr>
          <w:p>
            <w:pPr>
              <w:ind w:left="200"/>
              <w:spacing w:after="0"/>
              <w:rPr>
                <w:sz w:val="20"/>
                <w:szCs w:val="20"/>
                <w:color w:val="auto"/>
              </w:rPr>
            </w:pPr>
            <w:r>
              <w:rPr>
                <w:rFonts w:ascii="Arial" w:cs="Arial" w:eastAsia="Arial" w:hAnsi="Arial"/>
                <w:sz w:val="18"/>
                <w:szCs w:val="18"/>
                <w:color w:val="auto"/>
              </w:rPr>
              <w:t>Total preliminary fair value of the net assets of the VMED O2 JV</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29,341.6</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periods prior to the June 1, 2021 completion of the U.K. JV Transaction, our condensed consolidated statements of operations include aggregate earnings before income taxes attributable to the U.K. JV Entities of $425.0 million during the three months ended September 30, 2020 and $948.3 million and $510.0 million during the nine months ended September 30, 2021 and 2020, respectively.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June 1, 2021 carrying amounts of the major classes of assets and liabilities associated with the U.K. JV Entities, which were contributed into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VMED O2 JV, are summarized below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800" w:type="dxa"/>
            <w:vAlign w:val="bottom"/>
          </w:tcPr>
          <w:p>
            <w:pPr>
              <w:ind w:left="180"/>
              <w:spacing w:after="0"/>
              <w:rPr>
                <w:sz w:val="20"/>
                <w:szCs w:val="20"/>
                <w:color w:val="auto"/>
              </w:rPr>
            </w:pPr>
            <w:r>
              <w:rPr>
                <w:rFonts w:ascii="Arial" w:cs="Arial" w:eastAsia="Arial" w:hAnsi="Arial"/>
                <w:sz w:val="18"/>
                <w:szCs w:val="18"/>
                <w:color w:val="auto"/>
              </w:rPr>
              <w:t>Current assets (a)</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4,868.3</w:t>
            </w:r>
          </w:p>
        </w:tc>
      </w:tr>
      <w:tr>
        <w:trPr>
          <w:trHeight w:val="22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r>
      <w:tr>
        <w:trPr>
          <w:trHeight w:val="225"/>
        </w:trPr>
        <w:tc>
          <w:tcPr>
            <w:tcW w:w="98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8,214.7</w:t>
            </w:r>
          </w:p>
        </w:tc>
      </w:tr>
      <w:tr>
        <w:trPr>
          <w:trHeight w:val="225"/>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r>
      <w:tr>
        <w:trPr>
          <w:trHeight w:val="219"/>
        </w:trPr>
        <w:tc>
          <w:tcPr>
            <w:tcW w:w="9800" w:type="dxa"/>
            <w:vAlign w:val="bottom"/>
          </w:tcPr>
          <w:p>
            <w:pPr>
              <w:ind w:left="300"/>
              <w:spacing w:after="0"/>
              <w:rPr>
                <w:sz w:val="20"/>
                <w:szCs w:val="20"/>
                <w:color w:val="auto"/>
              </w:rPr>
            </w:pPr>
            <w:r>
              <w:rPr>
                <w:rFonts w:ascii="Arial" w:cs="Arial" w:eastAsia="Arial" w:hAnsi="Arial"/>
                <w:sz w:val="18"/>
                <w:szCs w:val="18"/>
                <w:color w:val="auto"/>
              </w:rPr>
              <w:t>Total assets (b)</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25,635.0</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2"/>
        </w:trPr>
        <w:tc>
          <w:tcPr>
            <w:tcW w:w="9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w:t>
            </w:r>
          </w:p>
        </w:tc>
      </w:tr>
      <w:tr>
        <w:trPr>
          <w:trHeight w:val="225"/>
        </w:trPr>
        <w:tc>
          <w:tcPr>
            <w:tcW w:w="980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2,242.0</w:t>
            </w:r>
          </w:p>
        </w:tc>
      </w:tr>
      <w:tr>
        <w:trPr>
          <w:trHeight w:val="22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16,905.1</w:t>
            </w:r>
          </w:p>
        </w:tc>
      </w:tr>
      <w:tr>
        <w:trPr>
          <w:trHeight w:val="225"/>
        </w:trPr>
        <w:tc>
          <w:tcPr>
            <w:tcW w:w="9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1,788.2</w:t>
            </w:r>
          </w:p>
        </w:tc>
      </w:tr>
      <w:tr>
        <w:trPr>
          <w:trHeight w:val="244"/>
        </w:trPr>
        <w:tc>
          <w:tcPr>
            <w:tcW w:w="9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(b)</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includes $3.4 billion of net proceeds from certain financing transactions completed in 2020 that were held in escrow pending the completion of the U.K. JV Transaction.</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carrying amount of the net assets of $1,478.8 million presented above is net of the cumulative foreign currency translation loss of $1,198.6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associated with the U.K. JV Entities that are classified as held for sale on our condensed consolidated balance sheet as of December 31, 2020 are as follows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4,519.8</w:t>
            </w: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8,614.0</w:t>
            </w: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7,918.5</w:t>
            </w:r>
          </w:p>
        </w:tc>
      </w:tr>
      <w:tr>
        <w:trPr>
          <w:trHeight w:val="225"/>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r>
      <w:tr>
        <w:trPr>
          <w:trHeight w:val="219"/>
        </w:trPr>
        <w:tc>
          <w:tcPr>
            <w:tcW w:w="9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24,282.7</w:t>
            </w:r>
          </w:p>
        </w:tc>
      </w:tr>
      <w:tr>
        <w:trPr>
          <w:trHeight w:val="20"/>
        </w:trPr>
        <w:tc>
          <w:tcPr>
            <w:tcW w:w="9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9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2,207.3</w:t>
            </w: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16,724.1</w:t>
            </w:r>
          </w:p>
        </w:tc>
      </w:tr>
      <w:tr>
        <w:trPr>
          <w:trHeight w:val="225"/>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w:t>
            </w:r>
          </w:p>
        </w:tc>
      </w:tr>
      <w:tr>
        <w:trPr>
          <w:trHeight w:val="244"/>
        </w:trPr>
        <w:tc>
          <w:tcPr>
            <w:tcW w:w="9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Atlas Edge JV Transactions</w:t>
      </w:r>
    </w:p>
    <w:p>
      <w:pPr>
        <w:spacing w:after="0" w:line="2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On September 1, 2021, we (i) contributed certain assets and liabilities to a newly-formed 50:50 joint venture (the </w:t>
      </w:r>
      <w:r>
        <w:rPr>
          <w:rFonts w:ascii="Arial" w:cs="Arial" w:eastAsia="Arial" w:hAnsi="Arial"/>
          <w:sz w:val="17"/>
          <w:szCs w:val="17"/>
          <w:b w:val="1"/>
          <w:bCs w:val="1"/>
          <w:color w:val="auto"/>
        </w:rPr>
        <w:t>Atlas Edge JV</w:t>
      </w:r>
      <w:r>
        <w:rPr>
          <w:rFonts w:ascii="Arial" w:cs="Arial" w:eastAsia="Arial" w:hAnsi="Arial"/>
          <w:sz w:val="17"/>
          <w:szCs w:val="17"/>
          <w:color w:val="auto"/>
        </w:rPr>
        <w:t>) that was established for the purpose of acquiring and commercializing European technical real estate for edge colocation and hosting services and (ii) sold certain other assets to the Atlas Edge JV. In connection with these transactions, which we refer to as the “</w:t>
      </w:r>
      <w:r>
        <w:rPr>
          <w:rFonts w:ascii="Arial" w:cs="Arial" w:eastAsia="Arial" w:hAnsi="Arial"/>
          <w:sz w:val="17"/>
          <w:szCs w:val="17"/>
          <w:b w:val="1"/>
          <w:bCs w:val="1"/>
          <w:color w:val="auto"/>
        </w:rPr>
        <w:t>Atlas Edge JV Transactions</w:t>
      </w:r>
      <w:r>
        <w:rPr>
          <w:rFonts w:ascii="Arial" w:cs="Arial" w:eastAsia="Arial" w:hAnsi="Arial"/>
          <w:sz w:val="17"/>
          <w:szCs w:val="17"/>
          <w:color w:val="auto"/>
        </w:rPr>
        <w:t>”, we (i) received cash of $130.0 million and (ii) recognized a provisional gain of $213.7 million (net of the recognition of a cumulative foreign currency transaction loss of $1.8 million), representing the difference between the estimated fair value and the carrying value of the net assets associated with these transactions. We account for our 50% interest in the Atlas Edge JV as an equity method investment.</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3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i w:val="1"/>
          <w:iCs w:val="1"/>
          <w:color w:val="auto"/>
        </w:rPr>
        <w:t xml:space="preserve">Sunrise Acquisition. </w:t>
      </w:r>
      <w:r>
        <w:rPr>
          <w:rFonts w:ascii="Arial" w:cs="Arial" w:eastAsia="Arial" w:hAnsi="Arial"/>
          <w:sz w:val="17"/>
          <w:szCs w:val="17"/>
          <w:color w:val="auto"/>
        </w:rPr>
        <w:t>On November 11, 2020, Liberty Global completed the acquisition of Sunrise 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Sunrise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Acquisition</w:t>
      </w:r>
      <w:r>
        <w:rPr>
          <w:rFonts w:ascii="Arial" w:cs="Arial" w:eastAsia="Arial" w:hAnsi="Arial"/>
          <w:sz w:val="17"/>
          <w:szCs w:val="17"/>
          <w:color w:val="auto"/>
        </w:rPr>
        <w:t>). The Sunrise Acquisition was effected through an all cash public tender offer of the outstanding shares of Sunrise (the</w:t>
      </w:r>
      <w:r>
        <w:rPr>
          <w:rFonts w:ascii="Arial" w:cs="Arial" w:eastAsia="Arial" w:hAnsi="Arial"/>
          <w:sz w:val="17"/>
          <w:szCs w:val="17"/>
          <w:b w:val="1"/>
          <w:bCs w:val="1"/>
          <w:color w:val="auto"/>
        </w:rPr>
        <w:t xml:space="preserve"> Sunrise Shares</w:t>
      </w:r>
      <w:r>
        <w:rPr>
          <w:rFonts w:ascii="Arial" w:cs="Arial" w:eastAsia="Arial" w:hAnsi="Arial"/>
          <w:sz w:val="17"/>
          <w:szCs w:val="17"/>
          <w:color w:val="auto"/>
        </w:rPr>
        <w:t>) for CHF</w:t>
      </w:r>
      <w:r>
        <w:rPr>
          <w:rFonts w:ascii="Arial" w:cs="Arial" w:eastAsia="Arial" w:hAnsi="Arial"/>
          <w:sz w:val="17"/>
          <w:szCs w:val="17"/>
          <w:b w:val="1"/>
          <w:bCs w:val="1"/>
          <w:color w:val="auto"/>
        </w:rPr>
        <w:t xml:space="preserve"> </w:t>
      </w:r>
      <w:r>
        <w:rPr>
          <w:rFonts w:ascii="Arial" w:cs="Arial" w:eastAsia="Arial" w:hAnsi="Arial"/>
          <w:sz w:val="17"/>
          <w:szCs w:val="17"/>
          <w:color w:val="auto"/>
        </w:rPr>
        <w:t>110 ($120 at the transaction date) per share, for a total purchase price of CHF 5.0 billion ($5.4 billion at the transaction date). In April 2021, Liberty Global completed a statutory “squeeze-out” procedure, under applicable Swiss law, to acquire the remaining Sunrise Shares that were not acquired pursuant to the tender offer and, accordingly, now holds 100.0% of the share capital of Sunrise.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unaudited pro forma consolidated operating results give effect to the Sunrise Acquisition as if it had been completed as of January 1, 2019.</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These pro forma amounts are not necessarily indicative of the operating results that would have occurred if the Sunrise Acquisition had occurred on such date.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are based on certain assumptions that we believe are reasonable.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Three months ended</w:t>
            </w:r>
          </w:p>
        </w:tc>
        <w:tc>
          <w:tcPr>
            <w:tcW w:w="160" w:type="dxa"/>
            <w:vAlign w:val="bottom"/>
          </w:tcPr>
          <w:p>
            <w:pPr>
              <w:spacing w:after="0"/>
              <w:rPr>
                <w:sz w:val="16"/>
                <w:szCs w:val="16"/>
                <w:color w:val="auto"/>
              </w:rPr>
            </w:pPr>
          </w:p>
        </w:tc>
        <w:tc>
          <w:tcPr>
            <w:tcW w:w="158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159"/>
        </w:trPr>
        <w:tc>
          <w:tcPr>
            <w:tcW w:w="50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7"/>
              </w:rPr>
              <w:t>September 30,</w:t>
            </w:r>
          </w:p>
        </w:tc>
        <w:tc>
          <w:tcPr>
            <w:tcW w:w="1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0"/>
              </w:rPr>
              <w:t>September 30, 2020</w:t>
            </w: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4"/>
          </w:tcPr>
          <w:p>
            <w:pPr>
              <w:jc w:val="right"/>
              <w:ind w:right="1375"/>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63"/>
        </w:trPr>
        <w:tc>
          <w:tcPr>
            <w:tcW w:w="5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(in millions)</w:t>
            </w:r>
          </w:p>
        </w:tc>
        <w:tc>
          <w:tcPr>
            <w:tcW w:w="2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80" w:type="dxa"/>
            <w:vAlign w:val="bottom"/>
          </w:tcPr>
          <w:p>
            <w:pPr>
              <w:ind w:left="20"/>
              <w:spacing w:after="0" w:line="198" w:lineRule="exact"/>
              <w:rPr>
                <w:sz w:val="20"/>
                <w:szCs w:val="20"/>
                <w:color w:val="auto"/>
              </w:rPr>
            </w:pPr>
            <w:r>
              <w:rPr>
                <w:rFonts w:ascii="Arial" w:cs="Arial" w:eastAsia="Arial" w:hAnsi="Arial"/>
                <w:sz w:val="18"/>
                <w:szCs w:val="18"/>
                <w:color w:val="auto"/>
              </w:rPr>
              <w:t>Net loss attributable to Liberty Global shareholders (in millions)</w:t>
            </w:r>
          </w:p>
        </w:tc>
        <w:tc>
          <w:tcPr>
            <w:tcW w:w="26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198" w:lineRule="exact"/>
              <w:rPr>
                <w:sz w:val="20"/>
                <w:szCs w:val="20"/>
                <w:color w:val="auto"/>
              </w:rPr>
            </w:pPr>
            <w:r>
              <w:rPr>
                <w:rFonts w:ascii="Arial" w:cs="Arial" w:eastAsia="Arial" w:hAnsi="Arial"/>
                <w:sz w:val="18"/>
                <w:szCs w:val="18"/>
                <w:color w:val="auto"/>
              </w:rPr>
              <w:t>(1,070.8)</w:t>
            </w:r>
          </w:p>
        </w:tc>
        <w:tc>
          <w:tcPr>
            <w:tcW w:w="12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8" w:lineRule="exact"/>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8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Basic and diluted loss attributable to Liberty Global shareholders</w:t>
            </w:r>
          </w:p>
        </w:tc>
        <w:tc>
          <w:tcPr>
            <w:tcW w:w="2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per share</w:t>
            </w:r>
          </w:p>
        </w:tc>
        <w:tc>
          <w:tcPr>
            <w:tcW w:w="2620" w:type="dxa"/>
            <w:vAlign w:val="bottom"/>
            <w:gridSpan w:val="2"/>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1732"/>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50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Accounting Method</w:t>
            </w: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2"/>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0"/>
        </w:trPr>
        <w:tc>
          <w:tcPr>
            <w:tcW w:w="6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180"/>
              <w:spacing w:after="0"/>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VMED O2 JV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6960" w:type="dxa"/>
            <w:vAlign w:val="bottom"/>
          </w:tcPr>
          <w:p>
            <w:pPr>
              <w:ind w:left="340"/>
              <w:spacing w:after="0"/>
              <w:rPr>
                <w:sz w:val="20"/>
                <w:szCs w:val="20"/>
                <w:color w:val="auto"/>
              </w:rPr>
            </w:pPr>
            <w:r>
              <w:rPr>
                <w:rFonts w:ascii="Arial" w:cs="Arial" w:eastAsia="Arial" w:hAnsi="Arial"/>
                <w:sz w:val="18"/>
                <w:szCs w:val="18"/>
                <w:color w:val="auto"/>
              </w:rPr>
              <w:t>VodafoneZiggo JV (c)</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Atlas Edge JV</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32.9</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 equity</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60" w:type="dxa"/>
            <w:vAlign w:val="bottom"/>
          </w:tcPr>
          <w:p>
            <w:pPr>
              <w:ind w:left="20"/>
              <w:spacing w:after="0" w:line="204" w:lineRule="exact"/>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1,600.2</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581.0</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SMAs (d)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Univision Holdings Inc. (</w:t>
            </w:r>
            <w:r>
              <w:rPr>
                <w:rFonts w:ascii="Arial" w:cs="Arial" w:eastAsia="Arial" w:hAnsi="Arial"/>
                <w:sz w:val="18"/>
                <w:szCs w:val="18"/>
                <w:b w:val="1"/>
                <w:bCs w:val="1"/>
                <w:color w:val="auto"/>
              </w:rPr>
              <w:t>Univision</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11.6</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12.0</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Aviatrix Systems, Inc. (</w:t>
            </w:r>
            <w:r>
              <w:rPr>
                <w:rFonts w:ascii="Arial" w:cs="Arial" w:eastAsia="Arial" w:hAnsi="Arial"/>
                <w:sz w:val="18"/>
                <w:szCs w:val="18"/>
                <w:b w:val="1"/>
                <w:bCs w:val="1"/>
                <w:color w:val="auto"/>
              </w:rPr>
              <w:t>Aviatrix</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CANAL+ Polska S.A.</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(f)</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 fair value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60" w:type="dxa"/>
            <w:vAlign w:val="bottom"/>
          </w:tcPr>
          <w:p>
            <w:pPr>
              <w:ind w:left="500"/>
              <w:spacing w:after="0" w:line="204" w:lineRule="exact"/>
              <w:rPr>
                <w:sz w:val="20"/>
                <w:szCs w:val="20"/>
                <w:color w:val="auto"/>
              </w:rPr>
            </w:pPr>
            <w:r>
              <w:rPr>
                <w:rFonts w:ascii="Arial" w:cs="Arial" w:eastAsia="Arial" w:hAnsi="Arial"/>
                <w:sz w:val="18"/>
                <w:szCs w:val="18"/>
                <w:color w:val="auto"/>
              </w:rPr>
              <w:t>Total investments (g)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19,549.2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3"/>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5,354.5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loans and commitments to, the investee. Accordingly, the carrying values of our equity method investments may not equal the respective fair values. At September 30, 2021 and December 31, 2020, the aggregate carrying amounts of our equity method investments exceeded our proportionate share of the respective investee’s net assets by $1,247.0 million and $1,198.5 million, respectively, which include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80" w:hanging="474"/>
        <w:spacing w:after="0" w:line="306" w:lineRule="auto"/>
        <w:tabs>
          <w:tab w:leader="none" w:pos="477"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Amounts include certain notes receivable due from a subsidiary of the VodafoneZiggo JV to a subsidiary of Liberty Global comprising (i) a euro-denominated note receivable with a principal amount of $809.9 million and $855.8 million, respectively (the </w:t>
      </w:r>
      <w:r>
        <w:rPr>
          <w:rFonts w:ascii="Arial" w:cs="Arial" w:eastAsia="Arial" w:hAnsi="Arial"/>
          <w:sz w:val="15"/>
          <w:szCs w:val="15"/>
          <w:b w:val="1"/>
          <w:bCs w:val="1"/>
          <w:color w:val="auto"/>
        </w:rPr>
        <w:t>VodafoneZiggo JV Receivable I</w:t>
      </w:r>
      <w:r>
        <w:rPr>
          <w:rFonts w:ascii="Arial" w:cs="Arial" w:eastAsia="Arial" w:hAnsi="Arial"/>
          <w:sz w:val="15"/>
          <w:szCs w:val="15"/>
          <w:color w:val="auto"/>
        </w:rPr>
        <w:t xml:space="preserve">), and (ii) a euro-denominated note receivable with a principal amount of $240.5 million and $127.1 million, respectively (the </w:t>
      </w:r>
      <w:r>
        <w:rPr>
          <w:rFonts w:ascii="Arial" w:cs="Arial" w:eastAsia="Arial" w:hAnsi="Arial"/>
          <w:sz w:val="15"/>
          <w:szCs w:val="15"/>
          <w:b w:val="1"/>
          <w:bCs w:val="1"/>
          <w:color w:val="auto"/>
        </w:rPr>
        <w:t>VodafoneZiggo JV Receivable II</w:t>
      </w:r>
      <w:r>
        <w:rPr>
          <w:rFonts w:ascii="Arial" w:cs="Arial" w:eastAsia="Arial" w:hAnsi="Arial"/>
          <w:sz w:val="15"/>
          <w:szCs w:val="15"/>
          <w:color w:val="auto"/>
        </w:rPr>
        <w:t xml:space="preserve"> and, together with the VodafoneZiggo JV Receivable I, the </w:t>
      </w:r>
      <w:r>
        <w:rPr>
          <w:rFonts w:ascii="Arial" w:cs="Arial" w:eastAsia="Arial" w:hAnsi="Arial"/>
          <w:sz w:val="15"/>
          <w:szCs w:val="15"/>
          <w:b w:val="1"/>
          <w:bCs w:val="1"/>
          <w:color w:val="auto"/>
        </w:rPr>
        <w:t>VodafoneZiggo JV Receivables</w:t>
      </w:r>
      <w:r>
        <w:rPr>
          <w:rFonts w:ascii="Arial" w:cs="Arial" w:eastAsia="Arial" w:hAnsi="Arial"/>
          <w:sz w:val="15"/>
          <w:szCs w:val="15"/>
          <w:color w:val="auto"/>
        </w:rPr>
        <w:t>). During the third quarter of 2021, an additional $123.0 million was loaned under the VodafoneZiggo JV Receivable II to fund the VodafoneZiggo JV’s final installment of spectrum license fees due to the Dutch government. The VodafoneZiggo JV Receivables bear interest at 5.55% and have a final maturity date of December 31, 2030. During the nine months ended September 30, 2021, interest accrued on the VodafoneZiggo JV Receivables was $41.7 million, all of which has been cash settled.</w:t>
      </w:r>
    </w:p>
    <w:p>
      <w:pPr>
        <w:spacing w:after="0" w:line="183" w:lineRule="exact"/>
        <w:rPr>
          <w:rFonts w:ascii="Arial" w:cs="Arial" w:eastAsia="Arial" w:hAnsi="Arial"/>
          <w:sz w:val="15"/>
          <w:szCs w:val="15"/>
          <w:color w:val="auto"/>
        </w:rPr>
      </w:pPr>
    </w:p>
    <w:p>
      <w:pPr>
        <w:jc w:val="both"/>
        <w:ind w:left="480" w:hanging="474"/>
        <w:spacing w:after="0" w:line="268" w:lineRule="auto"/>
        <w:tabs>
          <w:tab w:leader="none" w:pos="47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September 30, 2021, all of our investments held under SMAs were classified as available-for-sale debt securities. At September 30, 2021 and December 31, 2020, interest accrued on our debt securities, which is included in other current assets on our condensed consolidated balance sheets, was $5.7 million and $7.1 million, respectively.</w:t>
      </w:r>
    </w:p>
    <w:p>
      <w:pPr>
        <w:spacing w:after="0" w:line="207" w:lineRule="exact"/>
        <w:rPr>
          <w:rFonts w:ascii="Arial" w:cs="Arial" w:eastAsia="Arial" w:hAnsi="Arial"/>
          <w:sz w:val="17"/>
          <w:szCs w:val="17"/>
          <w:color w:val="auto"/>
        </w:rPr>
      </w:pPr>
    </w:p>
    <w:p>
      <w:pPr>
        <w:ind w:left="480" w:hanging="474"/>
        <w:spacing w:after="0" w:line="294" w:lineRule="auto"/>
        <w:tabs>
          <w:tab w:leader="none" w:pos="47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connection with our investment in ITV, we previously entered into (i) the ITV Collar (as defined in note 6) and (ii) a related secured borrowing agreement (the </w:t>
      </w:r>
      <w:r>
        <w:rPr>
          <w:rFonts w:ascii="Arial" w:cs="Arial" w:eastAsia="Arial" w:hAnsi="Arial"/>
          <w:sz w:val="17"/>
          <w:szCs w:val="17"/>
          <w:b w:val="1"/>
          <w:bCs w:val="1"/>
          <w:color w:val="auto"/>
        </w:rPr>
        <w:t>ITV Collar Loan</w:t>
      </w:r>
      <w:r>
        <w:rPr>
          <w:rFonts w:ascii="Arial" w:cs="Arial" w:eastAsia="Arial" w:hAnsi="Arial"/>
          <w:sz w:val="17"/>
          <w:szCs w:val="17"/>
          <w:color w:val="auto"/>
        </w:rPr>
        <w:t>), each of which were fully settled during the second quarter of 2021, as further described in note 6.</w:t>
      </w:r>
    </w:p>
    <w:p>
      <w:pPr>
        <w:spacing w:after="0" w:line="183" w:lineRule="exact"/>
        <w:rPr>
          <w:rFonts w:ascii="Arial" w:cs="Arial" w:eastAsia="Arial" w:hAnsi="Arial"/>
          <w:sz w:val="17"/>
          <w:szCs w:val="17"/>
          <w:color w:val="auto"/>
        </w:rPr>
      </w:pPr>
    </w:p>
    <w:p>
      <w:pPr>
        <w:ind w:left="480" w:hanging="474"/>
        <w:spacing w:after="0" w:line="264" w:lineRule="auto"/>
        <w:tabs>
          <w:tab w:leader="none" w:pos="471"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September 30, 2021 and December 31, 2020, we held a noncontrolling junior interest in receivables we have securitized of $9.6 million and $9.7 million, respectively.</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statement of cash flows, including those made by investment managers acting as agents on our behalf.</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68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246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206"/>
        </w:trPr>
        <w:tc>
          <w:tcPr>
            <w:tcW w:w="60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3"/>
        </w:trPr>
        <w:tc>
          <w:tcPr>
            <w:tcW w:w="6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6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VMED O2 JV (a)</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(b)</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Formula E</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8"/>
        </w:trPr>
        <w:tc>
          <w:tcPr>
            <w:tcW w:w="600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r>
      <w:tr>
        <w:trPr>
          <w:trHeight w:val="20"/>
        </w:trPr>
        <w:tc>
          <w:tcPr>
            <w:tcW w:w="6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our share of the results of operations of the VMED O2 JV beginning June 1, 2021, which includes 100% of the share-based compensation expense associated with Liberty Global awards held by VMED O2 JV employees who were formerly employees of Liberty Global, as these awards remain our responsibility.</w:t>
      </w:r>
    </w:p>
    <w:p>
      <w:pPr>
        <w:spacing w:after="0" w:line="214"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100% of the interest income earned on the VodafoneZiggo JV Receivables and (ii) our share of the results of operations of the VodafoneZiggo JV.</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VMED O2 JV</w:t>
      </w:r>
    </w:p>
    <w:p>
      <w:pPr>
        <w:spacing w:after="0" w:line="238"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Shareholder</w:t>
      </w:r>
      <w:r>
        <w:rPr>
          <w:rFonts w:ascii="Arial" w:cs="Arial" w:eastAsia="Arial" w:hAnsi="Arial"/>
          <w:sz w:val="18"/>
          <w:szCs w:val="18"/>
          <w:color w:val="auto"/>
        </w:rPr>
        <w:t>”) holds 50% of the issued share capital of the VMED 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Shareholders intend for the VMED O2 JV to be funded solely from its net cash flow from operations and third-party financing. We account for our 50% interest in the VMED O2 JV as an equity method investment and consider the VMED O2 JV to be a related party. For additional information regarding the U.K. JV Transaction, see note 4.</w:t>
      </w:r>
    </w:p>
    <w:p>
      <w:pPr>
        <w:spacing w:after="0" w:line="210" w:lineRule="exact"/>
        <w:rPr>
          <w:sz w:val="20"/>
          <w:szCs w:val="20"/>
          <w:color w:val="auto"/>
        </w:rPr>
      </w:pPr>
    </w:p>
    <w:p>
      <w:pPr>
        <w:jc w:val="both"/>
        <w:ind w:right="100" w:firstLine="318"/>
        <w:spacing w:after="0" w:line="258" w:lineRule="auto"/>
        <w:rPr>
          <w:sz w:val="20"/>
          <w:szCs w:val="20"/>
          <w:color w:val="auto"/>
        </w:rPr>
      </w:pPr>
      <w:r>
        <w:rPr>
          <w:rFonts w:ascii="Arial" w:cs="Arial" w:eastAsia="Arial" w:hAnsi="Arial"/>
          <w:sz w:val="18"/>
          <w:szCs w:val="18"/>
          <w:color w:val="auto"/>
        </w:rPr>
        <w:t xml:space="preserve">In connection with the formation of the VMED O2 JV, the Shareholders entered into an agreement (the </w:t>
      </w:r>
      <w:r>
        <w:rPr>
          <w:rFonts w:ascii="Arial" w:cs="Arial" w:eastAsia="Arial" w:hAnsi="Arial"/>
          <w:sz w:val="18"/>
          <w:szCs w:val="18"/>
          <w:b w:val="1"/>
          <w:bCs w:val="1"/>
          <w:color w:val="auto"/>
        </w:rPr>
        <w:t>U.K. JV Shareholders Agreement</w:t>
      </w:r>
      <w:r>
        <w:rPr>
          <w:rFonts w:ascii="Arial" w:cs="Arial" w:eastAsia="Arial" w:hAnsi="Arial"/>
          <w:sz w:val="18"/>
          <w:szCs w:val="18"/>
          <w:color w:val="auto"/>
        </w:rPr>
        <w:t>) that contains customary provisions for the governance of a 50:50 joint venture and provides Liberty Global and Telefónica with joint control over decision making with respect to the VMED O2 JV.</w:t>
      </w:r>
    </w:p>
    <w:p>
      <w:pPr>
        <w:spacing w:after="0" w:line="213"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The U.K. JV Shareholders Agreement also provides (i) for a dividend policy that requires the VMED O2 JV to distribute all unrestricted cash to the Shareholders on a pro rata basis (subject to the VMED O2 JV maintaining a minimum amount of cash and complying with the terms of its financing arrangements) and (ii) that the VMED O2 JV will be managed with a leverage ratio between 4.0 and 5.0 times EBITDA (as calculated pursuant to its existing financing arrangements) with the VMED O2 JV undertaking periodic recapitalization and/or refinancings accordingly.</w:t>
      </w:r>
    </w:p>
    <w:p>
      <w:pPr>
        <w:spacing w:after="0" w:line="198"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Each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VMED O2 JV after the third anniversary of the closing, with the opportunity for the other Shareholder to sell shares in the IPO on a pro rata basis. Subject to certain exceptions, the U.K. JV Shareholders Agreement prohibits transfers of interests in the VMED O2 JV to third parties until the fifth anniversary of the closing. After the fifth anniversary, each Shareholder will be able to initiate a sale of all of its interest in the VMED O2 JV to a third party and, under certain circumstances, initiate a sale of the entire VMED O2 JV; subject, in each case, to a right of first offer in favor of the other Shareholder.</w:t>
      </w:r>
    </w:p>
    <w:p>
      <w:pPr>
        <w:spacing w:after="0" w:line="212"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 xml:space="preserve">Pursuant to an agreement entered into in connection with the closing of the VMED O2 JV (the </w:t>
      </w:r>
      <w:r>
        <w:rPr>
          <w:rFonts w:ascii="Arial" w:cs="Arial" w:eastAsia="Arial" w:hAnsi="Arial"/>
          <w:sz w:val="17"/>
          <w:szCs w:val="17"/>
          <w:b w:val="1"/>
          <w:bCs w:val="1"/>
          <w:color w:val="auto"/>
        </w:rPr>
        <w:t>U.K. JV Framework Agreement</w:t>
      </w:r>
      <w:r>
        <w:rPr>
          <w:rFonts w:ascii="Arial" w:cs="Arial" w:eastAsia="Arial" w:hAnsi="Arial"/>
          <w:sz w:val="17"/>
          <w:szCs w:val="17"/>
          <w:color w:val="auto"/>
        </w:rPr>
        <w:t xml:space="preserve">), Liberty Global provides certain services to the VMED O2 JV on a transitional or ongoing basis (collectively, the </w:t>
      </w:r>
      <w:r>
        <w:rPr>
          <w:rFonts w:ascii="Arial" w:cs="Arial" w:eastAsia="Arial" w:hAnsi="Arial"/>
          <w:sz w:val="17"/>
          <w:szCs w:val="17"/>
          <w:b w:val="1"/>
          <w:bCs w:val="1"/>
          <w:color w:val="auto"/>
        </w:rPr>
        <w:t>U.K. JV Services</w:t>
      </w:r>
      <w:r>
        <w:rPr>
          <w:rFonts w:ascii="Arial" w:cs="Arial" w:eastAsia="Arial" w:hAnsi="Arial"/>
          <w:sz w:val="17"/>
          <w:szCs w:val="17"/>
          <w:color w:val="auto"/>
        </w:rPr>
        <w:t>). Pursuant to the terms of the U.K. JV Framework Agreement, the ongoing services will be provided for a period of two to six years depending on the type of service, while transitional services will be 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VMED O2 JV. Liberty Global charges both fixed and variable fees to the VMED O2 JV for the U.K. JV Services it provides during the term of the U.K. JV Framework Agreement. During the three and nine months ended September 30, 2021, we recorded revenue of $69.7 million and $93.9 million, respectively, related to the U.K. JV Services. In addition, at September 30, 2021, $52.0 million was due from the VMED O2 JV, primarily related to (a) services performed under the U.K. JV Framework Agreement and (b) amounts incurred by Liberty Global for certain equipment and licenses purchased on behalf of the VMED O2 JV. Amounts due from the VMED O2 JV will be periodically cash settled and are included in other current assets in our condensed consolidated balance sheet.</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VMED O2 JV are set forth below:</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Period from June 1, 20</w:t>
            </w:r>
          </w:p>
        </w:tc>
        <w:tc>
          <w:tcPr>
            <w:tcW w:w="0" w:type="dxa"/>
            <w:vAlign w:val="bottom"/>
          </w:tcPr>
          <w:p>
            <w:pPr>
              <w:spacing w:after="0"/>
              <w:rPr>
                <w:sz w:val="1"/>
                <w:szCs w:val="1"/>
                <w:color w:val="auto"/>
              </w:rPr>
            </w:pPr>
          </w:p>
        </w:tc>
      </w:tr>
      <w:tr>
        <w:trPr>
          <w:trHeight w:val="210"/>
        </w:trPr>
        <w:tc>
          <w:tcPr>
            <w:tcW w:w="6920" w:type="dxa"/>
            <w:vAlign w:val="bottom"/>
          </w:tcPr>
          <w:p>
            <w:pPr>
              <w:spacing w:after="0"/>
              <w:rPr>
                <w:sz w:val="18"/>
                <w:szCs w:val="18"/>
                <w:color w:val="auto"/>
              </w:rPr>
            </w:pPr>
          </w:p>
        </w:tc>
        <w:tc>
          <w:tcPr>
            <w:tcW w:w="22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September 30, 2021</w:t>
            </w: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through September 30, 20</w:t>
            </w:r>
          </w:p>
        </w:tc>
        <w:tc>
          <w:tcPr>
            <w:tcW w:w="0" w:type="dxa"/>
            <w:vAlign w:val="bottom"/>
          </w:tcPr>
          <w:p>
            <w:pPr>
              <w:spacing w:after="0"/>
              <w:rPr>
                <w:sz w:val="1"/>
                <w:szCs w:val="1"/>
                <w:color w:val="auto"/>
              </w:rPr>
            </w:pPr>
          </w:p>
        </w:tc>
      </w:tr>
      <w:tr>
        <w:trPr>
          <w:trHeight w:val="203"/>
        </w:trPr>
        <w:tc>
          <w:tcPr>
            <w:tcW w:w="6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2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Earnings (loss) before income taxes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vMerge w:val="continue"/>
          </w:tcPr>
          <w:p>
            <w:pPr>
              <w:spacing w:after="0"/>
              <w:rPr>
                <w:sz w:val="17"/>
                <w:szCs w:val="17"/>
                <w:color w:val="auto"/>
              </w:rPr>
            </w:pPr>
          </w:p>
        </w:tc>
        <w:tc>
          <w:tcPr>
            <w:tcW w:w="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56.3</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475"/>
              <w:spacing w:after="0" w:line="198"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2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earnings (loss)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w:t>
      </w:r>
      <w:r>
        <w:rPr>
          <w:rFonts w:ascii="Arial" w:cs="Arial" w:eastAsia="Arial" w:hAnsi="Arial"/>
          <w:sz w:val="17"/>
          <w:szCs w:val="17"/>
          <w:color w:val="auto"/>
        </w:rPr>
        <w:t xml:space="preserve"> </w:t>
      </w:r>
      <w:r>
        <w:rPr>
          <w:rFonts w:ascii="Arial" w:cs="Arial" w:eastAsia="Arial" w:hAnsi="Arial"/>
          <w:sz w:val="17"/>
          <w:szCs w:val="17"/>
          <w:b w:val="1"/>
          <w:bCs w:val="1"/>
          <w:color w:val="auto"/>
        </w:rPr>
        <w:t>JV Services</w:t>
      </w:r>
      <w:r>
        <w:rPr>
          <w:rFonts w:ascii="Arial" w:cs="Arial" w:eastAsia="Arial" w:hAnsi="Arial"/>
          <w:sz w:val="17"/>
          <w:szCs w:val="17"/>
          <w:color w:val="auto"/>
        </w:rPr>
        <w:t>). The NL JV Services provided by Liberty Global consist primarily of (i) technology and other services and (ii) capital-related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$45.2 million and $47.2 million during the three months ended September 30, 2021 and 2020, respectively, and $161.0 million and $135.3 million during the nine months ended September 30, 2021 and 2020, respectively, primarily related to (a) the NL JV Services and (b) the sale of customer premises equipment at a mark-up. At September 30, 2021 and December 31, 2020, $51.3 million and $27.4 million, respectively, were due from the VodafoneZiggo JV related to the aforementioned transactions. Amounts due from the VodafoneZiggo JV are periodically cash settled and are included in other current assets on our condensed consolidated balance sheets. In addition, during the nine months ended September 30, 2021 and 2020, we received dividend distributions from the VodafoneZiggo JV of $240.9 million and $102.0 million, respectively, which were accounted for as returns on capital for purposes of our condensed consolidated statements of cash flows.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700" w:type="dxa"/>
            <w:vAlign w:val="bottom"/>
            <w:gridSpan w:val="6"/>
          </w:tcPr>
          <w:p>
            <w:pPr>
              <w:ind w:left="100"/>
              <w:spacing w:after="0"/>
              <w:rPr>
                <w:sz w:val="20"/>
                <w:szCs w:val="20"/>
                <w:color w:val="auto"/>
              </w:rPr>
            </w:pPr>
            <w:r>
              <w:rPr>
                <w:rFonts w:ascii="Arial" w:cs="Arial" w:eastAsia="Arial" w:hAnsi="Arial"/>
                <w:sz w:val="16"/>
                <w:szCs w:val="16"/>
                <w:b w:val="1"/>
                <w:bCs w:val="1"/>
                <w:color w:val="auto"/>
                <w:w w:val="95"/>
              </w:rPr>
              <w:t>Three months ended September 30,</w:t>
            </w:r>
          </w:p>
        </w:tc>
        <w:tc>
          <w:tcPr>
            <w:tcW w:w="120" w:type="dxa"/>
            <w:vAlign w:val="bottom"/>
          </w:tcPr>
          <w:p>
            <w:pPr>
              <w:spacing w:after="0"/>
              <w:rPr>
                <w:sz w:val="18"/>
                <w:szCs w:val="18"/>
                <w:color w:val="auto"/>
              </w:rPr>
            </w:pPr>
          </w:p>
        </w:tc>
        <w:tc>
          <w:tcPr>
            <w:tcW w:w="2480" w:type="dxa"/>
            <w:vAlign w:val="bottom"/>
            <w:gridSpan w:val="4"/>
          </w:tcPr>
          <w:p>
            <w:pPr>
              <w:jc w:val="right"/>
              <w:ind w:right="54"/>
              <w:spacing w:after="0"/>
              <w:rPr>
                <w:sz w:val="20"/>
                <w:szCs w:val="20"/>
                <w:color w:val="auto"/>
              </w:rPr>
            </w:pPr>
            <w:r>
              <w:rPr>
                <w:rFonts w:ascii="Arial" w:cs="Arial" w:eastAsia="Arial" w:hAnsi="Arial"/>
                <w:sz w:val="16"/>
                <w:szCs w:val="16"/>
                <w:b w:val="1"/>
                <w:bCs w:val="1"/>
                <w:color w:val="auto"/>
                <w:w w:val="88"/>
              </w:rPr>
              <w:t>Nine months ended September 30,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4"/>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(32.9)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(73.9)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700" w:type="dxa"/>
            <w:vAlign w:val="bottom"/>
            <w:gridSpan w:val="6"/>
          </w:tcPr>
          <w:p>
            <w:pPr>
              <w:ind w:left="100"/>
              <w:spacing w:after="0"/>
              <w:rPr>
                <w:sz w:val="20"/>
                <w:szCs w:val="20"/>
                <w:color w:val="auto"/>
              </w:rPr>
            </w:pPr>
            <w:r>
              <w:rPr>
                <w:rFonts w:ascii="Arial" w:cs="Arial" w:eastAsia="Arial" w:hAnsi="Arial"/>
                <w:sz w:val="16"/>
                <w:szCs w:val="16"/>
                <w:b w:val="1"/>
                <w:bCs w:val="1"/>
                <w:color w:val="auto"/>
                <w:w w:val="95"/>
              </w:rPr>
              <w:t>Three months ended September 30,</w:t>
            </w:r>
          </w:p>
        </w:tc>
        <w:tc>
          <w:tcPr>
            <w:tcW w:w="120" w:type="dxa"/>
            <w:vAlign w:val="bottom"/>
          </w:tcPr>
          <w:p>
            <w:pPr>
              <w:spacing w:after="0"/>
              <w:rPr>
                <w:sz w:val="18"/>
                <w:szCs w:val="18"/>
                <w:color w:val="auto"/>
              </w:rPr>
            </w:pPr>
          </w:p>
        </w:tc>
        <w:tc>
          <w:tcPr>
            <w:tcW w:w="248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206"/>
        </w:trPr>
        <w:tc>
          <w:tcPr>
            <w:tcW w:w="59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Univision</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Plume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Aviatrix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Lacework</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ITV</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(450.2)</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8"/>
        </w:trPr>
        <w:tc>
          <w:tcPr>
            <w:tcW w:w="594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 Securities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September 30, 2021 and December 31, 2020, all of our SMAs were composed of debt securities, which are summarized in the following tables: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88"/>
              </w:rPr>
              <w:t>September 30, 2021</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34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22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20"/>
              <w:spacing w:after="0" w:line="159" w:lineRule="exact"/>
              <w:rPr>
                <w:sz w:val="20"/>
                <w:szCs w:val="20"/>
                <w:color w:val="auto"/>
              </w:rPr>
            </w:pPr>
            <w:r>
              <w:rPr>
                <w:rFonts w:ascii="Arial" w:cs="Arial" w:eastAsia="Arial" w:hAnsi="Arial"/>
                <w:sz w:val="16"/>
                <w:szCs w:val="16"/>
                <w:b w:val="1"/>
                <w:bCs w:val="1"/>
                <w:color w:val="auto"/>
                <w:w w:val="87"/>
              </w:rPr>
              <w:t>unrealized gains</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8"/>
        </w:trPr>
        <w:tc>
          <w:tcPr>
            <w:tcW w:w="7220" w:type="dxa"/>
            <w:vAlign w:val="bottom"/>
          </w:tcPr>
          <w:p>
            <w:pPr>
              <w:ind w:left="140"/>
              <w:spacing w:after="0" w:line="204" w:lineRule="exact"/>
              <w:rPr>
                <w:sz w:val="20"/>
                <w:szCs w:val="20"/>
                <w:color w:val="auto"/>
              </w:rPr>
            </w:pPr>
            <w:r>
              <w:rPr>
                <w:rFonts w:ascii="Arial" w:cs="Arial" w:eastAsia="Arial" w:hAnsi="Arial"/>
                <w:sz w:val="18"/>
                <w:szCs w:val="18"/>
                <w:color w:val="auto"/>
              </w:rPr>
              <w:t>Total debt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right"/>
              <w:ind w:right="100"/>
              <w:spacing w:after="0" w:line="155" w:lineRule="exact"/>
              <w:rPr>
                <w:sz w:val="20"/>
                <w:szCs w:val="20"/>
                <w:color w:val="auto"/>
              </w:rPr>
            </w:pPr>
            <w:r>
              <w:rPr>
                <w:rFonts w:ascii="Arial" w:cs="Arial" w:eastAsia="Arial" w:hAnsi="Arial"/>
                <w:sz w:val="16"/>
                <w:szCs w:val="16"/>
                <w:b w:val="1"/>
                <w:bCs w:val="1"/>
                <w:color w:val="auto"/>
                <w:w w:val="95"/>
              </w:rPr>
              <w:t>Amortized 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7"/>
              </w:rPr>
              <w:t>unrealized gains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9"/>
        </w:trPr>
        <w:tc>
          <w:tcPr>
            <w:tcW w:w="722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Total debt securities</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received proceeds from the sale of debt securities of $1.9 billion and $1.3 billion during the three months ended September 30, 2021 and 2020, respectively, and $4.8 billion and $3.8 billion during the nine months ended September 30, 2021 and 2020, respectively, the majority of which were reinvested in new debt securities held under SMAs. The sale of debt securities resulted in realized net gains (losses) of nil and $0.1 million during the three months ended September 30, 2021 and 2020, respectively, and ($1.6 million) and $0.8 million during the nine months ended September 30, 2021 and 2020,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40" w:type="dxa"/>
            <w:vAlign w:val="bottom"/>
          </w:tcPr>
          <w:p>
            <w:pPr>
              <w:ind w:left="320"/>
              <w:spacing w:after="0"/>
              <w:rPr>
                <w:sz w:val="20"/>
                <w:szCs w:val="20"/>
                <w:color w:val="auto"/>
              </w:rPr>
            </w:pPr>
            <w:r>
              <w:rPr>
                <w:rFonts w:ascii="Arial" w:cs="Arial" w:eastAsia="Arial" w:hAnsi="Arial"/>
                <w:sz w:val="18"/>
                <w:szCs w:val="18"/>
                <w:color w:val="auto"/>
              </w:rPr>
              <w:t>The fair value of our debt securities as of September 30, 2021 by contractual maturity are shown below (in millions):</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20"/>
        </w:trPr>
        <w:tc>
          <w:tcPr>
            <w:tcW w:w="9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426.7</w:t>
            </w:r>
          </w:p>
        </w:tc>
      </w:tr>
      <w:tr>
        <w:trPr>
          <w:trHeight w:val="22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8"/>
        </w:trPr>
        <w:tc>
          <w:tcPr>
            <w:tcW w:w="9940" w:type="dxa"/>
            <w:vAlign w:val="bottom"/>
          </w:tcPr>
          <w:p>
            <w:pPr>
              <w:ind w:left="140"/>
              <w:spacing w:after="0" w:line="204" w:lineRule="exact"/>
              <w:rPr>
                <w:sz w:val="20"/>
                <w:szCs w:val="20"/>
                <w:color w:val="auto"/>
              </w:rPr>
            </w:pPr>
            <w:r>
              <w:rPr>
                <w:rFonts w:ascii="Arial" w:cs="Arial" w:eastAsia="Arial" w:hAnsi="Arial"/>
                <w:sz w:val="18"/>
                <w:szCs w:val="18"/>
                <w:color w:val="auto"/>
              </w:rPr>
              <w:t>Total (a)</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2,942.6</w:t>
            </w:r>
          </w:p>
        </w:tc>
      </w:tr>
      <w:tr>
        <w:trPr>
          <w:trHeight w:val="20"/>
        </w:trPr>
        <w:tc>
          <w:tcPr>
            <w:tcW w:w="9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weighted average life of our total debt securities was 0.6 years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PLN.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September 30, 2021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6"/>
        </w:trPr>
        <w:tc>
          <w:tcPr>
            <w:tcW w:w="4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Current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0"/>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880" w:type="dxa"/>
            <w:vAlign w:val="bottom"/>
          </w:tcPr>
          <w:p>
            <w:pPr>
              <w:jc w:val="right"/>
              <w:spacing w:after="0"/>
              <w:rPr>
                <w:sz w:val="20"/>
                <w:szCs w:val="20"/>
                <w:color w:val="auto"/>
              </w:rPr>
            </w:pPr>
            <w:r>
              <w:rPr>
                <w:rFonts w:ascii="Arial" w:cs="Arial" w:eastAsia="Arial" w:hAnsi="Arial"/>
                <w:sz w:val="18"/>
                <w:szCs w:val="18"/>
                <w:color w:val="auto"/>
              </w:rPr>
              <w:t>108.9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4140" w:type="dxa"/>
            <w:vAlign w:val="bottom"/>
          </w:tcPr>
          <w:p>
            <w:pPr>
              <w:jc w:val="center"/>
              <w:ind w:right="3012"/>
              <w:spacing w:after="0" w:line="192" w:lineRule="exact"/>
              <w:rPr>
                <w:sz w:val="20"/>
                <w:szCs w:val="20"/>
                <w:color w:val="auto"/>
              </w:rPr>
            </w:pPr>
            <w:r>
              <w:rPr>
                <w:rFonts w:ascii="Arial" w:cs="Arial" w:eastAsia="Arial" w:hAnsi="Arial"/>
                <w:sz w:val="18"/>
                <w:szCs w:val="18"/>
                <w:color w:val="auto"/>
                <w:w w:val="89"/>
              </w:rPr>
              <w:t>Total</w:t>
            </w: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2" w:lineRule="exact"/>
              <w:rPr>
                <w:sz w:val="20"/>
                <w:szCs w:val="20"/>
                <w:color w:val="auto"/>
              </w:rPr>
            </w:pPr>
            <w:r>
              <w:rPr>
                <w:rFonts w:ascii="Arial" w:cs="Arial" w:eastAsia="Arial" w:hAnsi="Arial"/>
                <w:sz w:val="18"/>
                <w:szCs w:val="18"/>
                <w:color w:val="auto"/>
              </w:rPr>
              <w:t>116.1</w:t>
            </w:r>
          </w:p>
        </w:tc>
        <w:tc>
          <w:tcPr>
            <w:tcW w:w="28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394.2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2" w:lineRule="exact"/>
              <w:rPr>
                <w:sz w:val="20"/>
                <w:szCs w:val="20"/>
                <w:color w:val="auto"/>
              </w:rPr>
            </w:pPr>
            <w:r>
              <w:rPr>
                <w:rFonts w:ascii="Arial" w:cs="Arial" w:eastAsia="Arial" w:hAnsi="Arial"/>
                <w:sz w:val="18"/>
                <w:szCs w:val="18"/>
                <w:color w:val="auto"/>
              </w:rPr>
              <w:t>510.3</w:t>
            </w:r>
          </w:p>
        </w:tc>
        <w:tc>
          <w:tcPr>
            <w:tcW w:w="120" w:type="dxa"/>
            <w:vAlign w:val="bottom"/>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234.6</w:t>
            </w:r>
          </w:p>
        </w:tc>
        <w:tc>
          <w:tcPr>
            <w:tcW w:w="24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650.1</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884.7</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140" w:type="dxa"/>
            <w:vAlign w:val="bottom"/>
            <w:shd w:val="clear" w:color="auto" w:fill="CCEEFF"/>
          </w:tcPr>
          <w:p>
            <w:pPr>
              <w:jc w:val="center"/>
              <w:ind w:right="3012"/>
              <w:spacing w:after="0" w:line="192" w:lineRule="exact"/>
              <w:rPr>
                <w:sz w:val="20"/>
                <w:szCs w:val="20"/>
                <w:color w:val="auto"/>
              </w:rPr>
            </w:pPr>
            <w:r>
              <w:rPr>
                <w:rFonts w:ascii="Arial" w:cs="Arial" w:eastAsia="Arial" w:hAnsi="Arial"/>
                <w:sz w:val="18"/>
                <w:szCs w:val="18"/>
                <w:color w:val="auto"/>
                <w:w w:val="94"/>
              </w:rPr>
              <w:t>Liabilities (a):</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880" w:type="dxa"/>
            <w:vAlign w:val="bottom"/>
          </w:tcPr>
          <w:p>
            <w:pPr>
              <w:jc w:val="right"/>
              <w:spacing w:after="0"/>
              <w:rPr>
                <w:sz w:val="20"/>
                <w:szCs w:val="20"/>
                <w:color w:val="auto"/>
              </w:rPr>
            </w:pPr>
            <w:r>
              <w:rPr>
                <w:rFonts w:ascii="Arial" w:cs="Arial" w:eastAsia="Arial" w:hAnsi="Arial"/>
                <w:sz w:val="18"/>
                <w:szCs w:val="18"/>
                <w:color w:val="auto"/>
              </w:rPr>
              <w:t>154.0</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1,535.3</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18"/>
        </w:trPr>
        <w:tc>
          <w:tcPr>
            <w:tcW w:w="4140" w:type="dxa"/>
            <w:vAlign w:val="bottom"/>
          </w:tcPr>
          <w:p>
            <w:pPr>
              <w:jc w:val="center"/>
              <w:ind w:right="3012"/>
              <w:spacing w:after="0" w:line="204" w:lineRule="exact"/>
              <w:rPr>
                <w:sz w:val="20"/>
                <w:szCs w:val="20"/>
                <w:color w:val="auto"/>
              </w:rPr>
            </w:pPr>
            <w:r>
              <w:rPr>
                <w:rFonts w:ascii="Arial" w:cs="Arial" w:eastAsia="Arial" w:hAnsi="Arial"/>
                <w:sz w:val="18"/>
                <w:szCs w:val="18"/>
                <w:color w:val="auto"/>
                <w:w w:val="89"/>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185.1</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1,616.8</w:t>
            </w:r>
          </w:p>
        </w:tc>
      </w:tr>
      <w:tr>
        <w:trPr>
          <w:trHeight w:val="20"/>
        </w:trPr>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condensed consolidated balance sheets.</w:t>
      </w:r>
    </w:p>
    <w:p>
      <w:pPr>
        <w:spacing w:after="0" w:line="207" w:lineRule="exact"/>
        <w:rPr>
          <w:rFonts w:ascii="Arial" w:cs="Arial" w:eastAsia="Arial" w:hAnsi="Arial"/>
          <w:sz w:val="18"/>
          <w:szCs w:val="18"/>
          <w:color w:val="auto"/>
        </w:rPr>
      </w:pPr>
    </w:p>
    <w:p>
      <w:pPr>
        <w:jc w:val="both"/>
        <w:ind w:left="480" w:hanging="474"/>
        <w:spacing w:after="0" w:line="248" w:lineRule="auto"/>
        <w:tabs>
          <w:tab w:leader="none" w:pos="4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(losses) of ($34.0 million) and $222.6 million during the three months ended September 30, 2021 and 2020, respectively, and ($34.8 million) and $294.3 million during the nine months ended September 30, 2021 and 2020, respectively. These amounts are included in realized and unrealized gains (losses) on derivative instruments, net, in our condensed consolidated statements of operations. For further information regarding our fair value measurements, see note 7.</w:t>
      </w:r>
    </w:p>
    <w:p>
      <w:pPr>
        <w:spacing w:after="0" w:line="219" w:lineRule="exact"/>
        <w:rPr>
          <w:rFonts w:ascii="Arial" w:cs="Arial" w:eastAsia="Arial" w:hAnsi="Arial"/>
          <w:sz w:val="18"/>
          <w:szCs w:val="18"/>
          <w:color w:val="auto"/>
        </w:rPr>
      </w:pPr>
    </w:p>
    <w:p>
      <w:pPr>
        <w:jc w:val="both"/>
        <w:ind w:left="480" w:hanging="474"/>
        <w:spacing w:after="0" w:line="281"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Our equity-related derivative instruments at December 31, 2020 include a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with respect to certain of the shares of ITV held by our company. During the second quarter of 2021, we completed the unwind of the ITV Collar and cash settled all remaining amounts under the ITV Collar Loan. Accordingly, at September 30, 2021, the ITV Collar and ITV Collar Loan had been fully settled.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700" w:type="dxa"/>
            <w:vAlign w:val="bottom"/>
            <w:gridSpan w:val="6"/>
          </w:tcPr>
          <w:p>
            <w:pPr>
              <w:ind w:left="100"/>
              <w:spacing w:after="0"/>
              <w:rPr>
                <w:sz w:val="20"/>
                <w:szCs w:val="20"/>
                <w:color w:val="auto"/>
              </w:rPr>
            </w:pPr>
            <w:r>
              <w:rPr>
                <w:rFonts w:ascii="Arial" w:cs="Arial" w:eastAsia="Arial" w:hAnsi="Arial"/>
                <w:sz w:val="16"/>
                <w:szCs w:val="16"/>
                <w:b w:val="1"/>
                <w:bCs w:val="1"/>
                <w:color w:val="auto"/>
                <w:w w:val="95"/>
              </w:rPr>
              <w:t>Three months ended September 30,</w:t>
            </w:r>
          </w:p>
        </w:tc>
        <w:tc>
          <w:tcPr>
            <w:tcW w:w="120" w:type="dxa"/>
            <w:vAlign w:val="bottom"/>
          </w:tcPr>
          <w:p>
            <w:pPr>
              <w:spacing w:after="0"/>
              <w:rPr>
                <w:sz w:val="18"/>
                <w:szCs w:val="18"/>
                <w:color w:val="auto"/>
              </w:rPr>
            </w:pPr>
          </w:p>
        </w:tc>
        <w:tc>
          <w:tcPr>
            <w:tcW w:w="248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206"/>
        </w:trPr>
        <w:tc>
          <w:tcPr>
            <w:tcW w:w="59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05"/>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r>
      <w:tr>
        <w:trPr>
          <w:trHeight w:val="225"/>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19"/>
        </w:trPr>
        <w:tc>
          <w:tcPr>
            <w:tcW w:w="594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equity-related derivative instruments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18"/>
        </w:trPr>
        <w:tc>
          <w:tcPr>
            <w:tcW w:w="59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19"/>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94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outflows of our derivative instruments:</w:t>
      </w:r>
    </w:p>
    <w:p>
      <w:pPr>
        <w:spacing w:after="0" w:line="89"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Nine months ended</w:t>
      </w:r>
    </w:p>
    <w:p>
      <w:pPr>
        <w:jc w:val="center"/>
        <w:ind w:left="876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2"/>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3"/>
              </w:rPr>
              <w:t>(51.7)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920" w:type="dxa"/>
            <w:vAlign w:val="bottom"/>
          </w:tcPr>
          <w:p>
            <w:pPr>
              <w:jc w:val="center"/>
              <w:ind w:left="355"/>
              <w:spacing w:after="0"/>
              <w:rPr>
                <w:sz w:val="20"/>
                <w:szCs w:val="20"/>
                <w:color w:val="auto"/>
              </w:rPr>
            </w:pPr>
            <w:r>
              <w:rPr>
                <w:rFonts w:ascii="Arial" w:cs="Arial" w:eastAsia="Arial" w:hAnsi="Arial"/>
                <w:sz w:val="18"/>
                <w:szCs w:val="18"/>
                <w:color w:val="auto"/>
                <w:w w:val="93"/>
              </w:rPr>
              <w:t>(61.7)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5"/>
              </w:rPr>
              <w:t>23.1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18"/>
        </w:trPr>
        <w:tc>
          <w:tcPr>
            <w:tcW w:w="878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3"/>
              </w:rPr>
              <w:t>(90.3)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September 30, 2021, our exposure to counterparty credit risk included derivative assets with an aggregate fair value of $113.6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2021,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jc w:val="right"/>
              <w:ind w:right="654"/>
              <w:spacing w:after="0"/>
              <w:rPr>
                <w:sz w:val="20"/>
                <w:szCs w:val="20"/>
                <w:color w:val="auto"/>
              </w:rPr>
            </w:pPr>
            <w:r>
              <w:rPr>
                <w:rFonts w:ascii="Arial" w:cs="Arial" w:eastAsia="Arial" w:hAnsi="Arial"/>
                <w:sz w:val="16"/>
                <w:szCs w:val="16"/>
                <w:b w:val="1"/>
                <w:bCs w:val="1"/>
                <w:color w:val="auto"/>
                <w:w w:val="95"/>
              </w:rPr>
              <w:t>Notional amount</w:t>
            </w:r>
          </w:p>
        </w:tc>
        <w:tc>
          <w:tcPr>
            <w:tcW w:w="440" w:type="dxa"/>
            <w:vAlign w:val="bottom"/>
          </w:tcPr>
          <w:p>
            <w:pPr>
              <w:spacing w:after="0"/>
              <w:rPr>
                <w:sz w:val="16"/>
                <w:szCs w:val="16"/>
                <w:color w:val="auto"/>
              </w:rPr>
            </w:pPr>
          </w:p>
        </w:tc>
        <w:tc>
          <w:tcPr>
            <w:tcW w:w="214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1"/>
              </w:rPr>
              <w:t>Notional amount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4540" w:type="dxa"/>
            <w:vAlign w:val="bottom"/>
          </w:tcPr>
          <w:p>
            <w:pPr>
              <w:spacing w:after="0"/>
              <w:rPr>
                <w:sz w:val="18"/>
                <w:szCs w:val="18"/>
                <w:color w:val="auto"/>
              </w:rPr>
            </w:pPr>
          </w:p>
        </w:tc>
        <w:tc>
          <w:tcPr>
            <w:tcW w:w="2420" w:type="dxa"/>
            <w:vAlign w:val="bottom"/>
            <w:gridSpan w:val="2"/>
          </w:tcPr>
          <w:p>
            <w:pPr>
              <w:jc w:val="right"/>
              <w:ind w:right="434"/>
              <w:spacing w:after="0"/>
              <w:rPr>
                <w:sz w:val="20"/>
                <w:szCs w:val="20"/>
                <w:color w:val="auto"/>
              </w:rPr>
            </w:pPr>
            <w:r>
              <w:rPr>
                <w:rFonts w:ascii="Arial" w:cs="Arial" w:eastAsia="Arial" w:hAnsi="Arial"/>
                <w:sz w:val="16"/>
                <w:szCs w:val="16"/>
                <w:b w:val="1"/>
                <w:bCs w:val="1"/>
                <w:color w:val="auto"/>
              </w:rPr>
              <w:t>due from counterparty</w:t>
            </w:r>
          </w:p>
        </w:tc>
        <w:tc>
          <w:tcPr>
            <w:tcW w:w="440" w:type="dxa"/>
            <w:vAlign w:val="bottom"/>
          </w:tcPr>
          <w:p>
            <w:pPr>
              <w:spacing w:after="0"/>
              <w:rPr>
                <w:sz w:val="18"/>
                <w:szCs w:val="18"/>
                <w:color w:val="auto"/>
              </w:rPr>
            </w:pPr>
          </w:p>
        </w:tc>
        <w:tc>
          <w:tcPr>
            <w:tcW w:w="214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0"/>
              </w:rPr>
              <w:t>due to counterparty</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45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3"/>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r>
      <w:tr>
        <w:trPr>
          <w:trHeight w:val="225"/>
        </w:trPr>
        <w:tc>
          <w:tcPr>
            <w:tcW w:w="45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4"/>
              <w:spacing w:after="0"/>
              <w:rPr>
                <w:sz w:val="20"/>
                <w:szCs w:val="20"/>
                <w:color w:val="auto"/>
              </w:rPr>
            </w:pPr>
            <w:r>
              <w:rPr>
                <w:rFonts w:ascii="Arial" w:cs="Arial" w:eastAsia="Arial" w:hAnsi="Arial"/>
                <w:sz w:val="18"/>
                <w:szCs w:val="18"/>
                <w:color w:val="auto"/>
              </w:rPr>
              <w:t>4,650.0</w:t>
            </w:r>
          </w:p>
        </w:tc>
        <w:tc>
          <w:tcPr>
            <w:tcW w:w="440" w:type="dxa"/>
            <w:vAlign w:val="bottom"/>
          </w:tcPr>
          <w:p>
            <w:pPr>
              <w:spacing w:after="0"/>
              <w:rPr>
                <w:sz w:val="20"/>
                <w:szCs w:val="20"/>
                <w:color w:val="auto"/>
              </w:rPr>
            </w:pPr>
            <w:r>
              <w:rPr>
                <w:rFonts w:ascii="Arial" w:cs="Arial" w:eastAsia="Arial" w:hAnsi="Arial"/>
                <w:sz w:val="18"/>
                <w:szCs w:val="18"/>
                <w:color w:val="auto"/>
              </w:rPr>
              <w:t>CHF</w:t>
            </w:r>
          </w:p>
        </w:tc>
        <w:tc>
          <w:tcPr>
            <w:tcW w:w="1240" w:type="dxa"/>
            <w:vAlign w:val="bottom"/>
          </w:tcPr>
          <w:p>
            <w:pPr>
              <w:jc w:val="right"/>
              <w:spacing w:after="0"/>
              <w:rPr>
                <w:sz w:val="20"/>
                <w:szCs w:val="20"/>
                <w:color w:val="auto"/>
              </w:rPr>
            </w:pPr>
            <w:r>
              <w:rPr>
                <w:rFonts w:ascii="Arial" w:cs="Arial" w:eastAsia="Arial" w:hAnsi="Arial"/>
                <w:sz w:val="18"/>
                <w:szCs w:val="18"/>
                <w:color w:val="auto"/>
              </w:rPr>
              <w:t>4,256.9</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(a)(b)</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6.6</w:t>
            </w:r>
          </w:p>
        </w:tc>
      </w:tr>
      <w:tr>
        <w:trPr>
          <w:trHeight w:val="226"/>
        </w:trPr>
        <w:tc>
          <w:tcPr>
            <w:tcW w:w="45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2,650.0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CHF</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r>
      <w:tr>
        <w:trPr>
          <w:trHeight w:val="225"/>
        </w:trPr>
        <w:tc>
          <w:tcPr>
            <w:tcW w:w="45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4"/>
              <w:spacing w:after="0"/>
              <w:rPr>
                <w:sz w:val="20"/>
                <w:szCs w:val="20"/>
                <w:color w:val="auto"/>
              </w:rPr>
            </w:pPr>
            <w:r>
              <w:rPr>
                <w:rFonts w:ascii="Arial" w:cs="Arial" w:eastAsia="Arial" w:hAnsi="Arial"/>
                <w:sz w:val="18"/>
                <w:szCs w:val="18"/>
                <w:color w:val="auto"/>
              </w:rPr>
              <w:t>777.0</w:t>
            </w:r>
          </w:p>
        </w:tc>
        <w:tc>
          <w:tcPr>
            <w:tcW w:w="440" w:type="dxa"/>
            <w:vAlign w:val="bottom"/>
          </w:tcPr>
          <w:p>
            <w:pPr>
              <w:spacing w:after="0"/>
              <w:rPr>
                <w:sz w:val="20"/>
                <w:szCs w:val="20"/>
                <w:color w:val="auto"/>
              </w:rPr>
            </w:pPr>
            <w:r>
              <w:rPr>
                <w:rFonts w:ascii="Arial" w:cs="Arial" w:eastAsia="Arial" w:hAnsi="Arial"/>
                <w:sz w:val="18"/>
                <w:szCs w:val="18"/>
                <w:color w:val="auto"/>
              </w:rPr>
              <w:t>PLN</w:t>
            </w:r>
          </w:p>
        </w:tc>
        <w:tc>
          <w:tcPr>
            <w:tcW w:w="1240" w:type="dxa"/>
            <w:vAlign w:val="bottom"/>
          </w:tcPr>
          <w:p>
            <w:pPr>
              <w:jc w:val="right"/>
              <w:spacing w:after="0"/>
              <w:rPr>
                <w:sz w:val="20"/>
                <w:szCs w:val="20"/>
                <w:color w:val="auto"/>
              </w:rPr>
            </w:pPr>
            <w:r>
              <w:rPr>
                <w:rFonts w:ascii="Arial" w:cs="Arial" w:eastAsia="Arial" w:hAnsi="Arial"/>
                <w:sz w:val="18"/>
                <w:szCs w:val="18"/>
                <w:color w:val="auto"/>
              </w:rPr>
              <w:t>3,302.9</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4.3</w:t>
            </w:r>
          </w:p>
        </w:tc>
      </w:tr>
      <w:tr>
        <w:trPr>
          <w:trHeight w:val="226"/>
        </w:trPr>
        <w:tc>
          <w:tcPr>
            <w:tcW w:w="45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740.0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r>
      <w:tr>
        <w:trPr>
          <w:trHeight w:val="199"/>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3,940.0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r>
      <w:tr>
        <w:trPr>
          <w:trHeight w:val="224"/>
        </w:trPr>
        <w:tc>
          <w:tcPr>
            <w:tcW w:w="45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4"/>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3.3</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94" w:lineRule="auto"/>
        <w:tabs>
          <w:tab w:leader="none" w:pos="477"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September 30, 2021. These instruments are typically entered into in order to extend existing hedges without the need to amend existing contracts.</w:t>
      </w:r>
    </w:p>
    <w:p>
      <w:pPr>
        <w:spacing w:after="0" w:line="183" w:lineRule="exact"/>
        <w:rPr>
          <w:rFonts w:ascii="Arial" w:cs="Arial" w:eastAsia="Arial" w:hAnsi="Arial"/>
          <w:sz w:val="17"/>
          <w:szCs w:val="17"/>
          <w:color w:val="auto"/>
        </w:rPr>
      </w:pPr>
    </w:p>
    <w:p>
      <w:pPr>
        <w:ind w:left="480" w:hanging="47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September 30, 2021, the total U.S. dollar equivalent of the notional amount of these derivative instruments was $52.3 million.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September 30,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5"/>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0"/>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57"/>
        </w:trPr>
        <w:tc>
          <w:tcPr>
            <w:tcW w:w="3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6,749.0</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4,537.6 (b)</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r>
      <w:tr>
        <w:trPr>
          <w:trHeight w:val="199"/>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3,337.1</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1,651.2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September 30, 2021, the option expiration period on each of our swaptions had expired.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Notional amount due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210"/>
        </w:trPr>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from counterparty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3"/>
        </w:trPr>
        <w:tc>
          <w:tcPr>
            <w:tcW w:w="7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17"/>
              <w:spacing w:after="0"/>
              <w:rPr>
                <w:sz w:val="20"/>
                <w:szCs w:val="20"/>
                <w:color w:val="auto"/>
              </w:rPr>
            </w:pPr>
            <w:r>
              <w:rPr>
                <w:rFonts w:ascii="Arial" w:cs="Arial" w:eastAsia="Arial" w:hAnsi="Arial"/>
                <w:sz w:val="16"/>
                <w:szCs w:val="16"/>
                <w:b w:val="1"/>
                <w:bCs w:val="1"/>
                <w:color w:val="auto"/>
                <w:w w:val="88"/>
              </w:rPr>
              <w:t>in millions</w:t>
            </w:r>
          </w:p>
        </w:tc>
        <w:tc>
          <w:tcPr>
            <w:tcW w:w="38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203"/>
        </w:trPr>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2,625.0 (a)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59"/>
        </w:trPr>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2,295.0 (a)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383"/>
        </w:trPr>
        <w:tc>
          <w:tcPr>
            <w:tcW w:w="7640" w:type="dxa"/>
            <w:vAlign w:val="bottom"/>
          </w:tcPr>
          <w:p>
            <w:pPr>
              <w:spacing w:after="0"/>
              <w:rPr>
                <w:sz w:val="20"/>
                <w:szCs w:val="20"/>
                <w:color w:val="auto"/>
              </w:rPr>
            </w:pPr>
            <w:r>
              <w:rPr>
                <w:rFonts w:ascii="Arial" w:cs="Arial" w:eastAsia="Arial" w:hAnsi="Arial"/>
                <w:sz w:val="18"/>
                <w:szCs w:val="18"/>
                <w:color w:val="auto"/>
              </w:rPr>
              <w:t>______________</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2021, we had no interest rate collar agreements, and the total U.S. dollar equivalents of the notional amounts of our purchased interest rate caps and floors were $1.5 billion and $7.8 billion,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87"/>
              </w:rPr>
              <w:t>Increase to</w:t>
            </w:r>
          </w:p>
        </w:tc>
      </w:tr>
      <w:tr>
        <w:trPr>
          <w:trHeight w:val="159"/>
        </w:trPr>
        <w:tc>
          <w:tcPr>
            <w:tcW w:w="9060" w:type="dxa"/>
            <w:vAlign w:val="bottom"/>
          </w:tcPr>
          <w:p>
            <w:pPr>
              <w:spacing w:after="0"/>
              <w:rPr>
                <w:sz w:val="13"/>
                <w:szCs w:val="13"/>
                <w:color w:val="auto"/>
              </w:rPr>
            </w:pPr>
          </w:p>
        </w:tc>
        <w:tc>
          <w:tcPr>
            <w:tcW w:w="21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borrowing costs at</w:t>
            </w:r>
          </w:p>
        </w:tc>
      </w:tr>
      <w:tr>
        <w:trPr>
          <w:trHeight w:val="210"/>
        </w:trPr>
        <w:tc>
          <w:tcPr>
            <w:tcW w:w="906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September 30, 2021 (a)</w:t>
            </w:r>
          </w:p>
        </w:tc>
      </w:tr>
      <w:tr>
        <w:trPr>
          <w:trHeight w:val="194"/>
        </w:trPr>
        <w:tc>
          <w:tcPr>
            <w:tcW w:w="90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5"/>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r>
      <w:tr>
        <w:trPr>
          <w:trHeight w:val="225"/>
        </w:trPr>
        <w:tc>
          <w:tcPr>
            <w:tcW w:w="9060" w:type="dxa"/>
            <w:vAlign w:val="bottom"/>
          </w:tcPr>
          <w:p>
            <w:pPr>
              <w:ind w:left="20"/>
              <w:spacing w:after="0"/>
              <w:rPr>
                <w:sz w:val="20"/>
                <w:szCs w:val="20"/>
                <w:color w:val="auto"/>
              </w:rPr>
            </w:pPr>
            <w:r>
              <w:rPr>
                <w:rFonts w:ascii="Arial" w:cs="Arial" w:eastAsia="Arial" w:hAnsi="Arial"/>
                <w:sz w:val="18"/>
                <w:szCs w:val="18"/>
                <w:color w:val="auto"/>
              </w:rPr>
              <w:t>Telenet</w:t>
            </w:r>
          </w:p>
        </w:tc>
        <w:tc>
          <w:tcPr>
            <w:tcW w:w="2180" w:type="dxa"/>
            <w:vAlign w:val="bottom"/>
          </w:tcPr>
          <w:p>
            <w:pPr>
              <w:jc w:val="right"/>
              <w:spacing w:after="0"/>
              <w:rPr>
                <w:sz w:val="20"/>
                <w:szCs w:val="20"/>
                <w:color w:val="auto"/>
              </w:rPr>
            </w:pPr>
            <w:r>
              <w:rPr>
                <w:rFonts w:ascii="Arial" w:cs="Arial" w:eastAsia="Arial" w:hAnsi="Arial"/>
                <w:sz w:val="18"/>
                <w:szCs w:val="18"/>
                <w:color w:val="auto"/>
              </w:rPr>
              <w:t>0.24 %</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18"/>
        </w:trPr>
        <w:tc>
          <w:tcPr>
            <w:tcW w:w="9060" w:type="dxa"/>
            <w:vAlign w:val="bottom"/>
          </w:tcPr>
          <w:p>
            <w:pPr>
              <w:ind w:left="120"/>
              <w:spacing w:after="0" w:line="204" w:lineRule="exact"/>
              <w:rPr>
                <w:sz w:val="20"/>
                <w:szCs w:val="20"/>
                <w:color w:val="auto"/>
              </w:rPr>
            </w:pPr>
            <w:r>
              <w:rPr>
                <w:rFonts w:ascii="Arial" w:cs="Arial" w:eastAsia="Arial" w:hAnsi="Arial"/>
                <w:sz w:val="18"/>
                <w:szCs w:val="18"/>
                <w:color w:val="auto"/>
              </w:rPr>
              <w:t>Total increase to borrowing costs</w:t>
            </w:r>
          </w:p>
        </w:tc>
        <w:tc>
          <w:tcPr>
            <w:tcW w:w="2180" w:type="dxa"/>
            <w:vAlign w:val="bottom"/>
          </w:tcPr>
          <w:p>
            <w:pPr>
              <w:jc w:val="right"/>
              <w:spacing w:after="0"/>
              <w:rPr>
                <w:sz w:val="20"/>
                <w:szCs w:val="20"/>
                <w:color w:val="auto"/>
              </w:rPr>
            </w:pPr>
            <w:r>
              <w:rPr>
                <w:rFonts w:ascii="Arial" w:cs="Arial" w:eastAsia="Arial" w:hAnsi="Arial"/>
                <w:sz w:val="18"/>
                <w:szCs w:val="18"/>
                <w:color w:val="auto"/>
              </w:rPr>
              <w:t>0.20 %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September 30, 2021 and does not include forward-starting derivative instruments.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September 30, 2021, the total U.S. dollar equivalent of the notional amounts of our foreign currency forward and option contracts was $2.3 billion.</w:t>
      </w:r>
    </w:p>
    <w:p>
      <w:pPr>
        <w:spacing w:after="0" w:line="178" w:lineRule="exact"/>
        <w:rPr>
          <w:sz w:val="20"/>
          <w:szCs w:val="20"/>
          <w:color w:val="auto"/>
        </w:rPr>
      </w:pPr>
    </w:p>
    <w:p>
      <w:pPr>
        <w:ind w:left="380" w:hanging="374"/>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September 30, 2021 are unlikely to represent the value that will be paid or received upon the ultimate settlement or disposition of these assets and liabilities.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VMED O2 JV. These nonrecurring valuations include the valuation of reporting units, customer relationship and other intangible assets, property and equipment, the implied value of goodwill and the valuation of our initial investment in the VMED O2 JV. The valuation of reporting units and our initial investment in the VMED O2 JV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nine months ended September 30, 2021, we performed a nonrecurring valuation for the purpose of determining the fair value of our initial investment in the VMED O2 JV, and the weighted average cost of capital used to value our initial investment was 6.9%. During the nine months ended September 30, 2020, we did not perform any significant nonrecurring fair value measurements. For information regarding our investment in the VMED O2 JV, see note 5.</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6"/>
          </w:tcPr>
          <w:p>
            <w:pPr>
              <w:jc w:val="center"/>
              <w:ind w:left="875"/>
              <w:spacing w:after="0"/>
              <w:rPr>
                <w:sz w:val="20"/>
                <w:szCs w:val="20"/>
                <w:color w:val="auto"/>
              </w:rPr>
            </w:pPr>
            <w:r>
              <w:rPr>
                <w:rFonts w:ascii="Arial" w:cs="Arial" w:eastAsia="Arial" w:hAnsi="Arial"/>
                <w:sz w:val="16"/>
                <w:szCs w:val="16"/>
                <w:b w:val="1"/>
                <w:bCs w:val="1"/>
                <w:color w:val="auto"/>
                <w:w w:val="89"/>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895"/>
              <w:spacing w:after="0"/>
              <w:rPr>
                <w:sz w:val="20"/>
                <w:szCs w:val="20"/>
                <w:color w:val="auto"/>
              </w:rPr>
            </w:pPr>
            <w:r>
              <w:rPr>
                <w:rFonts w:ascii="Arial" w:cs="Arial" w:eastAsia="Arial" w:hAnsi="Arial"/>
                <w:sz w:val="16"/>
                <w:szCs w:val="16"/>
                <w:b w:val="1"/>
                <w:bCs w:val="1"/>
                <w:color w:val="auto"/>
                <w:w w:val="88"/>
              </w:rPr>
              <w:t>September 30, 2021 using:</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3"/>
                <w:szCs w:val="13"/>
                <w:color w:val="auto"/>
              </w:rPr>
            </w:pPr>
          </w:p>
        </w:tc>
        <w:tc>
          <w:tcPr>
            <w:tcW w:w="1100" w:type="dxa"/>
            <w:vAlign w:val="bottom"/>
            <w:vMerge w:val="restart"/>
          </w:tcPr>
          <w:p>
            <w:pPr>
              <w:jc w:val="center"/>
              <w:ind w:right="11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80" w:type="dxa"/>
            <w:vAlign w:val="bottom"/>
          </w:tcPr>
          <w:p>
            <w:pPr>
              <w:spacing w:after="0"/>
              <w:rPr>
                <w:sz w:val="13"/>
                <w:szCs w:val="13"/>
                <w:color w:val="auto"/>
              </w:rPr>
            </w:pPr>
          </w:p>
        </w:tc>
        <w:tc>
          <w:tcPr>
            <w:tcW w:w="1120" w:type="dxa"/>
            <w:vAlign w:val="bottom"/>
            <w:gridSpan w:val="2"/>
          </w:tcPr>
          <w:p>
            <w:pPr>
              <w:jc w:val="center"/>
              <w:ind w:right="400"/>
              <w:spacing w:after="0" w:line="159" w:lineRule="exact"/>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4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(Level 2)</w:t>
            </w:r>
          </w:p>
        </w:tc>
        <w:tc>
          <w:tcPr>
            <w:tcW w:w="20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3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6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6"/>
        </w:trPr>
        <w:tc>
          <w:tcPr>
            <w:tcW w:w="4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5"/>
        </w:trPr>
        <w:tc>
          <w:tcPr>
            <w:tcW w:w="476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9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SMAs</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investments</w:t>
            </w: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investments</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8"/>
        </w:trPr>
        <w:tc>
          <w:tcPr>
            <w:tcW w:w="476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5,308.6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1,359.2</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2,786.2</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gridSpan w:val="2"/>
          </w:tcPr>
          <w:p>
            <w:pPr>
              <w:ind w:left="300"/>
              <w:spacing w:after="0"/>
              <w:rPr>
                <w:sz w:val="20"/>
                <w:szCs w:val="20"/>
                <w:color w:val="auto"/>
              </w:rPr>
            </w:pPr>
            <w:r>
              <w:rPr>
                <w:rFonts w:ascii="Arial" w:cs="Arial" w:eastAsia="Arial" w:hAnsi="Arial"/>
                <w:sz w:val="18"/>
                <w:szCs w:val="18"/>
                <w:color w:val="auto"/>
              </w:rPr>
              <w:t>Cross-currency and interest rate derivative contracts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forward and option contracts</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76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liabilities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7"/>
        </w:trPr>
        <w:tc>
          <w:tcPr>
            <w:tcW w:w="1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6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center"/>
              <w:ind w:left="855"/>
              <w:spacing w:after="0"/>
              <w:rPr>
                <w:sz w:val="20"/>
                <w:szCs w:val="20"/>
                <w:color w:val="auto"/>
              </w:rPr>
            </w:pPr>
            <w:r>
              <w:rPr>
                <w:rFonts w:ascii="Arial" w:cs="Arial" w:eastAsia="Arial" w:hAnsi="Arial"/>
                <w:sz w:val="16"/>
                <w:szCs w:val="16"/>
                <w:b w:val="1"/>
                <w:bCs w:val="1"/>
                <w:color w:val="auto"/>
                <w:w w:val="89"/>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915"/>
              <w:spacing w:after="0"/>
              <w:rPr>
                <w:sz w:val="20"/>
                <w:szCs w:val="20"/>
                <w:color w:val="auto"/>
              </w:rPr>
            </w:pPr>
            <w:r>
              <w:rPr>
                <w:rFonts w:ascii="Arial" w:cs="Arial" w:eastAsia="Arial" w:hAnsi="Arial"/>
                <w:sz w:val="16"/>
                <w:szCs w:val="16"/>
                <w:b w:val="1"/>
                <w:bCs w:val="1"/>
                <w:color w:val="auto"/>
                <w:w w:val="88"/>
              </w:rPr>
              <w:t>December 31, 2020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3"/>
                <w:szCs w:val="13"/>
                <w:color w:val="auto"/>
              </w:rPr>
            </w:pPr>
          </w:p>
        </w:tc>
        <w:tc>
          <w:tcPr>
            <w:tcW w:w="112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8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20" w:type="dxa"/>
            <w:vAlign w:val="bottom"/>
            <w:gridSpan w:val="2"/>
          </w:tcPr>
          <w:p>
            <w:pPr>
              <w:ind w:left="380"/>
              <w:spacing w:after="0" w:line="204" w:lineRule="exact"/>
              <w:rPr>
                <w:sz w:val="20"/>
                <w:szCs w:val="20"/>
                <w:color w:val="auto"/>
              </w:rPr>
            </w:pPr>
            <w:r>
              <w:rPr>
                <w:rFonts w:ascii="Arial" w:cs="Arial" w:eastAsia="Arial" w:hAnsi="Arial"/>
                <w:sz w:val="18"/>
                <w:szCs w:val="18"/>
                <w:color w:val="auto"/>
              </w:rPr>
              <w:t>Total derivative instruments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06"/>
        </w:trPr>
        <w:tc>
          <w:tcPr>
            <w:tcW w:w="5720" w:type="dxa"/>
            <w:vAlign w:val="bottom"/>
            <w:tcBorders>
              <w:top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Investments:</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SMAs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CCEEFF"/>
            </w:tcBorders>
            <w:gridSpan w:val="2"/>
          </w:tcPr>
          <w:p>
            <w:pPr>
              <w:ind w:left="380"/>
              <w:spacing w:after="0" w:line="204" w:lineRule="exact"/>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2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720" w:type="dxa"/>
            <w:vAlign w:val="bottom"/>
            <w:gridSpan w:val="2"/>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Cross-currency,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Equity-related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2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0"/>
              </w:rPr>
              <w:t>derivative</w:t>
            </w:r>
          </w:p>
        </w:tc>
        <w:tc>
          <w:tcPr>
            <w:tcW w:w="260" w:type="dxa"/>
            <w:vAlign w:val="bottom"/>
          </w:tcPr>
          <w:p>
            <w:pPr>
              <w:spacing w:after="0"/>
              <w:rPr>
                <w:sz w:val="13"/>
                <w:szCs w:val="13"/>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6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derivative contracts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instruments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Gains included in earnings from continuing operations (a):</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73"/>
        </w:trPr>
        <w:tc>
          <w:tcPr>
            <w:tcW w:w="5840" w:type="dxa"/>
            <w:vAlign w:val="bottom"/>
          </w:tcPr>
          <w:p>
            <w:pPr>
              <w:ind w:left="260"/>
              <w:spacing w:after="0" w:line="173" w:lineRule="exact"/>
              <w:rPr>
                <w:sz w:val="20"/>
                <w:szCs w:val="20"/>
                <w:color w:val="auto"/>
              </w:rPr>
            </w:pPr>
            <w:r>
              <w:rPr>
                <w:rFonts w:ascii="Arial" w:cs="Arial" w:eastAsia="Arial" w:hAnsi="Arial"/>
                <w:sz w:val="18"/>
                <w:szCs w:val="18"/>
                <w:color w:val="auto"/>
              </w:rPr>
              <w:t>Realized and unrealized gains due to changes in fair values of certain</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224"/>
        </w:trPr>
        <w:tc>
          <w:tcPr>
            <w:tcW w:w="5840" w:type="dxa"/>
            <w:vAlign w:val="bottom"/>
          </w:tcPr>
          <w:p>
            <w:pPr>
              <w:ind w:left="420"/>
              <w:spacing w:after="0"/>
              <w:rPr>
                <w:sz w:val="20"/>
                <w:szCs w:val="20"/>
                <w:color w:val="auto"/>
              </w:rPr>
            </w:pPr>
            <w:r>
              <w:rPr>
                <w:rFonts w:ascii="Arial" w:cs="Arial" w:eastAsia="Arial" w:hAnsi="Arial"/>
                <w:sz w:val="18"/>
                <w:szCs w:val="18"/>
                <w:color w:val="auto"/>
              </w:rPr>
              <w:t>investments and debt, net</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ITV Collar</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174"/>
        </w:trPr>
        <w:tc>
          <w:tcPr>
            <w:tcW w:w="58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2"/>
              </w:rPr>
              <w:t>Derivative instruments contributed to the VMED O2 JV in connection with the</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U.K. JV Transaction</w:t>
            </w: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9"/>
        </w:trPr>
        <w:tc>
          <w:tcPr>
            <w:tcW w:w="5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Most of these net gains relate to assets and liabilities that we continue to carry on our condensed consolidated balance sheet as of September 30, 2021.</w:t>
      </w:r>
    </w:p>
    <w:p>
      <w:pPr>
        <w:spacing w:after="0" w:line="27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r>
      <w:tr>
        <w:trPr>
          <w:trHeight w:val="203"/>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jc w:val="right"/>
              <w:ind w:right="95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9,646.4</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Customer premises 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1,447.7</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equipment, buildings and land</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4,366.7</w:t>
            </w:r>
          </w:p>
        </w:tc>
      </w:tr>
      <w:tr>
        <w:trPr>
          <w:trHeight w:val="218"/>
        </w:trPr>
        <w:tc>
          <w:tcPr>
            <w:tcW w:w="8460" w:type="dxa"/>
            <w:vAlign w:val="bottom"/>
          </w:tcPr>
          <w:p>
            <w:pPr>
              <w:jc w:val="right"/>
              <w:ind w:right="5632"/>
              <w:spacing w:after="0" w:line="204" w:lineRule="exact"/>
              <w:rPr>
                <w:sz w:val="20"/>
                <w:szCs w:val="20"/>
                <w:color w:val="auto"/>
              </w:rPr>
            </w:pPr>
            <w:r>
              <w:rPr>
                <w:rFonts w:ascii="Arial" w:cs="Arial" w:eastAsia="Arial" w:hAnsi="Arial"/>
                <w:sz w:val="18"/>
                <w:szCs w:val="18"/>
                <w:color w:val="auto"/>
                <w:w w:val="94"/>
              </w:rPr>
              <w:t>Total property and equipment, gross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15,460.8</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(7,834.2)</w:t>
            </w:r>
          </w:p>
        </w:tc>
      </w:tr>
      <w:tr>
        <w:trPr>
          <w:trHeight w:val="218"/>
        </w:trPr>
        <w:tc>
          <w:tcPr>
            <w:tcW w:w="8460" w:type="dxa"/>
            <w:vAlign w:val="bottom"/>
          </w:tcPr>
          <w:p>
            <w:pPr>
              <w:jc w:val="right"/>
              <w:ind w:right="5632"/>
              <w:spacing w:after="0" w:line="204" w:lineRule="exact"/>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7,626.6</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nine months ended September 30, 2021 and 2020, we recorded non-cash increases to our property and equipment related to vendor financing arrangements (including amounts related to the U.K. JV Entities through the closing of the U.K. JV Transaction) of $599.6 million and $1,011.7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$75.9 million and $172.5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the nine months ended September 30, 2021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Acquisitions</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3"/>
                <w:szCs w:val="13"/>
                <w:color w:val="auto"/>
              </w:rPr>
            </w:pPr>
          </w:p>
        </w:tc>
        <w:tc>
          <w:tcPr>
            <w:tcW w:w="120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59"/>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January 1, 2021</w:t>
            </w: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and related</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adjustments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2,634.5</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4"/>
        </w:trPr>
        <w:tc>
          <w:tcPr>
            <w:tcW w:w="558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2020</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5"/>
        </w:trPr>
        <w:tc>
          <w:tcPr>
            <w:tcW w:w="346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w w:val="92"/>
              </w:rPr>
              <w:t>Net carrying</w:t>
            </w:r>
          </w:p>
        </w:tc>
        <w:tc>
          <w:tcPr>
            <w:tcW w:w="12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55"/>
              <w:spacing w:after="0" w:line="155" w:lineRule="exact"/>
              <w:rPr>
                <w:sz w:val="20"/>
                <w:szCs w:val="20"/>
                <w:color w:val="auto"/>
              </w:rPr>
            </w:pPr>
            <w:r>
              <w:rPr>
                <w:rFonts w:ascii="Arial" w:cs="Arial" w:eastAsia="Arial" w:hAnsi="Arial"/>
                <w:sz w:val="16"/>
                <w:szCs w:val="16"/>
                <w:b w:val="1"/>
                <w:bCs w:val="1"/>
                <w:color w:val="auto"/>
                <w:w w:val="94"/>
              </w:rPr>
              <w:t>Net carrying</w:t>
            </w:r>
          </w:p>
        </w:tc>
      </w:tr>
      <w:tr>
        <w:trPr>
          <w:trHeight w:val="210"/>
        </w:trPr>
        <w:tc>
          <w:tcPr>
            <w:tcW w:w="3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w w:val="86"/>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amount</w:t>
            </w:r>
          </w:p>
        </w:tc>
      </w:tr>
      <w:tr>
        <w:trPr>
          <w:trHeight w:val="203"/>
        </w:trPr>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50"/>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r>
      <w:tr>
        <w:trPr>
          <w:trHeight w:val="225"/>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r>
      <w:tr>
        <w:trPr>
          <w:trHeight w:val="238"/>
        </w:trPr>
        <w:tc>
          <w:tcPr>
            <w:tcW w:w="346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6"/>
                <w:szCs w:val="16"/>
                <w:b w:val="1"/>
                <w:bCs w:val="1"/>
                <w:color w:val="auto"/>
                <w:w w:val="86"/>
              </w:rPr>
              <w:t>September 30, 2021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3"/>
          </w:tcPr>
          <w:p>
            <w:pPr>
              <w:jc w:val="right"/>
              <w:ind w:right="594"/>
              <w:spacing w:after="0" w:line="155" w:lineRule="exact"/>
              <w:rPr>
                <w:sz w:val="20"/>
                <w:szCs w:val="20"/>
                <w:color w:val="auto"/>
              </w:rPr>
            </w:pPr>
            <w:r>
              <w:rPr>
                <w:rFonts w:ascii="Arial" w:cs="Arial" w:eastAsia="Arial" w:hAnsi="Arial"/>
                <w:sz w:val="16"/>
                <w:szCs w:val="16"/>
                <w:b w:val="1"/>
                <w:bCs w:val="1"/>
                <w:color w:val="auto"/>
              </w:rPr>
              <w:t>Unused borrowing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2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gridSpan w:val="3"/>
            <w:vMerge w:val="restart"/>
          </w:tcPr>
          <w:p>
            <w:pPr>
              <w:jc w:val="right"/>
              <w:ind w:right="834"/>
              <w:spacing w:after="0"/>
              <w:rPr>
                <w:sz w:val="20"/>
                <w:szCs w:val="20"/>
                <w:color w:val="auto"/>
              </w:rPr>
            </w:pPr>
            <w:r>
              <w:rPr>
                <w:rFonts w:ascii="Arial" w:cs="Arial" w:eastAsia="Arial" w:hAnsi="Arial"/>
                <w:sz w:val="16"/>
                <w:szCs w:val="16"/>
                <w:b w:val="1"/>
                <w:bCs w:val="1"/>
                <w:color w:val="auto"/>
              </w:rPr>
              <w:t>capacity (b)</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2580" w:type="dxa"/>
            <w:vAlign w:val="bottom"/>
            <w:gridSpan w:val="4"/>
            <w:vMerge w:val="restart"/>
          </w:tcPr>
          <w:p>
            <w:pPr>
              <w:jc w:val="right"/>
              <w:ind w:right="67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4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74"/>
              <w:spacing w:after="0" w:line="181" w:lineRule="exact"/>
              <w:rPr>
                <w:sz w:val="20"/>
                <w:szCs w:val="20"/>
                <w:color w:val="auto"/>
              </w:rPr>
            </w:pPr>
            <w:r>
              <w:rPr>
                <w:rFonts w:ascii="Arial" w:cs="Arial" w:eastAsia="Arial" w:hAnsi="Arial"/>
                <w:sz w:val="16"/>
                <w:szCs w:val="16"/>
                <w:b w:val="1"/>
                <w:bCs w:val="1"/>
                <w:color w:val="auto"/>
                <w:w w:val="99"/>
              </w:rPr>
              <w:t>Borrowing</w:t>
            </w:r>
          </w:p>
        </w:tc>
        <w:tc>
          <w:tcPr>
            <w:tcW w:w="200" w:type="dxa"/>
            <w:vAlign w:val="bottom"/>
          </w:tcPr>
          <w:p>
            <w:pPr>
              <w:spacing w:after="0" w:line="20" w:lineRule="exact"/>
              <w:rPr>
                <w:sz w:val="1"/>
                <w:szCs w:val="1"/>
                <w:color w:val="auto"/>
              </w:rPr>
            </w:pPr>
          </w:p>
        </w:tc>
        <w:tc>
          <w:tcPr>
            <w:tcW w:w="1160" w:type="dxa"/>
            <w:vAlign w:val="bottom"/>
            <w:gridSpan w:val="2"/>
            <w:vMerge w:val="restart"/>
          </w:tcPr>
          <w:p>
            <w:pPr>
              <w:jc w:val="center"/>
              <w:ind w:right="300"/>
              <w:spacing w:after="0" w:line="181" w:lineRule="exact"/>
              <w:rPr>
                <w:sz w:val="20"/>
                <w:szCs w:val="20"/>
                <w:color w:val="auto"/>
              </w:rPr>
            </w:pPr>
            <w:r>
              <w:rPr>
                <w:rFonts w:ascii="Arial" w:cs="Arial" w:eastAsia="Arial" w:hAnsi="Arial"/>
                <w:sz w:val="16"/>
                <w:szCs w:val="16"/>
                <w:b w:val="1"/>
                <w:bCs w:val="1"/>
                <w:color w:val="auto"/>
                <w:w w:val="94"/>
              </w:rPr>
              <w:t>U.S. $</w:t>
            </w:r>
          </w:p>
        </w:tc>
        <w:tc>
          <w:tcPr>
            <w:tcW w:w="140" w:type="dxa"/>
            <w:vAlign w:val="bottom"/>
          </w:tcPr>
          <w:p>
            <w:pPr>
              <w:spacing w:after="0" w:line="20" w:lineRule="exact"/>
              <w:rPr>
                <w:sz w:val="1"/>
                <w:szCs w:val="1"/>
                <w:color w:val="auto"/>
              </w:rPr>
            </w:pPr>
          </w:p>
        </w:tc>
        <w:tc>
          <w:tcPr>
            <w:tcW w:w="1300" w:type="dxa"/>
            <w:vAlign w:val="bottom"/>
            <w:gridSpan w:val="2"/>
            <w:vMerge w:val="restart"/>
          </w:tcPr>
          <w:p>
            <w:pPr>
              <w:ind w:left="40"/>
              <w:spacing w:after="0" w:line="181"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line="20" w:lineRule="exact"/>
              <w:rPr>
                <w:sz w:val="1"/>
                <w:szCs w:val="1"/>
                <w:color w:val="auto"/>
              </w:rPr>
            </w:pPr>
          </w:p>
        </w:tc>
        <w:tc>
          <w:tcPr>
            <w:tcW w:w="1140" w:type="dxa"/>
            <w:vAlign w:val="bottom"/>
            <w:vMerge w:val="restart"/>
          </w:tcPr>
          <w:p>
            <w:pPr>
              <w:jc w:val="right"/>
              <w:ind w:right="93"/>
              <w:spacing w:after="0" w:line="18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line="20" w:lineRule="exact"/>
              <w:rPr>
                <w:sz w:val="1"/>
                <w:szCs w:val="1"/>
                <w:color w:val="auto"/>
              </w:rPr>
            </w:pPr>
          </w:p>
        </w:tc>
      </w:tr>
      <w:tr>
        <w:trPr>
          <w:trHeight w:val="159"/>
        </w:trPr>
        <w:tc>
          <w:tcPr>
            <w:tcW w:w="4260" w:type="dxa"/>
            <w:vAlign w:val="bottom"/>
          </w:tcPr>
          <w:p>
            <w:pPr>
              <w:spacing w:after="0"/>
              <w:rPr>
                <w:sz w:val="13"/>
                <w:szCs w:val="13"/>
                <w:color w:val="auto"/>
              </w:rPr>
            </w:pPr>
          </w:p>
        </w:tc>
        <w:tc>
          <w:tcPr>
            <w:tcW w:w="14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currency</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equivalent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ind w:left="80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716.2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4,767.1</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UPCB SPE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4.43 %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400" w:type="dxa"/>
            <w:vAlign w:val="bottom"/>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3,652.0</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4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financing (f)</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ITV Collar Loan (g)</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153"/>
        </w:trPr>
        <w:tc>
          <w:tcPr>
            <w:tcW w:w="4260" w:type="dxa"/>
            <w:vAlign w:val="bottom"/>
          </w:tcPr>
          <w:p>
            <w:pPr>
              <w:ind w:left="220"/>
              <w:spacing w:after="0" w:line="154" w:lineRule="exact"/>
              <w:rPr>
                <w:sz w:val="20"/>
                <w:szCs w:val="20"/>
                <w:color w:val="auto"/>
              </w:rPr>
            </w:pPr>
            <w:r>
              <w:rPr>
                <w:rFonts w:ascii="Arial" w:cs="Arial" w:eastAsia="Arial" w:hAnsi="Arial"/>
                <w:sz w:val="17"/>
                <w:szCs w:val="17"/>
                <w:color w:val="auto"/>
                <w:w w:val="93"/>
              </w:rPr>
              <w:t>Total debt before deferred financing costs, discounts and</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1,586.4</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14,650.9</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14,516.3</w:t>
            </w:r>
          </w:p>
        </w:tc>
        <w:tc>
          <w:tcPr>
            <w:tcW w:w="0" w:type="dxa"/>
            <w:vAlign w:val="bottom"/>
          </w:tcPr>
          <w:p>
            <w:pPr>
              <w:spacing w:after="0"/>
              <w:rPr>
                <w:sz w:val="1"/>
                <w:szCs w:val="1"/>
                <w:color w:val="auto"/>
              </w:rPr>
            </w:pPr>
          </w:p>
        </w:tc>
      </w:tr>
      <w:tr>
        <w:trPr>
          <w:trHeight w:val="203"/>
        </w:trPr>
        <w:tc>
          <w:tcPr>
            <w:tcW w:w="4260" w:type="dxa"/>
            <w:vAlign w:val="bottom"/>
          </w:tcPr>
          <w:p>
            <w:pPr>
              <w:ind w:left="380"/>
              <w:spacing w:after="0" w:line="198" w:lineRule="exact"/>
              <w:rPr>
                <w:sz w:val="20"/>
                <w:szCs w:val="20"/>
                <w:color w:val="auto"/>
              </w:rPr>
            </w:pPr>
            <w:r>
              <w:rPr>
                <w:rFonts w:ascii="Arial" w:cs="Arial" w:eastAsia="Arial" w:hAnsi="Arial"/>
                <w:sz w:val="18"/>
                <w:szCs w:val="18"/>
                <w:color w:val="auto"/>
              </w:rPr>
              <w:t>premiums (h)</w:t>
            </w: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14,516.3</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14,397.9</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r>
      <w:tr>
        <w:trPr>
          <w:trHeight w:val="21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14,947.4</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49" w:lineRule="auto"/>
        <w:tabs>
          <w:tab w:leader="none" w:pos="4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September 30, 2021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the weighted average interest rate on our aggregate variable- and fixed-rate indebtedness was 3.54% at September 30, 2021. For information regarding our derivative instruments, see note 6.</w:t>
      </w:r>
    </w:p>
    <w:p>
      <w:pPr>
        <w:spacing w:after="0" w:line="222" w:lineRule="exact"/>
        <w:rPr>
          <w:rFonts w:ascii="Arial" w:cs="Arial" w:eastAsia="Arial" w:hAnsi="Arial"/>
          <w:sz w:val="18"/>
          <w:szCs w:val="18"/>
          <w:color w:val="auto"/>
        </w:rPr>
      </w:pPr>
    </w:p>
    <w:p>
      <w:pPr>
        <w:jc w:val="both"/>
        <w:ind w:left="480" w:hanging="474"/>
        <w:spacing w:after="0" w:line="252" w:lineRule="auto"/>
        <w:tabs>
          <w:tab w:leader="none" w:pos="4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September 30, 2021 without regard to covenant compliance calculations or other conditions precedent to borrowing. The following table provides our borrowing availability and amounts available to loan or distribute under each of the respective subsidiary facilities, based on the most restrictive applicable leverage covenants and leverage-based restricted payment tests, (i) 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spacing w:after="0" w:line="330" w:lineRule="auto"/>
        <w:rPr>
          <w:sz w:val="20"/>
          <w:szCs w:val="20"/>
          <w:color w:val="auto"/>
        </w:rPr>
      </w:pPr>
      <w:r>
        <w:rPr>
          <w:rFonts w:ascii="Arial" w:cs="Arial" w:eastAsia="Arial" w:hAnsi="Arial"/>
          <w:sz w:val="15"/>
          <w:szCs w:val="15"/>
          <w:color w:val="auto"/>
        </w:rPr>
        <w:t>September 30, 2021 and (ii) upon completion of the relevant September 30, 2021 compliance reporting requirements. These amounts do not consider any actual or potential changes to our borrowing levels or any amounts loaned or distributed subsequent to September 30, 2021, or the impact of additional amounts that may be available to borrow, loan or distribute under certain defined baskets within each respective facility.</w:t>
      </w:r>
    </w:p>
    <w:p>
      <w:pPr>
        <w:spacing w:after="0" w:line="55"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6"/>
                <w:szCs w:val="16"/>
                <w:b w:val="1"/>
                <w:bCs w:val="1"/>
                <w:color w:val="auto"/>
              </w:rPr>
              <w:t>Availability</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gridSpan w:val="3"/>
          </w:tcPr>
          <w:p>
            <w:pPr>
              <w:jc w:val="right"/>
              <w:ind w:right="294"/>
              <w:spacing w:after="0" w:line="155" w:lineRule="exact"/>
              <w:rPr>
                <w:sz w:val="20"/>
                <w:szCs w:val="20"/>
                <w:color w:val="auto"/>
              </w:rPr>
            </w:pPr>
            <w:r>
              <w:rPr>
                <w:rFonts w:ascii="Arial" w:cs="Arial" w:eastAsia="Arial" w:hAnsi="Arial"/>
                <w:sz w:val="16"/>
                <w:szCs w:val="16"/>
                <w:b w:val="1"/>
                <w:bCs w:val="1"/>
                <w:color w:val="auto"/>
                <w:w w:val="89"/>
              </w:rPr>
              <w:t>Upon completion of the relevant</w:t>
            </w: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3"/>
                <w:szCs w:val="13"/>
                <w:color w:val="auto"/>
              </w:rPr>
            </w:pPr>
          </w:p>
        </w:tc>
        <w:tc>
          <w:tcPr>
            <w:tcW w:w="2600" w:type="dxa"/>
            <w:vAlign w:val="bottom"/>
            <w:gridSpan w:val="3"/>
          </w:tcPr>
          <w:p>
            <w:pPr>
              <w:jc w:val="right"/>
              <w:ind w:right="234"/>
              <w:spacing w:after="0" w:line="159" w:lineRule="exact"/>
              <w:rPr>
                <w:sz w:val="20"/>
                <w:szCs w:val="20"/>
                <w:color w:val="auto"/>
              </w:rPr>
            </w:pPr>
            <w:r>
              <w:rPr>
                <w:rFonts w:ascii="Arial" w:cs="Arial" w:eastAsia="Arial" w:hAnsi="Arial"/>
                <w:sz w:val="16"/>
                <w:szCs w:val="16"/>
                <w:b w:val="1"/>
                <w:bCs w:val="1"/>
                <w:color w:val="auto"/>
                <w:w w:val="93"/>
              </w:rPr>
              <w:t>September 30, 2021 compliance</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3"/>
          </w:tcPr>
          <w:p>
            <w:pPr>
              <w:jc w:val="right"/>
              <w:ind w:right="514"/>
              <w:spacing w:after="0"/>
              <w:rPr>
                <w:sz w:val="20"/>
                <w:szCs w:val="20"/>
                <w:color w:val="auto"/>
              </w:rPr>
            </w:pPr>
            <w:r>
              <w:rPr>
                <w:rFonts w:ascii="Arial" w:cs="Arial" w:eastAsia="Arial" w:hAnsi="Arial"/>
                <w:sz w:val="16"/>
                <w:szCs w:val="16"/>
                <w:b w:val="1"/>
                <w:bCs w:val="1"/>
                <w:color w:val="auto"/>
              </w:rPr>
              <w:t>reporting requirements</w:t>
            </w:r>
          </w:p>
        </w:tc>
        <w:tc>
          <w:tcPr>
            <w:tcW w:w="0" w:type="dxa"/>
            <w:vAlign w:val="bottom"/>
          </w:tcPr>
          <w:p>
            <w:pPr>
              <w:spacing w:after="0"/>
              <w:rPr>
                <w:sz w:val="1"/>
                <w:szCs w:val="1"/>
                <w:color w:val="auto"/>
              </w:rPr>
            </w:pPr>
          </w:p>
        </w:tc>
      </w:tr>
      <w:tr>
        <w:trPr>
          <w:trHeight w:val="154"/>
        </w:trPr>
        <w:tc>
          <w:tcPr>
            <w:tcW w:w="4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6"/>
                <w:szCs w:val="16"/>
                <w:b w:val="1"/>
                <w:bCs w:val="1"/>
                <w:color w:val="auto"/>
                <w:w w:val="97"/>
              </w:rPr>
              <w:t>Borrowing</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35"/>
              <w:spacing w:after="0" w:line="155" w:lineRule="exact"/>
              <w:rPr>
                <w:sz w:val="20"/>
                <w:szCs w:val="20"/>
                <w:color w:val="auto"/>
              </w:rPr>
            </w:pPr>
            <w:r>
              <w:rPr>
                <w:rFonts w:ascii="Arial" w:cs="Arial" w:eastAsia="Arial" w:hAnsi="Arial"/>
                <w:sz w:val="16"/>
                <w:szCs w:val="16"/>
                <w:b w:val="1"/>
                <w:bCs w:val="1"/>
                <w:color w:val="auto"/>
                <w:w w:val="89"/>
              </w:rPr>
              <w:t>U.S. $</w:t>
            </w: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6"/>
                <w:szCs w:val="16"/>
                <w:b w:val="1"/>
                <w:bCs w:val="1"/>
                <w:color w:val="auto"/>
              </w:rPr>
              <w:t>Borrowing</w:t>
            </w: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8"/>
              </w:rPr>
              <w:t>equivalent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currency</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5"/>
              </w:rPr>
              <w:t>equivalent</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1016"/>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716.2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828.6</w:t>
            </w:r>
          </w:p>
        </w:tc>
        <w:tc>
          <w:tcPr>
            <w:tcW w:w="1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716.2</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555.0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716.2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716.2</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555.0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642.1</w:t>
            </w:r>
          </w:p>
        </w:tc>
        <w:tc>
          <w:tcPr>
            <w:tcW w:w="1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555.0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80" w:hanging="474"/>
        <w:spacing w:after="0" w:line="298" w:lineRule="auto"/>
        <w:tabs>
          <w:tab w:leader="none" w:pos="4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Unused borrowing capacity under the UPC Holding Bank Facility relates to an equivalent €716.2 million ($828.6 million) under the UPC Revolving Facility, part of which has been made available as an ancillary facility. During 2021, the UPC Revolving Facility was amended to provide for maximum borrowing capacity of €736.4 million ($852.0 million), including €23.0 million ($26.6 million) under the related ancillary facility. With the exception of €20.2 million ($23.4 million) of borrowings under the ancillary facility, the UPC Revolving Facility was undrawn at September 30, 2021.</w:t>
      </w:r>
    </w:p>
    <w:p>
      <w:pPr>
        <w:spacing w:after="0" w:line="2" w:lineRule="exact"/>
        <w:rPr>
          <w:rFonts w:ascii="Arial" w:cs="Arial" w:eastAsia="Arial" w:hAnsi="Arial"/>
          <w:sz w:val="15"/>
          <w:szCs w:val="15"/>
          <w:color w:val="auto"/>
        </w:rPr>
      </w:pPr>
    </w:p>
    <w:p>
      <w:pPr>
        <w:jc w:val="both"/>
        <w:ind w:left="480" w:hanging="474"/>
        <w:spacing w:after="0" w:line="248" w:lineRule="auto"/>
        <w:tabs>
          <w:tab w:leader="none" w:pos="4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($590.1 million) under the Telenet Revolving Facility I, (ii) €25.0 million ($28.9 million) under the Telenet Overdraft Facility and (iii) €20.0 million ($23.1 million) under the Telenet Revolving Facility, each of which were undrawn at September 30, 2021.</w:t>
      </w:r>
    </w:p>
    <w:p>
      <w:pPr>
        <w:spacing w:after="0" w:line="221"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($115.7 million) under the VM Ireland Revolving Facility (as defined below), which was undrawn at September 30, 2021.</w:t>
      </w:r>
    </w:p>
    <w:p>
      <w:pPr>
        <w:spacing w:after="0" w:line="207" w:lineRule="exact"/>
        <w:rPr>
          <w:rFonts w:ascii="Arial" w:cs="Arial" w:eastAsia="Arial" w:hAnsi="Arial"/>
          <w:sz w:val="18"/>
          <w:szCs w:val="18"/>
          <w:color w:val="auto"/>
        </w:rPr>
      </w:pPr>
    </w:p>
    <w:p>
      <w:pPr>
        <w:jc w:val="both"/>
        <w:ind w:left="480" w:hanging="474"/>
        <w:spacing w:after="0" w:line="264" w:lineRule="auto"/>
        <w:tabs>
          <w:tab w:leader="none" w:pos="4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on our condensed consolidated balance sheet. These obligations are generally due within one year and include VAT that was also financed under these arrangements. For purposes of our condensed consolidated statements of cash flows, operating expenses financed by an intermediary are treated as hypothetical operating cash outflows and hypothetical financing cash inflows when the expenses are incurred. During the nine months ended September 30, 2021 and 2020, the hypothetical cash outflow included in cash flows from operating activities and the corresponding hypothetical cash inflow included in cash flows from financing activities related to these operating expenses was $1,657.5 million and $1,995.5 million, respectively. Repayments of vendor financing obligations are included in repayments and repurchases of debt and finance lease obligations in our condensed consolidated statements of cash flows.</w:t>
      </w:r>
    </w:p>
    <w:p>
      <w:pPr>
        <w:spacing w:after="0" w:line="208" w:lineRule="exact"/>
        <w:rPr>
          <w:rFonts w:ascii="Arial" w:cs="Arial" w:eastAsia="Arial" w:hAnsi="Arial"/>
          <w:sz w:val="17"/>
          <w:szCs w:val="17"/>
          <w:color w:val="auto"/>
        </w:rPr>
      </w:pPr>
    </w:p>
    <w:p>
      <w:pPr>
        <w:ind w:left="480" w:hanging="47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described in note 5, the ITV Collar Loan was fully repaid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55"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September 30, 2021 and December 31, 2020, our debt had an estimated fair value of $14.8 billion and $14.7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 General Information</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At September 30, 2021, most of our outstanding debt had been incurred by one of our three subsidiary “borrowing groups.” References to these borrowing groups, which comprise UPC Holding, Telenet and VM Ireland, include their respective restricted parent and subsidiary entities. Below we provide summary descriptions of certain financing transactions completed during the first nine months of 2021. A portion of our financing transactions may include non-cash borrowings and repayments. During the nine months ended September 30, 2021 and 2020, non-cash borrowings and repayments aggregated $2.9 billion and $3.5 billion,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second quarter of 2021, UPC Holding completed a number of financing transactions that generally resulted in lower interest rates and extended maturities, including the issuance of certain senior secured notes and the entrance into certain accession agreements under the UPC Holding Bank Facility. In connection with these transactions, UPC Holding recognized an aggregate loss on debt extinguishment of $90.6 million related to (i) the write-off of $77.7 million of unamortized deferred financing costs and discounts and (ii) the payment of $12.9 million of redemption premiums. In September 2021, Liberty Global entered into an agreement to sell UPC Poland, the proceeds of which are expected to be used, in part, to repay a portion of UPC Holding’s outstanding indebtedness. For additional information, see note 4.</w:t>
      </w:r>
    </w:p>
    <w:p>
      <w:pPr>
        <w:spacing w:after="0" w:line="20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following tables summarize our outstanding indebtedness as of September 30, 2021 with respect to (i) the UPC Holding Bank Facility and (ii) the UPCB SPE Notes, after completion of the aforementioned financing transactions.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74"/>
              <w:spacing w:after="0"/>
              <w:rPr>
                <w:sz w:val="20"/>
                <w:szCs w:val="20"/>
                <w:color w:val="auto"/>
              </w:rPr>
            </w:pPr>
            <w:r>
              <w:rPr>
                <w:rFonts w:ascii="Arial" w:cs="Arial" w:eastAsia="Arial" w:hAnsi="Arial"/>
                <w:sz w:val="16"/>
                <w:szCs w:val="16"/>
                <w:b w:val="1"/>
                <w:bCs w:val="1"/>
                <w:color w:val="auto"/>
                <w:w w:val="90"/>
              </w:rPr>
              <w:t>Facility</w:t>
            </w:r>
          </w:p>
        </w:tc>
        <w:tc>
          <w:tcPr>
            <w:tcW w:w="12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5"/>
              </w:rPr>
              <w:t>Unused</w:t>
            </w: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UPC Holding Bank</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154"/>
              <w:spacing w:after="0" w:line="159" w:lineRule="exact"/>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159"/>
        </w:trPr>
        <w:tc>
          <w:tcPr>
            <w:tcW w:w="1840" w:type="dxa"/>
            <w:vAlign w:val="bottom"/>
            <w:gridSpan w:val="2"/>
            <w:vMerge w:val="continue"/>
          </w:tcPr>
          <w:p>
            <w:pPr>
              <w:spacing w:after="0"/>
              <w:rPr>
                <w:sz w:val="13"/>
                <w:szCs w:val="13"/>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9"/>
              </w:rPr>
              <w:t>Maturity</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Interest rate</w:t>
            </w:r>
          </w:p>
        </w:tc>
        <w:tc>
          <w:tcPr>
            <w:tcW w:w="140" w:type="dxa"/>
            <w:vAlign w:val="bottom"/>
          </w:tcPr>
          <w:p>
            <w:pPr>
              <w:spacing w:after="0"/>
              <w:rPr>
                <w:sz w:val="13"/>
                <w:szCs w:val="13"/>
                <w:color w:val="auto"/>
              </w:rPr>
            </w:pPr>
          </w:p>
        </w:tc>
        <w:tc>
          <w:tcPr>
            <w:tcW w:w="1040" w:type="dxa"/>
            <w:vAlign w:val="bottom"/>
          </w:tcPr>
          <w:p>
            <w:pPr>
              <w:jc w:val="center"/>
              <w:ind w:right="154"/>
              <w:spacing w:after="0" w:line="159" w:lineRule="exact"/>
              <w:rPr>
                <w:sz w:val="20"/>
                <w:szCs w:val="20"/>
                <w:color w:val="auto"/>
              </w:rPr>
            </w:pPr>
            <w:r>
              <w:rPr>
                <w:rFonts w:ascii="Arial" w:cs="Arial" w:eastAsia="Arial" w:hAnsi="Arial"/>
                <w:sz w:val="16"/>
                <w:szCs w:val="16"/>
                <w:b w:val="1"/>
                <w:bCs w:val="1"/>
                <w:color w:val="auto"/>
                <w:w w:val="90"/>
              </w:rPr>
              <w:t>(borrowing</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9"/>
              </w:rPr>
              <w:t>borrowing</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2"/>
              </w:rPr>
              <w:t>principal</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Facility</w:t>
            </w:r>
          </w:p>
        </w:tc>
        <w:tc>
          <w:tcPr>
            <w:tcW w:w="132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180" w:type="dxa"/>
            <w:vAlign w:val="bottom"/>
            <w:gridSpan w:val="2"/>
          </w:tcPr>
          <w:p>
            <w:pPr>
              <w:jc w:val="center"/>
              <w:ind w:right="14"/>
              <w:spacing w:after="0"/>
              <w:rPr>
                <w:sz w:val="20"/>
                <w:szCs w:val="20"/>
                <w:color w:val="auto"/>
              </w:rPr>
            </w:pPr>
            <w:r>
              <w:rPr>
                <w:rFonts w:ascii="Arial" w:cs="Arial" w:eastAsia="Arial" w:hAnsi="Arial"/>
                <w:sz w:val="16"/>
                <w:szCs w:val="16"/>
                <w:b w:val="1"/>
                <w:bCs w:val="1"/>
                <w:color w:val="auto"/>
                <w:w w:val="90"/>
              </w:rPr>
              <w:t>currency) (a)</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capacity</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8"/>
                <w:szCs w:val="18"/>
                <w:color w:val="auto"/>
              </w:rPr>
            </w:pPr>
          </w:p>
        </w:tc>
        <w:tc>
          <w:tcPr>
            <w:tcW w:w="820" w:type="dxa"/>
            <w:vAlign w:val="bottom"/>
          </w:tcPr>
          <w:p>
            <w:pPr>
              <w:jc w:val="right"/>
              <w:ind w:right="73"/>
              <w:spacing w:after="0"/>
              <w:rPr>
                <w:sz w:val="20"/>
                <w:szCs w:val="20"/>
                <w:color w:val="auto"/>
              </w:rPr>
            </w:pPr>
            <w:r>
              <w:rPr>
                <w:rFonts w:ascii="Arial" w:cs="Arial" w:eastAsia="Arial" w:hAnsi="Arial"/>
                <w:sz w:val="16"/>
                <w:szCs w:val="16"/>
                <w:b w:val="1"/>
                <w:bCs w:val="1"/>
                <w:color w:val="auto"/>
                <w:w w:val="97"/>
              </w:rPr>
              <w:t>value (b)</w:t>
            </w:r>
          </w:p>
        </w:tc>
        <w:tc>
          <w:tcPr>
            <w:tcW w:w="0" w:type="dxa"/>
            <w:vAlign w:val="bottom"/>
          </w:tcPr>
          <w:p>
            <w:pPr>
              <w:spacing w:after="0"/>
              <w:rPr>
                <w:sz w:val="1"/>
                <w:szCs w:val="1"/>
                <w:color w:val="auto"/>
              </w:rPr>
            </w:pPr>
          </w:p>
        </w:tc>
      </w:tr>
      <w:tr>
        <w:trPr>
          <w:trHeight w:val="242"/>
        </w:trPr>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AQ (c)</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15, 2029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694.2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6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AT (d)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30, 2028</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+ 2.25%</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3"/>
                <w:szCs w:val="23"/>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6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 (e)</w:t>
            </w:r>
          </w:p>
        </w:tc>
        <w:tc>
          <w:tcPr>
            <w:tcW w:w="2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April 30, 2029   EURIBOR + 2.5%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462.8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AX (d)</w:t>
            </w:r>
          </w:p>
        </w:tc>
        <w:tc>
          <w:tcPr>
            <w:tcW w:w="132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85"/>
              </w:rPr>
              <w:t>January 31,</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LIBOR + 3.0%</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4"/>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1,925.0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1,909.9</w:t>
            </w: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AY (e)</w:t>
            </w:r>
          </w:p>
        </w:tc>
        <w:tc>
          <w:tcPr>
            <w:tcW w:w="132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85"/>
              </w:rPr>
              <w:t>January 31,</w:t>
            </w: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3"/>
              </w:rPr>
              <w:t>EURIBOR + 3.0%</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998.0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24"/>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AZ (c)</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15, 2031</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4.875%</w:t>
            </w:r>
          </w:p>
        </w:tc>
        <w:tc>
          <w:tcPr>
            <w:tcW w:w="1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UPC Revolving Facility</w:t>
            </w:r>
          </w:p>
        </w:tc>
        <w:tc>
          <w:tcPr>
            <w:tcW w:w="282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May 31, 2026   EURIBOR + 2.5%</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820" w:type="dxa"/>
            <w:vAlign w:val="bottom"/>
            <w:gridSpan w:val="4"/>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660" w:type="dxa"/>
            <w:vAlign w:val="bottom"/>
            <w:gridSpan w:val="6"/>
          </w:tcPr>
          <w:p>
            <w:pPr>
              <w:ind w:left="20"/>
              <w:spacing w:after="0"/>
              <w:rPr>
                <w:sz w:val="20"/>
                <w:szCs w:val="20"/>
                <w:color w:val="auto"/>
              </w:rPr>
            </w:pPr>
            <w:r>
              <w:rPr>
                <w:rFonts w:ascii="Arial" w:cs="Arial" w:eastAsia="Arial" w:hAnsi="Arial"/>
                <w:sz w:val="18"/>
                <w:szCs w:val="18"/>
                <w:color w:val="auto"/>
              </w:rPr>
              <w:t>Elimination of Facilities AQ and AZ in consolidation (c)</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(1,944.2)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43"/>
        </w:trPr>
        <w:tc>
          <w:tcPr>
            <w:tcW w:w="1840" w:type="dxa"/>
            <w:vAlign w:val="bottom"/>
            <w:tcBorders>
              <w:top w:val="single" w:sz="8" w:color="CCEEFF"/>
              <w:bottom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4,085.8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described in (c) below, amounts represent total third-party facility amounts at September 30, 2021.</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are net of deferred financing costs and discounts, where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hanging="474"/>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outstanding under UPC Facilities AQ and AZ are eliminated in our condensed consolidated financial statements.</w:t>
      </w:r>
    </w:p>
    <w:p>
      <w:pPr>
        <w:spacing w:after="0" w:line="243" w:lineRule="exact"/>
        <w:rPr>
          <w:rFonts w:ascii="Arial" w:cs="Arial" w:eastAsia="Arial" w:hAnsi="Arial"/>
          <w:sz w:val="18"/>
          <w:szCs w:val="18"/>
          <w:color w:val="auto"/>
        </w:rPr>
      </w:pPr>
    </w:p>
    <w:p>
      <w:pPr>
        <w:ind w:left="580" w:hanging="474"/>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UPC Facilities AT and AX are each subject to a LIBOR floor of 0.0%.</w:t>
      </w:r>
    </w:p>
    <w:p>
      <w:pPr>
        <w:spacing w:after="0" w:line="243" w:lineRule="exact"/>
        <w:rPr>
          <w:rFonts w:ascii="Arial" w:cs="Arial" w:eastAsia="Arial" w:hAnsi="Arial"/>
          <w:sz w:val="18"/>
          <w:szCs w:val="18"/>
          <w:color w:val="auto"/>
        </w:rPr>
      </w:pPr>
    </w:p>
    <w:p>
      <w:pPr>
        <w:ind w:left="580" w:hanging="474"/>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UPC Facilities AU and AY are each subject to a EURIBOR floor of 0.0%.</w:t>
      </w:r>
    </w:p>
    <w:p>
      <w:pPr>
        <w:spacing w:after="0" w:line="243" w:lineRule="exact"/>
        <w:rPr>
          <w:rFonts w:ascii="Arial" w:cs="Arial" w:eastAsia="Arial" w:hAnsi="Arial"/>
          <w:sz w:val="18"/>
          <w:szCs w:val="18"/>
          <w:color w:val="auto"/>
        </w:rPr>
      </w:pPr>
    </w:p>
    <w:p>
      <w:pPr>
        <w:ind w:left="580" w:hanging="474"/>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UPC Revolving Facility has a fee on unused commitments of 1.0% per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right"/>
              <w:ind w:right="375"/>
              <w:spacing w:after="0"/>
              <w:rPr>
                <w:sz w:val="20"/>
                <w:szCs w:val="20"/>
                <w:color w:val="auto"/>
              </w:rPr>
            </w:pPr>
            <w:r>
              <w:rPr>
                <w:rFonts w:ascii="Arial" w:cs="Arial" w:eastAsia="Arial" w:hAnsi="Arial"/>
                <w:sz w:val="16"/>
                <w:szCs w:val="16"/>
                <w:b w:val="1"/>
                <w:bCs w:val="1"/>
                <w:color w:val="auto"/>
              </w:rPr>
              <w:t>Outstanding principal</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jc w:val="right"/>
              <w:ind w:right="795"/>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PCB SPE Notes</w:t>
            </w:r>
          </w:p>
        </w:tc>
        <w:tc>
          <w:tcPr>
            <w:tcW w:w="18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6"/>
              </w:rPr>
              <w:t>Maturity</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Interest rate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88"/>
              </w:rPr>
              <w:t>Original issue</w:t>
            </w:r>
          </w:p>
        </w:tc>
        <w:tc>
          <w:tcPr>
            <w:tcW w:w="160" w:type="dxa"/>
            <w:vAlign w:val="bottom"/>
          </w:tcPr>
          <w:p>
            <w:pPr>
              <w:spacing w:after="0"/>
              <w:rPr>
                <w:sz w:val="16"/>
                <w:szCs w:val="16"/>
                <w:color w:val="auto"/>
              </w:rPr>
            </w:pPr>
          </w:p>
        </w:tc>
        <w:tc>
          <w:tcPr>
            <w:tcW w:w="1200" w:type="dxa"/>
            <w:vAlign w:val="bottom"/>
          </w:tcPr>
          <w:p>
            <w:pPr>
              <w:jc w:val="right"/>
              <w:ind w:right="297"/>
              <w:spacing w:after="0"/>
              <w:rPr>
                <w:sz w:val="20"/>
                <w:szCs w:val="20"/>
                <w:color w:val="auto"/>
              </w:rPr>
            </w:pPr>
            <w:r>
              <w:rPr>
                <w:rFonts w:ascii="Arial" w:cs="Arial" w:eastAsia="Arial" w:hAnsi="Arial"/>
                <w:sz w:val="16"/>
                <w:szCs w:val="16"/>
                <w:b w:val="1"/>
                <w:bCs w:val="1"/>
                <w:color w:val="auto"/>
                <w:w w:val="99"/>
              </w:rPr>
              <w:t>Borrowing</w:t>
            </w:r>
          </w:p>
        </w:tc>
        <w:tc>
          <w:tcPr>
            <w:tcW w:w="1080" w:type="dxa"/>
            <w:vAlign w:val="bottom"/>
          </w:tcPr>
          <w:p>
            <w:pPr>
              <w:jc w:val="right"/>
              <w:ind w:right="335"/>
              <w:spacing w:after="0"/>
              <w:rPr>
                <w:sz w:val="20"/>
                <w:szCs w:val="20"/>
                <w:color w:val="auto"/>
              </w:rPr>
            </w:pPr>
            <w:r>
              <w:rPr>
                <w:rFonts w:ascii="Arial" w:cs="Arial" w:eastAsia="Arial" w:hAnsi="Arial"/>
                <w:sz w:val="16"/>
                <w:szCs w:val="16"/>
                <w:b w:val="1"/>
                <w:bCs w:val="1"/>
                <w:color w:val="auto"/>
              </w:rPr>
              <w:t>U.S. $</w:t>
            </w:r>
          </w:p>
        </w:tc>
        <w:tc>
          <w:tcPr>
            <w:tcW w:w="120" w:type="dxa"/>
            <w:vAlign w:val="bottom"/>
          </w:tcPr>
          <w:p>
            <w:pPr>
              <w:spacing w:after="0"/>
              <w:rPr>
                <w:sz w:val="16"/>
                <w:szCs w:val="16"/>
                <w:color w:val="auto"/>
              </w:rPr>
            </w:pPr>
          </w:p>
        </w:tc>
        <w:tc>
          <w:tcPr>
            <w:tcW w:w="1080" w:type="dxa"/>
            <w:vAlign w:val="bottom"/>
          </w:tcPr>
          <w:p>
            <w:pPr>
              <w:jc w:val="right"/>
              <w:ind w:right="215"/>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0"/>
        </w:trPr>
        <w:tc>
          <w:tcPr>
            <w:tcW w:w="3600" w:type="dxa"/>
            <w:vAlign w:val="bottom"/>
            <w:gridSpan w:val="3"/>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ind w:right="161"/>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200" w:type="dxa"/>
            <w:vAlign w:val="bottom"/>
          </w:tcPr>
          <w:p>
            <w:pPr>
              <w:jc w:val="right"/>
              <w:ind w:right="277"/>
              <w:spacing w:after="0"/>
              <w:rPr>
                <w:sz w:val="20"/>
                <w:szCs w:val="20"/>
                <w:color w:val="auto"/>
              </w:rPr>
            </w:pPr>
            <w:r>
              <w:rPr>
                <w:rFonts w:ascii="Arial" w:cs="Arial" w:eastAsia="Arial" w:hAnsi="Arial"/>
                <w:sz w:val="16"/>
                <w:szCs w:val="16"/>
                <w:b w:val="1"/>
                <w:bCs w:val="1"/>
                <w:color w:val="auto"/>
              </w:rPr>
              <w:t>currency</w:t>
            </w:r>
          </w:p>
        </w:tc>
        <w:tc>
          <w:tcPr>
            <w:tcW w:w="1080" w:type="dxa"/>
            <w:vAlign w:val="bottom"/>
          </w:tcPr>
          <w:p>
            <w:pPr>
              <w:jc w:val="right"/>
              <w:ind w:right="95"/>
              <w:spacing w:after="0"/>
              <w:rPr>
                <w:sz w:val="20"/>
                <w:szCs w:val="20"/>
                <w:color w:val="auto"/>
              </w:rPr>
            </w:pPr>
            <w:r>
              <w:rPr>
                <w:rFonts w:ascii="Arial" w:cs="Arial" w:eastAsia="Arial" w:hAnsi="Arial"/>
                <w:sz w:val="16"/>
                <w:szCs w:val="16"/>
                <w:b w:val="1"/>
                <w:bCs w:val="1"/>
                <w:color w:val="auto"/>
              </w:rPr>
              <w:t>equivalent</w:t>
            </w:r>
          </w:p>
        </w:tc>
        <w:tc>
          <w:tcPr>
            <w:tcW w:w="120" w:type="dxa"/>
            <w:vAlign w:val="bottom"/>
          </w:tcPr>
          <w:p>
            <w:pPr>
              <w:spacing w:after="0"/>
              <w:rPr>
                <w:sz w:val="18"/>
                <w:szCs w:val="18"/>
                <w:color w:val="auto"/>
              </w:rPr>
            </w:pPr>
          </w:p>
        </w:tc>
        <w:tc>
          <w:tcPr>
            <w:tcW w:w="1080" w:type="dxa"/>
            <w:vAlign w:val="bottom"/>
          </w:tcPr>
          <w:p>
            <w:pPr>
              <w:jc w:val="right"/>
              <w:ind w:right="155"/>
              <w:spacing w:after="0"/>
              <w:rPr>
                <w:sz w:val="20"/>
                <w:szCs w:val="20"/>
                <w:color w:val="auto"/>
              </w:rPr>
            </w:pPr>
            <w:r>
              <w:rPr>
                <w:rFonts w:ascii="Arial" w:cs="Arial" w:eastAsia="Arial" w:hAnsi="Arial"/>
                <w:sz w:val="16"/>
                <w:szCs w:val="16"/>
                <w:b w:val="1"/>
                <w:bCs w:val="1"/>
                <w:color w:val="auto"/>
              </w:rPr>
              <w:t>value (a)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2"/>
          </w:tcPr>
          <w:p>
            <w:pPr>
              <w:jc w:val="right"/>
              <w:ind w:right="775"/>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4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PCB Finance VII Euro Notes</w:t>
            </w:r>
          </w:p>
        </w:tc>
        <w:tc>
          <w:tcPr>
            <w:tcW w:w="1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15, 2029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25"/>
        </w:trPr>
        <w:tc>
          <w:tcPr>
            <w:tcW w:w="3600" w:type="dxa"/>
            <w:vAlign w:val="bottom"/>
            <w:gridSpan w:val="3"/>
          </w:tcPr>
          <w:p>
            <w:pPr>
              <w:spacing w:after="0"/>
              <w:rPr>
                <w:sz w:val="20"/>
                <w:szCs w:val="20"/>
                <w:color w:val="auto"/>
              </w:rPr>
            </w:pPr>
            <w:r>
              <w:rPr>
                <w:rFonts w:ascii="Arial" w:cs="Arial" w:eastAsia="Arial" w:hAnsi="Arial"/>
                <w:sz w:val="18"/>
                <w:szCs w:val="18"/>
                <w:color w:val="auto"/>
              </w:rPr>
              <w:t>031 UPC Senior Secured Notes</w:t>
            </w: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July 15, 2031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4.875%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1,250.0</w:t>
            </w:r>
          </w:p>
        </w:tc>
        <w:tc>
          <w:tcPr>
            <w:tcW w:w="108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580" w:hanging="474"/>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are net of deferred financing costs and discounts, where applicable.</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VM Ireland Financing Transactions</w:t>
      </w:r>
    </w:p>
    <w:p>
      <w:pPr>
        <w:spacing w:after="0" w:line="238" w:lineRule="exact"/>
        <w:rPr>
          <w:sz w:val="20"/>
          <w:szCs w:val="20"/>
          <w:color w:val="auto"/>
        </w:rPr>
      </w:pPr>
    </w:p>
    <w:p>
      <w:pPr>
        <w:jc w:val="both"/>
        <w:ind w:left="100" w:firstLine="318"/>
        <w:spacing w:after="0" w:line="252" w:lineRule="auto"/>
        <w:rPr>
          <w:sz w:val="20"/>
          <w:szCs w:val="20"/>
          <w:color w:val="auto"/>
        </w:rPr>
      </w:pPr>
      <w:r>
        <w:rPr>
          <w:rFonts w:ascii="Arial" w:cs="Arial" w:eastAsia="Arial" w:hAnsi="Arial"/>
          <w:sz w:val="18"/>
          <w:szCs w:val="18"/>
          <w:color w:val="auto"/>
        </w:rPr>
        <w:t xml:space="preserve">In June 2021, VM Ireland entered into a credit facility (the </w:t>
      </w:r>
      <w:r>
        <w:rPr>
          <w:rFonts w:ascii="Arial" w:cs="Arial" w:eastAsia="Arial" w:hAnsi="Arial"/>
          <w:sz w:val="18"/>
          <w:szCs w:val="18"/>
          <w:b w:val="1"/>
          <w:bCs w:val="1"/>
          <w:color w:val="auto"/>
        </w:rPr>
        <w:t>VM Ireland Credit Facility</w:t>
      </w:r>
      <w:r>
        <w:rPr>
          <w:rFonts w:ascii="Arial" w:cs="Arial" w:eastAsia="Arial" w:hAnsi="Arial"/>
          <w:sz w:val="18"/>
          <w:szCs w:val="18"/>
          <w:color w:val="auto"/>
        </w:rPr>
        <w:t>), comprising (i) a €900.0 million ($1,041.3 million) term loan facility (</w:t>
      </w:r>
      <w:r>
        <w:rPr>
          <w:rFonts w:ascii="Arial" w:cs="Arial" w:eastAsia="Arial" w:hAnsi="Arial"/>
          <w:sz w:val="18"/>
          <w:szCs w:val="18"/>
          <w:b w:val="1"/>
          <w:bCs w:val="1"/>
          <w:color w:val="auto"/>
        </w:rPr>
        <w:t>VM Ireland Facility B1</w:t>
      </w:r>
      <w:r>
        <w:rPr>
          <w:rFonts w:ascii="Arial" w:cs="Arial" w:eastAsia="Arial" w:hAnsi="Arial"/>
          <w:sz w:val="18"/>
          <w:szCs w:val="18"/>
          <w:color w:val="auto"/>
        </w:rPr>
        <w:t xml:space="preserve">) and (ii) a €100.0 million ($115.7 million) revolving facility (the </w:t>
      </w:r>
      <w:r>
        <w:rPr>
          <w:rFonts w:ascii="Arial" w:cs="Arial" w:eastAsia="Arial" w:hAnsi="Arial"/>
          <w:sz w:val="18"/>
          <w:szCs w:val="18"/>
          <w:b w:val="1"/>
          <w:bCs w:val="1"/>
          <w:color w:val="auto"/>
        </w:rPr>
        <w:t>VM Ireland Revolving Facility</w:t>
      </w:r>
      <w:r>
        <w:rPr>
          <w:rFonts w:ascii="Arial" w:cs="Arial" w:eastAsia="Arial" w:hAnsi="Arial"/>
          <w:sz w:val="18"/>
          <w:szCs w:val="18"/>
          <w:color w:val="auto"/>
        </w:rPr>
        <w:t>). VM Ireland Facility B1 was issued at 99.5% of par, matures on July 15, 2029 and bears interest at a rate of EURIBOR + 3.5%, subject to a EURIBOR floor of 0.0%. The VM Ireland Revolving Facility matures on September 15, 2027 and bears interest at a rate of EURIBOR + 2.75%. The proceeds from VM Ireland Facility B1 and the VM Ireland Revolving Facility can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360"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debt as of September 30, 2021 are presented below for the named entity and its subsidiaries, unless otherwise noted, and represent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September 30, 2021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UPC Holding</w:t>
            </w:r>
          </w:p>
        </w:tc>
        <w:tc>
          <w:tcPr>
            <w:tcW w:w="200" w:type="dxa"/>
            <w:vAlign w:val="bottom"/>
          </w:tcPr>
          <w:p>
            <w:pPr>
              <w:spacing w:after="0"/>
              <w:rPr>
                <w:sz w:val="16"/>
                <w:szCs w:val="16"/>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Telenet</w:t>
            </w:r>
          </w:p>
        </w:tc>
        <w:tc>
          <w:tcPr>
            <w:tcW w:w="120" w:type="dxa"/>
            <w:vAlign w:val="bottom"/>
          </w:tcPr>
          <w:p>
            <w:pPr>
              <w:spacing w:after="0"/>
              <w:rPr>
                <w:sz w:val="16"/>
                <w:szCs w:val="16"/>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VM Ireland</w:t>
            </w:r>
          </w:p>
        </w:tc>
        <w:tc>
          <w:tcPr>
            <w:tcW w:w="240" w:type="dxa"/>
            <w:vAlign w:val="bottom"/>
          </w:tcPr>
          <w:p>
            <w:pPr>
              <w:spacing w:after="0"/>
              <w:rPr>
                <w:sz w:val="16"/>
                <w:szCs w:val="16"/>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(a)</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13,589.7</w:t>
            </w:r>
          </w:p>
        </w:tc>
        <w:tc>
          <w:tcPr>
            <w:tcW w:w="0" w:type="dxa"/>
            <w:vAlign w:val="bottom"/>
          </w:tcPr>
          <w:p>
            <w:pPr>
              <w:spacing w:after="0"/>
              <w:rPr>
                <w:sz w:val="1"/>
                <w:szCs w:val="1"/>
                <w:color w:val="auto"/>
              </w:rPr>
            </w:pPr>
          </w:p>
        </w:tc>
      </w:tr>
      <w:tr>
        <w:trPr>
          <w:trHeight w:val="219"/>
        </w:trPr>
        <w:tc>
          <w:tcPr>
            <w:tcW w:w="524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 maturities (b)</w:t>
            </w: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14,650.9</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524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14,590.6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40" w:type="dxa"/>
            <w:vAlign w:val="bottom"/>
            <w:vMerge w:val="continue"/>
          </w:tcPr>
          <w:p>
            <w:pPr>
              <w:spacing w:after="0"/>
              <w:rPr>
                <w:sz w:val="17"/>
                <w:szCs w:val="17"/>
                <w:color w:val="auto"/>
              </w:rPr>
            </w:pPr>
          </w:p>
        </w:tc>
        <w:tc>
          <w:tcPr>
            <w:tcW w:w="280" w:type="dxa"/>
            <w:vAlign w:val="bottom"/>
          </w:tcPr>
          <w:p>
            <w:pPr>
              <w:jc w:val="right"/>
              <w:ind w:right="93"/>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414.5</w:t>
            </w:r>
          </w:p>
        </w:tc>
        <w:tc>
          <w:tcPr>
            <w:tcW w:w="100" w:type="dxa"/>
            <w:vAlign w:val="bottom"/>
          </w:tcPr>
          <w:p>
            <w:pPr>
              <w:spacing w:after="0"/>
              <w:rPr>
                <w:sz w:val="17"/>
                <w:szCs w:val="17"/>
                <w:color w:val="auto"/>
              </w:rPr>
            </w:pPr>
          </w:p>
        </w:tc>
        <w:tc>
          <w:tcPr>
            <w:tcW w:w="200" w:type="dxa"/>
            <w:vAlign w:val="bottom"/>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8" w:lineRule="exact"/>
              <w:rPr>
                <w:sz w:val="20"/>
                <w:szCs w:val="20"/>
                <w:color w:val="auto"/>
              </w:rPr>
            </w:pPr>
            <w:r>
              <w:rPr>
                <w:rFonts w:ascii="Arial" w:cs="Arial" w:eastAsia="Arial" w:hAnsi="Arial"/>
                <w:sz w:val="18"/>
                <w:szCs w:val="18"/>
                <w:color w:val="auto"/>
              </w:rPr>
              <w:t>431.3</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Amounts include certain senior secured notes issued by special purpose financing entities that are consolidated by UPC Holding and Liberty Global.</w:t>
      </w:r>
    </w:p>
    <w:p>
      <w:pPr>
        <w:spacing w:after="0" w:line="278" w:lineRule="exact"/>
        <w:rPr>
          <w:rFonts w:ascii="Arial" w:cs="Arial" w:eastAsia="Arial" w:hAnsi="Arial"/>
          <w:sz w:val="15"/>
          <w:szCs w:val="15"/>
          <w:color w:val="auto"/>
        </w:rPr>
      </w:pPr>
    </w:p>
    <w:p>
      <w:pPr>
        <w:ind w:left="480" w:hanging="47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include vendor financing obligations of $1,003.5 million, as set forth below:</w:t>
      </w:r>
    </w:p>
    <w:p>
      <w:pPr>
        <w:spacing w:after="0" w:line="11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UPC</w:t>
            </w:r>
          </w:p>
        </w:tc>
        <w:tc>
          <w:tcPr>
            <w:tcW w:w="200" w:type="dxa"/>
            <w:vAlign w:val="bottom"/>
          </w:tcPr>
          <w:p>
            <w:pPr>
              <w:spacing w:after="0"/>
              <w:rPr>
                <w:sz w:val="16"/>
                <w:szCs w:val="16"/>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30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Holding</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vendor financing maturities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20"/>
              <w:spacing w:after="0" w:line="198" w:lineRule="exact"/>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414.5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419.9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40" w:hanging="334"/>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 Balances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lease liabilities is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8"/>
              </w:rPr>
              <w:t>December 31, 2020</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3"/>
          </w:tcPr>
          <w:p>
            <w:pPr>
              <w:ind w:left="90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18"/>
        </w:trPr>
        <w:tc>
          <w:tcPr>
            <w:tcW w:w="8460" w:type="dxa"/>
            <w:vAlign w:val="bottom"/>
          </w:tcPr>
          <w:p>
            <w:pPr>
              <w:ind w:left="220"/>
              <w:spacing w:after="0" w:line="204" w:lineRule="exact"/>
              <w:rPr>
                <w:sz w:val="20"/>
                <w:szCs w:val="20"/>
                <w:color w:val="auto"/>
              </w:rPr>
            </w:pPr>
            <w:r>
              <w:rPr>
                <w:rFonts w:ascii="Arial" w:cs="Arial" w:eastAsia="Arial" w:hAnsi="Arial"/>
                <w:sz w:val="18"/>
                <w:szCs w:val="18"/>
                <w:color w:val="auto"/>
              </w:rPr>
              <w:t>Total ROU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1,911.9</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71" w:lineRule="auto"/>
        <w:tabs>
          <w:tab w:leader="none" w:pos="477"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finance lease ROU assets are included in property and equipment, net, on our condensed consolidated balance sheets. At September 30, 2021, the weighted average remaining lease term for finance leases was 22.6 years and the weighted average discount rate was 6.0%. During the nine months ended September 30, 2021 and 2020, we recorded non-cash additions to our finance lease ROU assets (including amounts related to the U.K. JV Entities through the closing of the U.K. JV Transaction) of $27.8 million and $30.9 million, respectively.</w:t>
      </w:r>
    </w:p>
    <w:p>
      <w:pPr>
        <w:spacing w:after="0" w:line="203" w:lineRule="exact"/>
        <w:rPr>
          <w:rFonts w:ascii="Arial" w:cs="Arial" w:eastAsia="Arial" w:hAnsi="Arial"/>
          <w:sz w:val="17"/>
          <w:szCs w:val="17"/>
          <w:color w:val="auto"/>
        </w:rPr>
      </w:pPr>
    </w:p>
    <w:p>
      <w:pPr>
        <w:jc w:val="both"/>
        <w:ind w:left="480" w:hanging="474"/>
        <w:spacing w:after="0" w:line="271" w:lineRule="auto"/>
        <w:tabs>
          <w:tab w:leader="none" w:pos="474"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operating lease ROU assets are included in other assets, net, on our condensed consolidated balance sheets. At September 30, 2021, the weighted average remaining lease term for operating leases was 11.6 years and the weighted average discount rate was 5.8%. During the nine months ended September 30, 2021 and 2020, we recorded non-cash additions to our operating lease ROU assets (including amounts related to the U.K. JV Entities through the closing of the U.K. JV Transaction) of $67.4 million and $64.2 million, respectively.</w:t>
      </w:r>
    </w:p>
    <w:p>
      <w:pPr>
        <w:spacing w:after="0" w:line="203"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28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5"/>
        </w:trPr>
        <w:tc>
          <w:tcPr>
            <w:tcW w:w="56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89"/>
              </w:rPr>
              <w:t>2020</w:t>
            </w:r>
          </w:p>
        </w:tc>
      </w:tr>
      <w:tr>
        <w:trPr>
          <w:trHeight w:val="203"/>
        </w:trPr>
        <w:tc>
          <w:tcPr>
            <w:tcW w:w="5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3"/>
        </w:trPr>
        <w:tc>
          <w:tcPr>
            <w:tcW w:w="5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26"/>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8"/>
        </w:trPr>
        <w:tc>
          <w:tcPr>
            <w:tcW w:w="568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8"/>
        </w:trPr>
        <w:tc>
          <w:tcPr>
            <w:tcW w:w="5680" w:type="dxa"/>
            <w:vAlign w:val="bottom"/>
          </w:tcPr>
          <w:p>
            <w:pPr>
              <w:ind w:left="300"/>
              <w:spacing w:after="0" w:line="204" w:lineRule="exact"/>
              <w:rPr>
                <w:sz w:val="20"/>
                <w:szCs w:val="20"/>
                <w:color w:val="auto"/>
              </w:rPr>
            </w:pPr>
            <w:r>
              <w:rPr>
                <w:rFonts w:ascii="Arial" w:cs="Arial" w:eastAsia="Arial" w:hAnsi="Arial"/>
                <w:sz w:val="18"/>
                <w:szCs w:val="18"/>
                <w:color w:val="auto"/>
              </w:rPr>
              <w:t>Total lease expense</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r>
      <w:tr>
        <w:trPr>
          <w:trHeight w:val="20"/>
        </w:trPr>
        <w:tc>
          <w:tcPr>
            <w:tcW w:w="5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94" w:lineRule="auto"/>
        <w:tabs>
          <w:tab w:leader="none" w:pos="4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operating lease expense and short-term lease expense are included in programming and other direct costs of services, other operating expenses, SG&amp;A expenses and impairment, restructuring and other operating items in our condensed consolidated statements of operations.</w:t>
      </w:r>
    </w:p>
    <w:p>
      <w:pPr>
        <w:spacing w:after="0" w:line="183"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29"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Nine months ended</w:t>
      </w:r>
    </w:p>
    <w:p>
      <w:pPr>
        <w:jc w:val="center"/>
        <w:ind w:left="850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02"/>
        </w:trPr>
        <w:tc>
          <w:tcPr>
            <w:tcW w:w="8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3"/>
        </w:trPr>
        <w:tc>
          <w:tcPr>
            <w:tcW w:w="8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164.1</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852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238.2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September 30, 2021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exchange rates: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tcPr>
          <w:p>
            <w:pPr>
              <w:spacing w:after="0"/>
              <w:rPr>
                <w:sz w:val="16"/>
                <w:szCs w:val="16"/>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10"/>
        </w:trPr>
        <w:tc>
          <w:tcPr>
            <w:tcW w:w="852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payments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3"/>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183.3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460" w:hanging="454"/>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benefit (expense) attributable to our earnings (loss) from continuing operations before income taxes differs from the amounts computed using the applicable income tax rate as a result of the following factors: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6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Non-taxable gain associated with the U.K. JV Transaction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2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rate differences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73"/>
        </w:trPr>
        <w:tc>
          <w:tcPr>
            <w:tcW w:w="6040" w:type="dxa"/>
            <w:vAlign w:val="bottom"/>
            <w:gridSpan w:val="2"/>
          </w:tcPr>
          <w:p>
            <w:pPr>
              <w:ind w:left="20"/>
              <w:spacing w:after="0" w:line="173" w:lineRule="exact"/>
              <w:rPr>
                <w:sz w:val="20"/>
                <w:szCs w:val="20"/>
                <w:color w:val="auto"/>
              </w:rPr>
            </w:pPr>
            <w:r>
              <w:rPr>
                <w:rFonts w:ascii="Arial" w:cs="Arial" w:eastAsia="Arial" w:hAnsi="Arial"/>
                <w:sz w:val="18"/>
                <w:szCs w:val="18"/>
                <w:color w:val="auto"/>
                <w:w w:val="90"/>
              </w:rPr>
              <w:t>Basis and other differences in the treatment of items associated with investments in</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subsidiaries and affiliates (c)</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items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 (d)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Enacted tax law and rate changes (e)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2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760" w:type="dxa"/>
            <w:vAlign w:val="bottom"/>
          </w:tcPr>
          <w:p>
            <w:pPr>
              <w:ind w:left="60"/>
              <w:spacing w:after="0" w:line="204" w:lineRule="exact"/>
              <w:rPr>
                <w:sz w:val="20"/>
                <w:szCs w:val="20"/>
                <w:color w:val="auto"/>
              </w:rPr>
            </w:pPr>
            <w:r>
              <w:rPr>
                <w:rFonts w:ascii="Arial" w:cs="Arial" w:eastAsia="Arial" w:hAnsi="Arial"/>
                <w:sz w:val="18"/>
                <w:szCs w:val="18"/>
                <w:color w:val="auto"/>
              </w:rPr>
              <w:t>Total income tax benefit (expense)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6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5760" w:type="dxa"/>
            <w:vAlign w:val="bottom"/>
          </w:tcPr>
          <w:p>
            <w:pPr>
              <w:ind w:left="200"/>
              <w:spacing w:after="0"/>
              <w:rPr>
                <w:sz w:val="20"/>
                <w:szCs w:val="20"/>
                <w:color w:val="auto"/>
              </w:rPr>
            </w:pPr>
            <w:r>
              <w:rPr>
                <w:rFonts w:ascii="Arial" w:cs="Arial" w:eastAsia="Arial" w:hAnsi="Arial"/>
                <w:sz w:val="18"/>
                <w:szCs w:val="18"/>
                <w:color w:val="auto"/>
              </w:rPr>
              <w:t>The statutory or “expected” tax rate is the U.K. rate of 19.0%.</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hanging="474"/>
        <w:spacing w:after="0" w:line="264" w:lineRule="auto"/>
        <w:tabs>
          <w:tab w:leader="none" w:pos="4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207"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reflect the recognition of the innovation income tax deduction in Belgium. The amount for the nine months ended September 30, 2020 includes the one-time effect of deductions related to prior periods.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On July 22, 2020, legislation was enacted in the U.K. to maintain the corporate income tax rate at 19.0%, reversing previous legislation that had</w:t>
      </w:r>
    </w:p>
    <w:p>
      <w:pPr>
        <w:spacing w:after="0" w:line="51" w:lineRule="exact"/>
        <w:rPr>
          <w:sz w:val="20"/>
          <w:szCs w:val="20"/>
          <w:color w:val="auto"/>
        </w:rPr>
      </w:pPr>
    </w:p>
    <w:p>
      <w:pPr>
        <w:jc w:val="both"/>
        <w:ind w:left="480"/>
        <w:spacing w:after="0" w:line="245" w:lineRule="auto"/>
        <w:rPr>
          <w:sz w:val="20"/>
          <w:szCs w:val="20"/>
          <w:color w:val="auto"/>
        </w:rPr>
      </w:pPr>
      <w:r>
        <w:rPr>
          <w:rFonts w:ascii="Arial" w:cs="Arial" w:eastAsia="Arial" w:hAnsi="Arial"/>
          <w:sz w:val="18"/>
          <w:szCs w:val="18"/>
          <w:color w:val="auto"/>
        </w:rPr>
        <w:t>reduced the U.K. rate to 17.0% from April 1, 2020. The impact of this rate change on our deferred balances was recorded during the third quarter of 2020. On June 10, 2021, legislation was enacted in the U.K. to increase the U.K. corporate income rate to 25.0% from April 1, 2023. The impact of this rate change on our deferred balances was recorded during the second quarter of 2021.</w:t>
      </w:r>
    </w:p>
    <w:p>
      <w:pPr>
        <w:spacing w:after="0" w:line="2" w:lineRule="exact"/>
        <w:rPr>
          <w:sz w:val="20"/>
          <w:szCs w:val="20"/>
          <w:color w:val="auto"/>
        </w:rPr>
      </w:pPr>
    </w:p>
    <w:p>
      <w:pPr>
        <w:jc w:val="both"/>
        <w:ind w:firstLine="318"/>
        <w:spacing w:after="0" w:line="349" w:lineRule="auto"/>
        <w:rPr>
          <w:sz w:val="20"/>
          <w:szCs w:val="20"/>
          <w:color w:val="auto"/>
        </w:rPr>
      </w:pPr>
      <w:r>
        <w:rPr>
          <w:rFonts w:ascii="Arial" w:cs="Arial" w:eastAsia="Arial" w:hAnsi="Arial"/>
          <w:sz w:val="15"/>
          <w:szCs w:val="15"/>
          <w:color w:val="auto"/>
        </w:rPr>
        <w:t>As of September 30, 2021, our unrecognized tax benefits were $504.9 million, of which $382.5 million would have a favorable impact on our effective income tax rate if ultimately recognized, after considering amounts that we would expect to be offset by valuation allowances and other factors.</w:t>
      </w:r>
    </w:p>
    <w:p>
      <w:pPr>
        <w:spacing w:after="0" w:line="1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September 30, 2021. The amount of any such reductions could range up to $79.0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substantially all of which would not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2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Belgium, Ireland, the Netherlands,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1" w:lineRule="exact"/>
        <w:rPr>
          <w:sz w:val="20"/>
          <w:szCs w:val="20"/>
          <w:color w:val="auto"/>
        </w:rPr>
      </w:pPr>
    </w:p>
    <w:p>
      <w:pPr>
        <w:ind w:left="480" w:hanging="474"/>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i w:val="1"/>
          <w:iCs w:val="1"/>
          <w:color w:val="auto"/>
        </w:rPr>
        <w:t xml:space="preserve">Share Repurchases. </w:t>
      </w:r>
      <w:r>
        <w:rPr>
          <w:rFonts w:ascii="Arial" w:cs="Arial" w:eastAsia="Arial" w:hAnsi="Arial"/>
          <w:sz w:val="15"/>
          <w:szCs w:val="15"/>
          <w:color w:val="auto"/>
        </w:rPr>
        <w:t>During the nine months ended September 30, 2021, we repurchased (i) 5,845,800 shares of our Class A ordinary shares at an average</w:t>
      </w:r>
      <w:r>
        <w:rPr>
          <w:rFonts w:ascii="Arial" w:cs="Arial" w:eastAsia="Arial" w:hAnsi="Arial"/>
          <w:sz w:val="15"/>
          <w:szCs w:val="15"/>
          <w:i w:val="1"/>
          <w:iCs w:val="1"/>
          <w:color w:val="auto"/>
        </w:rPr>
        <w:t xml:space="preserve"> </w:t>
      </w:r>
      <w:r>
        <w:rPr>
          <w:rFonts w:ascii="Arial" w:cs="Arial" w:eastAsia="Arial" w:hAnsi="Arial"/>
          <w:sz w:val="15"/>
          <w:szCs w:val="15"/>
          <w:color w:val="auto"/>
        </w:rPr>
        <w:t>price per share of $27.11 and (ii) 32,700,700 shares of our Class C ordinary shares at an average price per share of $26.55, for an aggregate purchase price of $1,026.8 million, including direct acquisition costs. In July 2021, our board of directors approved a new share repurchase program whereby the authorized amount for share repurchases during 2021 was increased to $1.4 billion, with additional commitments to repurchase a minimum of 10% of our shares outstanding during each of 2022 and 2023. The determination of the number of shares we will be authorized to repurchase during 2022 and 2023 will be based on 10% of the total number of our outstanding shares as of the beginning of each year. At September 30, 2021, the remaining amount authorized for share repurchases during the remainder of 2021 was $378.7 million. Under the repurchase program, Liberty Global may acquire from time to time its Class A ordinary shares, Class C ordinary shares, or any combination of Class A and Class C ordinary shares. The program may be effected through open market transactions and/or privately negotiated transactions, which may include derivative transactions. The timing of the repurchase of shares pursuant to the program will depend on a variety of factors, including market conditions and applicable law. The program may be implemented in conjunction with brokers for the Company and other financial institutions with whom the Company has relationships within certain preset parameters and purchases may continue during closed periods in accordance with applicable restrictions. The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700" w:type="dxa"/>
            <w:vAlign w:val="bottom"/>
            <w:gridSpan w:val="6"/>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7"/>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5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8" w:lineRule="exact"/>
        <w:rPr>
          <w:sz w:val="20"/>
          <w:szCs w:val="20"/>
          <w:color w:val="auto"/>
        </w:rPr>
      </w:pPr>
    </w:p>
    <w:p>
      <w:pPr>
        <w:ind w:left="480" w:right="20" w:hanging="474"/>
        <w:spacing w:after="0" w:line="271" w:lineRule="auto"/>
        <w:tabs>
          <w:tab w:leader="none" w:pos="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(ii) our 2019 CEO Performance Award and (iii) our 2019 Challenge Performance Awards.</w:t>
      </w:r>
    </w:p>
    <w:p>
      <w:pPr>
        <w:spacing w:after="0" w:line="201" w:lineRule="exact"/>
        <w:rPr>
          <w:rFonts w:ascii="Arial" w:cs="Arial" w:eastAsia="Arial" w:hAnsi="Arial"/>
          <w:sz w:val="18"/>
          <w:szCs w:val="18"/>
          <w:color w:val="auto"/>
        </w:rPr>
      </w:pPr>
    </w:p>
    <w:p>
      <w:pPr>
        <w:jc w:val="both"/>
        <w:ind w:left="480" w:hanging="474"/>
        <w:spacing w:after="0" w:line="318" w:lineRule="auto"/>
        <w:tabs>
          <w:tab w:leader="none" w:pos="474"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April 2021 with respect to 2014 and 2015 grants and April 2020 with respect to 2013 grants, the compensation committee of our board of directors approved the extension of the expiration dates of outstanding share appreciation rights (</w:t>
      </w:r>
      <w:r>
        <w:rPr>
          <w:rFonts w:ascii="Arial" w:cs="Arial" w:eastAsia="Arial" w:hAnsi="Arial"/>
          <w:sz w:val="15"/>
          <w:szCs w:val="15"/>
          <w:b w:val="1"/>
          <w:bCs w:val="1"/>
          <w:color w:val="auto"/>
        </w:rPr>
        <w:t>SARs</w:t>
      </w:r>
      <w:r>
        <w:rPr>
          <w:rFonts w:ascii="Arial" w:cs="Arial" w:eastAsia="Arial" w:hAnsi="Arial"/>
          <w:sz w:val="15"/>
          <w:szCs w:val="15"/>
          <w:color w:val="auto"/>
        </w:rPr>
        <w:t>) and director options from a seven-year term to a ten-year term. Accordingly, the Black-Scholes fair values of the respective outstanding awards increased, resulting in the recognition of aggregate incremental share-based compensation expense of $22.7 million and $18.9 million during the second quarters of 2021 and 2020, respectively.</w:t>
      </w:r>
    </w:p>
    <w:p>
      <w:pPr>
        <w:spacing w:after="0" w:line="172" w:lineRule="exact"/>
        <w:rPr>
          <w:rFonts w:ascii="Arial" w:cs="Arial" w:eastAsia="Arial" w:hAnsi="Arial"/>
          <w:sz w:val="15"/>
          <w:szCs w:val="15"/>
          <w:color w:val="auto"/>
        </w:rPr>
      </w:pPr>
    </w:p>
    <w:p>
      <w:pPr>
        <w:jc w:val="both"/>
        <w:ind w:left="480" w:hanging="474"/>
        <w:spacing w:after="0" w:line="268" w:lineRule="auto"/>
        <w:tabs>
          <w:tab w:leader="none" w:pos="477"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the 2021 amounts include compensation expense related to the 2021 Ventures Incentive Plan, as defined and described below.</w:t>
      </w:r>
    </w:p>
    <w:p>
      <w:pPr>
        <w:spacing w:after="0" w:line="207" w:lineRule="exact"/>
        <w:rPr>
          <w:rFonts w:ascii="Arial" w:cs="Arial" w:eastAsia="Arial" w:hAnsi="Arial"/>
          <w:sz w:val="17"/>
          <w:szCs w:val="17"/>
          <w:color w:val="auto"/>
        </w:rPr>
      </w:pPr>
    </w:p>
    <w:p>
      <w:pPr>
        <w:ind w:left="480" w:hanging="47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primarily relate to share-based compensation expense associated with Telenet’s share-based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The following table provides the aggregate number of options, SARs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with respect to awards issued by Liberty Global that were (i) outstanding and (ii) exercisable as of September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A</w:t>
            </w:r>
          </w:p>
        </w:tc>
        <w:tc>
          <w:tcPr>
            <w:tcW w:w="12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Weighted average</w:t>
            </w: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420" w:type="dxa"/>
            <w:vAlign w:val="bottom"/>
            <w:gridSpan w:val="3"/>
            <w:vMerge w:val="continue"/>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200" w:type="dxa"/>
            <w:vAlign w:val="bottom"/>
          </w:tcPr>
          <w:p>
            <w:pPr>
              <w:jc w:val="center"/>
              <w:ind w:right="15"/>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200" w:type="dxa"/>
            <w:vAlign w:val="bottom"/>
          </w:tcPr>
          <w:p>
            <w:pPr>
              <w:jc w:val="center"/>
              <w:ind w:right="15"/>
              <w:spacing w:after="0"/>
              <w:rPr>
                <w:sz w:val="20"/>
                <w:szCs w:val="20"/>
                <w:color w:val="auto"/>
              </w:rPr>
            </w:pPr>
            <w:r>
              <w:rPr>
                <w:rFonts w:ascii="Arial" w:cs="Arial" w:eastAsia="Arial" w:hAnsi="Arial"/>
                <w:sz w:val="16"/>
                <w:szCs w:val="16"/>
                <w:b w:val="1"/>
                <w:bCs w:val="1"/>
                <w:color w:val="auto"/>
                <w:w w:val="88"/>
              </w:rPr>
              <w:t>price</w:t>
            </w:r>
          </w:p>
        </w:tc>
        <w:tc>
          <w:tcPr>
            <w:tcW w:w="0" w:type="dxa"/>
            <w:vAlign w:val="bottom"/>
          </w:tcPr>
          <w:p>
            <w:pPr>
              <w:spacing w:after="0"/>
              <w:rPr>
                <w:sz w:val="1"/>
                <w:szCs w:val="1"/>
                <w:color w:val="auto"/>
              </w:rPr>
            </w:pPr>
          </w:p>
        </w:tc>
      </w:tr>
      <w:tr>
        <w:trPr>
          <w:trHeight w:val="141"/>
        </w:trPr>
        <w:tc>
          <w:tcPr>
            <w:tcW w:w="56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25,757,426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60,118,409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12,557,002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27,734,216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1,675,974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4,689,511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1,388,812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4,115,209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18" w:lineRule="auto"/>
        <w:tabs>
          <w:tab w:leader="none" w:pos="47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2"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9" w:lineRule="exact"/>
        <w:rPr>
          <w:sz w:val="20"/>
          <w:szCs w:val="20"/>
          <w:color w:val="auto"/>
        </w:rPr>
      </w:pPr>
    </w:p>
    <w:p>
      <w:pPr>
        <w:ind w:firstLine="318"/>
        <w:spacing w:after="0" w:line="374" w:lineRule="auto"/>
        <w:rPr>
          <w:sz w:val="20"/>
          <w:szCs w:val="20"/>
          <w:color w:val="auto"/>
        </w:rPr>
      </w:pPr>
      <w:r>
        <w:rPr>
          <w:rFonts w:ascii="Arial" w:cs="Arial" w:eastAsia="Arial" w:hAnsi="Arial"/>
          <w:sz w:val="15"/>
          <w:szCs w:val="15"/>
          <w:color w:val="auto"/>
        </w:rPr>
        <w:t>The following table provides the aggregate number of restricted share units (</w:t>
      </w:r>
      <w:r>
        <w:rPr>
          <w:rFonts w:ascii="Arial" w:cs="Arial" w:eastAsia="Arial" w:hAnsi="Arial"/>
          <w:sz w:val="15"/>
          <w:szCs w:val="15"/>
          <w:b w:val="1"/>
          <w:bCs w:val="1"/>
          <w:color w:val="auto"/>
        </w:rPr>
        <w:t>RSUs</w:t>
      </w:r>
      <w:r>
        <w:rPr>
          <w:rFonts w:ascii="Arial" w:cs="Arial" w:eastAsia="Arial" w:hAnsi="Arial"/>
          <w:sz w:val="15"/>
          <w:szCs w:val="15"/>
          <w:color w:val="auto"/>
        </w:rPr>
        <w:t>) and PSUs that were outstanding as of September 30, 2021. The number of shares to be issued on the vesting date of these awards will be reduced by the amount of the employee’s required income tax withholding.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29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41"/>
        </w:trPr>
        <w:tc>
          <w:tcPr>
            <w:tcW w:w="85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tcPr>
          <w:p>
            <w:pPr>
              <w:ind w:left="140"/>
              <w:spacing w:after="0"/>
              <w:rPr>
                <w:sz w:val="20"/>
                <w:szCs w:val="20"/>
                <w:color w:val="auto"/>
              </w:rPr>
            </w:pPr>
            <w:r>
              <w:rPr>
                <w:rFonts w:ascii="Arial" w:cs="Arial" w:eastAsia="Arial" w:hAnsi="Arial"/>
                <w:sz w:val="18"/>
                <w:szCs w:val="18"/>
                <w:color w:val="auto"/>
              </w:rPr>
              <w:t>RSUs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2,722,067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5,443,384</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4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PSUs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1,306,731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2,613,401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5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148,583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PSUs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37,510</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75,016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we do not recognize share-based compensation expense with respect to these awards, the future vesting of these RSUs and PSUs will increase the number of our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Ventures Incentive Plan</w:t>
      </w:r>
    </w:p>
    <w:p>
      <w:pPr>
        <w:spacing w:after="0" w:line="23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April 2021, the compensation committee of our board of directors approved a new incentive plan, referred to herein as the “</w:t>
      </w:r>
      <w:r>
        <w:rPr>
          <w:rFonts w:ascii="Arial" w:cs="Arial" w:eastAsia="Arial" w:hAnsi="Arial"/>
          <w:sz w:val="15"/>
          <w:szCs w:val="15"/>
          <w:b w:val="1"/>
          <w:bCs w:val="1"/>
          <w:color w:val="auto"/>
        </w:rPr>
        <w:t>2021 Ventures Incentive</w:t>
      </w:r>
      <w:r>
        <w:rPr>
          <w:rFonts w:ascii="Arial" w:cs="Arial" w:eastAsia="Arial" w:hAnsi="Arial"/>
          <w:sz w:val="15"/>
          <w:szCs w:val="15"/>
          <w:color w:val="auto"/>
        </w:rPr>
        <w:t xml:space="preserve"> </w:t>
      </w:r>
      <w:r>
        <w:rPr>
          <w:rFonts w:ascii="Arial" w:cs="Arial" w:eastAsia="Arial" w:hAnsi="Arial"/>
          <w:sz w:val="15"/>
          <w:szCs w:val="15"/>
          <w:b w:val="1"/>
          <w:bCs w:val="1"/>
          <w:color w:val="auto"/>
        </w:rPr>
        <w:t>Plan</w:t>
      </w:r>
      <w:r>
        <w:rPr>
          <w:rFonts w:ascii="Arial" w:cs="Arial" w:eastAsia="Arial" w:hAnsi="Arial"/>
          <w:sz w:val="15"/>
          <w:szCs w:val="15"/>
          <w:color w:val="auto"/>
        </w:rPr>
        <w:t>”. The 2021 Ventures Incentive Plan was provided to executive officers and other key employees and is based on the performance of the Liberty Global</w:t>
      </w:r>
      <w:r>
        <w:rPr>
          <w:rFonts w:ascii="Arial" w:cs="Arial" w:eastAsia="Arial" w:hAnsi="Arial"/>
          <w:sz w:val="15"/>
          <w:szCs w:val="15"/>
          <w:b w:val="1"/>
          <w:bCs w:val="1"/>
          <w:color w:val="auto"/>
        </w:rPr>
        <w:t xml:space="preserve"> </w:t>
      </w:r>
      <w:r>
        <w:rPr>
          <w:rFonts w:ascii="Arial" w:cs="Arial" w:eastAsia="Arial" w:hAnsi="Arial"/>
          <w:sz w:val="15"/>
          <w:szCs w:val="15"/>
          <w:color w:val="auto"/>
        </w:rPr>
        <w:t>Ventures Portfolio (the “</w:t>
      </w:r>
      <w:r>
        <w:rPr>
          <w:rFonts w:ascii="Arial" w:cs="Arial" w:eastAsia="Arial" w:hAnsi="Arial"/>
          <w:sz w:val="15"/>
          <w:szCs w:val="15"/>
          <w:b w:val="1"/>
          <w:bCs w:val="1"/>
          <w:color w:val="auto"/>
        </w:rPr>
        <w:t>Portfolio</w:t>
      </w:r>
      <w:r>
        <w:rPr>
          <w:rFonts w:ascii="Arial" w:cs="Arial" w:eastAsia="Arial" w:hAnsi="Arial"/>
          <w:sz w:val="15"/>
          <w:szCs w:val="15"/>
          <w:color w:val="auto"/>
        </w:rPr>
        <w:t>”), which is measured by assessing the fair value of the Portfolio over a three-year period beginning December 31, 2020 and ending on December 31, 2023. Payout will be denominated in cash and will be assessed at the end of the three-year period using eligible participants’ initial contribution between 10% and 100% of their 2021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will vest on March 31, 2024. In order to receive the payout, participants are required to remain employed through the final vesting date. The 2021 Ventures Incentive Plan awards are liability classified due to the fact that the final payout under this plan will be denominated in cash and may be settled in a variable number of shares. At September 30, 2021, the estimated fair value of the final payout under the 2021 Ventures Incentive Plan was $17.1 million.</w:t>
      </w:r>
    </w:p>
    <w:p>
      <w:pPr>
        <w:spacing w:after="0" w:line="39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An initial fair value assessment was performed for the Portfolio as of December 31, 2020 by an independent third-party valuation specialist. We recognize share-based compensation expense related to the 2021 Ventures Incentive Plan as a charge to operations on a straight-line basis, including any changes in expense related to the change in the fair value of the Portfolio each assessment date, from the date of grant through the vesting date of March 31, 2024. Our share of payroll taxes incurred in connection with the vesting of the 2021 Ventures Incentive Plan is recorded as a component of share-based compensation expense in our condensed consolidated statement of operations.</w:t>
      </w:r>
    </w:p>
    <w:p>
      <w:pPr>
        <w:spacing w:after="0" w:line="201"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4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tcPr>
          <w:p>
            <w:pPr>
              <w:spacing w:after="0"/>
              <w:rPr>
                <w:sz w:val="18"/>
                <w:szCs w:val="18"/>
                <w:color w:val="auto"/>
              </w:rPr>
            </w:pPr>
          </w:p>
        </w:tc>
        <w:tc>
          <w:tcPr>
            <w:tcW w:w="28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8"/>
              </w:rPr>
              <w:t>Three months ended</w:t>
            </w:r>
          </w:p>
        </w:tc>
        <w:tc>
          <w:tcPr>
            <w:tcW w:w="2780" w:type="dxa"/>
            <w:vAlign w:val="bottom"/>
            <w:gridSpan w:val="3"/>
          </w:tcPr>
          <w:p>
            <w:pPr>
              <w:jc w:val="right"/>
              <w:ind w:right="654"/>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18"/>
                <w:szCs w:val="18"/>
                <w:color w:val="auto"/>
              </w:rPr>
            </w:pPr>
          </w:p>
        </w:tc>
        <w:tc>
          <w:tcPr>
            <w:tcW w:w="28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7"/>
              </w:rPr>
              <w:t>September 30,</w:t>
            </w:r>
          </w:p>
        </w:tc>
        <w:tc>
          <w:tcPr>
            <w:tcW w:w="2780" w:type="dxa"/>
            <w:vAlign w:val="bottom"/>
            <w:gridSpan w:val="3"/>
          </w:tcPr>
          <w:p>
            <w:pPr>
              <w:jc w:val="right"/>
              <w:ind w:right="814"/>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6"/>
        </w:trPr>
        <w:tc>
          <w:tcPr>
            <w:tcW w:w="55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ordinary shares outstanding (basic EPS computation)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551,973,418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590,985,197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561,295,200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608,816,109</w:t>
            </w: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88"/>
              </w:rPr>
              <w:t>Incremental shares attributable to the assumed exercise of outstanding options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80" w:type="dxa"/>
            <w:vAlign w:val="bottom"/>
          </w:tcPr>
          <w:p>
            <w:pPr>
              <w:ind w:left="180"/>
              <w:spacing w:after="0" w:line="172" w:lineRule="exact"/>
              <w:rPr>
                <w:sz w:val="20"/>
                <w:szCs w:val="20"/>
                <w:color w:val="auto"/>
              </w:rPr>
            </w:pPr>
            <w:r>
              <w:rPr>
                <w:rFonts w:ascii="Arial" w:cs="Arial" w:eastAsia="Arial" w:hAnsi="Arial"/>
                <w:sz w:val="18"/>
                <w:szCs w:val="18"/>
                <w:color w:val="auto"/>
                <w:w w:val="89"/>
              </w:rPr>
              <w:t>and SARs and the release of RSUs and PSUs upon vesting (treasury stock</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13,071,058</w:t>
            </w: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13,131,584</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method)</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Weighted average ordinary shares outstanding (diluted EPS computation)</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565,044,476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590,985,197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574,426,784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608,816,109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calculation of diluted earnings per share for the three and nine months ended September 30, 2021 excludes a total of 51.5 million options, SARs and RSUs because their effect would have been anti-dilutive.</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reported losses from continuing operations attributable to Liberty Global shareholders for the three and nine months ended September 30, 2020. Therefore, the potential dilutive effect at September 30, 2020 of the following items was not included in the computation of diluted loss from continuing operations attributable to Liberty Global shareholders per share because their inclusion would have been anti-dilutive: (i) the aggregate number of shares issuable pursuant to outstanding options, SARs and RSUs of 77.3 million and (ii) the aggregate number of shares issuable pursuant to PSARs and PSUs of 20.2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is set forth below:</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w w:val="95"/>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from continuing operations</w:t>
            </w:r>
          </w:p>
        </w:tc>
        <w:tc>
          <w:tcPr>
            <w:tcW w:w="110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315.6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173"/>
        </w:trPr>
        <w:tc>
          <w:tcPr>
            <w:tcW w:w="4600" w:type="dxa"/>
            <w:vAlign w:val="bottom"/>
          </w:tcPr>
          <w:p>
            <w:pPr>
              <w:ind w:left="20"/>
              <w:spacing w:after="0" w:line="173" w:lineRule="exact"/>
              <w:rPr>
                <w:sz w:val="20"/>
                <w:szCs w:val="20"/>
                <w:color w:val="auto"/>
              </w:rPr>
            </w:pPr>
            <w:r>
              <w:rPr>
                <w:rFonts w:ascii="Arial" w:cs="Arial" w:eastAsia="Arial" w:hAnsi="Arial"/>
                <w:sz w:val="18"/>
                <w:szCs w:val="18"/>
                <w:color w:val="auto"/>
              </w:rPr>
              <w:t>Net earnings from continuing operations attributable to</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noncontrolling interests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4"/>
              </w:rPr>
              <w:t>(41.6)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54"/>
        </w:trPr>
        <w:tc>
          <w:tcPr>
            <w:tcW w:w="4600" w:type="dxa"/>
            <w:vAlign w:val="bottom"/>
            <w:shd w:val="clear" w:color="auto" w:fill="CCEEFF"/>
          </w:tcPr>
          <w:p>
            <w:pPr>
              <w:ind w:left="180"/>
              <w:spacing w:after="0" w:line="154" w:lineRule="exact"/>
              <w:rPr>
                <w:sz w:val="20"/>
                <w:szCs w:val="20"/>
                <w:color w:val="auto"/>
              </w:rPr>
            </w:pPr>
            <w:r>
              <w:rPr>
                <w:rFonts w:ascii="Arial" w:cs="Arial" w:eastAsia="Arial" w:hAnsi="Arial"/>
                <w:sz w:val="17"/>
                <w:szCs w:val="17"/>
                <w:color w:val="auto"/>
                <w:w w:val="96"/>
              </w:rPr>
              <w:t>Net earnings (loss) from continuing operations attributable to</w:t>
            </w:r>
          </w:p>
        </w:tc>
        <w:tc>
          <w:tcPr>
            <w:tcW w:w="1100" w:type="dxa"/>
            <w:vAlign w:val="bottom"/>
            <w:vMerge w:val="restart"/>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4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274.0</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(1,035.1)</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12,746.4</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18"/>
        </w:trPr>
        <w:tc>
          <w:tcPr>
            <w:tcW w:w="4600" w:type="dxa"/>
            <w:vAlign w:val="bottom"/>
            <w:tcBorders>
              <w:bottom w:val="single" w:sz="8" w:color="CCEEFF"/>
            </w:tcBorders>
            <w:shd w:val="clear" w:color="auto" w:fill="CCEEFF"/>
          </w:tcPr>
          <w:p>
            <w:pPr>
              <w:ind w:left="340"/>
              <w:spacing w:after="0" w:line="198" w:lineRule="exact"/>
              <w:rPr>
                <w:sz w:val="20"/>
                <w:szCs w:val="20"/>
                <w:color w:val="auto"/>
              </w:rPr>
            </w:pPr>
            <w:r>
              <w:rPr>
                <w:rFonts w:ascii="Arial" w:cs="Arial" w:eastAsia="Arial" w:hAnsi="Arial"/>
                <w:sz w:val="18"/>
                <w:szCs w:val="18"/>
                <w:color w:val="auto"/>
              </w:rPr>
              <w:t>Liberty Global shareholders</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4"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In the normal course of business, we have entered into agreements that commit our company to make cash payments in future periods with respect to network and connectivity commitments, purchases of customer premises and other equipment and services, programming contracts and other items. The following table sets forth the U.S. dollar equivalents of such commitments as of September 30, 2021. The commitments included in this table do not reflect any liabilities that are included on our September 30, 2021 condensed consolidated balance sheet.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Network and connectivity commitments primarily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163"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20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(including amounts related to the U.K. JV Entities through the closing of the U.K. JV Transaction) aggregated $957.9 million and $1,176.7 million during the nine months ended September 30, 2021 and 2020, respectively.</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Programming costs include (i) agreements to distribute channels to our customers, (ii) exhibition rights of programming content and (iii) sports rights.</w:t>
      </w:r>
    </w:p>
    <w:p>
      <w:pPr>
        <w:spacing w:after="0" w:line="2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condensed consolidated statement of operations when the programming is available for viewing.</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Exhibition Rights</w:t>
      </w:r>
      <w:r>
        <w:rPr>
          <w:rFonts w:ascii="Arial" w:cs="Arial" w:eastAsia="Arial" w:hAnsi="Arial"/>
          <w:sz w:val="18"/>
          <w:szCs w:val="18"/>
          <w:color w:val="auto"/>
        </w:rPr>
        <w:t>. 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condensed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2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Sports Rights</w:t>
      </w:r>
      <w:r>
        <w:rPr>
          <w:rFonts w:ascii="Arial" w:cs="Arial" w:eastAsia="Arial" w:hAnsi="Arial"/>
          <w:sz w:val="15"/>
          <w:szCs w:val="15"/>
          <w:color w:val="auto"/>
        </w:rPr>
        <w:t>. Our sports rights agreements are generally multi-year contracts for which we are typically charged a flat fee per season. We typically pay</w:t>
      </w:r>
      <w:r>
        <w:rPr>
          <w:rFonts w:ascii="Arial" w:cs="Arial" w:eastAsia="Arial" w:hAnsi="Arial"/>
          <w:sz w:val="15"/>
          <w:szCs w:val="15"/>
          <w:i w:val="1"/>
          <w:iCs w:val="1"/>
          <w:color w:val="auto"/>
        </w:rPr>
        <w:t xml:space="preserve"> </w:t>
      </w:r>
      <w:r>
        <w:rPr>
          <w:rFonts w:ascii="Arial" w:cs="Arial" w:eastAsia="Arial" w:hAnsi="Arial"/>
          <w:sz w:val="15"/>
          <w:szCs w:val="15"/>
          <w:color w:val="auto"/>
        </w:rPr>
        <w:t>for sports rights in advance of the respective season. The current and long-term portions of any payments made in advance of the respective season are recorded as other current assets and other assets, net, respectively, on our condensed consolidated balance sheet and are amortized on a straight-line basis over the respective sporting season. Sports rights are regularly reviewed for impairment and held at the lower of unamortized cost or estimated net realizable value.</w:t>
      </w:r>
    </w:p>
    <w:p>
      <w:pPr>
        <w:spacing w:after="0" w:line="17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nine months ended September 30, 2021 and 2020, see note 6.</w:t>
      </w:r>
    </w:p>
    <w:p>
      <w:pPr>
        <w:spacing w:after="0" w:line="16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Interkabel Acquisition. </w:t>
      </w:r>
      <w:r>
        <w:rPr>
          <w:rFonts w:ascii="Arial" w:cs="Arial" w:eastAsia="Arial" w:hAnsi="Arial"/>
          <w:sz w:val="15"/>
          <w:szCs w:val="15"/>
          <w:color w:val="auto"/>
        </w:rPr>
        <w:t>On November 26, 2007, Telenet and four associations of municipalities in Belgium, which we refer to as the pure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intercommunales or the “</w:t>
      </w:r>
      <w:r>
        <w:rPr>
          <w:rFonts w:ascii="Arial" w:cs="Arial" w:eastAsia="Arial" w:hAnsi="Arial"/>
          <w:sz w:val="15"/>
          <w:szCs w:val="15"/>
          <w:b w:val="1"/>
          <w:bCs w:val="1"/>
          <w:color w:val="auto"/>
        </w:rPr>
        <w:t>PICs</w:t>
      </w:r>
      <w:r>
        <w:rPr>
          <w:rFonts w:ascii="Arial" w:cs="Arial" w:eastAsia="Arial" w:hAnsi="Arial"/>
          <w:sz w:val="15"/>
          <w:szCs w:val="15"/>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5"/>
          <w:szCs w:val="15"/>
          <w:b w:val="1"/>
          <w:bCs w:val="1"/>
          <w:color w:val="auto"/>
        </w:rPr>
        <w:t>2008 PICs Agreement</w:t>
      </w:r>
      <w:r>
        <w:rPr>
          <w:rFonts w:ascii="Arial" w:cs="Arial" w:eastAsia="Arial" w:hAnsi="Arial"/>
          <w:sz w:val="15"/>
          <w:szCs w:val="15"/>
          <w:color w:val="auto"/>
        </w:rPr>
        <w:t>), which closed effective October 1, 2008. Beginning in December 2007, Proximus NV/SA (</w:t>
      </w:r>
      <w:r>
        <w:rPr>
          <w:rFonts w:ascii="Arial" w:cs="Arial" w:eastAsia="Arial" w:hAnsi="Arial"/>
          <w:sz w:val="15"/>
          <w:szCs w:val="15"/>
          <w:b w:val="1"/>
          <w:bCs w:val="1"/>
          <w:color w:val="auto"/>
        </w:rPr>
        <w:t>Proximus</w:t>
      </w:r>
      <w:r>
        <w:rPr>
          <w:rFonts w:ascii="Arial" w:cs="Arial" w:eastAsia="Arial" w:hAnsi="Arial"/>
          <w:sz w:val="15"/>
          <w:szCs w:val="15"/>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(the </w:t>
      </w:r>
      <w:r>
        <w:rPr>
          <w:rFonts w:ascii="Arial" w:cs="Arial" w:eastAsia="Arial" w:hAnsi="Arial"/>
          <w:sz w:val="15"/>
          <w:szCs w:val="15"/>
          <w:b w:val="1"/>
          <w:bCs w:val="1"/>
          <w:color w:val="auto"/>
        </w:rPr>
        <w:t>Belgian Supreme Court</w:t>
      </w:r>
      <w:r>
        <w:rPr>
          <w:rFonts w:ascii="Arial" w:cs="Arial" w:eastAsia="Arial" w:hAnsi="Arial"/>
          <w:sz w:val="15"/>
          <w:szCs w:val="15"/>
          <w:color w:val="auto"/>
        </w:rPr>
        <w:t>), which confirmed the appeal judgment in September 2010. On April 6, 2009, the Court of First Instance of Antwerp ruled in favor of the PICs and Telenet in the civil procedure on the merits, dismissing Proximus’ request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w:t>
      </w:r>
      <w:r>
        <w:rPr>
          <w:rFonts w:ascii="Arial" w:cs="Arial" w:eastAsia="Arial" w:hAnsi="Arial"/>
          <w:sz w:val="17"/>
          <w:szCs w:val="17"/>
          <w:color w:val="auto"/>
        </w:rPr>
        <w:t>On</w:t>
      </w:r>
      <w:r>
        <w:rPr>
          <w:rFonts w:ascii="Arial" w:cs="Arial" w:eastAsia="Arial" w:hAnsi="Arial"/>
          <w:sz w:val="16"/>
          <w:szCs w:val="16"/>
          <w:color w:val="auto"/>
        </w:rPr>
        <w:t xml:space="preserve"> December 18, 2017, the Court of Appeal of Antwerp rejected Proximus’ claim in its entirety. On June 28, 2019, Proximus brought this appeal judgment before the Belgian Supreme Court. On January 22, 2021, the Belgium Supreme Court partially annulled the judgment of the Court of Appeal of Antwerp. The case will be referred to the Court of Appeal of Brussels. This Court will need to make a new decision on the matter within the boundaries of the annulment by the Belgium Supreme Court. It is likely that it will take the Court of Appeal of Brussels several years to decide on the matter.</w:t>
      </w:r>
    </w:p>
    <w:p>
      <w:pPr>
        <w:spacing w:after="0" w:line="2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GmbH (</w:t>
      </w:r>
      <w:r>
        <w:rPr>
          <w:rFonts w:ascii="Arial" w:cs="Arial" w:eastAsia="Arial" w:hAnsi="Arial"/>
          <w:sz w:val="15"/>
          <w:szCs w:val="15"/>
          <w:b w:val="1"/>
          <w:bCs w:val="1"/>
          <w:color w:val="auto"/>
        </w:rPr>
        <w:t>Unitymedia</w:t>
      </w:r>
      <w:r>
        <w:rPr>
          <w:rFonts w:ascii="Arial" w:cs="Arial" w:eastAsia="Arial" w:hAnsi="Arial"/>
          <w:sz w:val="15"/>
          <w:szCs w:val="15"/>
          <w:color w:val="auto"/>
        </w:rPr>
        <w:t>) filed a lawsuit against Telekom Deutschland GmbH</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Telekom Deutschland</w:t>
      </w:r>
      <w:r>
        <w:rPr>
          <w:rFonts w:ascii="Arial" w:cs="Arial" w:eastAsia="Arial" w:hAnsi="Arial"/>
          <w:sz w:val="15"/>
          <w:szCs w:val="15"/>
          <w:color w:val="auto"/>
        </w:rPr>
        <w:t xml:space="preserve">) in 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our former operations in Germany, Romania, Hungary and the Czech Republic to Vodafone (the </w:t>
      </w:r>
      <w:r>
        <w:rPr>
          <w:rFonts w:ascii="Arial" w:cs="Arial" w:eastAsia="Arial" w:hAnsi="Arial"/>
          <w:sz w:val="15"/>
          <w:szCs w:val="15"/>
          <w:b w:val="1"/>
          <w:bCs w:val="1"/>
          <w:color w:val="auto"/>
        </w:rPr>
        <w:t>Vodafone Disposal Group</w:t>
      </w:r>
      <w:r>
        <w:rPr>
          <w:rFonts w:ascii="Arial" w:cs="Arial" w:eastAsia="Arial" w:hAnsi="Arial"/>
          <w:sz w:val="15"/>
          <w:szCs w:val="15"/>
          <w:color w:val="auto"/>
        </w:rPr>
        <w:t>),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July 5, 2019, the Belgium Regulatory Authorities published for consultation a draft decision regarding “reasonable access tariffs” that will replace the interim prices. On May 26, 2020, the Belgium Regulatory Authorities adopted a final decision regarding the “reasonable access tariffs” (the </w:t>
      </w:r>
      <w:r>
        <w:rPr>
          <w:rFonts w:ascii="Arial" w:cs="Arial" w:eastAsia="Arial" w:hAnsi="Arial"/>
          <w:sz w:val="17"/>
          <w:szCs w:val="17"/>
          <w:b w:val="1"/>
          <w:bCs w:val="1"/>
          <w:color w:val="auto"/>
        </w:rPr>
        <w:t>2020 Decision</w:t>
      </w:r>
      <w:r>
        <w:rPr>
          <w:rFonts w:ascii="Arial" w:cs="Arial" w:eastAsia="Arial" w:hAnsi="Arial"/>
          <w:sz w:val="17"/>
          <w:szCs w:val="17"/>
          <w:color w:val="auto"/>
        </w:rPr>
        <w:t>) that represents, for example, a decrease of 11.5% as compared to the interim rates for a 100 Mbps offer combined with TV. These rates are expected to evolve over time due to, among other reasons, broadband capacity usage. The 2020 Decision became effective on July 1, 2020.</w:t>
      </w:r>
    </w:p>
    <w:p>
      <w:pPr>
        <w:spacing w:after="0" w:line="20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investments in broadband networks. Telenet challenged the 2018 Decision in the Court of Appeal of Brussels and also initiated an action in the European Court of Justice against the European Commission’s decision not to challenge the 2018 Decision. The proceedings before the European Court of Justice have been withdrawn by Telenet in order to avoid undue delays in the Court of Appeal case. In a decision issued on September 4, 2019, the Court of Appeal of Brussels upheld the 2018 Decision.</w:t>
      </w:r>
    </w:p>
    <w:p>
      <w:pPr>
        <w:spacing w:after="0" w:line="2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UPC Austria Matter</w:t>
      </w:r>
      <w:r>
        <w:rPr>
          <w:rFonts w:ascii="Arial" w:cs="Arial" w:eastAsia="Arial" w:hAnsi="Arial"/>
          <w:sz w:val="17"/>
          <w:szCs w:val="17"/>
          <w:color w:val="auto"/>
        </w:rPr>
        <w:t>. 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Telekom</w:t>
      </w:r>
      <w:r>
        <w:rPr>
          <w:rFonts w:ascii="Arial" w:cs="Arial" w:eastAsia="Arial" w:hAnsi="Arial"/>
          <w:sz w:val="17"/>
          <w:szCs w:val="17"/>
          <w:color w:val="auto"/>
        </w:rPr>
        <w:t xml:space="preserve">). In October of 2019, we received notification under the terms of the relevant acquisition agreements from Deutsche Telekom and its subsidiary 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of €70.5 million ($81.6 million). The value of the amounts claimed by the UPC Austria Sale Counterparties has since increased to €106.2 million ($122.9 million).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and (ii) there are significant factual matters to be resolved. We intend to vigorously defend this matter.</w:t>
      </w:r>
    </w:p>
    <w:p>
      <w:pPr>
        <w:spacing w:after="0" w:line="20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our reportable segments are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17"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Belgium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Ireland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17"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color w:val="auto"/>
        </w:rPr>
        <w:t>VMED O2 JV</w:t>
      </w:r>
    </w:p>
    <w:p>
      <w:pPr>
        <w:spacing w:after="0" w:line="16" w:lineRule="exact"/>
        <w:rPr>
          <w:rFonts w:ascii="Arial" w:cs="Arial" w:eastAsia="Arial" w:hAnsi="Arial"/>
          <w:sz w:val="18"/>
          <w:szCs w:val="18"/>
          <w:b w:val="1"/>
          <w:bCs w:val="1"/>
          <w:i w:val="1"/>
          <w:iCs w:val="1"/>
          <w:color w:val="auto"/>
        </w:rPr>
      </w:pPr>
    </w:p>
    <w:p>
      <w:pPr>
        <w:ind w:left="640" w:hanging="316"/>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September 22, 2021, we entered into an agreement to sell our operations in Poland (see note 4). Accordingly, segment information for all periods has been retrospectively revised to present our operating segment in Poland as a discontinued operation. Previously, our operations in Poland, together with our operations in Slovakia, were included in our former Central and Eastern Europe reportable segment. As a result of this change, our operations in Slovakia are now included in Central and Other (as defined below and previously referred to as “</w:t>
      </w:r>
      <w:r>
        <w:rPr>
          <w:rFonts w:ascii="Arial" w:cs="Arial" w:eastAsia="Arial" w:hAnsi="Arial"/>
          <w:sz w:val="15"/>
          <w:szCs w:val="15"/>
          <w:i w:val="1"/>
          <w:iCs w:val="1"/>
          <w:color w:val="auto"/>
        </w:rPr>
        <w:t>Central and Corporate</w:t>
      </w:r>
      <w:r>
        <w:rPr>
          <w:rFonts w:ascii="Arial" w:cs="Arial" w:eastAsia="Arial" w:hAnsi="Arial"/>
          <w:sz w:val="15"/>
          <w:szCs w:val="15"/>
          <w:color w:val="auto"/>
        </w:rPr>
        <w:t>”) for all periods presented.</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On June 1, 2021, we completed the U.K. JV Transaction, whereby we contributed the U.K. JV Entities to the VMED O2 JV. Prior to the completion of the U.K. JV Transaction, we presented the U.K. JV Entities, together with our operations in Ireland, as a single reportable segment, </w:t>
      </w:r>
      <w:r>
        <w:rPr>
          <w:rFonts w:ascii="Arial" w:cs="Arial" w:eastAsia="Arial" w:hAnsi="Arial"/>
          <w:sz w:val="17"/>
          <w:szCs w:val="17"/>
          <w:i w:val="1"/>
          <w:iCs w:val="1"/>
          <w:color w:val="auto"/>
        </w:rPr>
        <w:t>“U.K./Ireland”</w:t>
      </w:r>
      <w:r>
        <w:rPr>
          <w:rFonts w:ascii="Arial" w:cs="Arial" w:eastAsia="Arial" w:hAnsi="Arial"/>
          <w:sz w:val="17"/>
          <w:szCs w:val="17"/>
          <w:color w:val="auto"/>
        </w:rPr>
        <w:t>. In connection with the completion of the U.K. JV Transaction, we have restated our segment presentation for all periods to separately present (i) the U.K. JV Entities and (ii) Ireland. In addition, certain other less significant entities previously included in the U.K./Ireland segment are now included within Central and Other (as defined below). Following the closing of the U.K. JV Transaction, we have identified the VMED O2 JV as a nonconsolidated reportable segment. For additional information regarding the U.K. JV Transaction, see note 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1"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Our “</w:t>
      </w:r>
      <w:r>
        <w:rPr>
          <w:rFonts w:ascii="Arial" w:cs="Arial" w:eastAsia="Arial" w:hAnsi="Arial"/>
          <w:sz w:val="15"/>
          <w:szCs w:val="15"/>
          <w:b w:val="1"/>
          <w:bCs w:val="1"/>
          <w:color w:val="auto"/>
        </w:rPr>
        <w:t>Central and Other”</w:t>
      </w:r>
      <w:r>
        <w:rPr>
          <w:rFonts w:ascii="Arial" w:cs="Arial" w:eastAsia="Arial" w:hAnsi="Arial"/>
          <w:sz w:val="15"/>
          <w:szCs w:val="15"/>
          <w:color w:val="auto"/>
        </w:rPr>
        <w:t xml:space="preserve"> category primarily includes (i) our operations in Slovakia, (ii) services provided to the VMED O2 JV, the VodafoneZiggo JV and various third parties related to transitional service agreements, (iii) sales of customer premises equipment to the VodafoneZiggo JV and (iv) certain centralized functions, including billing systems, network operations, technology, marketing, facilities, finance and other administrative functions.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VMED O2 JV and the VodafoneZiggo JV, we present 100% of the revenue and Adjusted EBITDA of those entities in the tables below. Our share of the operating results of the VMED O2 JV and the VodafoneZiggo JV are included in share of results of affiliates, net, in our condensed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ind w:left="340"/>
              <w:spacing w:after="0" w:line="15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3"/>
                <w:szCs w:val="13"/>
                <w:color w:val="auto"/>
              </w:rPr>
            </w:pPr>
          </w:p>
        </w:tc>
        <w:tc>
          <w:tcPr>
            <w:tcW w:w="2260" w:type="dxa"/>
            <w:vAlign w:val="bottom"/>
            <w:gridSpan w:val="4"/>
          </w:tcPr>
          <w:p>
            <w:pPr>
              <w:jc w:val="right"/>
              <w:ind w:right="573"/>
              <w:spacing w:after="0" w:line="155"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4,457.3</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VMED O2 JV (b)</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1,206.1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1,166.7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3,638.4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3,345.4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for the 2021 nine-month period represents the revenue of the VMED 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Adjusted EBITDA</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ind w:left="340"/>
              <w:spacing w:after="0" w:line="15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3"/>
                <w:szCs w:val="13"/>
                <w:color w:val="auto"/>
              </w:rPr>
            </w:pPr>
          </w:p>
        </w:tc>
        <w:tc>
          <w:tcPr>
            <w:tcW w:w="2260" w:type="dxa"/>
            <w:vAlign w:val="bottom"/>
            <w:gridSpan w:val="4"/>
          </w:tcPr>
          <w:p>
            <w:pPr>
              <w:jc w:val="right"/>
              <w:ind w:right="573"/>
              <w:spacing w:after="0" w:line="155"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1,053.1</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 (b)</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VMED O2 JV (c)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578.1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559.1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1,713.4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Adjusted EBITDA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relate to transactions between our continuing and discontinued operations.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for the 2021 nine-month period represents the Adjusted EBITDA of the VMED 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Gain on Atlas Edge JV Transactions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adjustment to gain on U.K. JV Transaction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173"/>
        </w:trPr>
        <w:tc>
          <w:tcPr>
            <w:tcW w:w="5840" w:type="dxa"/>
            <w:vAlign w:val="bottom"/>
          </w:tcPr>
          <w:p>
            <w:pPr>
              <w:ind w:left="20"/>
              <w:spacing w:after="0" w:line="173" w:lineRule="exact"/>
              <w:rPr>
                <w:sz w:val="20"/>
                <w:szCs w:val="20"/>
                <w:color w:val="auto"/>
              </w:rPr>
            </w:pPr>
            <w:r>
              <w:rPr>
                <w:rFonts w:ascii="Arial" w:cs="Arial" w:eastAsia="Arial" w:hAnsi="Arial"/>
                <w:sz w:val="18"/>
                <w:szCs w:val="18"/>
                <w:color w:val="auto"/>
                <w:w w:val="93"/>
              </w:rPr>
              <w:t>Realized and unrealized losses (gains) due to changes in fair values of certain</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24"/>
        </w:trPr>
        <w:tc>
          <w:tcPr>
            <w:tcW w:w="5840" w:type="dxa"/>
            <w:vAlign w:val="bottom"/>
          </w:tcPr>
          <w:p>
            <w:pPr>
              <w:ind w:left="180"/>
              <w:spacing w:after="0"/>
              <w:rPr>
                <w:sz w:val="20"/>
                <w:szCs w:val="20"/>
                <w:color w:val="auto"/>
              </w:rPr>
            </w:pPr>
            <w:r>
              <w:rPr>
                <w:rFonts w:ascii="Arial" w:cs="Arial" w:eastAsia="Arial" w:hAnsi="Arial"/>
                <w:sz w:val="18"/>
                <w:szCs w:val="18"/>
                <w:color w:val="auto"/>
              </w:rPr>
              <w:t>investments and debt, net</w:t>
            </w: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w w:val="97"/>
              </w:rPr>
              <w:t>Realized and unrealized losses (gains) gains on derivative instruments,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18"/>
        </w:trPr>
        <w:tc>
          <w:tcPr>
            <w:tcW w:w="5840" w:type="dxa"/>
            <w:vAlign w:val="bottom"/>
          </w:tcPr>
          <w:p>
            <w:pPr>
              <w:ind w:left="180"/>
              <w:spacing w:after="0" w:line="204" w:lineRule="exact"/>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1,710.1</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8"/>
        </w:trPr>
        <w:tc>
          <w:tcPr>
            <w:tcW w:w="584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48"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Nine months ended</w:t>
      </w:r>
    </w:p>
    <w:p>
      <w:pPr>
        <w:jc w:val="center"/>
        <w:ind w:left="852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 (b)</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8"/>
        </w:trPr>
        <w:tc>
          <w:tcPr>
            <w:tcW w:w="8540" w:type="dxa"/>
            <w:vAlign w:val="bottom"/>
          </w:tcPr>
          <w:p>
            <w:pPr>
              <w:ind w:left="180"/>
              <w:spacing w:after="0" w:line="204" w:lineRule="exact"/>
              <w:rPr>
                <w:sz w:val="20"/>
                <w:szCs w:val="20"/>
                <w:color w:val="auto"/>
              </w:rPr>
            </w:pPr>
            <w:r>
              <w:rPr>
                <w:rFonts w:ascii="Arial" w:cs="Arial" w:eastAsia="Arial" w:hAnsi="Arial"/>
                <w:sz w:val="18"/>
                <w:szCs w:val="18"/>
                <w:color w:val="auto"/>
              </w:rPr>
              <w:t>Total property and equipment additions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8"/>
        </w:trPr>
        <w:tc>
          <w:tcPr>
            <w:tcW w:w="8540" w:type="dxa"/>
            <w:vAlign w:val="bottom"/>
          </w:tcPr>
          <w:p>
            <w:pPr>
              <w:ind w:left="340"/>
              <w:spacing w:after="0" w:line="204" w:lineRule="exact"/>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VMED O2 JV (c)</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VodafoneZiggo JV</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705.0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property and equipment additions of the U.K. JV Entities through the June 1, 2021 closing of the U.K. JV Transaction.</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4" w:lineRule="exact"/>
        <w:rPr>
          <w:rFonts w:ascii="Arial" w:cs="Arial" w:eastAsia="Arial" w:hAnsi="Arial"/>
          <w:sz w:val="18"/>
          <w:szCs w:val="18"/>
          <w:color w:val="auto"/>
        </w:rPr>
      </w:pPr>
    </w:p>
    <w:p>
      <w:pPr>
        <w:ind w:left="480" w:hanging="474"/>
        <w:spacing w:after="0"/>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 for the 2021 period represents the property and equipment additions of the VMED 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0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5"/>
        </w:trPr>
        <w:tc>
          <w:tcPr>
            <w:tcW w:w="5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5"/>
              </w:rPr>
              <w:t>2020</w:t>
            </w:r>
          </w:p>
        </w:tc>
      </w:tr>
      <w:tr>
        <w:trPr>
          <w:trHeight w:val="203"/>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57"/>
        </w:trPr>
        <w:tc>
          <w:tcPr>
            <w:tcW w:w="5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2,333.7</w:t>
            </w:r>
          </w:p>
        </w:tc>
      </w:tr>
      <w:tr>
        <w:trPr>
          <w:trHeight w:val="226"/>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w:t>
            </w:r>
          </w:p>
        </w:tc>
      </w:tr>
      <w:tr>
        <w:trPr>
          <w:trHeight w:val="225"/>
        </w:trPr>
        <w:tc>
          <w:tcPr>
            <w:tcW w:w="5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r>
      <w:tr>
        <w:trPr>
          <w:trHeight w:val="219"/>
        </w:trPr>
        <w:tc>
          <w:tcPr>
            <w:tcW w:w="57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5,119.6</w:t>
            </w:r>
          </w:p>
        </w:tc>
      </w:tr>
      <w:tr>
        <w:trPr>
          <w:trHeight w:val="225"/>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r>
      <w:tr>
        <w:trPr>
          <w:trHeight w:val="219"/>
        </w:trPr>
        <w:tc>
          <w:tcPr>
            <w:tcW w:w="57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5,254.3</w:t>
            </w:r>
          </w:p>
        </w:tc>
      </w:tr>
      <w:tr>
        <w:trPr>
          <w:trHeight w:val="205"/>
        </w:trPr>
        <w:tc>
          <w:tcPr>
            <w:tcW w:w="572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r>
      <w:tr>
        <w:trPr>
          <w:trHeight w:val="225"/>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r>
      <w:tr>
        <w:trPr>
          <w:trHeight w:val="219"/>
        </w:trPr>
        <w:tc>
          <w:tcPr>
            <w:tcW w:w="57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r>
      <w:tr>
        <w:trPr>
          <w:trHeight w:val="218"/>
        </w:trPr>
        <w:tc>
          <w:tcPr>
            <w:tcW w:w="572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6,421.7</w:t>
            </w:r>
          </w:p>
        </w:tc>
      </w:tr>
      <w:tr>
        <w:trPr>
          <w:trHeight w:val="206"/>
        </w:trPr>
        <w:tc>
          <w:tcPr>
            <w:tcW w:w="5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5"/>
        </w:trPr>
        <w:tc>
          <w:tcPr>
            <w:tcW w:w="57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403.5</w:t>
            </w:r>
          </w:p>
        </w:tc>
      </w:tr>
      <w:tr>
        <w:trPr>
          <w:trHeight w:val="22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r>
      <w:tr>
        <w:trPr>
          <w:trHeight w:val="218"/>
        </w:trPr>
        <w:tc>
          <w:tcPr>
            <w:tcW w:w="572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1,399.5</w:t>
            </w:r>
          </w:p>
        </w:tc>
      </w:tr>
      <w:tr>
        <w:trPr>
          <w:trHeight w:val="219"/>
        </w:trPr>
        <w:tc>
          <w:tcPr>
            <w:tcW w:w="5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18"/>
        </w:trPr>
        <w:tc>
          <w:tcPr>
            <w:tcW w:w="572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1,901.4</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8,233.7</w:t>
            </w: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1" w:lineRule="exact"/>
        <w:rPr>
          <w:rFonts w:ascii="Arial" w:cs="Arial" w:eastAsia="Arial" w:hAnsi="Arial"/>
          <w:sz w:val="18"/>
          <w:szCs w:val="18"/>
          <w:color w:val="auto"/>
        </w:rPr>
      </w:pPr>
    </w:p>
    <w:p>
      <w:pPr>
        <w:jc w:val="both"/>
        <w:ind w:left="480" w:hanging="474"/>
        <w:spacing w:after="0" w:line="314" w:lineRule="auto"/>
        <w:tabs>
          <w:tab w:leader="none" w:pos="474" w:val="left"/>
        </w:tabs>
        <w:numPr>
          <w:ilvl w:val="0"/>
          <w:numId w:val="45"/>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certain small or home office (</w:t>
      </w:r>
      <w:r>
        <w:rPr>
          <w:rFonts w:ascii="Arial" w:cs="Arial" w:eastAsia="Arial" w:hAnsi="Arial"/>
          <w:sz w:val="15"/>
          <w:szCs w:val="15"/>
          <w:b w:val="1"/>
          <w:bCs w:val="1"/>
          <w:color w:val="auto"/>
        </w:rPr>
        <w:t>SOHO</w:t>
      </w:r>
      <w:r>
        <w:rPr>
          <w:rFonts w:ascii="Arial" w:cs="Arial" w:eastAsia="Arial" w:hAnsi="Arial"/>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to large enterprises and, on a wholesale basis, to other operators and (b) revenue from long-term leases of portions of our network.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80" w:hanging="474"/>
        <w:spacing w:after="0" w:line="255" w:lineRule="auto"/>
        <w:tabs>
          <w:tab w:leader="none" w:pos="4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57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4,457.3</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VMED O2 JV (U.K.) (b)</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40" w:type="dxa"/>
            <w:vAlign w:val="bottom"/>
          </w:tcPr>
          <w:p>
            <w:pPr>
              <w:ind w:left="20"/>
              <w:spacing w:after="0" w:line="199" w:lineRule="exact"/>
              <w:rPr>
                <w:sz w:val="20"/>
                <w:szCs w:val="20"/>
                <w:color w:val="auto"/>
              </w:rPr>
            </w:pPr>
            <w:r>
              <w:rPr>
                <w:rFonts w:ascii="Arial" w:cs="Arial" w:eastAsia="Arial" w:hAnsi="Arial"/>
                <w:sz w:val="18"/>
                <w:szCs w:val="18"/>
                <w:color w:val="auto"/>
              </w:rPr>
              <w:t>VodafoneZiggo JV (Netherlands)</w:t>
            </w:r>
          </w:p>
        </w:tc>
        <w:tc>
          <w:tcPr>
            <w:tcW w:w="280" w:type="dxa"/>
            <w:vAlign w:val="bottom"/>
            <w:tcBorders>
              <w:bottom w:val="single" w:sz="8" w:color="auto"/>
            </w:tcBorders>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1,206.1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1,166.7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3,638.4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9"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3,345.4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for the 2021 nine-month period represents the revenue of the VMED O2 JV for the period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5" w:lineRule="exact"/>
        <w:rPr>
          <w:sz w:val="20"/>
          <w:szCs w:val="20"/>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and 2020.</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5"/>
          <w:szCs w:val="15"/>
          <w:i w:val="1"/>
          <w:iCs w:val="1"/>
          <w:color w:val="auto"/>
        </w:rPr>
        <w:t>Part I, Item 2. Management’s Discussion and Analysis of Financial Condition and Results of Operations, Part 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Item 3. Quantitative and Qualitative Disclosures About Market Risk </w:t>
      </w:r>
      <w:r>
        <w:rPr>
          <w:rFonts w:ascii="Arial" w:cs="Arial" w:eastAsia="Arial" w:hAnsi="Arial"/>
          <w:sz w:val="15"/>
          <w:szCs w:val="15"/>
          <w:color w:val="auto"/>
        </w:rPr>
        <w:t>and</w:t>
      </w:r>
      <w:r>
        <w:rPr>
          <w:rFonts w:ascii="Arial" w:cs="Arial" w:eastAsia="Arial" w:hAnsi="Arial"/>
          <w:sz w:val="15"/>
          <w:szCs w:val="15"/>
          <w:i w:val="1"/>
          <w:iCs w:val="1"/>
          <w:color w:val="auto"/>
        </w:rPr>
        <w:t xml:space="preserve"> Part II, Item 2. Unregistered Sales of Equity Securities and Use of Proceeds </w:t>
      </w:r>
      <w:r>
        <w:rPr>
          <w:rFonts w:ascii="Arial" w:cs="Arial" w:eastAsia="Arial" w:hAnsi="Arial"/>
          <w:sz w:val="15"/>
          <w:szCs w:val="15"/>
          <w:color w:val="auto"/>
        </w:rPr>
        <w:t>may</w:t>
      </w:r>
      <w:r>
        <w:rPr>
          <w:rFonts w:ascii="Arial" w:cs="Arial" w:eastAsia="Arial" w:hAnsi="Arial"/>
          <w:sz w:val="15"/>
          <w:szCs w:val="15"/>
          <w:i w:val="1"/>
          <w:iCs w:val="1"/>
          <w:color w:val="auto"/>
        </w:rPr>
        <w:t xml:space="preserve"> </w:t>
      </w:r>
      <w:r>
        <w:rPr>
          <w:rFonts w:ascii="Arial" w:cs="Arial" w:eastAsia="Arial" w:hAnsi="Arial"/>
          <w:sz w:val="15"/>
          <w:szCs w:val="15"/>
          <w:color w:val="auto"/>
        </w:rPr>
        <w:t>contain forward-looking statements, including statements regarding our business, 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potential impact of COVID-19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(including with respect to our affiliates) to differ materially from anticipated results or events:</w:t>
      </w:r>
    </w:p>
    <w:p>
      <w:pPr>
        <w:spacing w:after="0" w:line="400"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consumer acceptance of our existing service offerings, including our broadband internet, television, fixed-line telephony, mobile and business service offerings, and of new technology, programming alternatives and other products and service offerings in the future;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4" w:name="page55"/>
    <w:bookmarkEnd w:id="54"/>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television, fixed-line telephony and mobile service offerings and our average revenue per household;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government intervention that requires opening our broadband distribution networks to competitors, such as the obligations imposed in Belgium;</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arrangements) to timely deliver quality products, equipment, software, services and access;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our network extension programs;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through Telenet and (iii) Ireland through another wholly-owned subsidiary of Liberty Global. In addition, we own 50% noncontrolling interests in (a) the VodafoneZiggo JV, which provides residential and B2B communication services in the Netherlands, and (b) the VMED O2 JV, which provides residential and B2B communication services in the U.K.</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we currently provide residential and B2B communications services in Poland through UPC Holding. On September 22, 2021, we entered into an agreement to sell our operations in Poland. Accordingly, our operations in Poland are reflected as discontinued operations for all periods presented. In the following discussion and analysis, the operating statistics, results of operations, cash flows and financial condition that we present and discuss are those of our continuing operations unless otherwise indicated. For additional information regarding the pending sale of UPC Poland, including with respect to our current expectations on timing and use of proceeds, see note 4 to our condensed consolidated financial statements.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On June 1, 2021, we contributed the U.K. JV Entities to the VMED O2 JV and began accounting for our 50% interest in the VMED O2 JV as an equity method investment.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September 30, 2021, our continuing operations owned and operated networks that passed 7,456,900 homes and served 4,134,900 fixed-line customers and 5,670,300 mobile subscribers.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global COVID-19 pandemic continues to impact the economies of the countries in which we operate. However, during the third quarter of 2021, the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 For further information regarding the COVID-19 pandemic, see the discussion under </w:t>
      </w:r>
      <w:r>
        <w:rPr>
          <w:rFonts w:ascii="Arial" w:cs="Arial" w:eastAsia="Arial" w:hAnsi="Arial"/>
          <w:sz w:val="17"/>
          <w:szCs w:val="17"/>
          <w:i w:val="1"/>
          <w:iCs w:val="1"/>
          <w:color w:val="auto"/>
        </w:rPr>
        <w:t xml:space="preserve">Part II, Item 7. Management’s Discussion and Analysis of Financial Condition and Results of Operations - Overview </w:t>
      </w:r>
      <w:r>
        <w:rPr>
          <w:rFonts w:ascii="Arial" w:cs="Arial" w:eastAsia="Arial" w:hAnsi="Arial"/>
          <w:sz w:val="17"/>
          <w:szCs w:val="17"/>
          <w:color w:val="auto"/>
        </w:rPr>
        <w:t>included in our 10-K.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regarding the impact of COVID-19 on our results of operations for the nine months ended September 30, 2021, see </w:t>
      </w:r>
      <w:r>
        <w:rPr>
          <w:rFonts w:ascii="Arial" w:cs="Arial" w:eastAsia="Arial" w:hAnsi="Arial"/>
          <w:sz w:val="17"/>
          <w:szCs w:val="17"/>
          <w:i w:val="1"/>
          <w:iCs w:val="1"/>
          <w:color w:val="auto"/>
        </w:rPr>
        <w:t>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our Reportable Segments </w:t>
      </w:r>
      <w:r>
        <w:rPr>
          <w:rFonts w:ascii="Arial" w:cs="Arial" w:eastAsia="Arial" w:hAnsi="Arial"/>
          <w:sz w:val="17"/>
          <w:szCs w:val="17"/>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are the Sunrise Acquisition on November 11, 2020 and the U.K. JV Transaction on June 1, 2021. For further information regarding our pending and completed acquisitions and dispositions, see note 4 to our condensed consolidated financial statements.</w:t>
      </w:r>
    </w:p>
    <w:p>
      <w:pPr>
        <w:spacing w:after="0" w:line="20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periods.</w:t>
      </w:r>
    </w:p>
    <w:p>
      <w:pPr>
        <w:spacing w:after="0" w:line="18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5"/>
          <w:szCs w:val="15"/>
          <w:b w:val="1"/>
          <w:bCs w:val="1"/>
          <w:color w:val="auto"/>
        </w:rPr>
        <w:t>FX</w:t>
      </w:r>
      <w:r>
        <w:rPr>
          <w:rFonts w:ascii="Arial" w:cs="Arial" w:eastAsia="Arial" w:hAnsi="Arial"/>
          <w:sz w:val="15"/>
          <w:szCs w:val="15"/>
          <w:color w:val="auto"/>
        </w:rPr>
        <w:t xml:space="preserve">) risk during the three months ended September 30, 2021 was to the euro and Swiss franc as 55.1% and 43.7%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below. For information regarding our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currency risks and the applicable foreign currency exchange rates in effect for the periods covered by this Quarterly Report, see Part I, Item 3. </w:t>
      </w:r>
      <w:r>
        <w:rPr>
          <w:rFonts w:ascii="Arial" w:cs="Arial" w:eastAsia="Arial" w:hAnsi="Arial"/>
          <w:sz w:val="15"/>
          <w:szCs w:val="15"/>
          <w:i w:val="1"/>
          <w:iCs w:val="1"/>
          <w:color w:val="auto"/>
        </w:rPr>
        <w:t>Quantitative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Qualitative Disclosures about Market Risk — Foreign Currency Risk </w:t>
      </w:r>
      <w:r>
        <w:rPr>
          <w:rFonts w:ascii="Arial" w:cs="Arial" w:eastAsia="Arial" w:hAnsi="Arial"/>
          <w:sz w:val="15"/>
          <w:szCs w:val="15"/>
          <w:color w:val="auto"/>
        </w:rPr>
        <w:t>below.</w:t>
      </w:r>
    </w:p>
    <w:p>
      <w:pPr>
        <w:spacing w:after="0" w:line="18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including broadband internet, video, fixed-line telephony and mobile services. For detailed information regarding the composition of our reportable segments and how we define and categorize our revenue components, see note 16 to our condensed consolidated financial statements. For information regarding the results of operations of the VodafoneZiggo JV and, for the period beginning June 1, 2021, the VMED O2 JV, refer to </w:t>
      </w:r>
      <w:r>
        <w:rPr>
          <w:rFonts w:ascii="Arial" w:cs="Arial" w:eastAsia="Arial" w:hAnsi="Arial"/>
          <w:sz w:val="18"/>
          <w:szCs w:val="18"/>
          <w:i w:val="1"/>
          <w:iCs w:val="1"/>
          <w:color w:val="auto"/>
        </w:rPr>
        <w:t>Discussion and Analysis of our Consolidated Operating Results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of results of affiliates </w:t>
      </w:r>
      <w:r>
        <w:rPr>
          <w:rFonts w:ascii="Arial" w:cs="Arial" w:eastAsia="Arial" w:hAnsi="Arial"/>
          <w:sz w:val="18"/>
          <w:szCs w:val="18"/>
          <w:color w:val="auto"/>
        </w:rPr>
        <w:t>below.</w:t>
      </w:r>
    </w:p>
    <w:p>
      <w:pPr>
        <w:spacing w:after="0" w:line="22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tables presented below in this section provide the details of the revenue and Adjusted EBITDA of our consolidated reportable segments for the three and nine months ended September 30, 2021 and 2020.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EBITDA margins of our consolidated reportable segments for the three and nine months ended September 30, 2021 and 2020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7" w:name="page58"/>
    <w:bookmarkEnd w:id="57"/>
    <w:p>
      <w:pPr>
        <w:jc w:val="both"/>
        <w:ind w:firstLine="318"/>
        <w:spacing w:after="0" w:line="318" w:lineRule="auto"/>
        <w:rPr>
          <w:sz w:val="20"/>
          <w:szCs w:val="20"/>
          <w:color w:val="auto"/>
        </w:rPr>
      </w:pPr>
      <w:r>
        <w:rPr>
          <w:rFonts w:ascii="Arial" w:cs="Arial" w:eastAsia="Arial" w:hAnsi="Arial"/>
          <w:sz w:val="15"/>
          <w:szCs w:val="15"/>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The following table provides a reconciliation of earnings (loss) from continuing operations to Adjusted EBITDA: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Gain on Atlas Edge JV Transactions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adjustment to gain on U.K. JV Transaction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89"/>
              </w:rPr>
              <w:t>Realized and unrealized losses (gains) due to changes in fair values of certain</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investments and debt, net</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w w:val="92"/>
              </w:rPr>
              <w:t>Realized and unrealized losses (gains) gains on derivative instruments,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18"/>
        </w:trPr>
        <w:tc>
          <w:tcPr>
            <w:tcW w:w="5580" w:type="dxa"/>
            <w:vAlign w:val="bottom"/>
          </w:tcPr>
          <w:p>
            <w:pPr>
              <w:ind w:left="180"/>
              <w:spacing w:after="0" w:line="204" w:lineRule="exact"/>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1,710.1</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8"/>
        </w:trPr>
        <w:tc>
          <w:tcPr>
            <w:tcW w:w="558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8" w:name="page59"/>
    <w:bookmarkEnd w:id="58"/>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8"/>
              </w:rPr>
              <w:t>Three months ended September</w:t>
            </w:r>
          </w:p>
        </w:tc>
        <w:tc>
          <w:tcPr>
            <w:tcW w:w="120" w:type="dxa"/>
            <w:vAlign w:val="bottom"/>
          </w:tcPr>
          <w:p>
            <w:pPr>
              <w:spacing w:after="0"/>
              <w:rPr>
                <w:sz w:val="16"/>
                <w:szCs w:val="16"/>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left="514"/>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24"/>
                <w:szCs w:val="24"/>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9" w:name="page60"/>
    <w:bookmarkEnd w:id="59"/>
    <w:p>
      <w:pPr>
        <w:ind w:firstLine="318"/>
        <w:spacing w:after="0" w:line="264" w:lineRule="auto"/>
        <w:rPr>
          <w:sz w:val="20"/>
          <w:szCs w:val="20"/>
          <w:color w:val="auto"/>
        </w:rPr>
      </w:pPr>
      <w:r>
        <w:rPr>
          <w:rFonts w:ascii="Arial" w:cs="Arial" w:eastAsia="Arial" w:hAnsi="Arial"/>
          <w:sz w:val="18"/>
          <w:szCs w:val="18"/>
          <w:i w:val="1"/>
          <w:iCs w:val="1"/>
          <w:color w:val="auto"/>
        </w:rPr>
        <w:t xml:space="preserve">U.K. </w:t>
      </w:r>
      <w:r>
        <w:rPr>
          <w:rFonts w:ascii="Arial" w:cs="Arial" w:eastAsia="Arial" w:hAnsi="Arial"/>
          <w:sz w:val="18"/>
          <w:szCs w:val="18"/>
          <w:color w:val="auto"/>
        </w:rPr>
        <w:t>The details of the decrease in the U.K.</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2C2C2C"/>
        </w:rPr>
        <w:t>2020, is set f</w:t>
      </w:r>
      <w:r>
        <w:rPr>
          <w:rFonts w:ascii="Arial" w:cs="Arial" w:eastAsia="Arial" w:hAnsi="Arial"/>
          <w:sz w:val="18"/>
          <w:szCs w:val="18"/>
          <w:color w:val="000000"/>
        </w:rPr>
        <w:t>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1"/>
              </w:rPr>
              <w:t>Nine-month period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4"/>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6"/>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33"/>
              <w:spacing w:after="0"/>
              <w:rPr>
                <w:sz w:val="20"/>
                <w:szCs w:val="20"/>
                <w:color w:val="auto"/>
              </w:rPr>
            </w:pPr>
            <w:r>
              <w:rPr>
                <w:rFonts w:ascii="Arial" w:cs="Arial" w:eastAsia="Arial" w:hAnsi="Arial"/>
                <w:sz w:val="16"/>
                <w:szCs w:val="16"/>
                <w:b w:val="1"/>
                <w:bCs w:val="1"/>
                <w:color w:val="auto"/>
                <w:w w:val="87"/>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3"/>
        </w:trPr>
        <w:tc>
          <w:tcPr>
            <w:tcW w:w="7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206"/>
        </w:trPr>
        <w:tc>
          <w:tcPr>
            <w:tcW w:w="7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2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 (a)</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residential fixed non-subscription revenue (b)</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19"/>
        </w:trPr>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fixed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Increase in residential mobile revenue (c)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19"/>
        </w:trPr>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(2,009.9)</w:t>
            </w: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r>
      <w:tr>
        <w:trPr>
          <w:trHeight w:val="219"/>
        </w:trPr>
        <w:tc>
          <w:tcPr>
            <w:tcW w:w="738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(1,720.9)</w:t>
            </w:r>
          </w:p>
        </w:tc>
      </w:tr>
      <w:tr>
        <w:trPr>
          <w:trHeight w:val="20"/>
        </w:trPr>
        <w:tc>
          <w:tcPr>
            <w:tcW w:w="7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decrease in fixed subscription revenue related to a change in ARPU includes an increase of approximately $19 million associated with the pausing or cancellation of certain sporting events during the second quarter of 2020, as further described under </w:t>
      </w:r>
      <w:r>
        <w:rPr>
          <w:rFonts w:ascii="Arial" w:cs="Arial" w:eastAsia="Arial" w:hAnsi="Arial"/>
          <w:sz w:val="18"/>
          <w:szCs w:val="18"/>
          <w:i w:val="1"/>
          <w:iCs w:val="1"/>
          <w:color w:val="auto"/>
        </w:rPr>
        <w:t>Discussion and Analysis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Results — Programming and other direct costs of services </w:t>
      </w:r>
      <w:r>
        <w:rPr>
          <w:rFonts w:ascii="Arial" w:cs="Arial" w:eastAsia="Arial" w:hAnsi="Arial"/>
          <w:sz w:val="18"/>
          <w:szCs w:val="18"/>
          <w:color w:val="auto"/>
        </w:rPr>
        <w:t>below.</w:t>
      </w:r>
    </w:p>
    <w:p>
      <w:pPr>
        <w:spacing w:after="0" w:line="214"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increase in residential fixed non-subscription revenue is primarily attributable to increases in (i) revenue from late fees, (ii) cancellation revenue and (iii) installation revenue.</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increase in residential mobile non-subscription revenue is primarily attributable to an increase in revenue from mobile handset sales.</w:t>
      </w:r>
    </w:p>
    <w:p>
      <w:pPr>
        <w:spacing w:after="0" w:line="255"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customers. The increase in B2B non-subscription revenue is primarily attributable to the net effect of (i) an increase in revenue associated with long-term leases of a portion of our network and (ii) lower revenue from data services.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right="20" w:firstLine="318"/>
        <w:spacing w:after="0" w:line="264"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increases in Belgium’s revenue during the three and nine months ended September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3"/>
              </w:rPr>
              <w:t>Three-month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6"/>
              </w:rPr>
              <w:t>Nine-month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6"/>
                <w:szCs w:val="16"/>
                <w:b w:val="1"/>
                <w:bCs w:val="1"/>
                <w:color w:val="auto"/>
                <w:w w:val="87"/>
              </w:rPr>
              <w:t>Subscription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revenue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Increase (decrease) in residential fixed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3"/>
        </w:trPr>
        <w:tc>
          <w:tcPr>
            <w:tcW w:w="3800" w:type="dxa"/>
            <w:vAlign w:val="bottom"/>
          </w:tcPr>
          <w:p>
            <w:pPr>
              <w:ind w:left="20"/>
              <w:spacing w:after="0" w:line="173" w:lineRule="exact"/>
              <w:rPr>
                <w:sz w:val="20"/>
                <w:szCs w:val="20"/>
                <w:color w:val="auto"/>
              </w:rPr>
            </w:pPr>
            <w:r>
              <w:rPr>
                <w:rFonts w:ascii="Arial" w:cs="Arial" w:eastAsia="Arial" w:hAnsi="Arial"/>
                <w:sz w:val="18"/>
                <w:szCs w:val="18"/>
                <w:color w:val="auto"/>
              </w:rPr>
              <w:t>Increase in residential fixed non-subscription</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0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w w:val="89"/>
              </w:rPr>
              <w:t>Increase (decrease)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rPr>
              <w:t>Increase in other revenue (c)</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9"/>
        </w:trPr>
        <w:tc>
          <w:tcPr>
            <w:tcW w:w="3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9"/>
        </w:trPr>
        <w:tc>
          <w:tcPr>
            <w:tcW w:w="380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114.4</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decreases in residential mobile non-subscription revenue are primarily attributable to lower interconnect and mobile roaming revenue.</w:t>
      </w:r>
    </w:p>
    <w:p>
      <w:pPr>
        <w:spacing w:after="0" w:line="255"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customers. The increases in B2B non-subscription revenue are primarily attributable to the net effect of (i) higher revenue from wholesale services, (ii) increases in revenue from mobile handset sales and (iii) lower interconnect revenue.</w:t>
      </w:r>
    </w:p>
    <w:p>
      <w:pPr>
        <w:spacing w:after="0" w:line="214" w:lineRule="exact"/>
        <w:rPr>
          <w:rFonts w:ascii="Arial" w:cs="Arial" w:eastAsia="Arial" w:hAnsi="Arial"/>
          <w:sz w:val="18"/>
          <w:szCs w:val="18"/>
          <w:color w:val="auto"/>
        </w:rPr>
      </w:pPr>
    </w:p>
    <w:p>
      <w:pPr>
        <w:ind w:left="480" w:hanging="474"/>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increases in other revenue are attributable to higher broadcasting revenue.</w:t>
      </w:r>
    </w:p>
    <w:p>
      <w:pPr>
        <w:spacing w:after="0" w:line="24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 xml:space="preserve">For information concerning certain regulatory developments that could have an adverse impact on our revenue in Belgium, see </w:t>
      </w:r>
      <w:r>
        <w:rPr>
          <w:rFonts w:ascii="Arial" w:cs="Arial" w:eastAsia="Arial" w:hAnsi="Arial"/>
          <w:sz w:val="15"/>
          <w:szCs w:val="15"/>
          <w:i w:val="1"/>
          <w:iCs w:val="1"/>
          <w:color w:val="auto"/>
        </w:rPr>
        <w:t>Legal and Regulatory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Proceedings and Other Contingencies - Belgium Regulatory Developments </w:t>
      </w:r>
      <w:r>
        <w:rPr>
          <w:rFonts w:ascii="Arial" w:cs="Arial" w:eastAsia="Arial" w:hAnsi="Arial"/>
          <w:sz w:val="15"/>
          <w:szCs w:val="15"/>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1" w:name="page62"/>
    <w:bookmarkEnd w:id="61"/>
    <w:p>
      <w:pPr>
        <w:ind w:firstLine="318"/>
        <w:spacing w:after="0" w:line="264"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increases in Switzerland’s revenue during the three and nine months ended September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60"/>
              <w:spacing w:after="0"/>
              <w:rPr>
                <w:sz w:val="20"/>
                <w:szCs w:val="20"/>
                <w:color w:val="auto"/>
              </w:rPr>
            </w:pPr>
            <w:r>
              <w:rPr>
                <w:rFonts w:ascii="Arial" w:cs="Arial" w:eastAsia="Arial" w:hAnsi="Arial"/>
                <w:sz w:val="16"/>
                <w:szCs w:val="16"/>
                <w:b w:val="1"/>
                <w:bCs w:val="1"/>
                <w:color w:val="auto"/>
                <w:w w:val="96"/>
              </w:rPr>
              <w:t>Nine-month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Increase (decrease) in residential fixed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w w:val="89"/>
              </w:rPr>
              <w:t>Increase in residential fixed non-subscription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54"/>
        </w:trPr>
        <w:tc>
          <w:tcPr>
            <w:tcW w:w="386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w w:val="90"/>
              </w:rPr>
              <w:t>Increase (decrease)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9"/>
        </w:trPr>
        <w:tc>
          <w:tcPr>
            <w:tcW w:w="38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increases in residential mobile subscription revenue are primarily due to increases in the average number of mobile subscribers. The decreases in residential mobile non-subscription revenue are largely attributable to decreases in (i) revenue from mobile handset sales and (ii) interconnect revenue.</w:t>
      </w:r>
    </w:p>
    <w:p>
      <w:pPr>
        <w:spacing w:after="0" w:line="137" w:lineRule="exact"/>
        <w:rPr>
          <w:rFonts w:ascii="Arial" w:cs="Arial" w:eastAsia="Arial" w:hAnsi="Arial"/>
          <w:sz w:val="15"/>
          <w:szCs w:val="15"/>
          <w:color w:val="auto"/>
        </w:rPr>
      </w:pPr>
    </w:p>
    <w:p>
      <w:pPr>
        <w:ind w:left="480" w:hanging="4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increases in B2B non-subscription revenue are primarily attributable to higher revenue from wholesale services.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2" w:name="page63"/>
    <w:bookmarkEnd w:id="62"/>
    <w:p>
      <w:pPr>
        <w:ind w:firstLine="318"/>
        <w:spacing w:after="0" w:line="264"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increases in Ireland’s revenue during the three and nine months ended September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3"/>
              </w:rPr>
              <w:t>Three-month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6"/>
              </w:rPr>
              <w:t>Nine-month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6"/>
                <w:szCs w:val="16"/>
                <w:b w:val="1"/>
                <w:bCs w:val="1"/>
                <w:color w:val="auto"/>
                <w:w w:val="87"/>
              </w:rPr>
              <w:t>Subscription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revenue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Increase (decrease) in residential fixed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373"/>
              <w:spacing w:after="0"/>
              <w:rPr>
                <w:sz w:val="20"/>
                <w:szCs w:val="20"/>
                <w:color w:val="auto"/>
              </w:rPr>
            </w:pPr>
            <w:r>
              <w:rPr>
                <w:rFonts w:ascii="Arial" w:cs="Arial" w:eastAsia="Arial" w:hAnsi="Arial"/>
                <w:sz w:val="18"/>
                <w:szCs w:val="18"/>
                <w:color w:val="auto"/>
                <w:w w:val="91"/>
              </w:rPr>
              <w:t>(0.8)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73"/>
        </w:trPr>
        <w:tc>
          <w:tcPr>
            <w:tcW w:w="3800" w:type="dxa"/>
            <w:vAlign w:val="bottom"/>
          </w:tcPr>
          <w:p>
            <w:pPr>
              <w:ind w:left="20"/>
              <w:spacing w:after="0" w:line="173" w:lineRule="exact"/>
              <w:rPr>
                <w:sz w:val="20"/>
                <w:szCs w:val="20"/>
                <w:color w:val="auto"/>
              </w:rPr>
            </w:pPr>
            <w:r>
              <w:rPr>
                <w:rFonts w:ascii="Arial" w:cs="Arial" w:eastAsia="Arial" w:hAnsi="Arial"/>
                <w:sz w:val="18"/>
                <w:szCs w:val="18"/>
                <w:color w:val="auto"/>
              </w:rPr>
              <w:t>Increase in residential fixed non-subscription</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center"/>
              <w:ind w:left="413"/>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0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center"/>
              <w:ind w:left="373"/>
              <w:spacing w:after="0"/>
              <w:rPr>
                <w:sz w:val="20"/>
                <w:szCs w:val="20"/>
                <w:color w:val="auto"/>
              </w:rPr>
            </w:pPr>
            <w:r>
              <w:rPr>
                <w:rFonts w:ascii="Arial" w:cs="Arial" w:eastAsia="Arial" w:hAnsi="Arial"/>
                <w:sz w:val="18"/>
                <w:szCs w:val="18"/>
                <w:color w:val="auto"/>
                <w:w w:val="91"/>
              </w:rPr>
              <w:t>(0.4)</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w w:val="95"/>
              </w:rPr>
              <w:t>Increase (decrease)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413"/>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rPr>
              <w:t>Increase in other revenue (a)</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413"/>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9"/>
        </w:trPr>
        <w:tc>
          <w:tcPr>
            <w:tcW w:w="3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87"/>
              </w:rPr>
              <w:t>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87"/>
              </w:rPr>
              <w:t>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9"/>
        </w:trPr>
        <w:tc>
          <w:tcPr>
            <w:tcW w:w="3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87"/>
              </w:rPr>
              <w:t>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increases in other revenue are attributable to higher broadcasting revenue.</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tables set forth the Adjusted EBITDA of our consolidated reportable segments: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7"/>
          </w:tcPr>
          <w:p>
            <w:pPr>
              <w:ind w:left="80"/>
              <w:spacing w:after="0"/>
              <w:rPr>
                <w:sz w:val="20"/>
                <w:szCs w:val="20"/>
                <w:color w:val="auto"/>
              </w:rPr>
            </w:pPr>
            <w:r>
              <w:rPr>
                <w:rFonts w:ascii="Arial" w:cs="Arial" w:eastAsia="Arial" w:hAnsi="Arial"/>
                <w:sz w:val="16"/>
                <w:szCs w:val="16"/>
                <w:b w:val="1"/>
                <w:bCs w:val="1"/>
                <w:color w:val="auto"/>
                <w:w w:val="94"/>
              </w:rPr>
              <w:t>Three months ended September</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Adjusted EBITDA of the U.K. JV Entities through the June 1, 2021 closing of the U.K. JV Transaction.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3"/>
              </w:rPr>
              <w:t>Three months ended September 30,</w:t>
            </w:r>
          </w:p>
        </w:tc>
        <w:tc>
          <w:tcPr>
            <w:tcW w:w="2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Nine months ended</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1800" w:type="dxa"/>
            <w:vAlign w:val="bottom"/>
            <w:gridSpan w:val="3"/>
          </w:tcPr>
          <w:p>
            <w:pPr>
              <w:jc w:val="center"/>
              <w:ind w:left="695"/>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47"/>
        </w:trPr>
        <w:tc>
          <w:tcPr>
            <w:tcW w:w="6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0" w:type="dxa"/>
            <w:vAlign w:val="bottom"/>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8"/>
                <w:szCs w:val="18"/>
                <w:color w:val="auto"/>
              </w:rPr>
              <w:t>Ireland</w:t>
            </w:r>
          </w:p>
        </w:tc>
        <w:tc>
          <w:tcPr>
            <w:tcW w:w="1200" w:type="dxa"/>
            <w:vAlign w:val="bottom"/>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44" w:lineRule="exact"/>
        <w:rPr>
          <w:sz w:val="20"/>
          <w:szCs w:val="20"/>
          <w:color w:val="auto"/>
        </w:rPr>
      </w:pPr>
    </w:p>
    <w:p>
      <w:pPr>
        <w:ind w:left="480" w:hanging="474"/>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results of the U.K. JV Entities through the June 1, 2021 closing of the U.K. JV Transaction.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are impacted by acquisitions, as applicable. In this regard, the Sunrise Acquisition had a significant adverse impact on the Adjusted EBITDA margin in Switzerland, as the acquired Sunrise mobile business generates a relatively lower Adjusted EBITDA margin than our legacy operations in Switzerland.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our Consolidated Operating Results </w:t>
      </w:r>
      <w:r>
        <w:rPr>
          <w:rFonts w:ascii="Arial" w:cs="Arial" w:eastAsia="Arial" w:hAnsi="Arial"/>
          <w:sz w:val="17"/>
          <w:szCs w:val="17"/>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Three months ended</w:t>
            </w:r>
          </w:p>
        </w:tc>
        <w:tc>
          <w:tcPr>
            <w:tcW w:w="300" w:type="dxa"/>
            <w:vAlign w:val="bottom"/>
          </w:tcPr>
          <w:p>
            <w:pPr>
              <w:spacing w:after="0"/>
              <w:rPr>
                <w:sz w:val="16"/>
                <w:szCs w:val="16"/>
                <w:color w:val="auto"/>
              </w:rPr>
            </w:pPr>
          </w:p>
        </w:tc>
        <w:tc>
          <w:tcPr>
            <w:tcW w:w="208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080" w:type="dxa"/>
            <w:vAlign w:val="bottom"/>
            <w:gridSpan w:val="3"/>
            <w:vMerge w:val="restart"/>
          </w:tcPr>
          <w:p>
            <w:pPr>
              <w:jc w:val="right"/>
              <w:ind w:right="72"/>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in millions, except percentages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5"/>
        </w:trPr>
        <w:tc>
          <w:tcPr>
            <w:tcW w:w="416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8"/>
        </w:trPr>
        <w:tc>
          <w:tcPr>
            <w:tcW w:w="416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Nine months ended</w:t>
            </w:r>
          </w:p>
        </w:tc>
        <w:tc>
          <w:tcPr>
            <w:tcW w:w="280" w:type="dxa"/>
            <w:vAlign w:val="bottom"/>
          </w:tcPr>
          <w:p>
            <w:pPr>
              <w:spacing w:after="0"/>
              <w:rPr>
                <w:sz w:val="16"/>
                <w:szCs w:val="16"/>
                <w:color w:val="auto"/>
              </w:rPr>
            </w:pPr>
          </w:p>
        </w:tc>
        <w:tc>
          <w:tcPr>
            <w:tcW w:w="210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060" w:type="dxa"/>
            <w:vAlign w:val="bottom"/>
            <w:gridSpan w:val="3"/>
            <w:vMerge w:val="restart"/>
          </w:tcPr>
          <w:p>
            <w:pPr>
              <w:jc w:val="right"/>
              <w:ind w:right="72"/>
              <w:spacing w:after="0"/>
              <w:rPr>
                <w:sz w:val="20"/>
                <w:szCs w:val="20"/>
                <w:color w:val="auto"/>
              </w:rPr>
            </w:pPr>
            <w:r>
              <w:rPr>
                <w:rFonts w:ascii="Arial" w:cs="Arial" w:eastAsia="Arial" w:hAnsi="Arial"/>
                <w:sz w:val="16"/>
                <w:szCs w:val="16"/>
                <w:b w:val="1"/>
                <w:bCs w:val="1"/>
                <w:color w:val="auto"/>
                <w:w w:val="87"/>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28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in millions, except percentages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2,333.7</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373"/>
              <w:spacing w:after="0"/>
              <w:rPr>
                <w:sz w:val="20"/>
                <w:szCs w:val="20"/>
                <w:color w:val="auto"/>
              </w:rPr>
            </w:pPr>
            <w:r>
              <w:rPr>
                <w:rFonts w:ascii="Arial" w:cs="Arial" w:eastAsia="Arial" w:hAnsi="Arial"/>
                <w:sz w:val="18"/>
                <w:szCs w:val="18"/>
                <w:color w:val="auto"/>
                <w:w w:val="91"/>
              </w:rPr>
              <w:t>27.9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9"/>
              </w:rPr>
              <w:t>(14.2)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9"/>
              </w:rPr>
              <w:t>(74.7)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9"/>
              </w:rPr>
              <w:t>(61.0)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1"/>
              </w:rPr>
              <w:t>17.6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9"/>
              </w:rPr>
              <w:t>(43.4)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48.7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9"/>
              </w:rPr>
              <w:t>(28.1)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1"/>
              </w:rPr>
              <w:t>20.6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9"/>
              </w:rPr>
              <w:t>(22.8)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373"/>
              <w:spacing w:after="0"/>
              <w:rPr>
                <w:sz w:val="20"/>
                <w:szCs w:val="20"/>
                <w:color w:val="auto"/>
              </w:rPr>
            </w:pPr>
            <w:r>
              <w:rPr>
                <w:rFonts w:ascii="Arial" w:cs="Arial" w:eastAsia="Arial" w:hAnsi="Arial"/>
                <w:sz w:val="18"/>
                <w:szCs w:val="18"/>
                <w:color w:val="auto"/>
                <w:w w:val="91"/>
              </w:rPr>
              <w:t>23.9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1"/>
              </w:rPr>
              <w:t>38.6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1"/>
              </w:rPr>
              <w:t>62.5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1"/>
              </w:rPr>
              <w:t>52.0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8"/>
        </w:trPr>
        <w:tc>
          <w:tcPr>
            <w:tcW w:w="412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1"/>
              </w:rPr>
              <w:t>91.7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jc w:val="both"/>
        <w:ind w:left="480" w:hanging="474"/>
        <w:spacing w:after="0" w:line="252" w:lineRule="auto"/>
        <w:tabs>
          <w:tab w:leader="none" w:pos="4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$46.3 million and $58.4 million during the three months ended September 30, 2021 and 2020, respectively, and $181.8 million and $166.9 million during the nine months ended September 30, 2021 and 2020, respectively.</w:t>
      </w:r>
    </w:p>
    <w:p>
      <w:pPr>
        <w:spacing w:after="0" w:line="217" w:lineRule="exact"/>
        <w:rPr>
          <w:rFonts w:ascii="Arial" w:cs="Arial" w:eastAsia="Arial" w:hAnsi="Arial"/>
          <w:sz w:val="18"/>
          <w:szCs w:val="18"/>
          <w:color w:val="auto"/>
        </w:rPr>
      </w:pPr>
    </w:p>
    <w:p>
      <w:pPr>
        <w:jc w:val="both"/>
        <w:ind w:left="480" w:hanging="474"/>
        <w:spacing w:after="0" w:line="267" w:lineRule="auto"/>
        <w:tabs>
          <w:tab w:leader="none" w:pos="4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(a) revenue from business broadband internet, video, fixed-line telephony and data services offered to medium to large enterprises and,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6" w:name="page67"/>
    <w:bookmarkEnd w:id="66"/>
    <w:p>
      <w:pPr>
        <w:jc w:val="both"/>
        <w:ind w:left="480" w:hanging="474"/>
        <w:spacing w:after="0" w:line="255" w:lineRule="auto"/>
        <w:tabs>
          <w:tab w:leader="none" w:pos="4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Total revenue. </w:t>
      </w:r>
      <w:r>
        <w:rPr>
          <w:rFonts w:ascii="Arial" w:cs="Arial" w:eastAsia="Arial" w:hAnsi="Arial"/>
          <w:sz w:val="15"/>
          <w:szCs w:val="15"/>
          <w:color w:val="auto"/>
        </w:rPr>
        <w:t>Our consolidated revenue increased (decreased) ($944.0 million) or (33.2%) and $156.8 million or 1.9% during the three and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2021, respectively, as compared to the corresponding periods in 2020. These changes include increases of $512.5 million and $1,487.6 million, respectively, attributable to the impact of the Sunrise Acquisition and decreases of $1,543.6 million and $2,009.9 million, respectively, attributable to the impact of the U.K. JV Transaction. On an organic basis, our consolidated revenue increased $14.5 million or 0.8% and $91.7 million or 1.2%, respectively.</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decreases in our consolidated residential revenue during the three and nine months ended September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periods in 2020,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Three-month</w:t>
            </w:r>
          </w:p>
        </w:tc>
        <w:tc>
          <w:tcPr>
            <w:tcW w:w="160" w:type="dxa"/>
            <w:vAlign w:val="bottom"/>
          </w:tcPr>
          <w:p>
            <w:pPr>
              <w:spacing w:after="0"/>
              <w:rPr>
                <w:sz w:val="16"/>
                <w:szCs w:val="16"/>
                <w:color w:val="auto"/>
              </w:rPr>
            </w:pPr>
          </w:p>
        </w:tc>
        <w:tc>
          <w:tcPr>
            <w:tcW w:w="1140" w:type="dxa"/>
            <w:vAlign w:val="bottom"/>
          </w:tcPr>
          <w:p>
            <w:pPr>
              <w:jc w:val="right"/>
              <w:ind w:right="153"/>
              <w:spacing w:after="0"/>
              <w:rPr>
                <w:sz w:val="20"/>
                <w:szCs w:val="20"/>
                <w:color w:val="auto"/>
              </w:rPr>
            </w:pPr>
            <w:r>
              <w:rPr>
                <w:rFonts w:ascii="Arial" w:cs="Arial" w:eastAsia="Arial" w:hAnsi="Arial"/>
                <w:sz w:val="16"/>
                <w:szCs w:val="16"/>
                <w:b w:val="1"/>
                <w:bCs w:val="1"/>
                <w:color w:val="auto"/>
                <w:w w:val="98"/>
              </w:rPr>
              <w:t>Nine-month</w:t>
            </w:r>
          </w:p>
        </w:tc>
      </w:tr>
      <w:tr>
        <w:trPr>
          <w:trHeight w:val="219"/>
        </w:trPr>
        <w:tc>
          <w:tcPr>
            <w:tcW w:w="8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period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period</w:t>
            </w:r>
          </w:p>
        </w:tc>
      </w:tr>
      <w:tr>
        <w:trPr>
          <w:trHeight w:val="208"/>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right"/>
              <w:ind w:right="913"/>
              <w:spacing w:after="0"/>
              <w:rPr>
                <w:sz w:val="20"/>
                <w:szCs w:val="20"/>
                <w:color w:val="auto"/>
              </w:rPr>
            </w:pPr>
            <w:r>
              <w:rPr>
                <w:rFonts w:ascii="Arial" w:cs="Arial" w:eastAsia="Arial" w:hAnsi="Arial"/>
                <w:sz w:val="16"/>
                <w:szCs w:val="16"/>
                <w:b w:val="1"/>
                <w:bCs w:val="1"/>
                <w:color w:val="auto"/>
              </w:rPr>
              <w:t>in millions</w:t>
            </w:r>
          </w:p>
        </w:tc>
      </w:tr>
      <w:tr>
        <w:trPr>
          <w:trHeight w:val="110"/>
        </w:trPr>
        <w:tc>
          <w:tcPr>
            <w:tcW w:w="8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fixed revenue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8"/>
        </w:trPr>
        <w:tc>
          <w:tcPr>
            <w:tcW w:w="8520" w:type="dxa"/>
            <w:vAlign w:val="bottom"/>
          </w:tcPr>
          <w:p>
            <w:pPr>
              <w:ind w:left="260"/>
              <w:spacing w:after="0"/>
              <w:rPr>
                <w:sz w:val="20"/>
                <w:szCs w:val="20"/>
                <w:color w:val="auto"/>
              </w:rPr>
            </w:pPr>
            <w:r>
              <w:rPr>
                <w:rFonts w:ascii="Arial" w:cs="Arial" w:eastAsia="Arial" w:hAnsi="Arial"/>
                <w:sz w:val="18"/>
                <w:szCs w:val="18"/>
                <w:color w:val="auto"/>
              </w:rPr>
              <w:t>Total organic decrease in residential revenue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r>
      <w:tr>
        <w:trPr>
          <w:trHeight w:val="244"/>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decrease in residential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an organic basis, our consolidated residential fixed subscription revenue decreased $15.2 million or 1.9% and $61.0 million or 1.5% during the three and nine months ended September 30, 2021, as compared to the corresponding periods in 2020, primarily attributable to decreases in </w:t>
      </w:r>
      <w:r>
        <w:rPr>
          <w:rFonts w:ascii="Arial" w:cs="Arial" w:eastAsia="Arial" w:hAnsi="Arial"/>
          <w:sz w:val="18"/>
          <w:szCs w:val="18"/>
          <w:color w:val="2C2C2C"/>
        </w:rPr>
        <w:t>Switzerland and, for the</w:t>
      </w:r>
      <w:r>
        <w:rPr>
          <w:rFonts w:ascii="Arial" w:cs="Arial" w:eastAsia="Arial" w:hAnsi="Arial"/>
          <w:sz w:val="18"/>
          <w:szCs w:val="18"/>
          <w:color w:val="auto"/>
        </w:rPr>
        <w:t xml:space="preserve"> </w:t>
      </w:r>
      <w:r>
        <w:rPr>
          <w:rFonts w:ascii="Arial" w:cs="Arial" w:eastAsia="Arial" w:hAnsi="Arial"/>
          <w:sz w:val="18"/>
          <w:szCs w:val="18"/>
          <w:color w:val="2C2C2C"/>
        </w:rPr>
        <w:t xml:space="preserve">nine-month comparison, the </w:t>
      </w:r>
      <w:r>
        <w:rPr>
          <w:rFonts w:ascii="Arial" w:cs="Arial" w:eastAsia="Arial" w:hAnsi="Arial"/>
          <w:sz w:val="18"/>
          <w:szCs w:val="18"/>
          <w:color w:val="000000"/>
        </w:rPr>
        <w:t>U.K.</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an organic basis, our consolidated residential fixed non-subscription revenue increased $1.5 million or 6.1% and $17.6 million or 17.2% during the three and nine months ended September 30, 2021, respectively, as compared to the corresponding periods in 2020, primarily due to increases in Switzerland and, for the nine-month comparison, the U.K.</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an organic basis, our consolidated residential mobile subscription revenue increased $33.2 million or 9.7% and $48.7 million or 4.2% during the three and nine months ended September 30, 2021, respectively, as compared to the corresponding periods in 2020, primarily attributable to increases in Switzerland.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$30.9 million or 17.0% and $28.1 million or 4.5% during the three and nine months ended September 30, 2021, respectively, as compared to the corresponding periods in 2020, primarily due to the net effect of (i) decreases in </w:t>
      </w:r>
      <w:r>
        <w:rPr>
          <w:rFonts w:ascii="Arial" w:cs="Arial" w:eastAsia="Arial" w:hAnsi="Arial"/>
          <w:sz w:val="18"/>
          <w:szCs w:val="18"/>
          <w:color w:val="2C2C2C"/>
        </w:rPr>
        <w:t>Switzerland and Belgium and (ii) for the nine-month comparison, an increase in the</w:t>
      </w:r>
      <w:r>
        <w:rPr>
          <w:rFonts w:ascii="Arial" w:cs="Arial" w:eastAsia="Arial" w:hAnsi="Arial"/>
          <w:sz w:val="18"/>
          <w:szCs w:val="18"/>
          <w:color w:val="auto"/>
        </w:rPr>
        <w:t xml:space="preserve"> U.K.</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$6.3 million or 4.8% and $23.9 million or 5.6%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2021, respectively, as compared to the corresponding periods in 2020, primarily attributable to increases in Belgium and, for the nine-month comparison, the U.K.</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an organic basis, our consolidated B2B non-subscription revenue increased $5.7 million or 2.8% and $38.6 million or 4.2% during the three and nine months ended September 30, 2021, respectively, as compared to the corresponding periods in 2020, primarily due to increases in Switzerland, Belgium and, for the nine-month comparison, the U.K.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7" w:name="page68"/>
    <w:bookmarkEnd w:id="67"/>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On an organic basis, our consolidated other revenue increased $13.9 million or 9.8% and $52.0 million or 12.0% during the three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respectively, as compared to the corresponding periods in 2020, primarily attributable to (i) higher broadcasting revenue in Belgium and Ireland and (ii) increases in Central and Other related to revenue earned from the NL JV Services.</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97"/>
              </w:rPr>
              <w:t>170.0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254.4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(3.4)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522.4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24"/>
                <w:szCs w:val="24"/>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868.1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97"/>
              </w:rPr>
              <w:t>117.3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460"/>
              <w:spacing w:after="0"/>
              <w:rPr>
                <w:sz w:val="20"/>
                <w:szCs w:val="20"/>
                <w:color w:val="auto"/>
              </w:rPr>
            </w:pPr>
            <w:r>
              <w:rPr>
                <w:rFonts w:ascii="Arial" w:cs="Arial" w:eastAsia="Arial" w:hAnsi="Arial"/>
                <w:sz w:val="18"/>
                <w:szCs w:val="18"/>
                <w:color w:val="auto"/>
                <w:w w:val="97"/>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6"/>
              </w:rPr>
              <w:t>2,445.7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the programming and other direct costs of the U.K. JV Entities through the June 1, 2021 closing of the U.K. JV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8" w:name="page69"/>
    <w:bookmarkEnd w:id="68"/>
    <w:p>
      <w:pPr>
        <w:jc w:val="both"/>
        <w:ind w:firstLine="318"/>
        <w:spacing w:after="0" w:line="268" w:lineRule="auto"/>
        <w:rPr>
          <w:sz w:val="20"/>
          <w:szCs w:val="20"/>
          <w:color w:val="auto"/>
        </w:rPr>
      </w:pPr>
      <w:r>
        <w:rPr>
          <w:rFonts w:ascii="Arial" w:cs="Arial" w:eastAsia="Arial" w:hAnsi="Arial"/>
          <w:sz w:val="17"/>
          <w:szCs w:val="17"/>
          <w:color w:val="auto"/>
        </w:rPr>
        <w:t>Our programming and other direct costs of services increased (decreased) ($268.6 million) or (34.0%) and $140.7 million or 6.1% during the three and nine months ended September 30, 2021, respectively, as compared to the corresponding periods in 2020. These changes include increases of $199.1 million and $577.5 million, respectively, attributable to the impact of the Sunrise Acquisition and decreases of $478.3 million and $623.2 million, respectively, attributable to the impact of the U.K. JV Transaction</w:t>
      </w:r>
      <w:r>
        <w:rPr>
          <w:rFonts w:ascii="Arial" w:cs="Arial" w:eastAsia="Arial" w:hAnsi="Arial"/>
          <w:sz w:val="17"/>
          <w:szCs w:val="17"/>
          <w:b w:val="1"/>
          <w:bCs w:val="1"/>
          <w:color w:val="auto"/>
        </w:rPr>
        <w:t>.</w:t>
      </w:r>
      <w:r>
        <w:rPr>
          <w:rFonts w:ascii="Arial" w:cs="Arial" w:eastAsia="Arial" w:hAnsi="Arial"/>
          <w:sz w:val="17"/>
          <w:szCs w:val="17"/>
          <w:color w:val="auto"/>
        </w:rPr>
        <w:t xml:space="preserve"> On an organic basis, our programming and other direct costs of services increased (decreased) ($3.5 million) or (0.7%) and $15.5 million or 0.7%, respectively. These changes include the following factors:</w:t>
      </w:r>
    </w:p>
    <w:p>
      <w:pPr>
        <w:spacing w:after="0" w:line="207" w:lineRule="exact"/>
        <w:rPr>
          <w:sz w:val="20"/>
          <w:szCs w:val="20"/>
          <w:color w:val="auto"/>
        </w:rPr>
      </w:pPr>
    </w:p>
    <w:p>
      <w:pPr>
        <w:jc w:val="both"/>
        <w:ind w:left="640" w:hanging="316"/>
        <w:spacing w:after="0" w:line="268" w:lineRule="auto"/>
        <w:tabs>
          <w:tab w:leader="none" w:pos="635"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Increases in programming and copyright costs of $9.2 million or 2.4% and $49.5 million or 4.3%, respectively, primarily due to increases in the Belgium, Ireland and Switzerland and, for the nine-month comparison, the U.K. attributable to higher costs for certain premium and/or basic content. The higher costs in the U.K. for the nine-month comparison include an increase of $14.1 million related to the net impact of credits received during the second quarters of 2020 and 2021 in connection with (i) the pausing or cancellation of certain sporting events due to the COVID-19 pandemic during 2020, which offset the aforementioned revenue increases, and (ii) the loss of certain content;</w:t>
      </w:r>
    </w:p>
    <w:p>
      <w:pPr>
        <w:spacing w:after="0" w:line="207" w:lineRule="exact"/>
        <w:rPr>
          <w:rFonts w:ascii="Arial" w:cs="Arial" w:eastAsia="Arial" w:hAnsi="Arial"/>
          <w:sz w:val="17"/>
          <w:szCs w:val="17"/>
          <w:b w:val="1"/>
          <w:bCs w:val="1"/>
          <w:color w:val="auto"/>
        </w:rPr>
      </w:pPr>
    </w:p>
    <w:p>
      <w:pPr>
        <w:jc w:val="both"/>
        <w:ind w:left="640" w:hanging="316"/>
        <w:spacing w:after="0" w:line="268" w:lineRule="auto"/>
        <w:tabs>
          <w:tab w:leader="none" w:pos="6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Decreases in interconnect and access costs of $3.0 million or 1.4% and $33.8 million or 5.5%, respectively, primarily due to the net effect of (i) lower interconnect and mobile roaming costs, primarily due to decreases in Belgium and Switzerland and, for the nine-month comparison, the U.K., (ii) higher leased tower costs in Switzerland and (iii) lower MVNO costs, primarily due to decreases in Switzerland and, for the nine-month comparison, the U.K. Across all of our markets, interconnect and mobile roaming costs have been impacted by changes in usage per subscriber associated with factors such as lower travel and the use of WiFi alternatives during the COVID-19 pandemic; and</w:t>
      </w:r>
    </w:p>
    <w:p>
      <w:pPr>
        <w:spacing w:after="0" w:line="207"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Decreases in mobile handset and other device costs of $13.2 million or 15.2% and $11.8 million or 4.9%, respectively, primarily due to lower sales volumes in Switzerland. In addition, the decrease for the nine-month comparison includes an increase in costs in the U.K. driven by higher sales volumes and higher average costs per handset sold.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120" w:type="dxa"/>
            <w:vAlign w:val="bottom"/>
          </w:tcPr>
          <w:p>
            <w:pPr>
              <w:spacing w:after="0"/>
              <w:rPr>
                <w:sz w:val="18"/>
                <w:szCs w:val="18"/>
                <w:color w:val="auto"/>
              </w:rPr>
            </w:pPr>
          </w:p>
        </w:tc>
        <w:tc>
          <w:tcPr>
            <w:tcW w:w="2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Nine months ended</w:t>
            </w:r>
          </w:p>
        </w:tc>
        <w:tc>
          <w:tcPr>
            <w:tcW w:w="100" w:type="dxa"/>
            <w:vAlign w:val="bottom"/>
          </w:tcPr>
          <w:p>
            <w:pPr>
              <w:spacing w:after="0"/>
              <w:rPr>
                <w:sz w:val="16"/>
                <w:szCs w:val="16"/>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6"/>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10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1"/>
              </w:rPr>
              <w:t>(3.2)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w w:val="96"/>
              </w:rPr>
              <w:t>Total other operating expenses excluding share-based</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4"/>
              </w:rPr>
              <w:t>116.7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other operating expenses of the U.K. JV Entities through the June 1, 2021 closing of the U.K. JV Transaction.</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other operating expenses (exclusive of share-based compensation expense) decreased $175.8 million or 38.7% and $30.7 million or 2.5% during the three and nine months ended September 30, 2021, respectively, as compared to the corresponding periods in 2020. These decreases include increases of $56.1 million and $162.5 million, respectively, attributable to the impact of the Sunrise Acquisition and decreases of $246.1 million and $307.6 million, respectively, attributable to the impact of the U.K. JV Transaction</w:t>
      </w:r>
      <w:r>
        <w:rPr>
          <w:rFonts w:ascii="Arial" w:cs="Arial" w:eastAsia="Arial" w:hAnsi="Arial"/>
          <w:sz w:val="17"/>
          <w:szCs w:val="17"/>
          <w:b w:val="1"/>
          <w:bCs w:val="1"/>
          <w:color w:val="auto"/>
        </w:rPr>
        <w:t>.</w:t>
      </w:r>
      <w:r>
        <w:rPr>
          <w:rFonts w:ascii="Arial" w:cs="Arial" w:eastAsia="Arial" w:hAnsi="Arial"/>
          <w:sz w:val="17"/>
          <w:szCs w:val="17"/>
          <w:color w:val="auto"/>
        </w:rPr>
        <w:t xml:space="preserve"> On an organic basis, our other operating expenses increased $11.7 million or 4.4% and $39.4 million or 3.6%, respectively. These increases include the following factors:</w:t>
      </w:r>
    </w:p>
    <w:p>
      <w:pPr>
        <w:spacing w:after="0" w:line="207" w:lineRule="exact"/>
        <w:rPr>
          <w:sz w:val="20"/>
          <w:szCs w:val="20"/>
          <w:color w:val="auto"/>
        </w:rPr>
      </w:pPr>
    </w:p>
    <w:p>
      <w:pPr>
        <w:jc w:val="both"/>
        <w:ind w:left="640" w:hanging="316"/>
        <w:spacing w:after="0" w:line="250" w:lineRule="auto"/>
        <w:tabs>
          <w:tab w:leader="none" w:pos="63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Increases in personnel costs of $8.9 million or 7.2% and $23.6 million or 6.3%, respectively, primarily due to the net effect of (i) higher staffing levels, primarily in Central and Other, Switzerland, Ireland and, for the nine-month comparison, the U.K. and (ii) higher average costs per employee resulting from the net effect of (a) increases in Belgium, (b) decreases in Central and Other and (c) for the nine-month comparison, an increase in the U.K. In addition, the increase in personnel costs during the nine-month comparison include lower costs due to higher capitalizable activities in the U.K.;</w:t>
      </w:r>
    </w:p>
    <w:p>
      <w:pPr>
        <w:spacing w:after="0" w:line="220" w:lineRule="exact"/>
        <w:rPr>
          <w:rFonts w:ascii="Arial" w:cs="Arial" w:eastAsia="Arial" w:hAnsi="Arial"/>
          <w:sz w:val="18"/>
          <w:szCs w:val="18"/>
          <w:b w:val="1"/>
          <w:bCs w:val="1"/>
          <w:color w:val="auto"/>
        </w:rPr>
      </w:pPr>
    </w:p>
    <w:p>
      <w:pPr>
        <w:jc w:val="both"/>
        <w:ind w:left="640" w:hanging="316"/>
        <w:spacing w:after="0" w:line="252" w:lineRule="auto"/>
        <w:tabs>
          <w:tab w:leader="none" w:pos="63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Increases in core network and information technology-related costs of $3.5 million or 5.0% and $13.6 million or 6.8%, respectively, primarily due to the net effect of (i) higher information technology-related expenses, primarily in Central and Other and, for the nine-month comparison, the U.K., (ii) for the three-month comparison, lower network maintenance costs, primarily in Central and Other, and (iii) for the nine-month comparison, higher network maintenance costs, primarily in Switzerland; and</w:t>
      </w:r>
    </w:p>
    <w:p>
      <w:pPr>
        <w:spacing w:after="0" w:line="217" w:lineRule="exact"/>
        <w:rPr>
          <w:rFonts w:ascii="Arial" w:cs="Arial" w:eastAsia="Arial" w:hAnsi="Arial"/>
          <w:sz w:val="18"/>
          <w:szCs w:val="18"/>
          <w:b w:val="1"/>
          <w:bCs w:val="1"/>
          <w:color w:val="auto"/>
        </w:rPr>
      </w:pPr>
    </w:p>
    <w:p>
      <w:pPr>
        <w:jc w:val="both"/>
        <w:ind w:left="640" w:hanging="316"/>
        <w:spacing w:after="0" w:line="268" w:lineRule="auto"/>
        <w:tabs>
          <w:tab w:leader="none" w:pos="635"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An increase (decrease) in customer service costs of ($5.9 million) or (9.8%) and $5.1 million or 3.0%, respectively. The decrease during the three-month comparison is due to lower call center costs primarily in Belgium, Ireland and Switzerland. The increase during the nine-month comparison is primarily due to higher call center costs in the U.K. and Belgium. The higher call center costs in the U.K. during the nine-month comparison are primarily due to the impact of lockdowns during the second quarter of 2020 associated with the COVID-19 pandemic, which prevented certain outsourced contract services from being performed during such period.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0" w:name="page71"/>
    <w:bookmarkEnd w:id="70"/>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40" w:type="dxa"/>
            <w:vAlign w:val="bottom"/>
            <w:gridSpan w:val="2"/>
            <w:shd w:val="clear" w:color="auto" w:fill="CCEEFF"/>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414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(45.5)</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gridSpan w:val="2"/>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vMerge w:val="restart"/>
          </w:tcPr>
          <w:p>
            <w:pPr>
              <w:ind w:left="40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vMerge w:val="restart"/>
          </w:tcPr>
          <w:p>
            <w:pPr>
              <w:jc w:val="right"/>
              <w:ind w:right="113"/>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8"/>
        </w:trPr>
        <w:tc>
          <w:tcPr>
            <w:tcW w:w="414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SG&amp;A expenses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1" w:name="page72"/>
    <w:bookmarkEnd w:id="71"/>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vMerge w:val="restart"/>
          </w:tcPr>
          <w:p>
            <w:pPr>
              <w:jc w:val="center"/>
              <w:ind w:left="536"/>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4"/>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(60.1)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89"/>
              </w:rPr>
              <w:t>(18.0)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9"/>
              </w:rPr>
              <w:t>(34.5)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54"/>
              <w:spacing w:after="0"/>
              <w:rPr>
                <w:sz w:val="20"/>
                <w:szCs w:val="20"/>
                <w:color w:val="auto"/>
              </w:rPr>
            </w:pPr>
            <w:r>
              <w:rPr>
                <w:rFonts w:ascii="Arial" w:cs="Arial" w:eastAsia="Arial" w:hAnsi="Arial"/>
                <w:sz w:val="18"/>
                <w:szCs w:val="18"/>
                <w:color w:val="auto"/>
                <w:w w:val="89"/>
              </w:rPr>
              <w:t>(33.5)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9"/>
              </w:rPr>
              <w:t>(94.6)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89"/>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vMerge w:val="restart"/>
          </w:tcPr>
          <w:p>
            <w:pPr>
              <w:jc w:val="center"/>
              <w:ind w:left="556"/>
              <w:spacing w:after="0"/>
              <w:rPr>
                <w:sz w:val="20"/>
                <w:szCs w:val="20"/>
                <w:color w:val="auto"/>
              </w:rPr>
            </w:pPr>
            <w:r>
              <w:rPr>
                <w:rFonts w:ascii="Arial" w:cs="Arial" w:eastAsia="Arial" w:hAnsi="Arial"/>
                <w:sz w:val="16"/>
                <w:szCs w:val="16"/>
                <w:b w:val="1"/>
                <w:bCs w:val="1"/>
                <w:color w:val="auto"/>
                <w:w w:val="89"/>
              </w:rPr>
              <w:t>Increase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vMerge w:val="restart"/>
          </w:tcPr>
          <w:p>
            <w:pPr>
              <w:jc w:val="right"/>
              <w:ind w:right="134"/>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139.3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5"/>
              </w:rPr>
              <w:t>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6"/>
              </w:rPr>
              <w:t>40.4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5"/>
              </w:rPr>
              <w:t>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9"/>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179.7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5"/>
              </w:rPr>
              <w:t>14.1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SG&amp;A expenses (exclusive of share-based compensation expense) increased (decreased) ($94.6 million) or (21.6%) and $179.7 million or 14.1% during the three and nine months ended September 30, 2021, respectively, as compared to the corresponding periods in 2020. These changes include increases of $102.1 million and $296.6 million, respectively, attributable to the impact of the Sunrise Acquisition and decreases of $197.8 million and $253.6 million, respectively, attributable to the impact of the U.K. JV Transaction. On an organic basis, our SG&amp;A expenses increased (decreased) ($7.0 million) or (2.0%) and $43.8 million or 3.3%, respectively. These changes include the following factors:</w:t>
      </w:r>
    </w:p>
    <w:p>
      <w:pPr>
        <w:spacing w:after="0" w:line="207" w:lineRule="exact"/>
        <w:rPr>
          <w:sz w:val="20"/>
          <w:szCs w:val="20"/>
          <w:color w:val="auto"/>
        </w:rPr>
      </w:pPr>
    </w:p>
    <w:p>
      <w:pPr>
        <w:jc w:val="both"/>
        <w:ind w:left="640" w:hanging="316"/>
        <w:spacing w:after="0" w:line="312" w:lineRule="auto"/>
        <w:tabs>
          <w:tab w:leader="none" w:pos="635"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Increases in personnel costs of $9.1 million or 4.6% and $38.4 million or 6.4%, respectively, primarily at Central and Other, driven by the net effect of (i) higher average costs per employee, (ii) higher staffing levels, (iii) for the nine-month comparison, lower costs due to higher capitalizable activities and (iv) decreases in temporary personnel costs. In addition, the increase in personnel costs for the nine-month comparison include higher costs in the U.K., primarily due to the net effect of (a) lower average costs per employee, (b) an increase in temporary personnel costs, (c) an increase in costs due to lower capitalizable activities, (d) higher incentive compensation costs and (e) lower staffing levels;</w:t>
      </w:r>
    </w:p>
    <w:p>
      <w:pPr>
        <w:spacing w:after="0" w:line="177" w:lineRule="exact"/>
        <w:rPr>
          <w:rFonts w:ascii="Arial" w:cs="Arial" w:eastAsia="Arial" w:hAnsi="Arial"/>
          <w:sz w:val="15"/>
          <w:szCs w:val="15"/>
          <w:b w:val="1"/>
          <w:bCs w:val="1"/>
          <w:color w:val="auto"/>
        </w:rPr>
      </w:pPr>
    </w:p>
    <w:p>
      <w:pPr>
        <w:ind w:left="640" w:hanging="316"/>
        <w:spacing w:after="0" w:line="264" w:lineRule="auto"/>
        <w:tabs>
          <w:tab w:leader="none" w:pos="63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Increases in core network and information technology-related costs of $5.2 million or 10.5% and $26.0 million or 18.6%, respectively, primarily due to higher information technology-related expenses in Switzerland, and for the nine-month comparison, the U.K.; and</w:t>
      </w:r>
    </w:p>
    <w:p>
      <w:pPr>
        <w:spacing w:after="0" w:line="207" w:lineRule="exact"/>
        <w:rPr>
          <w:rFonts w:ascii="Arial" w:cs="Arial" w:eastAsia="Arial" w:hAnsi="Arial"/>
          <w:sz w:val="18"/>
          <w:szCs w:val="18"/>
          <w:b w:val="1"/>
          <w:bCs w:val="1"/>
          <w:color w:val="auto"/>
        </w:rPr>
      </w:pPr>
    </w:p>
    <w:p>
      <w:pPr>
        <w:jc w:val="both"/>
        <w:ind w:left="640" w:hanging="316"/>
        <w:spacing w:after="0" w:line="255" w:lineRule="auto"/>
        <w:tabs>
          <w:tab w:leader="none" w:pos="63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Decreases in external sales and marketing costs of $13.8 million or 16.9% and $8.2 million or 2.7%, respectively, primarily attributable to the net effect of (i) lower costs in Switzerland and Belgium associated with (a) advertising campaigns and (b) third-party sales commissions and (ii) for the nine-month comparison, higher costs in the U.K. in each of these two expense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28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w w:val="91"/>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(ii) our 2019 CEO Performance Award and (iii) our 2019 Challenge Performance Awards.</w:t>
      </w:r>
    </w:p>
    <w:p>
      <w:pPr>
        <w:spacing w:after="0" w:line="207" w:lineRule="exact"/>
        <w:rPr>
          <w:rFonts w:ascii="Arial" w:cs="Arial" w:eastAsia="Arial" w:hAnsi="Arial"/>
          <w:sz w:val="18"/>
          <w:szCs w:val="18"/>
          <w:color w:val="auto"/>
        </w:rPr>
      </w:pPr>
    </w:p>
    <w:p>
      <w:pPr>
        <w:jc w:val="both"/>
        <w:ind w:left="480" w:hanging="474"/>
        <w:spacing w:after="0" w:line="271" w:lineRule="auto"/>
        <w:tabs>
          <w:tab w:leader="none" w:pos="47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April 2021 with respect to 2014 and 2015 grants and April 2020 with respect to 2013 grants, the compensation committee of our board of directors approved the extension of the expiration dates of outstanding SARs and director options from a seven-year term to a ten-year term. Accordingly, the Black-Scholes fair values of the outstanding awards increased, resulting in the recognition of an aggregate incremental share-based compensation expense of $22.7 million and $18.9 million during the second quarters of 2021 and 2020, respectively.</w:t>
      </w:r>
    </w:p>
    <w:p>
      <w:pPr>
        <w:spacing w:after="0" w:line="203" w:lineRule="exact"/>
        <w:rPr>
          <w:rFonts w:ascii="Arial" w:cs="Arial" w:eastAsia="Arial" w:hAnsi="Arial"/>
          <w:sz w:val="17"/>
          <w:szCs w:val="17"/>
          <w:color w:val="auto"/>
        </w:rPr>
      </w:pPr>
    </w:p>
    <w:p>
      <w:pPr>
        <w:jc w:val="both"/>
        <w:ind w:left="480" w:hanging="474"/>
        <w:spacing w:after="0" w:line="250" w:lineRule="auto"/>
        <w:tabs>
          <w:tab w:leader="none" w:pos="4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the 2021 amounts include compensation expense related to the 2021 Ventures Incentive Plan.</w:t>
      </w:r>
    </w:p>
    <w:p>
      <w:pPr>
        <w:spacing w:after="0" w:line="220" w:lineRule="exact"/>
        <w:rPr>
          <w:rFonts w:ascii="Arial" w:cs="Arial" w:eastAsia="Arial" w:hAnsi="Arial"/>
          <w:sz w:val="18"/>
          <w:szCs w:val="18"/>
          <w:color w:val="auto"/>
        </w:rPr>
      </w:pPr>
    </w:p>
    <w:p>
      <w:pPr>
        <w:ind w:left="480" w:hanging="474"/>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primarily relate to share-based compensation expense associated with Telenet’s share-based incentive awards.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3" w:name="page74"/>
    <w:bookmarkEnd w:id="73"/>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depreciation and amortization expense was $582.3 million and $1,744.8 million for the three and nine months ended September 30, 2021, respectively, and $432.0 million and $1,710.1 million for the three and nine months ended September 30, 2020, respectively. Excluding the effects of FX, depreciation and amortization expense increased (decreased) $144.5 million or 33.4% and ($54.8 million) or (3.2%) during the three and nine months ended September 30, 2021, respectively, as compared to the corresponding periods in 2020. These changes are primarily due to the net effect of (i) for the nine-month period, a decrease in the U.K. of $571.9 million as a result of the held-for-sale presentation of the U.K. JV Entities effective May 7, 2020, (ii) increases due to the Sunrise Acquisition, (iii) increases associated with property and equipment additions related to the installation of customer premises equipment, the expansion and upgrade of our networks and other capital initiatives, primarily in Central and Other, Belgium and Switzerland, and (iv) decreases associated with certain assets becoming fully depreciated, primarily in Central and Other, Belgium and Switzerland. For information regarding the held-for-sale presentation of the U.K. JV Entities prior to the completion of the U.K. JV Transaction, see note 4 to our condensed consolidated financial statements.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recognized impairment, restructuring and other operating items, net, of $17.2 million and $68.4 million during the three and nine months ended September 30, 2021, respectively, and $16.7 million and $46.5 million during the three and nine months ended September 30, 2020, respectively.</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amounts for the 2021 periods include (i) restructuring charges of $2.4 million and $55.0 million, respectively, including $50.4 million of employee severance and termination costs during the nine-month period related to certain reorganization activities, primarily in Switzerland, (ii) direct acquisition and disposition costs of $12.3 million and $41.7 million, respectively, related to the formation of the VMED O2 JV, and (iii) a $38.0 million gain in Central and Other during the second quarter of 2021 associated with a provision release related to a legal contingency.</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amounts for the 2020 periods include (i) a $43.8 million gain in Belgium during the third quarter associated with the disposal of certain content assets and liabilities, (ii) restructuring charges of $5.2 million and $41.8 million, respectively, including $4.0 million and $32.3 million, respectively, of employee severance and termination costs related to certain reorganization activities, primarily in Switzerland, the U.K. and Central and Other, (iii) direct acquisition and disposition costs of $12.9 million and $32.8 million, respectively, primarily related to the formation of the VMED O2 JV, and (iv) impairment charges of $5.5 million and $11.6 million, respectively, primarily in Belgium and the U.K.</w:t>
      </w:r>
    </w:p>
    <w:p>
      <w:pPr>
        <w:spacing w:after="0" w:line="2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recognized interest expense of $140.9 million and $748.1 million during the three and nine months ended September 30, 2021, respectively, and $279.3 million and $873.5 million during the three and nine months ended September 30, 2020, respectively. Excluding the effects of FX, interest expense decreased $139.2 million or 49.8% and $176.5 million or 20.2% during the three and nine months ended September 30, 2021, respectively, as compared to the corresponding periods in 2020. These decreases are primarily attributable to lower (i) weighted average interest rates and (ii) average outstanding debt balances, as decreases related to the U.K. JV Transaction were only partially offset by borrowings used to fund the Sunrise Acquisition. For additional information regarding our outstanding indebtedness, see note 9 to our condensed consolidated financial statements.</w:t>
      </w:r>
    </w:p>
    <w:p>
      <w:pPr>
        <w:spacing w:after="0" w:line="2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4" w:name="page75"/>
    <w:bookmarkEnd w:id="74"/>
    <w:p>
      <w:pPr>
        <w:ind w:left="16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80" w:type="dxa"/>
            <w:vAlign w:val="bottom"/>
            <w:gridSpan w:val="6"/>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5"/>
        </w:trPr>
        <w:tc>
          <w:tcPr>
            <w:tcW w:w="55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2020</w:t>
            </w:r>
          </w:p>
        </w:tc>
      </w:tr>
      <w:tr>
        <w:trPr>
          <w:trHeight w:val="203"/>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5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05"/>
        </w:trPr>
        <w:tc>
          <w:tcPr>
            <w:tcW w:w="558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r>
      <w:tr>
        <w:trPr>
          <w:trHeight w:val="225"/>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19"/>
        </w:trPr>
        <w:tc>
          <w:tcPr>
            <w:tcW w:w="558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equity-related derivative instruments (b)</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18"/>
        </w:trPr>
        <w:tc>
          <w:tcPr>
            <w:tcW w:w="55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19"/>
        </w:trPr>
        <w:tc>
          <w:tcPr>
            <w:tcW w:w="5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5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199.3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r>
      <w:tr>
        <w:trPr>
          <w:trHeight w:val="20"/>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67" w:lineRule="auto"/>
        <w:tabs>
          <w:tab w:leader="none" w:pos="47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results for the 2021 periods are attributable to net gains associated with changes in (i) certain market interest rates and (ii) the relative value of certain currencies. In addition, the results for the 2021 periods include net losses of $34.0 million and $34.8 million, respectively, resulting from changes in our credit risk valuation adjustments. The results for the 2020 periods are attributable to the net effect of (a) net losses associated with changes in the relative value of certain currencies and (b) a net loss for the three-month period and a net gain for the nine-month period associated with changes in certain market interest rates. In addition, the results for the 2020 periods include net gains of $222.6 million and $294.3 million, respectively, resulting from changes in our credit risk valuation adjustments.</w:t>
      </w:r>
    </w:p>
    <w:p>
      <w:pPr>
        <w:spacing w:after="0" w:line="205" w:lineRule="exact"/>
        <w:rPr>
          <w:rFonts w:ascii="Arial" w:cs="Arial" w:eastAsia="Arial" w:hAnsi="Arial"/>
          <w:sz w:val="17"/>
          <w:szCs w:val="17"/>
          <w:color w:val="auto"/>
        </w:rPr>
      </w:pPr>
    </w:p>
    <w:p>
      <w:pPr>
        <w:ind w:left="480" w:hanging="474"/>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derivative instruments, see notes 6 and 7 to our condensed consolidated financial statements and Part I, Item 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5" w:name="page76"/>
    <w:bookmarkEnd w:id="75"/>
    <w:p>
      <w:pPr>
        <w:ind w:left="16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Intercompany payables and receivables denominated in a currency other than</w:t>
            </w:r>
          </w:p>
        </w:tc>
        <w:tc>
          <w:tcPr>
            <w:tcW w:w="3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entity’s functional currency (a)</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w w:val="96"/>
              </w:rPr>
              <w:t>U.S. dollar-denominated debt issued by euro functional currency entities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U.S. dollar-denominated debt issued by British pound sterling functional</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entities</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93"/>
              </w:rPr>
              <w:t>Cash and restricted cash denominated in a currency other than the entity’s</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functional currency</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Euro-denominated debt issued by British pound sterling functional currency</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94"/>
              </w:rPr>
              <w:t>British pound sterling-denominated debt issued by a U.S. dollar functional</w:t>
            </w:r>
          </w:p>
        </w:tc>
        <w:tc>
          <w:tcPr>
            <w:tcW w:w="3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currency entity</w:t>
            </w: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9"/>
        </w:trPr>
        <w:tc>
          <w:tcPr>
            <w:tcW w:w="558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69"/>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40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5"/>
        </w:trPr>
        <w:tc>
          <w:tcPr>
            <w:tcW w:w="5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03"/>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520" w:type="dxa"/>
            <w:vAlign w:val="bottom"/>
          </w:tcPr>
          <w:p>
            <w:pPr>
              <w:ind w:left="140"/>
              <w:spacing w:after="0"/>
              <w:rPr>
                <w:sz w:val="20"/>
                <w:szCs w:val="20"/>
                <w:color w:val="auto"/>
              </w:rPr>
            </w:pPr>
            <w:r>
              <w:rPr>
                <w:rFonts w:ascii="Arial" w:cs="Arial" w:eastAsia="Arial" w:hAnsi="Arial"/>
                <w:sz w:val="18"/>
                <w:szCs w:val="18"/>
                <w:color w:val="auto"/>
              </w:rPr>
              <w:t>Univision</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5"/>
        </w:trPr>
        <w:tc>
          <w:tcPr>
            <w:tcW w:w="5520" w:type="dxa"/>
            <w:vAlign w:val="bottom"/>
          </w:tcPr>
          <w:p>
            <w:pPr>
              <w:ind w:left="140"/>
              <w:spacing w:after="0"/>
              <w:rPr>
                <w:sz w:val="20"/>
                <w:szCs w:val="20"/>
                <w:color w:val="auto"/>
              </w:rPr>
            </w:pPr>
            <w:r>
              <w:rPr>
                <w:rFonts w:ascii="Arial" w:cs="Arial" w:eastAsia="Arial" w:hAnsi="Arial"/>
                <w:sz w:val="18"/>
                <w:szCs w:val="18"/>
                <w:color w:val="auto"/>
              </w:rPr>
              <w:t>Skillz</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6"/>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Aviatrix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20" w:type="dxa"/>
            <w:vAlign w:val="bottom"/>
          </w:tcPr>
          <w:p>
            <w:pPr>
              <w:ind w:left="140"/>
              <w:spacing w:after="0"/>
              <w:rPr>
                <w:sz w:val="20"/>
                <w:szCs w:val="20"/>
                <w:color w:val="auto"/>
              </w:rPr>
            </w:pPr>
            <w:r>
              <w:rPr>
                <w:rFonts w:ascii="Arial" w:cs="Arial" w:eastAsia="Arial" w:hAnsi="Arial"/>
                <w:sz w:val="18"/>
                <w:szCs w:val="18"/>
                <w:color w:val="auto"/>
              </w:rPr>
              <w:t>Lacework</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EdgeConneX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20" w:type="dxa"/>
            <w:vAlign w:val="bottom"/>
          </w:tcPr>
          <w:p>
            <w:pPr>
              <w:ind w:left="140"/>
              <w:spacing w:after="0"/>
              <w:rPr>
                <w:sz w:val="20"/>
                <w:szCs w:val="20"/>
                <w:color w:val="auto"/>
              </w:rPr>
            </w:pPr>
            <w:r>
              <w:rPr>
                <w:rFonts w:ascii="Arial" w:cs="Arial" w:eastAsia="Arial" w:hAnsi="Arial"/>
                <w:sz w:val="18"/>
                <w:szCs w:val="18"/>
                <w:color w:val="auto"/>
              </w:rPr>
              <w:t>Lionsgate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6"/>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225"/>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19"/>
        </w:trPr>
        <w:tc>
          <w:tcPr>
            <w:tcW w:w="552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520" w:type="dxa"/>
            <w:vAlign w:val="bottom"/>
            <w:tcBorders>
              <w:top w:val="single" w:sz="8" w:color="CCEEFF"/>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Losses on debt extinguishment, net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net losses on debt extinguishment of nil and $0.3 million during the three months ended September 30, 2021 and 2020, respectively, and $90.6 million and $220.4 million during the nine months ended September 30, 2021 and 2020, respectively.</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loss during the nine months ended September 30, 2021 is attributable to (i) the write-off of $77.7 million of unamortized deferred financing costs and discounts and (ii) the payment of $12.9 million of redemption premiums, all of which occurred during the second quarter.</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loss during the nine months ended September 30, 2020 is primarily attributable to (i) the payment of $188.2 million of aggregate redemption premiums and (ii) the write-off of $35.2 million of aggregate net unamortized deferred financing costs, discounts and premiums during the first and second quarters.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losses on debt extinguishment,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7" w:name="page78"/>
    <w:bookmarkEnd w:id="77"/>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28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5"/>
        </w:trPr>
        <w:tc>
          <w:tcPr>
            <w:tcW w:w="56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2020</w:t>
            </w:r>
          </w:p>
        </w:tc>
      </w:tr>
      <w:tr>
        <w:trPr>
          <w:trHeight w:val="203"/>
        </w:trPr>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0"/>
        </w:trPr>
        <w:tc>
          <w:tcPr>
            <w:tcW w:w="5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VMED O2 JV (a)</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(b)</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Formula 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(17.4)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8"/>
        </w:trPr>
        <w:tc>
          <w:tcPr>
            <w:tcW w:w="560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77" w:lineRule="auto"/>
        <w:tabs>
          <w:tab w:leader="none" w:pos="477"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Represents our share of the results of operations of the VMED O2 JV beginning June 1, 2021, which includes 100% of the share-based compensation expense associated with Liberty Global awards held by VMED O2 JV employees who were formerly employees of Liberty Global, as these awards remain our responsibility. The summarized results of operations of the VMED O2 JV are set forth below:</w:t>
      </w:r>
    </w:p>
    <w:p>
      <w:pPr>
        <w:spacing w:after="0" w:line="6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Three months ended</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Period from June 1, 2021</w:t>
            </w:r>
          </w:p>
        </w:tc>
        <w:tc>
          <w:tcPr>
            <w:tcW w:w="0" w:type="dxa"/>
            <w:vAlign w:val="bottom"/>
          </w:tcPr>
          <w:p>
            <w:pPr>
              <w:spacing w:after="0"/>
              <w:rPr>
                <w:sz w:val="1"/>
                <w:szCs w:val="1"/>
                <w:color w:val="auto"/>
              </w:rPr>
            </w:pPr>
          </w:p>
        </w:tc>
      </w:tr>
      <w:tr>
        <w:trPr>
          <w:trHeight w:val="159"/>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w w:val="89"/>
              </w:rPr>
              <w:t>through September 30,</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September 30, 2021</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4"/>
          </w:tcPr>
          <w:p>
            <w:pPr>
              <w:jc w:val="right"/>
              <w:ind w:right="1414"/>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63"/>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1,180.3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Includes interest expense of $246.2 million and $325.7 million, respectively.</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(i) interest income of $14.7 million, $12.8 million, $41.7 million and $34.4 million, respectively, representing 100% of the interest earned on the VodafoneZiggo JV Receivables and (ii) our share of the results of operations of the VodafoneZiggo JV. The summarized results of operations of the VodafoneZiggo JV are set forth below:</w:t>
      </w: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28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578.1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559.1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1,713.4</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(117.1)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(155.8)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(344.8)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interest expense of $151.5 million, $150.2 million, $456.2 million and $445.2 million, respectively.</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78" w:name="page79"/>
    <w:bookmarkEnd w:id="78"/>
    <w:p>
      <w:pPr>
        <w:ind w:left="160"/>
        <w:spacing w:after="0"/>
        <w:rPr>
          <w:sz w:val="20"/>
          <w:szCs w:val="20"/>
          <w:color w:val="auto"/>
        </w:rPr>
      </w:pPr>
      <w:r>
        <w:rPr>
          <w:rFonts w:ascii="Arial" w:cs="Arial" w:eastAsia="Arial" w:hAnsi="Arial"/>
          <w:sz w:val="18"/>
          <w:szCs w:val="18"/>
          <w:i w:val="1"/>
          <w:iCs w:val="1"/>
          <w:color w:val="auto"/>
        </w:rPr>
        <w:t>Gain (adjustment to gain) on U.K. JV Transaction</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the U.K. JV Transaction, we recognized a pre-tax gain during the second quarter of 2021 of $11,138.0 million, net of the recognition of a cumulative foreign currency translation loss of $1,198.6 million. During the third quarter of 2021, we recorded a measurement period adjustment that reduced the pre-tax gain by $347.3 million. For additional information, see note 4 to our condensed consolidated financial statements.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Atlas Edge JV Transactions</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connection with the Atlas Edge JV Transactions, we recognized a pre-tax gain during the third quarter of 2021 of $213.7 million, net of the recognition of a cumulative foreign currency translation loss of $1.8 million. For additional information, see note 4 to our condensed consolidated financial statements.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recognized other income, net, of $8.2 million and $5.4 million for the three months ended September 30, 2021 and 2020, respectively, and $25.6 million and $67.4 million for the nine months ended September 30, 2021 and 2020, respectively. These amounts include (i) credits related to the non-service components of our net periodic pension costs of $5.7 million and $4.6 million during the three-month periods, respectively, and $21.9 million and $13.4 million during the nine-month periods, respectively, (ii) interest and dividend income of $2.4 million and $8.1 million during the three-month periods, respectively, and $9.4 million and $50.5 million during the nine-month periods, respectively, and (iii) for the nine months ended September 30, 2020, a gain of $15.3 million related to certain assets that were contributed to a joint venture.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benefit (expense)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income tax benefit (expense) of ($2.2 million) and $165.5 million during the three months ended September 30, 2021 and 2020, respectively.</w:t>
      </w:r>
    </w:p>
    <w:p>
      <w:pPr>
        <w:spacing w:after="0" w:line="2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income tax expense during the three months ended September 30, 2021 differs from the expected income tax expense of $60.4 million (based on the U.K. statutory income tax rate of 19.0%), primarily due to the positive impact of (i) certain permanent differences between the financial and tax accounting treatment of items associated with investments in subsidiaries, including a non-taxable gain associated with the Atlas Edge JV Transactions and (ii) non-deductible or non-taxable foreign currency exchange results. The positive impact of these items was partially offset by the negative impact of the measurement period adjustment to the non-taxable gain associated with the U.K. JV Transaction.</w:t>
      </w:r>
    </w:p>
    <w:p>
      <w:pPr>
        <w:jc w:val="both"/>
        <w:ind w:firstLine="318"/>
        <w:spacing w:after="0" w:line="294" w:lineRule="auto"/>
        <w:rPr>
          <w:sz w:val="20"/>
          <w:szCs w:val="20"/>
          <w:color w:val="auto"/>
        </w:rPr>
      </w:pPr>
      <w:r>
        <w:rPr>
          <w:rFonts w:ascii="Arial" w:cs="Arial" w:eastAsia="Arial" w:hAnsi="Arial"/>
          <w:sz w:val="15"/>
          <w:szCs w:val="15"/>
          <w:color w:val="auto"/>
        </w:rPr>
        <w:t>The income tax benefit during the three months ended September 30, 2020 differs from the expected income tax benefit of $218.7 million (based on the U.K. statutory income tax rate of 19.0%), primarily due to the net negative impact of (i) non-deductible or non-taxable foreign currency exchange results and</w:t>
      </w:r>
    </w:p>
    <w:p>
      <w:pPr>
        <w:spacing w:after="0" w:line="1" w:lineRule="exact"/>
        <w:rPr>
          <w:sz w:val="20"/>
          <w:szCs w:val="20"/>
          <w:color w:val="auto"/>
        </w:rPr>
      </w:pPr>
    </w:p>
    <w:p>
      <w:pPr>
        <w:ind w:firstLine="6"/>
        <w:spacing w:after="0" w:line="251" w:lineRule="auto"/>
        <w:tabs>
          <w:tab w:leader="none" w:pos="2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in valuation allowances. The net negative impact of these items was partially offset by the net positive impact of an increase in deferred tax assets in the U.K. due to an enacted change in tax law.</w:t>
      </w:r>
    </w:p>
    <w:p>
      <w:pPr>
        <w:spacing w:after="0" w:line="2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income tax benefit (expense) of ($444.2 million) and $252.2 million during the nine months ended September 30, 2021 and 2020, respectively.</w:t>
      </w:r>
    </w:p>
    <w:p>
      <w:pPr>
        <w:spacing w:after="0" w:line="20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income tax expense during the nine months ended September 30, 2021 differs from the expected income tax expense of $2,533.3 million (based on the U.K. statutory income tax rate of 19.0%), primarily due to the positive impact of the non-taxable gain associated with the U.K. JV Transaction.</w:t>
      </w:r>
    </w:p>
    <w:p>
      <w:pPr>
        <w:spacing w:after="0" w:line="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income tax benefit during the nine months ended September 30, 2020 differs from the expected income tax benefit of $143.3 million (based on the U.K. statutory income tax rate of 19.0%), primarily due to the net positive impact of (i) an increase in deferred tax assets in the U.K. due to an enacted change in tax law, (ii) the recognition of previously unrecognized tax benefits and (iii) tax benefits associated with technology innovation incentives. The net positive impact of these items was partially offset by the net negative impact of (a) an increase in valuation allowances and (b) non-deductible or non-taxable foreign currency exchange results.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9" w:name="page80"/>
    <w:bookmarkEnd w:id="79"/>
    <w:p>
      <w:pPr>
        <w:ind w:left="16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September 30, 2021 and 2020, we reported earnings (loss) from continuing operations of $315.6 million and ($985.6 million), respectively, consisting of (i) operating income of $101.0 million and $643.8 million, respectively, (ii) net non-operating expense of $216.8 million and $1,794.9 million, respectively, and (iii) income tax benefit of $2.2 million and $165.5 million, respectively.</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nine months ended September 30, 2021 and 2020, we reported earnings (loss) from continuing operations of $12,889.2 million and ($502.2 million), respectively, consisting of (i) operating income of $1,239.4 million and $1,406.1 million, respectively, (ii) net non-operating income (expense) of $12,094.0 million and ($2,160.5 million), respectively, and (iii) income tax benefit (expense) of ($444.2 million) and $252.2 million, respectively.</w:t>
      </w:r>
    </w:p>
    <w:p>
      <w:pPr>
        <w:spacing w:after="0" w:line="16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Due largely to the fact that we seek to maintain our debt at levels that provide for attractive equity returns, as discussed below under </w:t>
      </w:r>
      <w:r>
        <w:rPr>
          <w:rFonts w:ascii="Arial" w:cs="Arial" w:eastAsia="Arial" w:hAnsi="Arial"/>
          <w:sz w:val="15"/>
          <w:szCs w:val="15"/>
          <w:i w:val="1"/>
          <w:iCs w:val="1"/>
          <w:color w:val="auto"/>
        </w:rPr>
        <w:t>Material Changes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Condition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Capitalization</w:t>
      </w:r>
      <w:r>
        <w:rPr>
          <w:rFonts w:ascii="Arial" w:cs="Arial" w:eastAsia="Arial" w:hAnsi="Arial"/>
          <w:sz w:val="15"/>
          <w:szCs w:val="15"/>
          <w:color w:val="auto"/>
        </w:rPr>
        <w:t>, we expect we will continue to report significant levels of interest expense for the foreseeable future. For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concerning our expectations with respect to trends that may affect certain aspects of our operating results in future periods, see the discussion under </w:t>
      </w:r>
      <w:r>
        <w:rPr>
          <w:rFonts w:ascii="Arial" w:cs="Arial" w:eastAsia="Arial" w:hAnsi="Arial"/>
          <w:sz w:val="15"/>
          <w:szCs w:val="15"/>
          <w:i w:val="1"/>
          <w:iCs w:val="1"/>
          <w:color w:val="auto"/>
        </w:rPr>
        <w:t>Overview</w:t>
      </w:r>
      <w:r>
        <w:rPr>
          <w:rFonts w:ascii="Arial" w:cs="Arial" w:eastAsia="Arial" w:hAnsi="Arial"/>
          <w:sz w:val="15"/>
          <w:szCs w:val="15"/>
          <w:color w:val="auto"/>
        </w:rPr>
        <w:t xml:space="preserve"> above. For information concerning the reasons for changes in specific line items in our condensed consolidated statements of operations, see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above.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reported earnings from discontinued operations, net of taxes, of $3.1 million and $12.0 million during the three months ended September 30, 2021 and 2020, respectively, and $44.3 million and $42.5 million during the nine months ended September 30, 2021 and 2020, respectively, related to the results of UPC Poland. For additional information, see note 4 to our condensed consolidated financial statements.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Net earnings attributable to noncontrolling interests increased (decreased) $7.9 million and ($5.0 million) during the three and nine months ended September 30, 2021, respectively, as compared to the corresponding periods in 2020, primarily attributable to the results of operations of Telenet.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September 30, 2021 are set forth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5"/>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r>
      <w:tr>
        <w:trPr>
          <w:trHeight w:val="219"/>
        </w:trPr>
        <w:tc>
          <w:tcPr>
            <w:tcW w:w="98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r>
      <w:tr>
        <w:trPr>
          <w:trHeight w:val="205"/>
        </w:trPr>
        <w:tc>
          <w:tcPr>
            <w:tcW w:w="988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25"/>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8"/>
        </w:trPr>
        <w:tc>
          <w:tcPr>
            <w:tcW w:w="9880" w:type="dxa"/>
            <w:vAlign w:val="bottom"/>
            <w:tcBorders>
              <w:bottom w:val="single" w:sz="8" w:color="CCEEFF"/>
            </w:tcBorders>
          </w:tcPr>
          <w:p>
            <w:pPr>
              <w:ind w:left="380"/>
              <w:spacing w:after="0" w:line="204" w:lineRule="exact"/>
              <w:rPr>
                <w:sz w:val="20"/>
                <w:szCs w:val="20"/>
                <w:color w:val="auto"/>
              </w:rPr>
            </w:pPr>
            <w:r>
              <w:rPr>
                <w:rFonts w:ascii="Arial" w:cs="Arial" w:eastAsia="Arial" w:hAnsi="Arial"/>
                <w:sz w:val="18"/>
                <w:szCs w:val="18"/>
                <w:color w:val="auto"/>
              </w:rPr>
              <w:t>Total borrowing groups</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r>
      <w:tr>
        <w:trPr>
          <w:trHeight w:val="243"/>
        </w:trPr>
        <w:tc>
          <w:tcPr>
            <w:tcW w:w="988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cash and cash equivalents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3" w:lineRule="exact"/>
        <w:rPr>
          <w:rFonts w:ascii="Arial" w:cs="Arial" w:eastAsia="Arial" w:hAnsi="Arial"/>
          <w:sz w:val="18"/>
          <w:szCs w:val="18"/>
          <w:color w:val="auto"/>
        </w:rPr>
      </w:pPr>
    </w:p>
    <w:p>
      <w:pPr>
        <w:ind w:left="160" w:right="2900" w:hanging="154"/>
        <w:spacing w:after="0" w:line="264" w:lineRule="auto"/>
        <w:tabs>
          <w:tab w:leader="none" w:pos="4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Represents the aggregate amounts held by the parent entity and restricted subsidiaries of our borrowing groups. </w:t>
      </w:r>
      <w:r>
        <w:rPr>
          <w:rFonts w:ascii="Arial" w:cs="Arial" w:eastAsia="Arial" w:hAnsi="Arial"/>
          <w:sz w:val="18"/>
          <w:szCs w:val="18"/>
          <w:i w:val="1"/>
          <w:iCs w:val="1"/>
          <w:color w:val="auto"/>
        </w:rPr>
        <w:t>Liquidity of Liberty Global and its unrestricted subsidiaries</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$17.0 million of cash and cash equivalents held by Liberty Global and, subject to certain tax and legal considerations, the $478.6 million of aggregate cash and cash equivalents held by unrestricted subsidiaries, together with the $2,942.6 million of investments held under SMAs, represented available liquidity at the corporate level at September 30, 2021. Our remaining cash and cash equivalents of $270.6 million at September 30, 2021 were held by our borrowing groups, as set forth in the table above. As noted above, various factors may limit our ability to access the cash of our borrowing groups. For information regarding certain limitations imposed by our subsidiaries’ debt instruments at September 30, 2021, see note 9 to our condensed consolidated financial statements.</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or the VMED O2 JV, (iv) cash received with respect to transitional and other services provided to various third parties and (v) interest payments received with respect to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1" w:name="page82"/>
    <w:bookmarkEnd w:id="81"/>
    <w:p>
      <w:pPr>
        <w:jc w:val="both"/>
        <w:ind w:firstLine="318"/>
        <w:spacing w:after="0" w:line="298" w:lineRule="auto"/>
        <w:rPr>
          <w:sz w:val="20"/>
          <w:szCs w:val="20"/>
          <w:color w:val="auto"/>
        </w:rPr>
      </w:pPr>
      <w:r>
        <w:rPr>
          <w:rFonts w:ascii="Arial" w:cs="Arial" w:eastAsia="Arial" w:hAnsi="Arial"/>
          <w:sz w:val="15"/>
          <w:szCs w:val="15"/>
          <w:color w:val="auto"/>
        </w:rPr>
        <w:t>From time to time, Liberty Global and its unrestricted subsidiaries may also receive (i) proceeds in the form of distributions or loan repayments from Liberty Global’s borrowing groups or affiliates (including amounts from the VodafoneZiggo JV or the VMED O2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pending sale of UPC Poland, and</w:t>
      </w:r>
    </w:p>
    <w:p>
      <w:pPr>
        <w:spacing w:after="0" w:line="3" w:lineRule="exact"/>
        <w:rPr>
          <w:sz w:val="20"/>
          <w:szCs w:val="20"/>
          <w:color w:val="auto"/>
        </w:rPr>
      </w:pPr>
    </w:p>
    <w:p>
      <w:pPr>
        <w:jc w:val="both"/>
        <w:ind w:firstLine="6"/>
        <w:spacing w:after="0" w:line="248" w:lineRule="auto"/>
        <w:tabs>
          <w:tab w:leader="none" w:pos="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2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September 30, 2021, our consolidated cash and cash equivalents balance included $749.2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corporate liquidity requirements include corporate general and administrative expenses and, from time to time, cash requirements in connection with</w:t>
      </w:r>
    </w:p>
    <w:p>
      <w:pPr>
        <w:spacing w:after="0" w:line="51" w:lineRule="exact"/>
        <w:rPr>
          <w:sz w:val="20"/>
          <w:szCs w:val="20"/>
          <w:color w:val="auto"/>
        </w:rPr>
      </w:pPr>
    </w:p>
    <w:p>
      <w:pPr>
        <w:jc w:val="both"/>
        <w:ind w:firstLine="6"/>
        <w:spacing w:after="0" w:line="247" w:lineRule="auto"/>
        <w:tabs>
          <w:tab w:leader="none" w:pos="2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$10.9 billion at September 30, 2021 with varying maturity dates).</w:t>
      </w:r>
    </w:p>
    <w:p>
      <w:pPr>
        <w:spacing w:after="0" w:line="22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nine months ended September 30, 2021, the aggregate amount of our share repurchases was $1,026.8 million, including direct acquisition costs. At September 30, 2021, the remaining amount authorized for share repurchases during the remainder of 2021 was $378.7 million. For information regarding our share repurchase authorization for 2022 and 2023, see note 12 to our condensed consolidated financial statements.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2021, see note 9 to our condensed consolidated financial statements. The aforementioned sources of liquidity may be supplemented in certain cases by contributions and/or loans from Liberty Global and its unrestricted subsidiaries.</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September 30, 2021 condensed consolidated balance sheet. In this regard, we have significant commitments related to (a) programming, studio output and sports rights contracts, (b) certain operating costs associated with our networks and (c) purchase obligations associated with customer premises equipment and certain service-related commitments. These obligations are expected to represent a significant liquidity requirement of our borrowing groups, the majority of which is due over the next 12 to 24 months. For additional information regarding our commitments, see note 15 to our condensed consolidated financial statements.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For additional information regarding our consolidated cash flows, see the discussion under </w:t>
      </w:r>
      <w:r>
        <w:rPr>
          <w:rFonts w:ascii="Arial" w:cs="Arial" w:eastAsia="Arial" w:hAnsi="Arial"/>
          <w:sz w:val="15"/>
          <w:szCs w:val="15"/>
          <w:i w:val="1"/>
          <w:iCs w:val="1"/>
          <w:color w:val="auto"/>
        </w:rPr>
        <w:t>Condensed Consolidated Statements of Cash Flows</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2" w:name="page83"/>
    <w:bookmarkEnd w:id="82"/>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0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2021,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39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September 30, 2021, the outstanding principal amount of our consolidated debt, together with our finance lease obligations, aggregated $15.1 billion, including $1.0 billion that is classified as current on our condensed consolidated balance sheet and $13.8 billion that is not due until 2027 or thereafter. All of our consolidated debt and finance lease obligations have been borrowed or incurred by our subsidiaries at September 30, 2021.</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3" w:name="page84"/>
    <w:bookmarkEnd w:id="83"/>
    <w:p>
      <w:pPr>
        <w:ind w:left="16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Our condensed consolidated statements of cash flows for our continuing operations for the nine months ended September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Nine months ended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September 30,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7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3"/>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(1,571.9)</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4"/>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The decrease in net cash provided by operating activities is primarily attributable to the net effect of (i) a decrease in cash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by our Adjusted EBITDA and related working capital items, which includes an increase in cash of $63.4 million (at the applicable rate) in connection with a receivables financing transaction, (ii) an increase in cash provided due to lower payments of interest, (iii) an increase in cash provided due to lower payments related to derivative instruments, (iv) an increase in cash provided due to higher dividends received from the VodafoneZiggo JV, (v) an increase due to FX and</w:t>
      </w:r>
    </w:p>
    <w:p>
      <w:pPr>
        <w:spacing w:after="0" w:line="3" w:lineRule="exact"/>
        <w:rPr>
          <w:sz w:val="20"/>
          <w:szCs w:val="20"/>
          <w:color w:val="auto"/>
        </w:rPr>
      </w:pPr>
    </w:p>
    <w:p>
      <w:pPr>
        <w:ind w:firstLine="6"/>
        <w:spacing w:after="0" w:line="280" w:lineRule="auto"/>
        <w:tabs>
          <w:tab w:leader="none" w:pos="3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cash provided due to lower payments for taxes. Consolidated Adjusted EBITDA is a non-GAAP measure, which investors should view as a supplement to, and not a substitute for, GAAP measures of performance included in our condensed consolidated statements of operations.</w:t>
      </w:r>
    </w:p>
    <w:p>
      <w:pPr>
        <w:spacing w:after="0" w:line="19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The increase in net cash used by investing activities is primarily attributable to the net effect of (i) an increase in cash used of</w:t>
      </w:r>
      <w:r>
        <w:rPr>
          <w:rFonts w:ascii="Arial" w:cs="Arial" w:eastAsia="Arial" w:hAnsi="Arial"/>
          <w:sz w:val="15"/>
          <w:szCs w:val="15"/>
          <w:i w:val="1"/>
          <w:iCs w:val="1"/>
          <w:color w:val="auto"/>
        </w:rPr>
        <w:t xml:space="preserve"> </w:t>
      </w:r>
      <w:r>
        <w:rPr>
          <w:rFonts w:ascii="Arial" w:cs="Arial" w:eastAsia="Arial" w:hAnsi="Arial"/>
          <w:sz w:val="15"/>
          <w:szCs w:val="15"/>
          <w:color w:val="auto"/>
        </w:rPr>
        <w:t>$3,424.0 million associated with restricted cash contributed to the VMED O2 JV in connection with the U.K. JV Transaction, (ii) a decrease in cash used of $1,974.1 million associated with lower net cash paid for investments, primarily related to our investments held under SMAs, (iii) an increase in cash used of $194.5 million due to higher capital expenditures and (iv) a decrease in cash used of $130.0 million associated with the cash received in connection with the Atlas Edge JV Transactions. Capital expenditures increased from $919.9 million during the first nine months of 2020 to $1,114.4 million during the first nine months of 2021 due to the net effect of (a) an increase due to the impact of the Sunrise Acquisition, (b) a decrease in our net local currency capital expenditures and related working capital movements, including the impact of lower capital-related vendor financing, and (c) an increase due to FX.</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4" w:name="page85"/>
    <w:bookmarkEnd w:id="84"/>
    <w:p>
      <w:pPr>
        <w:jc w:val="both"/>
        <w:ind w:firstLine="318"/>
        <w:spacing w:after="0" w:line="298" w:lineRule="auto"/>
        <w:rPr>
          <w:sz w:val="20"/>
          <w:szCs w:val="20"/>
          <w:color w:val="auto"/>
        </w:rPr>
      </w:pPr>
      <w:r>
        <w:rPr>
          <w:rFonts w:ascii="Arial" w:cs="Arial" w:eastAsia="Arial" w:hAnsi="Arial"/>
          <w:sz w:val="15"/>
          <w:szCs w:val="15"/>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w:t>
      </w:r>
    </w:p>
    <w:p>
      <w:pPr>
        <w:spacing w:after="0" w:line="3" w:lineRule="exact"/>
        <w:rPr>
          <w:sz w:val="20"/>
          <w:szCs w:val="20"/>
          <w:color w:val="auto"/>
        </w:rPr>
      </w:pPr>
    </w:p>
    <w:p>
      <w:pPr>
        <w:jc w:val="both"/>
        <w:ind w:firstLine="6"/>
        <w:spacing w:after="0" w:line="248" w:lineRule="auto"/>
        <w:tabs>
          <w:tab w:leader="none" w:pos="266"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w:t>
      </w:r>
    </w:p>
    <w:p>
      <w:pPr>
        <w:spacing w:after="0" w:line="2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reconciliation of our consolidated property and equipment additions to our consolidated capital expenditures, as reported in our condensed consolidated statements of cash flows, is set forth below:</w:t>
      </w:r>
    </w:p>
    <w:p>
      <w:pPr>
        <w:jc w:val="center"/>
        <w:ind w:left="8660"/>
        <w:spacing w:after="0"/>
        <w:rPr>
          <w:sz w:val="20"/>
          <w:szCs w:val="20"/>
          <w:color w:val="auto"/>
        </w:rPr>
      </w:pPr>
      <w:r>
        <w:rPr>
          <w:rFonts w:ascii="Arial" w:cs="Arial" w:eastAsia="Arial" w:hAnsi="Arial"/>
          <w:sz w:val="16"/>
          <w:szCs w:val="16"/>
          <w:b w:val="1"/>
          <w:bCs w:val="1"/>
          <w:color w:val="auto"/>
        </w:rPr>
        <w:t>Nine months ended</w:t>
      </w:r>
    </w:p>
    <w:p>
      <w:pPr>
        <w:jc w:val="center"/>
        <w:ind w:left="866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10"/>
        </w:trPr>
        <w:tc>
          <w:tcPr>
            <w:tcW w:w="8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(1,011.7)</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4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decrease in our property and equipment additions during the nine months ended September 30, 2021, as compared to the corresponding period in 2020, is primarily due to the net effect of (i) a decrease due to the impact of the U.K. JV Transaction, (ii) an increase due to the impact of the Sunrise Acquisition, (iii) an increase in local currency expenditures of our subsidiaries due to (a) an increase in baseline expenditures, including network improvements and expenditures for property and facilities and information technology systems, (b) an increase in expenditures for new build and upgrade projects and (c) an increase in expenditures to support new customer products and operational efficiency initiatives, and (iii) an increase due to FX.</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change in net cash provided (used) by financing activities is primarily attributable to the net effect of (i) an increase in cash of</w:t>
      </w:r>
      <w:r>
        <w:rPr>
          <w:rFonts w:ascii="Arial" w:cs="Arial" w:eastAsia="Arial" w:hAnsi="Arial"/>
          <w:sz w:val="17"/>
          <w:szCs w:val="17"/>
          <w:i w:val="1"/>
          <w:iCs w:val="1"/>
          <w:color w:val="auto"/>
        </w:rPr>
        <w:t xml:space="preserve"> </w:t>
      </w:r>
      <w:r>
        <w:rPr>
          <w:rFonts w:ascii="Arial" w:cs="Arial" w:eastAsia="Arial" w:hAnsi="Arial"/>
          <w:sz w:val="17"/>
          <w:szCs w:val="17"/>
          <w:color w:val="auto"/>
        </w:rPr>
        <w:t>$1,193.0 million due to higher net borrowings of debt, (ii) an increase in cash of $205.9 million due to lower payments for financing costs and debt premiums and (iii) a decrease in cash of $49.5 million due to lower net cash receipts related to derivative instruments.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5" w:name="page86"/>
    <w:bookmarkEnd w:id="85"/>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3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Nine months ended</w:t>
      </w:r>
    </w:p>
    <w:p>
      <w:pPr>
        <w:jc w:val="center"/>
        <w:ind w:left="862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10"/>
        </w:trPr>
        <w:tc>
          <w:tcPr>
            <w:tcW w:w="8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Cash payments for direct acquisition and disposition costs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financed by an intermediary (a)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1,995.5</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(919.9)</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(3,138.3)</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certain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44"/>
        </w:trPr>
        <w:tc>
          <w:tcPr>
            <w:tcW w:w="864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jc w:val="both"/>
        <w:ind w:left="480" w:hanging="474"/>
        <w:spacing w:after="0" w:line="267" w:lineRule="auto"/>
        <w:tabs>
          <w:tab w:leader="none" w:pos="477"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purposes of our condensed consolidated statements of cash flows, operating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as our actual net cash available at that time is not affected and subsequently deduct from our adjusted free cash flow metric the related financing cash outflows when we actually pay the financing intermediary, reflecting the actual reduction to our cash available to service debt or fund new investments.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6" w:name="page87"/>
    <w:bookmarkEnd w:id="86"/>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2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September 30, 2021.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2021, $510.5 million or 66.6%, $125.4 million or 16.4% and $91.6 million or 12.0% of our consolidated cash balances were denominated in euros, British pound sterling and U.S. dollars, respectively.</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34"/>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5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19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0.8180</w:t>
            </w:r>
          </w:p>
        </w:tc>
      </w:tr>
      <w:tr>
        <w:trPr>
          <w:trHeight w:val="225"/>
        </w:trPr>
        <w:tc>
          <w:tcPr>
            <w:tcW w:w="546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0.7429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0.7325</w:t>
            </w:r>
          </w:p>
        </w:tc>
      </w:tr>
      <w:tr>
        <w:trPr>
          <w:trHeight w:val="22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0.9341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0.8852</w:t>
            </w:r>
          </w:p>
        </w:tc>
      </w:tr>
      <w:tr>
        <w:trPr>
          <w:trHeight w:val="224"/>
        </w:trPr>
        <w:tc>
          <w:tcPr>
            <w:tcW w:w="546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3.9836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3.7363</w:t>
            </w:r>
          </w:p>
        </w:tc>
      </w:tr>
      <w:tr>
        <w:trPr>
          <w:trHeight w:val="407"/>
        </w:trPr>
        <w:tc>
          <w:tcPr>
            <w:tcW w:w="5460" w:type="dxa"/>
            <w:vAlign w:val="bottom"/>
          </w:tcPr>
          <w:p>
            <w:pPr>
              <w:spacing w:after="0"/>
              <w:rPr>
                <w:sz w:val="24"/>
                <w:szCs w:val="24"/>
                <w:color w:val="auto"/>
              </w:rPr>
            </w:pPr>
          </w:p>
        </w:tc>
        <w:tc>
          <w:tcPr>
            <w:tcW w:w="29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Three months ended</w:t>
            </w:r>
          </w:p>
        </w:tc>
        <w:tc>
          <w:tcPr>
            <w:tcW w:w="284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460" w:type="dxa"/>
            <w:vAlign w:val="bottom"/>
          </w:tcPr>
          <w:p>
            <w:pPr>
              <w:spacing w:after="0"/>
              <w:rPr>
                <w:sz w:val="18"/>
                <w:szCs w:val="18"/>
                <w:color w:val="auto"/>
              </w:rPr>
            </w:pPr>
          </w:p>
        </w:tc>
        <w:tc>
          <w:tcPr>
            <w:tcW w:w="196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6"/>
                <w:szCs w:val="16"/>
                <w:b w:val="1"/>
                <w:bCs w:val="1"/>
                <w:color w:val="auto"/>
                <w:w w:val="87"/>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5460" w:type="dxa"/>
            <w:vAlign w:val="bottom"/>
          </w:tcPr>
          <w:p>
            <w:pPr>
              <w:spacing w:after="0"/>
              <w:rPr>
                <w:sz w:val="17"/>
                <w:szCs w:val="17"/>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19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0.8904</w:t>
            </w:r>
          </w:p>
        </w:tc>
      </w:tr>
      <w:tr>
        <w:trPr>
          <w:trHeight w:val="225"/>
        </w:trPr>
        <w:tc>
          <w:tcPr>
            <w:tcW w:w="546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360" w:type="dxa"/>
            <w:vAlign w:val="bottom"/>
          </w:tcPr>
          <w:p>
            <w:pPr>
              <w:jc w:val="right"/>
              <w:spacing w:after="0"/>
              <w:rPr>
                <w:sz w:val="20"/>
                <w:szCs w:val="20"/>
                <w:color w:val="auto"/>
              </w:rPr>
            </w:pPr>
            <w:r>
              <w:rPr>
                <w:rFonts w:ascii="Arial" w:cs="Arial" w:eastAsia="Arial" w:hAnsi="Arial"/>
                <w:sz w:val="18"/>
                <w:szCs w:val="18"/>
                <w:color w:val="auto"/>
              </w:rPr>
              <w:t>0.7257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0.7737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0.7220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0.7871</w:t>
            </w:r>
          </w:p>
        </w:tc>
      </w:tr>
      <w:tr>
        <w:trPr>
          <w:trHeight w:val="22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0.9506</w:t>
            </w:r>
          </w:p>
        </w:tc>
      </w:tr>
      <w:tr>
        <w:trPr>
          <w:trHeight w:val="224"/>
        </w:trPr>
        <w:tc>
          <w:tcPr>
            <w:tcW w:w="546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1360" w:type="dxa"/>
            <w:vAlign w:val="bottom"/>
          </w:tcPr>
          <w:p>
            <w:pPr>
              <w:jc w:val="right"/>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3.8001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3.9381</w:t>
            </w:r>
          </w:p>
        </w:tc>
      </w:tr>
      <w:tr>
        <w:trPr>
          <w:trHeight w:val="888"/>
        </w:trPr>
        <w:tc>
          <w:tcPr>
            <w:tcW w:w="5460" w:type="dxa"/>
            <w:vAlign w:val="bottom"/>
          </w:tcPr>
          <w:p>
            <w:pPr>
              <w:spacing w:after="0"/>
              <w:rPr>
                <w:sz w:val="24"/>
                <w:szCs w:val="24"/>
                <w:color w:val="auto"/>
              </w:rPr>
            </w:pPr>
          </w:p>
        </w:tc>
        <w:tc>
          <w:tcPr>
            <w:tcW w:w="1360" w:type="dxa"/>
            <w:vAlign w:val="bottom"/>
          </w:tcPr>
          <w:p>
            <w:pPr>
              <w:jc w:val="right"/>
              <w:ind w:right="1015"/>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3"/>
        </w:trPr>
        <w:tc>
          <w:tcPr>
            <w:tcW w:w="5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7" w:name="page88"/>
    <w:bookmarkEnd w:id="87"/>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In November 2020, ICE Benchmark administration (the entity that administers LIBOR) announced its intention to continue publishing USD LIBOR rates until June 30, 2023, with the exception of the one-week and two-month rates which, along with all GBP LIBOR rates, it intends to cease publishing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w:t>
      </w:r>
    </w:p>
    <w:p>
      <w:pPr>
        <w:spacing w:after="0" w:line="39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a new supplement (the Fallback Supplement), which effective January 25, 2021, amends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a new protocol (the Fallback Protocol), also effective January 25, 2021, that enables market participants to incorporate these revisions into their legacy non-cleared derivatives with other counterparties that choose to adhere to the protocol. The fallbacks for a particular currency will apply following a permanent cessation of the IBOR in that currency and will be adjusted versions of the risk-free rates identified in each currency.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21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September 30, 2021, the outstanding principal amount of our variable-rate indebtedness aggregated $9.9</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weighted average interest rate (including margin) on such variable-rate indebtedness was approximately 2.7%,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$49.5 million. As discussed above and in note 6 to our condensed consolidated financial statements, we use interest rate derivative contracts to manage our exposure to increases in variable interest rates. In this regard, increases in the fair value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8" w:name="page89"/>
    <w:bookmarkEnd w:id="88"/>
    <w:p>
      <w:pPr>
        <w:jc w:val="both"/>
        <w:spacing w:after="0" w:line="264" w:lineRule="auto"/>
        <w:rPr>
          <w:sz w:val="20"/>
          <w:szCs w:val="20"/>
          <w:color w:val="auto"/>
        </w:rPr>
      </w:pPr>
      <w:r>
        <w:rPr>
          <w:rFonts w:ascii="Arial" w:cs="Arial" w:eastAsia="Arial" w:hAnsi="Arial"/>
          <w:sz w:val="18"/>
          <w:szCs w:val="18"/>
          <w:color w:val="auto"/>
        </w:rPr>
        <w:t>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September 30, 2021:</w:t>
      </w:r>
    </w:p>
    <w:p>
      <w:pPr>
        <w:spacing w:after="0" w:line="244" w:lineRule="exact"/>
        <w:rPr>
          <w:sz w:val="20"/>
          <w:szCs w:val="20"/>
          <w:color w:val="auto"/>
        </w:rPr>
      </w:pPr>
    </w:p>
    <w:p>
      <w:pPr>
        <w:ind w:left="800" w:hanging="476"/>
        <w:spacing w:after="0" w:line="365" w:lineRule="auto"/>
        <w:tabs>
          <w:tab w:leader="none" w:pos="794"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€439 million ($507 million);</w:t>
      </w:r>
    </w:p>
    <w:p>
      <w:pPr>
        <w:spacing w:after="0" w:line="137" w:lineRule="exact"/>
        <w:rPr>
          <w:rFonts w:ascii="Arial" w:cs="Arial" w:eastAsia="Arial" w:hAnsi="Arial"/>
          <w:sz w:val="15"/>
          <w:szCs w:val="15"/>
          <w:color w:val="auto"/>
        </w:rPr>
      </w:pPr>
    </w:p>
    <w:p>
      <w:pPr>
        <w:jc w:val="both"/>
        <w:ind w:left="800" w:hanging="476"/>
        <w:spacing w:after="0" w:line="255" w:lineRule="auto"/>
        <w:tabs>
          <w:tab w:leader="none" w:pos="7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€390 million ($451 million); and</w:t>
      </w:r>
    </w:p>
    <w:p>
      <w:pPr>
        <w:spacing w:after="0" w:line="214" w:lineRule="exact"/>
        <w:rPr>
          <w:rFonts w:ascii="Arial" w:cs="Arial" w:eastAsia="Arial" w:hAnsi="Arial"/>
          <w:sz w:val="18"/>
          <w:szCs w:val="18"/>
          <w:color w:val="auto"/>
        </w:rPr>
      </w:pPr>
    </w:p>
    <w:p>
      <w:pPr>
        <w:ind w:left="800" w:hanging="476"/>
        <w:spacing w:after="0" w:line="294" w:lineRule="auto"/>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€94 million ($109 million).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September 30, 2021:</w:t>
      </w:r>
    </w:p>
    <w:p>
      <w:pPr>
        <w:spacing w:after="0" w:line="244" w:lineRule="exact"/>
        <w:rPr>
          <w:sz w:val="20"/>
          <w:szCs w:val="20"/>
          <w:color w:val="auto"/>
        </w:rPr>
      </w:pPr>
    </w:p>
    <w:p>
      <w:pPr>
        <w:ind w:left="800" w:right="20" w:hanging="476"/>
        <w:spacing w:after="0" w:line="294" w:lineRule="auto"/>
        <w:tabs>
          <w:tab w:leader="none" w:pos="794"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€346 million ($400 million); and</w:t>
      </w:r>
    </w:p>
    <w:p>
      <w:pPr>
        <w:spacing w:after="0" w:line="183"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€86 million ($99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9" w:name="page90"/>
    <w:bookmarkEnd w:id="89"/>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September 30, 2021.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7"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5"/>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8"/>
        </w:trPr>
        <w:tc>
          <w:tcPr>
            <w:tcW w:w="2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accordance with Rule 13a-15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5"/>
          <w:szCs w:val="15"/>
          <w:b w:val="1"/>
          <w:bCs w:val="1"/>
          <w:color w:val="auto"/>
        </w:rPr>
        <w:t>Executives</w:t>
      </w:r>
      <w:r>
        <w:rPr>
          <w:rFonts w:ascii="Arial" w:cs="Arial" w:eastAsia="Arial" w:hAnsi="Arial"/>
          <w:sz w:val="15"/>
          <w:szCs w:val="15"/>
          <w:color w:val="auto"/>
        </w:rPr>
        <w:t>), of the effectiveness of our disclosure controls and procedures as of September 30, 2021.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2021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4"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Total number of</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dollar value of</w:t>
            </w: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4"/>
              </w:rPr>
              <w:t>shares purchased as</w:t>
            </w: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shares that may</w:t>
            </w: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Total number of</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Average price</w:t>
            </w:r>
          </w:p>
        </w:tc>
        <w:tc>
          <w:tcPr>
            <w:tcW w:w="1700" w:type="dxa"/>
            <w:vAlign w:val="bottom"/>
            <w:gridSpan w:val="2"/>
          </w:tcPr>
          <w:p>
            <w:pPr>
              <w:jc w:val="center"/>
              <w:ind w:right="160"/>
              <w:spacing w:after="0" w:line="159" w:lineRule="exact"/>
              <w:rPr>
                <w:sz w:val="20"/>
                <w:szCs w:val="20"/>
                <w:color w:val="auto"/>
              </w:rPr>
            </w:pPr>
            <w:r>
              <w:rPr>
                <w:rFonts w:ascii="Arial" w:cs="Arial" w:eastAsia="Arial" w:hAnsi="Arial"/>
                <w:sz w:val="16"/>
                <w:szCs w:val="16"/>
                <w:b w:val="1"/>
                <w:bCs w:val="1"/>
                <w:color w:val="auto"/>
                <w:w w:val="92"/>
              </w:rPr>
              <w:t>part of publicly</w:t>
            </w: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59"/>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7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announced plans</w:t>
            </w: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purchased</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paid per share (a)</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or programs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35"/>
        </w:trPr>
        <w:tc>
          <w:tcPr>
            <w:tcW w:w="43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2021 through July 31,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August 1, 2021 through August 31,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4,159,500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4,159,500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through September 30,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4,010,700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7"/>
                <w:szCs w:val="17"/>
                <w:color w:val="auto"/>
              </w:rPr>
              <w:t>Total — July 1, 2021 through September 30,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12,886,200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12,886,200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305"/>
        </w:trPr>
        <w:tc>
          <w:tcPr>
            <w:tcW w:w="4320" w:type="dxa"/>
            <w:vAlign w:val="bottom"/>
          </w:tcPr>
          <w:p>
            <w:pPr>
              <w:ind w:left="60"/>
              <w:spacing w:after="0"/>
              <w:rPr>
                <w:sz w:val="20"/>
                <w:szCs w:val="20"/>
                <w:color w:val="auto"/>
              </w:rPr>
            </w:pPr>
            <w:r>
              <w:rPr>
                <w:rFonts w:ascii="Arial" w:cs="Arial" w:eastAsia="Arial" w:hAnsi="Arial"/>
                <w:sz w:val="18"/>
                <w:szCs w:val="18"/>
                <w:color w:val="auto"/>
              </w:rPr>
              <w:t>_____________</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3" w:lineRule="exact"/>
        <w:rPr>
          <w:rFonts w:ascii="Arial" w:cs="Arial" w:eastAsia="Arial" w:hAnsi="Arial"/>
          <w:sz w:val="18"/>
          <w:szCs w:val="18"/>
          <w:color w:val="auto"/>
        </w:rPr>
      </w:pPr>
    </w:p>
    <w:p>
      <w:pPr>
        <w:ind w:left="480" w:hanging="474"/>
        <w:spacing w:after="0" w:line="294" w:lineRule="auto"/>
        <w:tabs>
          <w:tab w:leader="none" w:pos="474" w:val="left"/>
        </w:tabs>
        <w:numPr>
          <w:ilvl w:val="0"/>
          <w:numId w:val="84"/>
        </w:numPr>
        <w:rPr>
          <w:rFonts w:ascii="Arial" w:cs="Arial" w:eastAsia="Arial" w:hAnsi="Arial"/>
          <w:sz w:val="17"/>
          <w:szCs w:val="17"/>
          <w:color w:val="auto"/>
        </w:rPr>
      </w:pPr>
      <w:r>
        <w:rPr>
          <w:rFonts w:ascii="Arial" w:cs="Arial" w:eastAsia="Arial" w:hAnsi="Arial"/>
          <w:sz w:val="17"/>
          <w:szCs w:val="17"/>
          <w:color w:val="auto"/>
        </w:rPr>
        <w:t>At September 30, 2021, the remaining amount authorized for share repurchases during the remainder of 2021 was $378.7 million. For information regarding our share repurchase authorization for 2022 and 2023, see note 12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18" w:lineRule="exact"/>
        <w:rPr>
          <w:sz w:val="20"/>
          <w:szCs w:val="20"/>
          <w:color w:val="auto"/>
        </w:rPr>
      </w:pPr>
    </w:p>
    <w:p>
      <w:pPr>
        <w:jc w:val="both"/>
        <w:ind w:left="1340" w:right="1400" w:hanging="935"/>
        <w:spacing w:after="0" w:line="219"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08">
        <w:r>
          <w:rPr>
            <w:rFonts w:ascii="Arial" w:cs="Arial" w:eastAsia="Arial" w:hAnsi="Arial"/>
            <w:sz w:val="18"/>
            <w:szCs w:val="18"/>
            <w:u w:val="single" w:color="auto"/>
            <w:color w:val="0000FF"/>
          </w:rPr>
          <w:t>Sale and Purchase Agreement, dated as of September 22, 2021, by and among Liberty Global, plc, UPC Poland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Holding B.V., P4 sp. z o.o. and Iliad S.A.* (incorporated by reference to Exhibit 2.1 to the Registrant’s Current Report</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on Form 8-K filed September 23, 2021 (File No. 001-35961)).***</w:t>
        </w:r>
      </w:hyperlink>
    </w:p>
    <w:p>
      <w:pPr>
        <w:spacing w:after="0" w:line="56"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31 — Rule 13a-14(a)/15d-14(a) Certification:</w:t>
      </w:r>
    </w:p>
    <w:p>
      <w:pPr>
        <w:spacing w:after="0" w:line="49"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320" w:type="dxa"/>
            <w:vAlign w:val="bottom"/>
          </w:tcPr>
          <w:p>
            <w:pPr>
              <w:ind w:left="340"/>
              <w:spacing w:after="0"/>
              <w:rPr>
                <w:sz w:val="20"/>
                <w:szCs w:val="20"/>
                <w:color w:val="auto"/>
              </w:rPr>
            </w:pPr>
            <w:r>
              <w:rPr>
                <w:rFonts w:ascii="Arial" w:cs="Arial" w:eastAsia="Arial" w:hAnsi="Arial"/>
                <w:sz w:val="18"/>
                <w:szCs w:val="18"/>
                <w:color w:val="auto"/>
              </w:rPr>
              <w:t>31.1</w:t>
            </w:r>
          </w:p>
        </w:tc>
        <w:tc>
          <w:tcPr>
            <w:tcW w:w="3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94">
              <w:r>
                <w:rPr>
                  <w:rFonts w:ascii="Arial" w:cs="Arial" w:eastAsia="Arial" w:hAnsi="Arial"/>
                  <w:sz w:val="18"/>
                  <w:szCs w:val="18"/>
                  <w:color w:val="0000FF"/>
                  <w:w w:val="91"/>
                </w:rPr>
                <w:t>Certification of President and Chief Executive Officer*</w:t>
              </w:r>
            </w:hyperlink>
          </w:p>
        </w:tc>
        <w:tc>
          <w:tcPr>
            <w:tcW w:w="1060" w:type="dxa"/>
            <w:vAlign w:val="bottom"/>
          </w:tcPr>
          <w:p>
            <w:pPr>
              <w:spacing w:after="0"/>
              <w:rPr>
                <w:sz w:val="17"/>
                <w:szCs w:val="17"/>
                <w:color w:val="auto"/>
              </w:rPr>
            </w:pPr>
          </w:p>
        </w:tc>
      </w:tr>
      <w:tr>
        <w:trPr>
          <w:trHeight w:val="258"/>
        </w:trPr>
        <w:tc>
          <w:tcPr>
            <w:tcW w:w="1320" w:type="dxa"/>
            <w:vAlign w:val="bottom"/>
          </w:tcPr>
          <w:p>
            <w:pPr>
              <w:ind w:left="340"/>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Certification of Executive Vice President and Chief Financial Officer*</w:t>
              </w:r>
            </w:hyperlink>
          </w:p>
        </w:tc>
      </w:tr>
      <w:tr>
        <w:trPr>
          <w:trHeight w:val="258"/>
        </w:trPr>
        <w:tc>
          <w:tcPr>
            <w:tcW w:w="6300" w:type="dxa"/>
            <w:vAlign w:val="bottom"/>
            <w:gridSpan w:val="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32 — Section 1350 Certification**</w:t>
              </w:r>
            </w:hyperlink>
          </w:p>
        </w:tc>
      </w:tr>
      <w:tr>
        <w:trPr>
          <w:trHeight w:val="20"/>
        </w:trPr>
        <w:tc>
          <w:tcPr>
            <w:tcW w:w="1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8"/>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4980" w:type="dxa"/>
            <w:vAlign w:val="bottom"/>
            <w:gridSpan w:val="3"/>
          </w:tcPr>
          <w:p>
            <w:pPr>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78"/>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8"/>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8"/>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4980" w:type="dxa"/>
            <w:vAlign w:val="bottom"/>
            <w:gridSpan w:val="3"/>
          </w:tcPr>
          <w:p>
            <w:pPr>
              <w:spacing w:after="0"/>
              <w:rPr>
                <w:sz w:val="20"/>
                <w:szCs w:val="20"/>
                <w:color w:val="auto"/>
              </w:rPr>
            </w:pPr>
            <w:r>
              <w:rPr>
                <w:rFonts w:ascii="Arial" w:cs="Arial" w:eastAsia="Arial" w:hAnsi="Arial"/>
                <w:sz w:val="18"/>
                <w:szCs w:val="18"/>
                <w:color w:val="auto"/>
                <w:w w:val="90"/>
              </w:rPr>
              <w:t>Inline XBRL Taxonomy Extension Presentation Linkbase Document*</w:t>
            </w:r>
          </w:p>
        </w:tc>
      </w:tr>
    </w:tbl>
    <w:p>
      <w:pPr>
        <w:spacing w:after="0" w:line="55" w:lineRule="exact"/>
        <w:rPr>
          <w:sz w:val="20"/>
          <w:szCs w:val="20"/>
          <w:color w:val="auto"/>
        </w:rPr>
      </w:pPr>
    </w:p>
    <w:p>
      <w:pPr>
        <w:ind w:left="1340" w:hanging="1316"/>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363" w:lineRule="exact"/>
        <w:rPr>
          <w:sz w:val="20"/>
          <w:szCs w:val="20"/>
          <w:color w:val="auto"/>
        </w:rPr>
      </w:pPr>
    </w:p>
    <w:p>
      <w:pPr>
        <w:ind w:left="680" w:hanging="65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 w:lineRule="exact"/>
        <w:rPr>
          <w:sz w:val="20"/>
          <w:szCs w:val="20"/>
          <w:color w:val="auto"/>
        </w:rPr>
      </w:pPr>
    </w:p>
    <w:p>
      <w:pPr>
        <w:ind w:left="680" w:hanging="656"/>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8" w:lineRule="exact"/>
        <w:rPr>
          <w:rFonts w:ascii="Arial" w:cs="Arial" w:eastAsia="Arial" w:hAnsi="Arial"/>
          <w:sz w:val="18"/>
          <w:szCs w:val="18"/>
          <w:color w:val="auto"/>
        </w:rPr>
      </w:pPr>
    </w:p>
    <w:p>
      <w:pPr>
        <w:ind w:left="680" w:hanging="656"/>
        <w:spacing w:after="0" w:line="229"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Schedules and similar attachments to the agreement have been omitted pursuant to Item 601(a)(5) of Regulation S-K but will be provided to the U.S.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LIBERTY GLOBAL PLC</w:t>
      </w:r>
    </w:p>
    <w:p>
      <w:pPr>
        <w:spacing w:after="0" w:line="283" w:lineRule="exact"/>
        <w:rPr>
          <w:sz w:val="20"/>
          <w:szCs w:val="20"/>
          <w:color w:val="auto"/>
        </w:rPr>
      </w:pPr>
    </w:p>
    <w:p>
      <w:pPr>
        <w:ind w:left="240"/>
        <w:spacing w:after="0"/>
        <w:tabs>
          <w:tab w:leader="none" w:pos="6900" w:val="left"/>
          <w:tab w:leader="none" w:pos="7240" w:val="left"/>
        </w:tabs>
        <w:rPr>
          <w:sz w:val="20"/>
          <w:szCs w:val="20"/>
          <w:color w:val="auto"/>
        </w:rPr>
      </w:pPr>
      <w:r>
        <w:rPr>
          <w:rFonts w:ascii="Arial" w:cs="Arial" w:eastAsia="Arial" w:hAnsi="Arial"/>
          <w:sz w:val="18"/>
          <w:szCs w:val="18"/>
          <w:color w:val="auto"/>
        </w:rPr>
        <w:t>Dated: November 3,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19685</wp:posOffset>
            </wp:positionV>
            <wp:extent cx="40303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Michael T. Fries</w:t>
      </w:r>
    </w:p>
    <w:p>
      <w:pPr>
        <w:jc w:val="center"/>
        <w:ind w:left="4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83" w:lineRule="exact"/>
        <w:rPr>
          <w:sz w:val="20"/>
          <w:szCs w:val="20"/>
          <w:color w:val="auto"/>
        </w:rPr>
      </w:pPr>
    </w:p>
    <w:p>
      <w:pPr>
        <w:ind w:left="240"/>
        <w:spacing w:after="0"/>
        <w:tabs>
          <w:tab w:leader="none" w:pos="6660" w:val="left"/>
          <w:tab w:leader="none" w:pos="7000" w:val="left"/>
        </w:tabs>
        <w:rPr>
          <w:sz w:val="20"/>
          <w:szCs w:val="20"/>
          <w:color w:val="auto"/>
        </w:rPr>
      </w:pPr>
      <w:r>
        <w:rPr>
          <w:rFonts w:ascii="Arial" w:cs="Arial" w:eastAsia="Arial" w:hAnsi="Arial"/>
          <w:sz w:val="18"/>
          <w:szCs w:val="18"/>
          <w:color w:val="auto"/>
        </w:rPr>
        <w:t>Dated: November 3,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19685</wp:posOffset>
            </wp:positionV>
            <wp:extent cx="40303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Charles H.R. Bracken</w:t>
      </w:r>
    </w:p>
    <w:p>
      <w:pPr>
        <w:jc w:val="center"/>
        <w:ind w:left="4520"/>
        <w:spacing w:after="0" w:line="199" w:lineRule="auto"/>
        <w:rPr>
          <w:sz w:val="20"/>
          <w:szCs w:val="20"/>
          <w:color w:val="auto"/>
        </w:rPr>
      </w:pPr>
      <w:r>
        <w:rPr>
          <w:rFonts w:ascii="Arial" w:cs="Arial" w:eastAsia="Arial" w:hAnsi="Arial"/>
          <w:sz w:val="18"/>
          <w:szCs w:val="18"/>
          <w:i w:val="1"/>
          <w:iCs w:val="1"/>
          <w:color w:val="auto"/>
        </w:rPr>
        <w:t>Executive Vice President and Chief</w:t>
      </w:r>
    </w:p>
    <w:p>
      <w:pPr>
        <w:spacing w:after="0" w:line="1" w:lineRule="exact"/>
        <w:rPr>
          <w:sz w:val="20"/>
          <w:szCs w:val="20"/>
          <w:color w:val="auto"/>
        </w:rPr>
      </w:pPr>
    </w:p>
    <w:p>
      <w:pPr>
        <w:jc w:val="center"/>
        <w:ind w:left="452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39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85" w:lineRule="exact"/>
        <w:rPr>
          <w:sz w:val="20"/>
          <w:szCs w:val="20"/>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3, 2021</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5"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17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Quarterly Report on Form 10-Q for the period ended September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2021 and December 31, 2020, and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80"/>
        <w:spacing w:after="0"/>
        <w:tabs>
          <w:tab w:leader="none" w:pos="6200" w:val="left"/>
        </w:tabs>
        <w:rPr>
          <w:sz w:val="20"/>
          <w:szCs w:val="20"/>
          <w:color w:val="auto"/>
        </w:rPr>
      </w:pPr>
      <w:r>
        <w:rPr>
          <w:rFonts w:ascii="Arial" w:cs="Arial" w:eastAsia="Arial" w:hAnsi="Arial"/>
          <w:sz w:val="18"/>
          <w:szCs w:val="18"/>
          <w:color w:val="auto"/>
        </w:rPr>
        <w:t>Dated: November 3, 2021</w:t>
      </w:r>
      <w:r>
        <w:rPr>
          <w:sz w:val="20"/>
          <w:szCs w:val="20"/>
          <w:color w:val="auto"/>
        </w:rPr>
        <w:tab/>
      </w:r>
      <w:r>
        <w:rPr>
          <w:rFonts w:ascii="Arial" w:cs="Arial" w:eastAsia="Arial" w:hAnsi="Arial"/>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8" w:lineRule="exact"/>
        <w:rPr>
          <w:sz w:val="20"/>
          <w:szCs w:val="20"/>
          <w:color w:val="auto"/>
        </w:rPr>
      </w:pPr>
    </w:p>
    <w:p>
      <w:pPr>
        <w:ind w:left="1980"/>
        <w:spacing w:after="0"/>
        <w:tabs>
          <w:tab w:leader="none" w:pos="6000" w:val="left"/>
        </w:tabs>
        <w:rPr>
          <w:sz w:val="20"/>
          <w:szCs w:val="20"/>
          <w:color w:val="auto"/>
        </w:rPr>
      </w:pPr>
      <w:r>
        <w:rPr>
          <w:rFonts w:ascii="Arial" w:cs="Arial" w:eastAsia="Arial" w:hAnsi="Arial"/>
          <w:sz w:val="18"/>
          <w:szCs w:val="18"/>
          <w:color w:val="auto"/>
        </w:rPr>
        <w:t>Dated: November 3, 2021</w:t>
      </w:r>
      <w:r>
        <w:rPr>
          <w:sz w:val="20"/>
          <w:szCs w:val="20"/>
          <w:color w:val="auto"/>
        </w:rPr>
        <w:tab/>
      </w:r>
      <w:r>
        <w:rPr>
          <w:rFonts w:ascii="Arial" w:cs="Arial" w:eastAsia="Arial" w:hAnsi="Arial"/>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Executive Vice President and Chief Financial Officer</w:t>
      </w:r>
    </w:p>
    <w:p>
      <w:pPr>
        <w:spacing w:after="0" w:line="336"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decimal"/>
      <w:start w:val="2"/>
    </w:lvl>
  </w:abstractNum>
  <w:abstractNum w:abstractNumId="4">
    <w:nsid w:val="38437FDB"/>
    <w:multiLevelType w:val="hybridMultilevel"/>
    <w:lvl w:ilvl="0">
      <w:lvlJc w:val="left"/>
      <w:lvlText w:val="(%1)"/>
      <w:numFmt w:val="decimal"/>
      <w:start w:val="3"/>
    </w:lvl>
  </w:abstractNum>
  <w:abstractNum w:abstractNumId="5">
    <w:nsid w:val="7644A45C"/>
    <w:multiLevelType w:val="hybridMultilevel"/>
    <w:lvl w:ilvl="0">
      <w:lvlJc w:val="left"/>
      <w:lvlText w:val="(%1)"/>
      <w:numFmt w:val="decimal"/>
      <w:start w:val="4"/>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1)"/>
      <w:numFmt w:val="lowerLetter"/>
      <w:start w:val="3"/>
    </w:lvl>
  </w:abstractNum>
  <w:abstractNum w:abstractNumId="9">
    <w:nsid w:val="749ABB43"/>
    <w:multiLevelType w:val="hybridMultilevel"/>
    <w:lvl w:ilvl="0">
      <w:lvlJc w:val="left"/>
      <w:lvlText w:val="(%1)"/>
      <w:numFmt w:val="lowerLetter"/>
      <w:start w:val="1"/>
    </w:lvl>
  </w:abstractNum>
  <w:abstractNum w:abstractNumId="10">
    <w:nsid w:val="3DC240FB"/>
    <w:multiLevelType w:val="hybridMultilevel"/>
    <w:lvl w:ilvl="0">
      <w:lvlJc w:val="left"/>
      <w:lvlText w:val="(%1)"/>
      <w:numFmt w:val="decimal"/>
      <w:start w:val="6"/>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1)"/>
      <w:numFmt w:val="lowerLetter"/>
      <w:start w:val="1"/>
    </w:lvl>
  </w:abstractNum>
  <w:abstractNum w:abstractNumId="13">
    <w:nsid w:val="75C6C33A"/>
    <w:multiLevelType w:val="hybridMultilevel"/>
    <w:lvl w:ilvl="0">
      <w:lvlJc w:val="left"/>
      <w:lvlText w:val="(%1)"/>
      <w:numFmt w:val="lowerLetter"/>
      <w:start w:val="1"/>
    </w:lvl>
  </w:abstractNum>
  <w:abstractNum w:abstractNumId="14">
    <w:nsid w:val="12E685FB"/>
    <w:multiLevelType w:val="hybridMultilevel"/>
    <w:lvl w:ilvl="0">
      <w:lvlJc w:val="left"/>
      <w:lvlText w:val="(%1)"/>
      <w:numFmt w:val="lowerLetter"/>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1)"/>
      <w:numFmt w:val="decimal"/>
      <w:start w:val="7"/>
    </w:lvl>
  </w:abstractNum>
  <w:abstractNum w:abstractNumId="17">
    <w:nsid w:val="374A3FE6"/>
    <w:multiLevelType w:val="hybridMultilevel"/>
    <w:lvl w:ilvl="0">
      <w:lvlJc w:val="left"/>
      <w:lvlText w:val="(%1)"/>
      <w:numFmt w:val="lowerLetter"/>
      <w:start w:val="1"/>
    </w:lvl>
  </w:abstractNum>
  <w:abstractNum w:abstractNumId="18">
    <w:nsid w:val="4F4EF005"/>
    <w:multiLevelType w:val="hybridMultilevel"/>
    <w:lvl w:ilvl="0">
      <w:lvlJc w:val="left"/>
      <w:lvlText w:val="(%1)"/>
      <w:numFmt w:val="decimal"/>
      <w:start w:val="9"/>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Letter"/>
      <w:start w:val="3"/>
    </w:lvl>
  </w:abstractNum>
  <w:abstractNum w:abstractNumId="21">
    <w:nsid w:val="275AC794"/>
    <w:multiLevelType w:val="hybridMultilevel"/>
    <w:lvl w:ilvl="0">
      <w:lvlJc w:val="left"/>
      <w:lvlText w:val="(%1)"/>
      <w:numFmt w:val="lowerLetter"/>
      <w:start w:val="8"/>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lowerLetter"/>
      <w:start w:val="3"/>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decimal"/>
      <w:start w:val="10"/>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decimal"/>
      <w:start w:val="11"/>
    </w:lvl>
  </w:abstractNum>
  <w:abstractNum w:abstractNumId="30">
    <w:nsid w:val="D34B6A8"/>
    <w:multiLevelType w:val="hybridMultilevel"/>
    <w:lvl w:ilvl="0">
      <w:lvlJc w:val="left"/>
      <w:lvlText w:val="(%1)"/>
      <w:numFmt w:val="lowerLetter"/>
      <w:start w:val="2"/>
    </w:lvl>
  </w:abstractNum>
  <w:abstractNum w:abstractNumId="31">
    <w:nsid w:val="10233C99"/>
    <w:multiLevelType w:val="hybridMultilevel"/>
    <w:lvl w:ilvl="0">
      <w:lvlJc w:val="left"/>
      <w:lvlText w:val="(%1)"/>
      <w:numFmt w:val="decimal"/>
      <w:start w:val="12"/>
    </w:lvl>
  </w:abstractNum>
  <w:abstractNum w:abstractNumId="32">
    <w:nsid w:val="3F6AB60F"/>
    <w:multiLevelType w:val="hybridMultilevel"/>
    <w:lvl w:ilvl="0">
      <w:lvlJc w:val="left"/>
      <w:lvlText w:val="(%1)"/>
      <w:numFmt w:val="decimal"/>
      <w:start w:val="13"/>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decimal"/>
      <w:start w:val="14"/>
    </w:lvl>
  </w:abstractNum>
  <w:abstractNum w:abstractNumId="37">
    <w:nsid w:val="310C50B3"/>
    <w:multiLevelType w:val="hybridMultilevel"/>
    <w:lvl w:ilvl="0">
      <w:lvlJc w:val="left"/>
      <w:lvlText w:val="(%1)"/>
      <w:numFmt w:val="decimal"/>
      <w:start w:val="15"/>
    </w:lvl>
  </w:abstractNum>
  <w:abstractNum w:abstractNumId="38">
    <w:nsid w:val="5FF87E05"/>
    <w:multiLevelType w:val="hybridMultilevel"/>
    <w:lvl w:ilvl="0">
      <w:lvlJc w:val="left"/>
      <w:lvlText w:val="(%1)"/>
      <w:numFmt w:val="decimal"/>
      <w:start w:val="16"/>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1)"/>
      <w:numFmt w:val="lowerLetter"/>
      <w:start w:val="1"/>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5"/>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lowerLetter"/>
      <w:start w:val="1"/>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lowerLetter"/>
      <w:start w:val="5"/>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lvl w:ilvl="1">
      <w:lvlJc w:val="left"/>
      <w:lvlText w:val="(%2)"/>
      <w:numFmt w:val="decimal"/>
      <w:start w:val="1"/>
    </w:lvl>
  </w:abstractNum>
  <w:abstractNum w:abstractNumId="71">
    <w:nsid w:val="60B6DF70"/>
    <w:multiLevelType w:val="hybridMultilevel"/>
    <w:lvl w:ilvl="0">
      <w:lvlJc w:val="left"/>
      <w:lvlText w:val="(%1)"/>
      <w:numFmt w:val="lowerLetter"/>
      <w:start w:val="2"/>
    </w:lvl>
    <w:lvl w:ilvl="1">
      <w:lvlJc w:val="left"/>
      <w:lvlText w:val="%2"/>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lowerRoman"/>
      <w:start w:val="2"/>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Roman"/>
      <w:start w:val="3"/>
    </w:lvl>
  </w:abstractNum>
  <w:abstractNum w:abstractNumId="76">
    <w:nsid w:val="71EA1109"/>
    <w:multiLevelType w:val="hybridMultilevel"/>
    <w:lvl w:ilvl="0">
      <w:lvlJc w:val="left"/>
      <w:lvlText w:val="(%1)"/>
      <w:numFmt w:val="lowerRoman"/>
      <w:start w:val="1"/>
    </w:lvl>
  </w:abstractNum>
  <w:abstractNum w:abstractNumId="77">
    <w:nsid w:val="100F59DC"/>
    <w:multiLevelType w:val="hybridMultilevel"/>
    <w:lvl w:ilvl="0">
      <w:lvlJc w:val="left"/>
      <w:lvlText w:val="(%1)"/>
      <w:numFmt w:val="lowerRoman"/>
      <w:start w:val="6"/>
    </w:lvl>
  </w:abstractNum>
  <w:abstractNum w:abstractNumId="78">
    <w:nsid w:val="7FB7E0AA"/>
    <w:multiLevelType w:val="hybridMultilevel"/>
    <w:lvl w:ilvl="0">
      <w:lvlJc w:val="left"/>
      <w:lvlText w:val="(%1)"/>
      <w:numFmt w:val="lowerRoman"/>
      <w:start w:val="2"/>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Roman"/>
      <w:start w:val="1"/>
    </w:lvl>
  </w:abstractNum>
  <w:abstractNum w:abstractNumId="81">
    <w:nsid w:val="94211F2"/>
    <w:multiLevelType w:val="hybridMultilevel"/>
    <w:lvl w:ilvl="0">
      <w:lvlJc w:val="left"/>
      <w:lvlText w:val="(%1)"/>
      <w:numFmt w:val="lowerRoman"/>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104"/>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08" Type="http://schemas.openxmlformats.org/officeDocument/2006/relationships/hyperlink" Target="https://www.sec.gov/Archives/edgar/data/1570585/000157058521000311/ex21saleofupcpolandspa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2021-11-03T15:34:40Z</dcterms:created>
  <dcterms:modified xsi:type="dcterms:W3CDTF">2021-11-03T15:34:40Z</dcterms:modified>
</cp:coreProperties>
</file>