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45"/>
        <w:gridCol w:w="1530"/>
        <w:gridCol w:w="1530"/>
        <w:gridCol w:w="1545"/>
        <w:gridCol w:w="1530"/>
        <w:gridCol w:w="2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100" w:after="283"/>
              <w:jc w:val="right"/>
              <w:rPr>
                <w:rFonts w:ascii="Times New Roman;sans-serif" w:hAnsi="Times New Roman;sans-serif"/>
                <w:b/>
                <w:color w:val="000000"/>
                <w:sz w:val="18"/>
              </w:rPr>
            </w:pPr>
            <w:r>
              <w:rPr>
                <w:rFonts w:ascii="Times New Roman;sans-serif" w:hAnsi="Times New Roman;sans-serif"/>
                <w:b/>
                <w:color w:val="000000"/>
                <w:sz w:val="18"/>
              </w:rPr>
              <w:t>For the quarterly period ended</w:t>
            </w:r>
          </w:p>
        </w:tc>
        <w:tc>
          <w:tcPr>
            <w:tcW w:w="5258"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0"/>
        <w:gridCol w:w="2858"/>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001-35961 </w:t>
      </w:r>
    </w:p>
    <w:p>
      <w:pPr>
        <w:pStyle w:val="TextBody"/>
        <w:bidi w:val="0"/>
        <w:spacing w:before="60" w:after="283"/>
        <w:jc w:val="center"/>
        <w:rPr/>
      </w:pPr>
      <w:r>
        <w:rPr/>
        <w:drawing>
          <wp:inline distT="0" distB="0" distL="0" distR="0">
            <wp:extent cx="771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771525"/>
                    </a:xfrm>
                    <a:prstGeom prst="rect">
                      <a:avLst/>
                    </a:prstGeom>
                  </pic:spPr>
                </pic:pic>
              </a:graphicData>
            </a:graphic>
          </wp:inline>
        </w:drawing>
      </w:r>
    </w:p>
    <w:p>
      <w:pPr>
        <w:pStyle w:val="TextBody"/>
        <w:bidi w:val="0"/>
        <w:spacing w:lineRule="auto" w:line="288" w:before="40" w:after="283"/>
        <w:jc w:val="center"/>
        <w:rPr/>
      </w:pPr>
      <w:r>
        <w:rPr>
          <w:rFonts w:ascii="Times New Roman;sans-serif" w:hAnsi="Times New Roman;sans-serif"/>
          <w:b/>
          <w:color w:val="000000"/>
          <w:sz w:val="28"/>
        </w:rPr>
        <w:t>Liberty Global Ltd.</w:t>
      </w:r>
      <w:r>
        <w:rPr>
          <w:color w:val="000000"/>
        </w:rPr>
        <w:t xml:space="preserve"> </w:t>
      </w:r>
    </w:p>
    <w:p>
      <w:pPr>
        <w:pStyle w:val="TextBody"/>
        <w:bidi w:val="0"/>
        <w:spacing w:lineRule="auto" w:line="288" w:before="4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3612" w:type="dxa"/>
        <w:jc w:val="center"/>
        <w:tblInd w:w="0" w:type="dxa"/>
        <w:tblLayout w:type="fixed"/>
        <w:tblCellMar>
          <w:top w:w="28" w:type="dxa"/>
          <w:left w:w="28" w:type="dxa"/>
          <w:bottom w:w="28" w:type="dxa"/>
          <w:right w:w="28" w:type="dxa"/>
        </w:tblCellMar>
      </w:tblPr>
      <w:tblGrid>
        <w:gridCol w:w="726"/>
        <w:gridCol w:w="638"/>
        <w:gridCol w:w="646"/>
        <w:gridCol w:w="109"/>
        <w:gridCol w:w="109"/>
        <w:gridCol w:w="109"/>
        <w:gridCol w:w="373"/>
        <w:gridCol w:w="373"/>
        <w:gridCol w:w="52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98-1750381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(I.R.S. Employer</w:t>
              <w:br/>
              <w:t>Identification No.)</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Clarendon House, 2 Church Street, Hamilton HM 11, Bermuda</w:t>
      </w:r>
    </w:p>
    <w:p>
      <w:pPr>
        <w:pStyle w:val="TextBody"/>
        <w:bidi w:val="0"/>
        <w:spacing w:lineRule="auto" w:line="288" w:before="10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+1.303.220.6600</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120" w:after="120"/>
        <w:jc w:val="center"/>
        <w:rPr/>
      </w:pPr>
      <w:r>
        <w:rPr/>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00" w:after="283"/>
        <w:jc w:val="left"/>
        <w:rPr/>
      </w:pPr>
      <w:r>
        <w:rPr/>
      </w:r>
    </w:p>
    <w:p>
      <w:pPr>
        <w:pStyle w:val="TextBody"/>
        <w:bidi w:val="0"/>
        <w:spacing w:lineRule="auto" w:line="288" w:before="100" w:after="283"/>
        <w:jc w:val="center"/>
        <w:rPr/>
      </w:pP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 xml:space="preserve">Accelerated Filer </w:t>
      </w:r>
      <w:r>
        <w:rPr>
          <w:color w:val="000000"/>
        </w:rPr>
        <w:t>☐  </w:t>
      </w:r>
      <w:r>
        <w:rPr>
          <w:rFonts w:ascii="Times New Roman;sans-serif" w:hAnsi="Times New Roman;sans-serif"/>
          <w:b w:val="false"/>
          <w:color w:val="000000"/>
          <w:sz w:val="18"/>
        </w:rPr>
        <w:t>Non-Accelerated Filer </w:t>
      </w:r>
      <w:r>
        <w:rPr>
          <w:color w:val="000000"/>
        </w:rPr>
        <w:t>☐  </w:t>
      </w:r>
    </w:p>
    <w:p>
      <w:pPr>
        <w:pStyle w:val="TextBody"/>
        <w:bidi w:val="0"/>
        <w:spacing w:lineRule="auto" w:line="288" w:before="100" w:after="283"/>
        <w:jc w:val="center"/>
        <w:rPr/>
      </w:pP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Emerging Growth Company  </w:t>
      </w:r>
      <w:r>
        <w:rPr>
          <w:color w:val="000000"/>
        </w:rPr>
        <w:t xml:space="preserve">☐ </w:t>
      </w:r>
    </w:p>
    <w:p>
      <w:pPr>
        <w:pStyle w:val="TextBody"/>
        <w:bidi w:val="0"/>
        <w:spacing w:before="100" w:after="283"/>
        <w:jc w:val="center"/>
        <w:rPr/>
      </w:pPr>
      <w:r>
        <w:rPr/>
      </w:r>
    </w:p>
    <w:p>
      <w:pPr>
        <w:pStyle w:val="TextBody"/>
        <w:bidi w:val="0"/>
        <w:spacing w:lineRule="auto" w:line="288" w:before="100" w:after="283"/>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The number of outstanding common shares of Liberty Global Ltd. as of April 22, 2024</w:t>
      </w:r>
      <w:r>
        <w:rPr>
          <w:color w:val="000000"/>
        </w:rPr>
        <w:t xml:space="preserve"> </w:t>
      </w:r>
      <w:r>
        <w:rPr>
          <w:rFonts w:ascii="Times New Roman;sans-serif" w:hAnsi="Times New Roman;sans-serif"/>
          <w:b w:val="false"/>
          <w:color w:val="000000"/>
          <w:sz w:val="18"/>
        </w:rPr>
        <w:t>was: 172,161,088 class A common shares, 12,988,658</w:t>
      </w:r>
      <w:r>
        <w:rPr>
          <w:color w:val="000000"/>
        </w:rPr>
        <w:t xml:space="preserve"> </w:t>
      </w:r>
      <w:r>
        <w:rPr>
          <w:rFonts w:ascii="Times New Roman;sans-serif" w:hAnsi="Times New Roman;sans-serif"/>
          <w:b w:val="false"/>
          <w:color w:val="000000"/>
          <w:sz w:val="18"/>
        </w:rPr>
        <w:t>class B common shares and 187,571,790 class C common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9"/>
        <w:gridCol w:w="242"/>
        <w:gridCol w:w="2887"/>
        <w:gridCol w:w="2881"/>
        <w:gridCol w:w="2886"/>
        <w:gridCol w:w="233"/>
        <w:gridCol w:w="233"/>
        <w:gridCol w:w="33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10">
              <w:r>
                <w:rPr>
                  <w:rStyle w:val="InternetLink"/>
                  <w:rFonts w:ascii="Times New Roman;sans-serif" w:hAnsi="Times New Roman;sans-serif"/>
                  <w:b w:val="false"/>
                  <w:color w:val="000080"/>
                  <w:sz w:val="20"/>
                  <w:u w:val="single"/>
                </w:rPr>
                <w:t xml:space="preserve">Condensed Consolidated Balance Sheets as of </w:t>
              </w:r>
            </w:hyperlink>
            <w:hyperlink w:anchor="ia0e98e379dfb4c6e8555637f0f10ebdf_10">
              <w:r>
                <w:rPr>
                  <w:rStyle w:val="InternetLink"/>
                  <w:rFonts w:ascii="Times New Roman;sans-serif" w:hAnsi="Times New Roman;sans-serif"/>
                  <w:b w:val="false"/>
                  <w:color w:val="000080"/>
                  <w:sz w:val="20"/>
                  <w:u w:val="single"/>
                </w:rPr>
                <w:t>Ma</w:t>
              </w:r>
            </w:hyperlink>
            <w:hyperlink w:anchor="ia0e98e379dfb4c6e8555637f0f10ebdf_10">
              <w:r>
                <w:rPr>
                  <w:rStyle w:val="InternetLink"/>
                  <w:rFonts w:ascii="Times New Roman;sans-serif" w:hAnsi="Times New Roman;sans-serif"/>
                  <w:b w:val="false"/>
                  <w:color w:val="000080"/>
                  <w:sz w:val="20"/>
                  <w:u w:val="single"/>
                </w:rPr>
                <w:t>r</w:t>
              </w:r>
            </w:hyperlink>
            <w:hyperlink w:anchor="ia0e98e379dfb4c6e8555637f0f10ebdf_10">
              <w:r>
                <w:rPr>
                  <w:rStyle w:val="InternetLink"/>
                  <w:rFonts w:ascii="Times New Roman;sans-serif" w:hAnsi="Times New Roman;sans-serif"/>
                  <w:b w:val="false"/>
                  <w:color w:val="000080"/>
                  <w:sz w:val="20"/>
                  <w:u w:val="single"/>
                </w:rPr>
                <w:t>ch</w:t>
              </w:r>
            </w:hyperlink>
            <w:hyperlink w:anchor="ia0e98e379dfb4c6e8555637f0f10ebdf_10">
              <w:r>
                <w:rPr>
                  <w:rStyle w:val="InternetLink"/>
                  <w:rFonts w:ascii="Times New Roman;sans-serif" w:hAnsi="Times New Roman;sans-serif"/>
                  <w:b w:val="false"/>
                  <w:color w:val="000080"/>
                  <w:sz w:val="20"/>
                  <w:u w:val="single"/>
                </w:rPr>
                <w:t xml:space="preserve"> 3</w:t>
              </w:r>
            </w:hyperlink>
            <w:hyperlink w:anchor="ia0e98e379dfb4c6e8555637f0f10ebdf_10">
              <w:r>
                <w:rPr>
                  <w:rStyle w:val="InternetLink"/>
                  <w:rFonts w:ascii="Times New Roman;sans-serif" w:hAnsi="Times New Roman;sans-serif"/>
                  <w:b w:val="false"/>
                  <w:color w:val="000080"/>
                  <w:sz w:val="20"/>
                  <w:u w:val="single"/>
                </w:rPr>
                <w:t>1</w:t>
              </w:r>
            </w:hyperlink>
            <w:hyperlink w:anchor="ia0e98e379dfb4c6e8555637f0f10ebdf_10">
              <w:r>
                <w:rPr>
                  <w:rStyle w:val="InternetLink"/>
                  <w:rFonts w:ascii="Times New Roman;sans-serif" w:hAnsi="Times New Roman;sans-serif"/>
                  <w:b w:val="false"/>
                  <w:color w:val="000080"/>
                  <w:sz w:val="20"/>
                  <w:u w:val="single"/>
                </w:rPr>
                <w:t>, 202</w:t>
              </w:r>
            </w:hyperlink>
            <w:hyperlink w:anchor="ia0e98e379dfb4c6e8555637f0f10ebdf_10">
              <w:r>
                <w:rPr>
                  <w:rStyle w:val="InternetLink"/>
                  <w:rFonts w:ascii="Times New Roman;sans-serif" w:hAnsi="Times New Roman;sans-serif"/>
                  <w:b w:val="false"/>
                  <w:color w:val="000080"/>
                  <w:sz w:val="20"/>
                  <w:u w:val="single"/>
                </w:rPr>
                <w:t>4</w:t>
              </w:r>
            </w:hyperlink>
            <w:hyperlink w:anchor="ia0e98e379dfb4c6e8555637f0f10ebdf_10">
              <w:r>
                <w:rPr>
                  <w:rStyle w:val="InternetLink"/>
                  <w:rFonts w:ascii="Times New Roman;sans-serif" w:hAnsi="Times New Roman;sans-serif"/>
                  <w:b w:val="false"/>
                  <w:color w:val="000080"/>
                  <w:sz w:val="20"/>
                  <w:u w:val="single"/>
                </w:rPr>
                <w:t xml:space="preserve"> and December 31, 202</w:t>
              </w:r>
            </w:hyperlink>
            <w:hyperlink w:anchor="ia0e98e379dfb4c6e8555637f0f10ebdf_10">
              <w:r>
                <w:rPr>
                  <w:rStyle w:val="InternetLink"/>
                  <w:rFonts w:ascii="Times New Roman;sans-serif" w:hAnsi="Times New Roman;sans-serif"/>
                  <w:b w:val="false"/>
                  <w:color w:val="000080"/>
                  <w:sz w:val="20"/>
                  <w:u w:val="single"/>
                </w:rPr>
                <w:t>3</w:t>
              </w:r>
            </w:hyperlink>
            <w:hyperlink w:anchor="ia0e98e379dfb4c6e8555637f0f10ebdf_10">
              <w:r>
                <w:rPr>
                  <w:rStyle w:val="InternetLink"/>
                  <w:rFonts w:ascii="Times New Roman;sans-serif" w:hAnsi="Times New Roman;sans-serif"/>
                  <w:b w:val="false"/>
                  <w:color w:val="000080"/>
                  <w:sz w:val="20"/>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10">
              <w:r>
                <w:rPr>
                  <w:rStyle w:val="InternetLink"/>
                  <w:rFonts w:ascii="Times New Roman;sans-serif" w:hAnsi="Times New Roman;sans-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13">
              <w:r>
                <w:rPr>
                  <w:rStyle w:val="InternetLink"/>
                  <w:rFonts w:ascii="Times New Roman;sans-serif" w:hAnsi="Times New Roman;sans-serif"/>
                  <w:b w:val="false"/>
                  <w:color w:val="000080"/>
                  <w:sz w:val="20"/>
                  <w:u w:val="single"/>
                </w:rPr>
                <w:t>Condensed Consolidated Statements of Operations for the Three</w:t>
              </w:r>
            </w:hyperlink>
            <w:hyperlink w:anchor="ia0e98e379dfb4c6e8555637f0f10ebdf_13">
              <w:r>
                <w:rPr>
                  <w:rStyle w:val="InternetLink"/>
                  <w:rFonts w:ascii="Times New Roman;sans-serif" w:hAnsi="Times New Roman;sans-serif"/>
                  <w:b w:val="false"/>
                  <w:color w:val="000080"/>
                  <w:sz w:val="20"/>
                  <w:u w:val="single"/>
                </w:rPr>
                <w:t xml:space="preserve"> </w:t>
              </w:r>
            </w:hyperlink>
            <w:hyperlink w:anchor="ia0e98e379dfb4c6e8555637f0f10ebdf_13">
              <w:r>
                <w:rPr>
                  <w:rStyle w:val="InternetLink"/>
                  <w:rFonts w:ascii="Times New Roman;sans-serif" w:hAnsi="Times New Roman;sans-serif"/>
                  <w:b w:val="false"/>
                  <w:color w:val="000080"/>
                  <w:sz w:val="20"/>
                  <w:u w:val="single"/>
                </w:rPr>
                <w:t xml:space="preserve">Months Ended </w:t>
              </w:r>
            </w:hyperlink>
            <w:hyperlink w:anchor="ia0e98e379dfb4c6e8555637f0f10ebdf_13">
              <w:r>
                <w:rPr>
                  <w:rStyle w:val="InternetLink"/>
                  <w:rFonts w:ascii="Times New Roman;sans-serif" w:hAnsi="Times New Roman;sans-serif"/>
                  <w:b w:val="false"/>
                  <w:color w:val="000080"/>
                  <w:sz w:val="20"/>
                  <w:u w:val="single"/>
                </w:rPr>
                <w:t>March 31</w:t>
              </w:r>
            </w:hyperlink>
            <w:hyperlink w:anchor="ia0e98e379dfb4c6e8555637f0f10ebdf_13">
              <w:r>
                <w:rPr>
                  <w:rStyle w:val="InternetLink"/>
                  <w:rFonts w:ascii="Times New Roman;sans-serif" w:hAnsi="Times New Roman;sans-serif"/>
                  <w:b w:val="false"/>
                  <w:color w:val="000080"/>
                  <w:sz w:val="20"/>
                  <w:u w:val="single"/>
                </w:rPr>
                <w:t>, 202</w:t>
              </w:r>
            </w:hyperlink>
            <w:hyperlink w:anchor="ia0e98e379dfb4c6e8555637f0f10ebdf_13">
              <w:r>
                <w:rPr>
                  <w:rStyle w:val="InternetLink"/>
                  <w:rFonts w:ascii="Times New Roman;sans-serif" w:hAnsi="Times New Roman;sans-serif"/>
                  <w:b w:val="false"/>
                  <w:color w:val="000080"/>
                  <w:sz w:val="20"/>
                  <w:u w:val="single"/>
                </w:rPr>
                <w:t>4</w:t>
              </w:r>
            </w:hyperlink>
            <w:hyperlink w:anchor="ia0e98e379dfb4c6e8555637f0f10ebdf_13">
              <w:r>
                <w:rPr>
                  <w:rStyle w:val="InternetLink"/>
                  <w:rFonts w:ascii="Times New Roman;sans-serif" w:hAnsi="Times New Roman;sans-serif"/>
                  <w:b w:val="false"/>
                  <w:color w:val="000080"/>
                  <w:sz w:val="20"/>
                  <w:u w:val="single"/>
                </w:rPr>
                <w:t xml:space="preserve"> and 202</w:t>
              </w:r>
            </w:hyperlink>
            <w:hyperlink w:anchor="ia0e98e379dfb4c6e8555637f0f10ebdf_13">
              <w:r>
                <w:rPr>
                  <w:rStyle w:val="InternetLink"/>
                  <w:rFonts w:ascii="Times New Roman;sans-serif" w:hAnsi="Times New Roman;sans-serif"/>
                  <w:b w:val="false"/>
                  <w:color w:val="000080"/>
                  <w:sz w:val="20"/>
                  <w:u w:val="single"/>
                </w:rPr>
                <w:t>3</w:t>
              </w:r>
            </w:hyperlink>
            <w:hyperlink w:anchor="ia0e98e379dfb4c6e8555637f0f10ebdf_13">
              <w:r>
                <w:rPr>
                  <w:rStyle w:val="InternetLink"/>
                  <w:rFonts w:ascii="Times New Roman;sans-serif" w:hAnsi="Times New Roman;sans-serif"/>
                  <w:b w:val="false"/>
                  <w:color w:val="000080"/>
                  <w:sz w:val="20"/>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13">
              <w:r>
                <w:rPr>
                  <w:rStyle w:val="InternetLink"/>
                  <w:rFonts w:ascii="Times New Roman;sans-serif" w:hAnsi="Times New Roman;sans-serif"/>
                  <w:b w:val="false"/>
                  <w:color w:val="0000FF"/>
                  <w:sz w:val="20"/>
                  <w:u w:val="single"/>
                </w:rPr>
                <w:t>3</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19">
              <w:r>
                <w:rPr>
                  <w:rStyle w:val="InternetLink"/>
                  <w:rFonts w:ascii="Times New Roman;sans-serif" w:hAnsi="Times New Roman;sans-serif"/>
                  <w:b w:val="false"/>
                  <w:color w:val="000080"/>
                  <w:sz w:val="20"/>
                  <w:u w:val="single"/>
                </w:rPr>
                <w:t>Condensed Consolidated Statements of Comprehensive Loss for the Three</w:t>
              </w:r>
            </w:hyperlink>
            <w:hyperlink w:anchor="ia0e98e379dfb4c6e8555637f0f10ebdf_19">
              <w:r>
                <w:rPr>
                  <w:rStyle w:val="InternetLink"/>
                  <w:rFonts w:ascii="Times New Roman;sans-serif" w:hAnsi="Times New Roman;sans-serif"/>
                  <w:b w:val="false"/>
                  <w:color w:val="000080"/>
                  <w:sz w:val="20"/>
                  <w:u w:val="single"/>
                </w:rPr>
                <w:t xml:space="preserve"> Months Ended </w:t>
              </w:r>
            </w:hyperlink>
            <w:hyperlink w:anchor="ia0e98e379dfb4c6e8555637f0f10ebdf_19">
              <w:r>
                <w:rPr>
                  <w:rStyle w:val="InternetLink"/>
                  <w:rFonts w:ascii="Times New Roman;sans-serif" w:hAnsi="Times New Roman;sans-serif"/>
                  <w:b w:val="false"/>
                  <w:color w:val="000080"/>
                  <w:sz w:val="20"/>
                  <w:u w:val="single"/>
                </w:rPr>
                <w:t xml:space="preserve">March </w:t>
              </w:r>
            </w:hyperlink>
            <w:hyperlink w:anchor="ia0e98e379dfb4c6e8555637f0f10ebdf_19">
              <w:r>
                <w:rPr>
                  <w:rStyle w:val="InternetLink"/>
                  <w:rFonts w:ascii="Times New Roman;sans-serif" w:hAnsi="Times New Roman;sans-serif"/>
                  <w:b w:val="false"/>
                  <w:color w:val="000080"/>
                  <w:sz w:val="20"/>
                  <w:u w:val="single"/>
                </w:rPr>
                <w:t>3</w:t>
              </w:r>
            </w:hyperlink>
            <w:hyperlink w:anchor="ia0e98e379dfb4c6e8555637f0f10ebdf_19">
              <w:r>
                <w:rPr>
                  <w:rStyle w:val="InternetLink"/>
                  <w:rFonts w:ascii="Times New Roman;sans-serif" w:hAnsi="Times New Roman;sans-serif"/>
                  <w:b w:val="false"/>
                  <w:color w:val="000080"/>
                  <w:sz w:val="20"/>
                  <w:u w:val="single"/>
                </w:rPr>
                <w:t>1</w:t>
              </w:r>
            </w:hyperlink>
            <w:hyperlink w:anchor="ia0e98e379dfb4c6e8555637f0f10ebdf_19">
              <w:r>
                <w:rPr>
                  <w:rStyle w:val="InternetLink"/>
                  <w:rFonts w:ascii="Times New Roman;sans-serif" w:hAnsi="Times New Roman;sans-serif"/>
                  <w:b w:val="false"/>
                  <w:color w:val="000080"/>
                  <w:sz w:val="20"/>
                  <w:u w:val="single"/>
                </w:rPr>
                <w:t>, 202</w:t>
              </w:r>
            </w:hyperlink>
            <w:hyperlink w:anchor="ia0e98e379dfb4c6e8555637f0f10ebdf_19">
              <w:r>
                <w:rPr>
                  <w:rStyle w:val="InternetLink"/>
                  <w:rFonts w:ascii="Times New Roman;sans-serif" w:hAnsi="Times New Roman;sans-serif"/>
                  <w:b w:val="false"/>
                  <w:color w:val="000080"/>
                  <w:sz w:val="20"/>
                  <w:u w:val="single"/>
                </w:rPr>
                <w:t>4</w:t>
              </w:r>
            </w:hyperlink>
            <w:hyperlink w:anchor="ia0e98e379dfb4c6e8555637f0f10ebdf_19">
              <w:r>
                <w:rPr>
                  <w:rStyle w:val="InternetLink"/>
                  <w:rFonts w:ascii="Times New Roman;sans-serif" w:hAnsi="Times New Roman;sans-serif"/>
                  <w:b w:val="false"/>
                  <w:color w:val="000080"/>
                  <w:sz w:val="20"/>
                  <w:u w:val="single"/>
                </w:rPr>
                <w:t xml:space="preserve"> and 202</w:t>
              </w:r>
            </w:hyperlink>
            <w:hyperlink w:anchor="ia0e98e379dfb4c6e8555637f0f10ebdf_19">
              <w:r>
                <w:rPr>
                  <w:rStyle w:val="InternetLink"/>
                  <w:rFonts w:ascii="Times New Roman;sans-serif" w:hAnsi="Times New Roman;sans-serif"/>
                  <w:b w:val="false"/>
                  <w:color w:val="000080"/>
                  <w:sz w:val="20"/>
                  <w:u w:val="single"/>
                </w:rPr>
                <w:t>3</w:t>
              </w:r>
            </w:hyperlink>
            <w:hyperlink w:anchor="ia0e98e379dfb4c6e8555637f0f10ebdf_19">
              <w:r>
                <w:rPr>
                  <w:rStyle w:val="InternetLink"/>
                  <w:rFonts w:ascii="Times New Roman;sans-serif" w:hAnsi="Times New Roman;sans-serif"/>
                  <w:b w:val="false"/>
                  <w:color w:val="000080"/>
                  <w:sz w:val="20"/>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19">
              <w:r>
                <w:rPr>
                  <w:rStyle w:val="InternetLink"/>
                  <w:rFonts w:ascii="Times New Roman;sans-serif" w:hAnsi="Times New Roman;sans-serif"/>
                  <w:b w:val="false"/>
                  <w:color w:val="0000FF"/>
                  <w:sz w:val="20"/>
                  <w:u w:val="single"/>
                </w:rPr>
                <w:t>4</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22">
              <w:r>
                <w:rPr>
                  <w:rStyle w:val="InternetLink"/>
                  <w:rFonts w:ascii="Times New Roman;sans-serif" w:hAnsi="Times New Roman;sans-serif"/>
                  <w:b w:val="false"/>
                  <w:color w:val="000080"/>
                  <w:sz w:val="20"/>
                  <w:u w:val="single"/>
                </w:rPr>
                <w:t>Condensed Consolidated Statements of Equity for the Three</w:t>
              </w:r>
            </w:hyperlink>
            <w:hyperlink w:anchor="ia0e98e379dfb4c6e8555637f0f10ebdf_22">
              <w:r>
                <w:rPr>
                  <w:rStyle w:val="InternetLink"/>
                  <w:rFonts w:ascii="Times New Roman;sans-serif" w:hAnsi="Times New Roman;sans-serif"/>
                  <w:b w:val="false"/>
                  <w:color w:val="000080"/>
                  <w:sz w:val="20"/>
                  <w:u w:val="single"/>
                </w:rPr>
                <w:t xml:space="preserve"> Months Ended </w:t>
              </w:r>
            </w:hyperlink>
            <w:hyperlink w:anchor="ia0e98e379dfb4c6e8555637f0f10ebdf_22">
              <w:r>
                <w:rPr>
                  <w:rStyle w:val="InternetLink"/>
                  <w:rFonts w:ascii="Times New Roman;sans-serif" w:hAnsi="Times New Roman;sans-serif"/>
                  <w:b w:val="false"/>
                  <w:color w:val="000080"/>
                  <w:sz w:val="20"/>
                  <w:u w:val="single"/>
                </w:rPr>
                <w:t>March 31</w:t>
              </w:r>
            </w:hyperlink>
            <w:hyperlink w:anchor="ia0e98e379dfb4c6e8555637f0f10ebdf_22">
              <w:r>
                <w:rPr>
                  <w:rStyle w:val="InternetLink"/>
                  <w:rFonts w:ascii="Times New Roman;sans-serif" w:hAnsi="Times New Roman;sans-serif"/>
                  <w:b w:val="false"/>
                  <w:color w:val="000080"/>
                  <w:sz w:val="20"/>
                  <w:u w:val="single"/>
                </w:rPr>
                <w:t>, 202</w:t>
              </w:r>
            </w:hyperlink>
            <w:hyperlink w:anchor="ia0e98e379dfb4c6e8555637f0f10ebdf_22">
              <w:r>
                <w:rPr>
                  <w:rStyle w:val="InternetLink"/>
                  <w:rFonts w:ascii="Times New Roman;sans-serif" w:hAnsi="Times New Roman;sans-serif"/>
                  <w:b w:val="false"/>
                  <w:color w:val="000080"/>
                  <w:sz w:val="20"/>
                  <w:u w:val="single"/>
                </w:rPr>
                <w:t>4</w:t>
              </w:r>
            </w:hyperlink>
            <w:hyperlink w:anchor="ia0e98e379dfb4c6e8555637f0f10ebdf_22">
              <w:r>
                <w:rPr>
                  <w:rStyle w:val="InternetLink"/>
                  <w:rFonts w:ascii="Times New Roman;sans-serif" w:hAnsi="Times New Roman;sans-serif"/>
                  <w:b w:val="false"/>
                  <w:color w:val="000080"/>
                  <w:sz w:val="20"/>
                  <w:u w:val="single"/>
                </w:rPr>
                <w:t xml:space="preserve"> and 202</w:t>
              </w:r>
            </w:hyperlink>
            <w:hyperlink w:anchor="ia0e98e379dfb4c6e8555637f0f10ebdf_22">
              <w:r>
                <w:rPr>
                  <w:rStyle w:val="InternetLink"/>
                  <w:rFonts w:ascii="Times New Roman;sans-serif" w:hAnsi="Times New Roman;sans-serif"/>
                  <w:b w:val="false"/>
                  <w:color w:val="000080"/>
                  <w:sz w:val="20"/>
                  <w:u w:val="single"/>
                </w:rPr>
                <w:t>3</w:t>
              </w:r>
            </w:hyperlink>
            <w:hyperlink w:anchor="ia0e98e379dfb4c6e8555637f0f10ebdf_22">
              <w:r>
                <w:rPr>
                  <w:rStyle w:val="InternetLink"/>
                  <w:rFonts w:ascii="Times New Roman;sans-serif" w:hAnsi="Times New Roman;sans-serif"/>
                  <w:b w:val="false"/>
                  <w:color w:val="000080"/>
                  <w:sz w:val="20"/>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2">
              <w:r>
                <w:rPr>
                  <w:rStyle w:val="InternetLink"/>
                  <w:rFonts w:ascii="Times New Roman;sans-serif" w:hAnsi="Times New Roman;sans-serif"/>
                  <w:b w:val="false"/>
                  <w:color w:val="0000FF"/>
                  <w:sz w:val="20"/>
                  <w:u w:val="single"/>
                </w:rPr>
                <w:t>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25">
              <w:r>
                <w:rPr>
                  <w:rStyle w:val="InternetLink"/>
                  <w:rFonts w:ascii="Times New Roman;sans-serif" w:hAnsi="Times New Roman;sans-serif"/>
                  <w:b w:val="false"/>
                  <w:color w:val="000080"/>
                  <w:sz w:val="20"/>
                  <w:u w:val="single"/>
                </w:rPr>
                <w:t xml:space="preserve">Condensed Consolidated Statements of Cash Flows for the </w:t>
              </w:r>
            </w:hyperlink>
            <w:hyperlink w:anchor="ia0e98e379dfb4c6e8555637f0f10ebdf_25">
              <w:r>
                <w:rPr>
                  <w:rStyle w:val="InternetLink"/>
                  <w:rFonts w:ascii="Times New Roman;sans-serif" w:hAnsi="Times New Roman;sans-serif"/>
                  <w:b w:val="false"/>
                  <w:color w:val="000080"/>
                  <w:sz w:val="20"/>
                  <w:u w:val="single"/>
                </w:rPr>
                <w:t>T</w:t>
              </w:r>
            </w:hyperlink>
            <w:hyperlink w:anchor="ia0e98e379dfb4c6e8555637f0f10ebdf_25">
              <w:r>
                <w:rPr>
                  <w:rStyle w:val="InternetLink"/>
                  <w:rFonts w:ascii="Times New Roman;sans-serif" w:hAnsi="Times New Roman;sans-serif"/>
                  <w:b w:val="false"/>
                  <w:color w:val="000080"/>
                  <w:sz w:val="20"/>
                  <w:u w:val="single"/>
                </w:rPr>
                <w:t>hree</w:t>
              </w:r>
            </w:hyperlink>
            <w:hyperlink w:anchor="ia0e98e379dfb4c6e8555637f0f10ebdf_25">
              <w:r>
                <w:rPr>
                  <w:rStyle w:val="InternetLink"/>
                  <w:rFonts w:ascii="Times New Roman;sans-serif" w:hAnsi="Times New Roman;sans-serif"/>
                  <w:b w:val="false"/>
                  <w:color w:val="000080"/>
                  <w:sz w:val="20"/>
                  <w:u w:val="single"/>
                </w:rPr>
                <w:t xml:space="preserve"> Months Ended </w:t>
              </w:r>
            </w:hyperlink>
            <w:hyperlink w:anchor="ia0e98e379dfb4c6e8555637f0f10ebdf_25">
              <w:r>
                <w:rPr>
                  <w:rStyle w:val="InternetLink"/>
                  <w:rFonts w:ascii="Times New Roman;sans-serif" w:hAnsi="Times New Roman;sans-serif"/>
                  <w:b w:val="false"/>
                  <w:color w:val="000080"/>
                  <w:sz w:val="20"/>
                  <w:u w:val="single"/>
                </w:rPr>
                <w:t>March</w:t>
              </w:r>
            </w:hyperlink>
            <w:hyperlink w:anchor="ia0e98e379dfb4c6e8555637f0f10ebdf_25">
              <w:r>
                <w:rPr>
                  <w:rStyle w:val="InternetLink"/>
                  <w:rFonts w:ascii="Times New Roman;sans-serif" w:hAnsi="Times New Roman;sans-serif"/>
                  <w:b w:val="false"/>
                  <w:color w:val="000080"/>
                  <w:sz w:val="20"/>
                  <w:u w:val="single"/>
                </w:rPr>
                <w:t xml:space="preserve"> 3</w:t>
              </w:r>
            </w:hyperlink>
            <w:hyperlink w:anchor="ia0e98e379dfb4c6e8555637f0f10ebdf_25">
              <w:r>
                <w:rPr>
                  <w:rStyle w:val="InternetLink"/>
                  <w:rFonts w:ascii="Times New Roman;sans-serif" w:hAnsi="Times New Roman;sans-serif"/>
                  <w:b w:val="false"/>
                  <w:color w:val="000080"/>
                  <w:sz w:val="20"/>
                  <w:u w:val="single"/>
                </w:rPr>
                <w:t>1</w:t>
              </w:r>
            </w:hyperlink>
            <w:hyperlink w:anchor="ia0e98e379dfb4c6e8555637f0f10ebdf_25">
              <w:r>
                <w:rPr>
                  <w:rStyle w:val="InternetLink"/>
                  <w:rFonts w:ascii="Times New Roman;sans-serif" w:hAnsi="Times New Roman;sans-serif"/>
                  <w:b w:val="false"/>
                  <w:color w:val="000080"/>
                  <w:sz w:val="20"/>
                  <w:u w:val="single"/>
                </w:rPr>
                <w:t>, 202</w:t>
              </w:r>
            </w:hyperlink>
            <w:hyperlink w:anchor="ia0e98e379dfb4c6e8555637f0f10ebdf_25">
              <w:r>
                <w:rPr>
                  <w:rStyle w:val="InternetLink"/>
                  <w:rFonts w:ascii="Times New Roman;sans-serif" w:hAnsi="Times New Roman;sans-serif"/>
                  <w:b w:val="false"/>
                  <w:color w:val="000080"/>
                  <w:sz w:val="20"/>
                  <w:u w:val="single"/>
                </w:rPr>
                <w:t>4</w:t>
              </w:r>
            </w:hyperlink>
            <w:hyperlink w:anchor="ia0e98e379dfb4c6e8555637f0f10ebdf_25">
              <w:r>
                <w:rPr>
                  <w:rStyle w:val="InternetLink"/>
                  <w:rFonts w:ascii="Times New Roman;sans-serif" w:hAnsi="Times New Roman;sans-serif"/>
                  <w:b w:val="false"/>
                  <w:color w:val="000080"/>
                  <w:sz w:val="20"/>
                  <w:u w:val="single"/>
                </w:rPr>
                <w:t xml:space="preserve"> and 202</w:t>
              </w:r>
            </w:hyperlink>
            <w:hyperlink w:anchor="ia0e98e379dfb4c6e8555637f0f10ebdf_25">
              <w:r>
                <w:rPr>
                  <w:rStyle w:val="InternetLink"/>
                  <w:rFonts w:ascii="Times New Roman;sans-serif" w:hAnsi="Times New Roman;sans-serif"/>
                  <w:b w:val="false"/>
                  <w:color w:val="000080"/>
                  <w:sz w:val="20"/>
                  <w:u w:val="single"/>
                </w:rPr>
                <w:t>3</w:t>
              </w:r>
            </w:hyperlink>
            <w:hyperlink w:anchor="ia0e98e379dfb4c6e8555637f0f10ebdf_25">
              <w:r>
                <w:rPr>
                  <w:rStyle w:val="InternetLink"/>
                  <w:rFonts w:ascii="Times New Roman;sans-serif" w:hAnsi="Times New Roman;sans-serif"/>
                  <w:b w:val="false"/>
                  <w:color w:val="000080"/>
                  <w:sz w:val="20"/>
                  <w:u w:val="single"/>
                </w:rPr>
                <w:t xml:space="preserve">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5">
              <w:r>
                <w:rPr>
                  <w:rStyle w:val="InternetLink"/>
                  <w:rFonts w:ascii="Times New Roman;sans-serif" w:hAnsi="Times New Roman;sans-serif"/>
                  <w:b w:val="false"/>
                  <w:color w:val="0000FF"/>
                  <w:sz w:val="20"/>
                  <w:u w:val="single"/>
                </w:rPr>
                <w:t>7</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31">
              <w:r>
                <w:rPr>
                  <w:rStyle w:val="InternetLink"/>
                  <w:rFonts w:ascii="Times New Roman;sans-serif" w:hAnsi="Times New Roman;sans-serif"/>
                  <w:b w:val="false"/>
                  <w:color w:val="0000FF"/>
                  <w:sz w:val="20"/>
                  <w:u w:val="single"/>
                </w:rPr>
                <w:t>Notes to Condensed Consolidated Financial Statements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31">
              <w:r>
                <w:rPr>
                  <w:rStyle w:val="InternetLink"/>
                  <w:rFonts w:ascii="Times New Roman;sans-serif" w:hAnsi="Times New Roman;sans-serif"/>
                  <w:b w:val="false"/>
                  <w:color w:val="0000FF"/>
                  <w:sz w:val="20"/>
                  <w:u w:val="single"/>
                </w:rPr>
                <w:t>9</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0e98e379dfb4c6e8555637f0f10ebdf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109">
              <w:r>
                <w:rPr>
                  <w:rStyle w:val="InternetLink"/>
                  <w:rFonts w:ascii="Times New Roman;sans-serif" w:hAnsi="Times New Roman;sans-serif"/>
                  <w:b w:val="false"/>
                  <w:color w:val="0000FF"/>
                  <w:sz w:val="20"/>
                  <w:u w:val="single"/>
                </w:rPr>
                <w:t>47</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26">
              <w:r>
                <w:rPr>
                  <w:rStyle w:val="InternetLink"/>
                  <w:rFonts w:ascii="Times New Roman;sans-serif" w:hAnsi="Times New Roman;sans-serif"/>
                  <w:b w:val="false"/>
                  <w:color w:val="0000FF"/>
                  <w:sz w:val="20"/>
                  <w:u w:val="single"/>
                </w:rPr>
                <w:t>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26">
              <w:r>
                <w:rPr>
                  <w:rStyle w:val="InternetLink"/>
                  <w:rFonts w:ascii="Times New Roman;sans-serif" w:hAnsi="Times New Roman;sans-serif"/>
                  <w:b w:val="false"/>
                  <w:color w:val="0000FF"/>
                  <w:sz w:val="20"/>
                  <w:u w:val="single"/>
                </w:rPr>
                <w:t>72</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50">
              <w:r>
                <w:rPr>
                  <w:rStyle w:val="InternetLink"/>
                  <w:rFonts w:ascii="Times New Roman;sans-serif" w:hAnsi="Times New Roman;sans-serif"/>
                  <w:b w:val="false"/>
                  <w:color w:val="0000FF"/>
                  <w:sz w:val="20"/>
                  <w:u w:val="single"/>
                </w:rPr>
                <w:t>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50">
              <w:r>
                <w:rPr>
                  <w:rStyle w:val="InternetLink"/>
                  <w:rFonts w:ascii="Times New Roman;sans-serif" w:hAnsi="Times New Roman;sans-serif"/>
                  <w:b w:val="false"/>
                  <w:color w:val="0000FF"/>
                  <w:sz w:val="20"/>
                  <w:u w:val="single"/>
                </w:rPr>
                <w:t>75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56">
              <w:r>
                <w:rPr>
                  <w:rStyle w:val="InternetLink"/>
                  <w:rFonts w:ascii="Times New Roman;sans-serif" w:hAnsi="Times New Roman;sans-serif"/>
                  <w:b w:val="false"/>
                  <w:color w:val="0000FF"/>
                  <w:sz w:val="20"/>
                  <w:u w:val="single"/>
                </w:rPr>
                <w:t>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56">
              <w:r>
                <w:rPr>
                  <w:rStyle w:val="InternetLink"/>
                  <w:rFonts w:ascii="Times New Roman;sans-serif" w:hAnsi="Times New Roman;sans-serif"/>
                  <w:b w:val="false"/>
                  <w:color w:val="0000FF"/>
                  <w:sz w:val="20"/>
                  <w:u w:val="single"/>
                </w:rPr>
                <w:t>76</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59">
              <w:r>
                <w:rPr>
                  <w:rStyle w:val="InternetLink"/>
                  <w:rFonts w:ascii="Times New Roman;sans-serif" w:hAnsi="Times New Roman;sans-serif"/>
                  <w:b w:val="false"/>
                  <w:color w:val="0000FF"/>
                  <w:sz w:val="20"/>
                  <w:u w:val="single"/>
                </w:rPr>
                <w:t>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59">
              <w:r>
                <w:rPr>
                  <w:rStyle w:val="InternetLink"/>
                  <w:rFonts w:ascii="Times New Roman;sans-serif" w:hAnsi="Times New Roman;sans-serif"/>
                  <w:b w:val="false"/>
                  <w:color w:val="0000FF"/>
                  <w:sz w:val="20"/>
                  <w:u w:val="single"/>
                </w:rPr>
                <w:t>76</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62">
              <w:r>
                <w:rPr>
                  <w:rStyle w:val="InternetLink"/>
                  <w:rFonts w:ascii="Times New Roman;sans-serif" w:hAnsi="Times New Roman;sans-serif"/>
                  <w:b w:val="false"/>
                  <w:color w:val="0000FF"/>
                  <w:sz w:val="20"/>
                  <w:u w:val="single"/>
                </w:rPr>
                <w:t>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62">
              <w:r>
                <w:rPr>
                  <w:rStyle w:val="InternetLink"/>
                  <w:rFonts w:ascii="Times New Roman;sans-serif" w:hAnsi="Times New Roman;sans-serif"/>
                  <w:b w:val="false"/>
                  <w:color w:val="0000FF"/>
                  <w:sz w:val="20"/>
                  <w:u w:val="single"/>
                </w:rPr>
                <w:t>76</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e98e379dfb4c6e8555637f0f10ebdf_265">
              <w:r>
                <w:rPr>
                  <w:rStyle w:val="InternetLink"/>
                  <w:rFonts w:ascii="Times New Roman;sans-serif" w:hAnsi="Times New Roman;sans-serif"/>
                  <w:b w:val="false"/>
                  <w:color w:val="0000FF"/>
                  <w:sz w:val="20"/>
                  <w:u w:val="single"/>
                </w:rPr>
                <w:t>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e98e379dfb4c6e8555637f0f10ebdf_265">
              <w:r>
                <w:rPr>
                  <w:rStyle w:val="InternetLink"/>
                  <w:rFonts w:ascii="Times New Roman;sans-serif" w:hAnsi="Times New Roman;sans-serif"/>
                  <w:b w:val="false"/>
                  <w:color w:val="0000FF"/>
                  <w:sz w:val="20"/>
                  <w:u w:val="single"/>
                </w:rPr>
                <w:t>77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0"/>
        <w:gridCol w:w="2345"/>
        <w:gridCol w:w="2324"/>
        <w:gridCol w:w="211"/>
        <w:gridCol w:w="871"/>
        <w:gridCol w:w="109"/>
        <w:gridCol w:w="109"/>
        <w:gridCol w:w="109"/>
        <w:gridCol w:w="109"/>
        <w:gridCol w:w="211"/>
        <w:gridCol w:w="871"/>
        <w:gridCol w:w="156"/>
      </w:tblGrid>
      <w:tr>
        <w:trPr/>
        <w:tc>
          <w:tcPr>
            <w:tcW w:w="278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(measured at fair value on a recurring basis) (note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(notes 3 and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related notes receivable (including $3,571.9 million and $3,408.5 million, respectively, measured at fair value on a recurring basis) (note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(notes 7 and 9)</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 (note 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right-of-use (</w:t>
            </w:r>
            <w:r>
              <w:rPr>
                <w:rFonts w:ascii="Times New Roman;sans-serif" w:hAnsi="Times New Roman;sans-serif"/>
                <w:b/>
                <w:color w:val="000000"/>
                <w:sz w:val="20"/>
              </w:rPr>
              <w:t>ROU</w:t>
            </w:r>
            <w:r>
              <w:rPr>
                <w:rFonts w:ascii="Times New Roman;sans-serif" w:hAnsi="Times New Roman;sans-serif"/>
                <w:b w:val="false"/>
                <w:color w:val="000000"/>
                <w:sz w:val="20"/>
              </w:rPr>
              <w:t>) assets (note 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 (notes 3 and 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36880"/>
                <wp:effectExtent l="0" t="0" r="0" b="0"/>
                <wp:wrapNone/>
                <wp:docPr id="4" name="Frame3"/>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00" w:after="283"/>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2"/>
        <w:gridCol w:w="2358"/>
        <w:gridCol w:w="2370"/>
        <w:gridCol w:w="211"/>
        <w:gridCol w:w="871"/>
        <w:gridCol w:w="109"/>
        <w:gridCol w:w="109"/>
        <w:gridCol w:w="109"/>
        <w:gridCol w:w="109"/>
        <w:gridCol w:w="211"/>
        <w:gridCol w:w="871"/>
        <w:gridCol w:w="155"/>
      </w:tblGrid>
      <w:tr>
        <w:trPr/>
        <w:tc>
          <w:tcPr>
            <w:tcW w:w="272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 (notes 8 and 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 (note 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(notes 8 and 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9)</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(notes 3 and 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5, 8, 9, 10 and 14)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(note 11):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shareholders: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 $0.01 nominal value. Issued and outstanding 172,152,979 and 171,463,760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shares, $0.01 nominal value. Issued and outstanding 12,988,658 and 12,988,658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shares, $0.01 nominal value. Issued and outstanding 190,031,873 and 198,153,613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 net of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shareholders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6880"/>
                <wp:effectExtent l="0" t="0" r="0" b="0"/>
                <wp:wrapNone/>
                <wp:docPr id="5" name="Frame4"/>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67"/>
        <w:gridCol w:w="2138"/>
        <w:gridCol w:w="2146"/>
        <w:gridCol w:w="109"/>
        <w:gridCol w:w="109"/>
        <w:gridCol w:w="132"/>
        <w:gridCol w:w="132"/>
        <w:gridCol w:w="265"/>
        <w:gridCol w:w="964"/>
        <w:gridCol w:w="136"/>
        <w:gridCol w:w="112"/>
        <w:gridCol w:w="112"/>
        <w:gridCol w:w="112"/>
        <w:gridCol w:w="217"/>
        <w:gridCol w:w="791"/>
        <w:gridCol w:w="163"/>
      </w:tblGrid>
      <w:tr>
        <w:trPr/>
        <w:tc>
          <w:tcPr>
            <w:tcW w:w="256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507" w:type="dxa"/>
            <w:gridSpan w:val="6"/>
            <w:tcBorders/>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8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(notes 3, 4 and 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 (exclusive of depreciation and amortization,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(note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(notes 9 and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Selling, general and administrative (</w:t>
            </w:r>
            <w:r>
              <w:rPr>
                <w:rFonts w:ascii="Times New Roman;sans-serif" w:hAnsi="Times New Roman;sans-serif"/>
                <w:b/>
                <w:color w:val="000000"/>
                <w:sz w:val="20"/>
              </w:rPr>
              <w:t>SG&amp;A</w:t>
            </w:r>
            <w:r>
              <w:rPr>
                <w:rFonts w:ascii="Times New Roman;sans-serif" w:hAnsi="Times New Roman;sans-serif"/>
                <w:b w:val="false"/>
                <w:color w:val="000000"/>
                <w:sz w:val="20"/>
              </w:rPr>
              <w:t>) (notes 9 and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 (note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on derivative instruments, net (note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due to changes in fair values of certain investments, net (notes 4 and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 (note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Liberty Global shareholders per share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Liberty Global shareholders per share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36880"/>
                <wp:effectExtent l="0" t="0" r="0" b="0"/>
                <wp:wrapNone/>
                <wp:docPr id="6" name="Frame5"/>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w:t>
      </w:r>
    </w:p>
    <w:tbl>
      <w:tblPr>
        <w:tblW w:w="8619" w:type="dxa"/>
        <w:jc w:val="left"/>
        <w:tblInd w:w="0" w:type="dxa"/>
        <w:tblLayout w:type="fixed"/>
        <w:tblCellMar>
          <w:top w:w="28" w:type="dxa"/>
          <w:left w:w="28" w:type="dxa"/>
          <w:bottom w:w="28" w:type="dxa"/>
          <w:right w:w="28" w:type="dxa"/>
        </w:tblCellMar>
      </w:tblPr>
      <w:tblGrid>
        <w:gridCol w:w="1930"/>
        <w:gridCol w:w="1694"/>
        <w:gridCol w:w="1700"/>
        <w:gridCol w:w="109"/>
        <w:gridCol w:w="109"/>
        <w:gridCol w:w="150"/>
        <w:gridCol w:w="150"/>
        <w:gridCol w:w="291"/>
        <w:gridCol w:w="953"/>
        <w:gridCol w:w="150"/>
        <w:gridCol w:w="109"/>
        <w:gridCol w:w="109"/>
        <w:gridCol w:w="109"/>
        <w:gridCol w:w="211"/>
        <w:gridCol w:w="691"/>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included in 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Liberty Global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6880"/>
                <wp:effectExtent l="0" t="0" r="0" b="0"/>
                <wp:wrapNone/>
                <wp:docPr id="7" name="Frame6"/>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899"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691"/>
        <w:gridCol w:w="109"/>
        <w:gridCol w:w="109"/>
        <w:gridCol w:w="109"/>
        <w:gridCol w:w="109"/>
        <w:gridCol w:w="203"/>
        <w:gridCol w:w="809"/>
        <w:gridCol w:w="114"/>
        <w:gridCol w:w="109"/>
        <w:gridCol w:w="109"/>
        <w:gridCol w:w="109"/>
        <w:gridCol w:w="245"/>
        <w:gridCol w:w="864"/>
        <w:gridCol w:w="137"/>
        <w:gridCol w:w="109"/>
        <w:gridCol w:w="109"/>
        <w:gridCol w:w="109"/>
        <w:gridCol w:w="228"/>
        <w:gridCol w:w="455"/>
        <w:gridCol w:w="128"/>
        <w:gridCol w:w="109"/>
        <w:gridCol w:w="109"/>
        <w:gridCol w:w="109"/>
        <w:gridCol w:w="197"/>
        <w:gridCol w:w="788"/>
        <w:gridCol w:w="111"/>
        <w:gridCol w:w="109"/>
        <w:gridCol w:w="109"/>
        <w:gridCol w:w="109"/>
        <w:gridCol w:w="300"/>
        <w:gridCol w:w="853"/>
        <w:gridCol w:w="168"/>
        <w:gridCol w:w="109"/>
        <w:gridCol w:w="109"/>
        <w:gridCol w:w="109"/>
        <w:gridCol w:w="196"/>
        <w:gridCol w:w="78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18,896.3 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22,222.4 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05560"/>
                <wp:effectExtent l="0" t="0" r="0" b="0"/>
                <wp:wrapNone/>
                <wp:docPr id="8" name="Frame7"/>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899"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691"/>
        <w:gridCol w:w="109"/>
        <w:gridCol w:w="109"/>
        <w:gridCol w:w="109"/>
        <w:gridCol w:w="109"/>
        <w:gridCol w:w="203"/>
        <w:gridCol w:w="809"/>
        <w:gridCol w:w="114"/>
        <w:gridCol w:w="109"/>
        <w:gridCol w:w="109"/>
        <w:gridCol w:w="109"/>
        <w:gridCol w:w="245"/>
        <w:gridCol w:w="864"/>
        <w:gridCol w:w="137"/>
        <w:gridCol w:w="109"/>
        <w:gridCol w:w="109"/>
        <w:gridCol w:w="109"/>
        <w:gridCol w:w="228"/>
        <w:gridCol w:w="455"/>
        <w:gridCol w:w="128"/>
        <w:gridCol w:w="109"/>
        <w:gridCol w:w="109"/>
        <w:gridCol w:w="109"/>
        <w:gridCol w:w="197"/>
        <w:gridCol w:w="788"/>
        <w:gridCol w:w="111"/>
        <w:gridCol w:w="109"/>
        <w:gridCol w:w="109"/>
        <w:gridCol w:w="109"/>
        <w:gridCol w:w="329"/>
        <w:gridCol w:w="808"/>
        <w:gridCol w:w="184"/>
        <w:gridCol w:w="109"/>
        <w:gridCol w:w="109"/>
        <w:gridCol w:w="109"/>
        <w:gridCol w:w="196"/>
        <w:gridCol w:w="78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16,076.0 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05560"/>
                <wp:effectExtent l="0" t="0" r="0" b="0"/>
                <wp:wrapNone/>
                <wp:docPr id="9" name="Frame8"/>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74"/>
        <w:gridCol w:w="2439"/>
        <w:gridCol w:w="2447"/>
        <w:gridCol w:w="211"/>
        <w:gridCol w:w="690"/>
        <w:gridCol w:w="109"/>
        <w:gridCol w:w="109"/>
        <w:gridCol w:w="109"/>
        <w:gridCol w:w="109"/>
        <w:gridCol w:w="211"/>
        <w:gridCol w:w="840"/>
        <w:gridCol w:w="157"/>
      </w:tblGrid>
      <w:tr>
        <w:trPr/>
        <w:tc>
          <w:tcPr>
            <w:tcW w:w="277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(loss) to net cash provided by operating activities: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non-cash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on derivative instruments,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due to changes in fair values of certain investments,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the effects of acquisitions and dispositions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sale of investments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investments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acquisitions, net of cash acquired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received from the VMO2 JV</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investing activities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6880"/>
                <wp:effectExtent l="0" t="0" r="0" b="0"/>
                <wp:wrapNone/>
                <wp:docPr id="10" name="Frame9"/>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 (Continued)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174" w:type="dxa"/>
        <w:jc w:val="left"/>
        <w:tblInd w:w="0" w:type="dxa"/>
        <w:tblLayout w:type="fixed"/>
        <w:tblCellMar>
          <w:top w:w="28" w:type="dxa"/>
          <w:left w:w="28" w:type="dxa"/>
          <w:bottom w:w="28" w:type="dxa"/>
          <w:right w:w="28" w:type="dxa"/>
        </w:tblCellMar>
      </w:tblPr>
      <w:tblGrid>
        <w:gridCol w:w="2399"/>
        <w:gridCol w:w="2112"/>
        <w:gridCol w:w="2119"/>
        <w:gridCol w:w="211"/>
        <w:gridCol w:w="766"/>
        <w:gridCol w:w="109"/>
        <w:gridCol w:w="109"/>
        <w:gridCol w:w="109"/>
        <w:gridCol w:w="109"/>
        <w:gridCol w:w="211"/>
        <w:gridCol w:w="76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repurchases of debt and finance lease obligations: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(excluding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Liberty Global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related to derivative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for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end of period cash and cash equivalents and restricted cash:</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6880"/>
                <wp:effectExtent l="0" t="0" r="0" b="0"/>
                <wp:wrapNone/>
                <wp:docPr id="11" name="Frame10"/>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   </w:t>
      </w:r>
      <w:r>
        <w:rPr>
          <w:rFonts w:ascii="Times New Roman;sans-serif" w:hAnsi="Times New Roman;sans-serif"/>
          <w:b/>
          <w:color w:val="000000"/>
          <w:sz w:val="20"/>
          <w:u w:val="single"/>
        </w:rPr>
        <w:t>Basis of Presentation</w:t>
      </w:r>
    </w:p>
    <w:p>
      <w:pPr>
        <w:pStyle w:val="TextBody"/>
        <w:bidi w:val="0"/>
        <w:spacing w:before="0" w:after="0"/>
        <w:jc w:val="righ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Global Ltd. (</w:t>
      </w:r>
      <w:r>
        <w:rPr>
          <w:rFonts w:ascii="Times New Roman;sans-serif" w:hAnsi="Times New Roman;sans-serif"/>
          <w:b/>
          <w:color w:val="000000"/>
          <w:sz w:val="20"/>
        </w:rPr>
        <w:t>Liberty Global</w:t>
      </w:r>
      <w:r>
        <w:rPr>
          <w:rFonts w:ascii="Times New Roman;sans-serif" w:hAnsi="Times New Roman;sans-serif"/>
          <w:b w:val="false"/>
          <w:color w:val="000000"/>
          <w:sz w:val="20"/>
        </w:rPr>
        <w:t>) is an international provider of broadband internet, video, fixed-line telephony and mobile communications services to residential customers and businesses in Europe.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sans-serif" w:hAnsi="Times New Roman;sans-serif"/>
          <w:b/>
          <w:color w:val="000000"/>
          <w:sz w:val="20"/>
        </w:rPr>
        <w:t>Virgin Media</w:t>
      </w:r>
      <w:r>
        <w:rPr>
          <w:rFonts w:ascii="Times New Roman;sans-serif" w:hAnsi="Times New Roman;sans-serif"/>
          <w:b w:val="false"/>
          <w:color w:val="000000"/>
          <w:sz w:val="20"/>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sans-serif" w:hAnsi="Times New Roman;sans-serif"/>
          <w:b/>
          <w:color w:val="000000"/>
          <w:sz w:val="20"/>
        </w:rPr>
        <w:t>Redomiciliation</w:t>
      </w:r>
      <w:r>
        <w:rPr>
          <w:rFonts w:ascii="Times New Roman;sans-serif" w:hAnsi="Times New Roman;sans-serif"/>
          <w:b w:val="false"/>
          <w:color w:val="000000"/>
          <w:sz w:val="20"/>
        </w:rPr>
        <w:t>). The Redomiciliation resulted in the Liberty Global group parent company changing its jurisdiction of incorporation from England and Wales to Bermuda. In these notes, except where context dictates otherwise, the terms “we”, “our”, “our company” and “us” may refer, as the context requires, to Liberty Global (or its predecessors) or collectively to Liberty Global (or its predecessors) and its subsidiaries and any of its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businesses provide residential and business-to-business (</w:t>
      </w:r>
      <w:r>
        <w:rPr>
          <w:rFonts w:ascii="Times New Roman;sans-serif" w:hAnsi="Times New Roman;sans-serif"/>
          <w:b/>
          <w:color w:val="000000"/>
          <w:sz w:val="20"/>
        </w:rPr>
        <w:t>B2B</w:t>
      </w:r>
      <w:r>
        <w:rPr>
          <w:rFonts w:ascii="Times New Roman;sans-serif" w:hAnsi="Times New Roman;sans-serif"/>
          <w:b w:val="false"/>
          <w:color w:val="000000"/>
          <w:sz w:val="20"/>
        </w:rPr>
        <w:t>) communications services in (i) Switzerland, which we refer to as “</w:t>
      </w:r>
      <w:r>
        <w:rPr>
          <w:rFonts w:ascii="Times New Roman;sans-serif" w:hAnsi="Times New Roman;sans-serif"/>
          <w:b/>
          <w:color w:val="000000"/>
          <w:sz w:val="20"/>
        </w:rPr>
        <w:t>Sunrise</w:t>
      </w:r>
      <w:r>
        <w:rPr>
          <w:color w:val="000000"/>
        </w:rPr>
        <w:t>”</w:t>
      </w:r>
      <w:r>
        <w:rPr>
          <w:rFonts w:ascii="Times New Roman;sans-serif" w:hAnsi="Times New Roman;sans-serif"/>
          <w:b w:val="false"/>
          <w:color w:val="000000"/>
          <w:sz w:val="20"/>
        </w:rPr>
        <w:t>, and Slovakia through certain wholly-owned subsidiaries that we collectively refer to as “</w:t>
      </w:r>
      <w:r>
        <w:rPr>
          <w:rFonts w:ascii="Times New Roman;sans-serif" w:hAnsi="Times New Roman;sans-serif"/>
          <w:b/>
          <w:color w:val="000000"/>
          <w:sz w:val="20"/>
        </w:rPr>
        <w:t>Sunrise Holding</w:t>
      </w:r>
      <w:r>
        <w:rPr>
          <w:color w:val="000000"/>
        </w:rPr>
        <w:t>”</w:t>
      </w:r>
      <w:r>
        <w:rPr>
          <w:rFonts w:ascii="Times New Roman;sans-serif" w:hAnsi="Times New Roman;sans-serif"/>
          <w:b w:val="false"/>
          <w:color w:val="000000"/>
          <w:sz w:val="20"/>
        </w:rPr>
        <w:t>, (ii) Belgium and Luxembourg through certain wholly-owned subsidiaries that we collectively refer to as “</w:t>
      </w:r>
      <w:r>
        <w:rPr>
          <w:rFonts w:ascii="Times New Roman;sans-serif" w:hAnsi="Times New Roman;sans-serif"/>
          <w:b/>
          <w:color w:val="000000"/>
          <w:sz w:val="20"/>
        </w:rPr>
        <w:t>Telenet</w:t>
      </w:r>
      <w:r>
        <w:rPr>
          <w:color w:val="000000"/>
        </w:rPr>
        <w:t xml:space="preserve">” </w:t>
      </w:r>
      <w:r>
        <w:rPr>
          <w:rFonts w:ascii="Times New Roman;sans-serif" w:hAnsi="Times New Roman;sans-serif"/>
          <w:b w:val="false"/>
          <w:color w:val="000000"/>
          <w:sz w:val="20"/>
        </w:rPr>
        <w:t>and (iii) Ireland through another wholly-owned subsidiary (</w:t>
      </w:r>
      <w:r>
        <w:rPr>
          <w:rFonts w:ascii="Times New Roman;sans-serif" w:hAnsi="Times New Roman;sans-serif"/>
          <w:b/>
          <w:color w:val="000000"/>
          <w:sz w:val="20"/>
        </w:rPr>
        <w:t>VM Ireland</w:t>
      </w:r>
      <w:r>
        <w:rPr>
          <w:rFonts w:ascii="Times New Roman;sans-serif" w:hAnsi="Times New Roman;sans-serif"/>
          <w:b w:val="false"/>
          <w:color w:val="000000"/>
          <w:sz w:val="20"/>
        </w:rPr>
        <w:t xml:space="preserve">). In addition, we own 50% noncontrolling interests in (a) a 50:50 joint venture (the </w:t>
      </w:r>
      <w:r>
        <w:rPr>
          <w:rFonts w:ascii="Times New Roman;sans-serif" w:hAnsi="Times New Roman;sans-serif"/>
          <w:b/>
          <w:color w:val="000000"/>
          <w:sz w:val="20"/>
        </w:rPr>
        <w:t>VMO2 JV</w:t>
      </w:r>
      <w:r>
        <w:rPr>
          <w:rFonts w:ascii="Times New Roman;sans-serif" w:hAnsi="Times New Roman;sans-serif"/>
          <w:b w:val="false"/>
          <w:color w:val="000000"/>
          <w:sz w:val="20"/>
        </w:rPr>
        <w:t>) with Telefónica SA (</w:t>
      </w:r>
      <w:r>
        <w:rPr>
          <w:rFonts w:ascii="Times New Roman;sans-serif" w:hAnsi="Times New Roman;sans-serif"/>
          <w:b/>
          <w:color w:val="000000"/>
          <w:sz w:val="20"/>
        </w:rPr>
        <w:t>Telefónica</w:t>
      </w:r>
      <w:r>
        <w:rPr>
          <w:rFonts w:ascii="Times New Roman;sans-serif" w:hAnsi="Times New Roman;sans-serif"/>
          <w:b w:val="false"/>
          <w:color w:val="000000"/>
          <w:sz w:val="20"/>
        </w:rPr>
        <w:t>), which provides residential and B2B communication services in the United Kingdom (</w:t>
      </w:r>
      <w:r>
        <w:rPr>
          <w:rFonts w:ascii="Times New Roman;sans-serif" w:hAnsi="Times New Roman;sans-serif"/>
          <w:b/>
          <w:color w:val="000000"/>
          <w:sz w:val="20"/>
        </w:rPr>
        <w:t>U.K.</w:t>
      </w:r>
      <w:r>
        <w:rPr>
          <w:rFonts w:ascii="Times New Roman;sans-serif" w:hAnsi="Times New Roman;sans-serif"/>
          <w:b w:val="false"/>
          <w:color w:val="000000"/>
          <w:sz w:val="20"/>
        </w:rPr>
        <w:t xml:space="preserve">), and (b) a 50:50 joint venture (the </w:t>
      </w:r>
      <w:r>
        <w:rPr>
          <w:rFonts w:ascii="Times New Roman;sans-serif" w:hAnsi="Times New Roman;sans-serif"/>
          <w:b/>
          <w:color w:val="000000"/>
          <w:sz w:val="20"/>
        </w:rPr>
        <w:t>VodafoneZiggo JV</w:t>
      </w:r>
      <w:r>
        <w:rPr>
          <w:rFonts w:ascii="Times New Roman;sans-serif" w:hAnsi="Times New Roman;sans-serif"/>
          <w:b w:val="false"/>
          <w:color w:val="000000"/>
          <w:sz w:val="20"/>
        </w:rPr>
        <w:t>) with Vodafone Group plc (</w:t>
      </w:r>
      <w:r>
        <w:rPr>
          <w:rFonts w:ascii="Times New Roman;sans-serif" w:hAnsi="Times New Roman;sans-serif"/>
          <w:b/>
          <w:color w:val="000000"/>
          <w:sz w:val="20"/>
        </w:rPr>
        <w:t>Vodafone</w:t>
      </w:r>
      <w:r>
        <w:rPr>
          <w:rFonts w:ascii="Times New Roman;sans-serif" w:hAnsi="Times New Roman;sans-serif"/>
          <w:b w:val="false"/>
          <w:color w:val="000000"/>
          <w:sz w:val="20"/>
        </w:rPr>
        <w:t xml:space="preserve">), which provides residential and B2B communication services in the Netherlands. We also own (1) a 50% noncontrolling voting interest in a joint venture (the </w:t>
      </w:r>
      <w:r>
        <w:rPr>
          <w:rFonts w:ascii="Times New Roman;sans-serif" w:hAnsi="Times New Roman;sans-serif"/>
          <w:b/>
          <w:color w:val="000000"/>
          <w:sz w:val="20"/>
        </w:rPr>
        <w:t>AtlasEdge JV</w:t>
      </w:r>
      <w:r>
        <w:rPr>
          <w:rFonts w:ascii="Times New Roman;sans-serif" w:hAnsi="Times New Roman;sans-serif"/>
          <w:b w:val="false"/>
          <w:color w:val="000000"/>
          <w:sz w:val="20"/>
        </w:rPr>
        <w:t xml:space="preserve">), which is a leading European Edge data center platform, and (2) a 25% noncontrolling interest in a joint venture (the </w:t>
      </w:r>
      <w:r>
        <w:rPr>
          <w:rFonts w:ascii="Times New Roman;sans-serif" w:hAnsi="Times New Roman;sans-serif"/>
          <w:b/>
          <w:color w:val="000000"/>
          <w:sz w:val="20"/>
        </w:rPr>
        <w:t>nexfibre JV</w:t>
      </w:r>
      <w:r>
        <w:rPr>
          <w:rFonts w:ascii="Times New Roman;sans-serif" w:hAnsi="Times New Roman;sans-serif"/>
          <w:b w:val="false"/>
          <w:color w:val="000000"/>
          <w:sz w:val="20"/>
        </w:rPr>
        <w:t xml:space="preserve">), which is constructing a new fiber network in the U.K. outside of the existing footprint of the 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have announced our intention to spin-off our operations at Sunrise and certain other Liberty Global subsidiaries (together, the </w:t>
      </w:r>
      <w:r>
        <w:rPr>
          <w:rFonts w:ascii="Times New Roman;sans-serif" w:hAnsi="Times New Roman;sans-serif"/>
          <w:b/>
          <w:color w:val="000000"/>
          <w:sz w:val="20"/>
        </w:rPr>
        <w:t>Sunrise Entities</w:t>
      </w:r>
      <w:r>
        <w:rPr>
          <w:rFonts w:ascii="Times New Roman;sans-serif" w:hAnsi="Times New Roman;sans-serif"/>
          <w:b w:val="false"/>
          <w:color w:val="000000"/>
          <w:sz w:val="20"/>
        </w:rPr>
        <w:t>), which is expected to close during the fourth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Telenet Takeover Bid (as defined and described in note 11), pursuant to which we increased our ownership interest in Telenet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unaudited condensed consolidated financial statements have been prepared in accordance with accounting principles generally accepted in the United States (</w:t>
      </w:r>
      <w:r>
        <w:rPr>
          <w:rFonts w:ascii="Times New Roman;sans-serif" w:hAnsi="Times New Roman;sans-serif"/>
          <w:b/>
          <w:color w:val="000000"/>
          <w:sz w:val="20"/>
        </w:rPr>
        <w:t>GAAP</w:t>
      </w:r>
      <w:r>
        <w:rPr>
          <w:rFonts w:ascii="Times New Roman;sans-serif" w:hAnsi="Times New Roman;sans-serif"/>
          <w:b w:val="false"/>
          <w:color w:val="000000"/>
          <w:sz w:val="20"/>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2023 consolidated financial statements and notes thereto included in our 2023 Annual Report on Form 10-K, as amended (our </w:t>
      </w:r>
      <w:r>
        <w:rPr>
          <w:rFonts w:ascii="Times New Roman;sans-serif" w:hAnsi="Times New Roman;sans-serif"/>
          <w:b/>
          <w:color w:val="000000"/>
          <w:sz w:val="20"/>
        </w:rPr>
        <w:t>10-K</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Unless otherwise indicated, ownership percentages and convenience translations into United States (</w:t>
      </w:r>
      <w:r>
        <w:rPr>
          <w:rFonts w:ascii="Times New Roman;sans-serif" w:hAnsi="Times New Roman;sans-serif"/>
          <w:b/>
          <w:color w:val="000000"/>
          <w:sz w:val="20"/>
        </w:rPr>
        <w:t>U.S.</w:t>
      </w:r>
      <w:r>
        <w:rPr>
          <w:rFonts w:ascii="Times New Roman;sans-serif" w:hAnsi="Times New Roman;sans-serif"/>
          <w:b w:val="false"/>
          <w:color w:val="000000"/>
          <w:sz w:val="20"/>
        </w:rPr>
        <w:t xml:space="preserve">) dollars are calculated as of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(2)   </w:t>
      </w: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Financial Accounting Standards Board (the </w:t>
      </w:r>
      <w:r>
        <w:rPr>
          <w:rFonts w:ascii="Times New Roman;sans-serif" w:hAnsi="Times New Roman;sans-serif"/>
          <w:b/>
          <w:color w:val="000000"/>
          <w:sz w:val="20"/>
        </w:rPr>
        <w:t>FASB</w:t>
      </w:r>
      <w:r>
        <w:rPr>
          <w:rFonts w:ascii="Times New Roman;sans-serif" w:hAnsi="Times New Roman;sans-serif"/>
          <w:b w:val="false"/>
          <w:color w:val="000000"/>
          <w:sz w:val="20"/>
        </w:rPr>
        <w:t>) issued Accounting Standards Update (</w:t>
      </w:r>
      <w:r>
        <w:rPr>
          <w:rFonts w:ascii="Times New Roman;sans-serif" w:hAnsi="Times New Roman;sans-serif"/>
          <w:b/>
          <w:color w:val="000000"/>
          <w:sz w:val="20"/>
        </w:rPr>
        <w:t>ASU</w:t>
      </w:r>
      <w:r>
        <w:rPr>
          <w:rFonts w:ascii="Times New Roman;sans-serif" w:hAnsi="Times New Roman;sans-serif"/>
          <w:b w:val="false"/>
          <w:color w:val="000000"/>
          <w:sz w:val="20"/>
        </w:rPr>
        <w:t xml:space="preserve">) No. 2023-09,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w:t>
      </w:r>
      <w:r>
        <w:rPr>
          <w:rFonts w:ascii="Times New Roman;sans-serif" w:hAnsi="Times New Roman;sans-serif"/>
          <w:b/>
          <w:color w:val="000000"/>
          <w:sz w:val="20"/>
        </w:rPr>
        <w:t>ASU 2023-09</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2023-07</w:t>
      </w:r>
      <w:r>
        <w:rPr>
          <w:rFonts w:ascii="Times New Roman;sans-serif" w:hAnsi="Times New Roman;sans-serif"/>
          <w:b w:val="false"/>
          <w:color w:val="000000"/>
          <w:sz w:val="20"/>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w:t>
      </w:r>
      <w:r>
        <w:rPr>
          <w:color w:val="000000"/>
        </w:rPr>
        <w:t xml:space="preserve"> </w:t>
      </w:r>
      <w:r>
        <w:rPr>
          <w:rFonts w:ascii="Times New Roman;sans-serif" w:hAnsi="Times New Roman;sans-serif"/>
          <w:b w:val="false"/>
          <w:color w:val="000000"/>
          <w:sz w:val="20"/>
        </w:rPr>
        <w:t>on our consolidated financial statements and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August 2023, the FASB</w:t>
      </w:r>
      <w:r>
        <w:rPr>
          <w:color w:val="000000"/>
        </w:rPr>
        <w:t xml:space="preserve"> </w:t>
      </w:r>
      <w:r>
        <w:rPr>
          <w:rFonts w:ascii="Times New Roman;sans-serif" w:hAnsi="Times New Roman;sans-serif"/>
          <w:b w:val="false"/>
          <w:color w:val="000000"/>
          <w:sz w:val="20"/>
        </w:rPr>
        <w:t>issued ASU</w:t>
      </w:r>
      <w:r>
        <w:rPr>
          <w:color w:val="000000"/>
        </w:rPr>
        <w:t xml:space="preserve"> </w:t>
      </w:r>
      <w:r>
        <w:rPr>
          <w:rFonts w:ascii="Times New Roman;sans-serif" w:hAnsi="Times New Roman;sans-serif"/>
          <w:b w:val="false"/>
          <w:color w:val="000000"/>
          <w:sz w:val="20"/>
        </w:rPr>
        <w:t>No. 2023-05</w:t>
      </w:r>
      <w:r>
        <w:rPr>
          <w:rFonts w:ascii="Times New Roman;sans-serif" w:hAnsi="Times New Roman;sans-serif"/>
          <w:b w:val="false"/>
          <w:i/>
          <w:color w:val="000000"/>
          <w:sz w:val="20"/>
        </w:rPr>
        <w:t xml:space="preserve">, Business Combinations — Joint Venture Formations: Recognition and Initial Measurement </w:t>
      </w:r>
      <w:r>
        <w:rPr>
          <w:rFonts w:ascii="Times New Roman;sans-serif" w:hAnsi="Times New Roman;sans-serif"/>
          <w:b w:val="false"/>
          <w:color w:val="000000"/>
          <w:sz w:val="20"/>
        </w:rPr>
        <w:t>(</w:t>
      </w:r>
      <w:r>
        <w:rPr>
          <w:rFonts w:ascii="Times New Roman;sans-serif" w:hAnsi="Times New Roman;sans-serif"/>
          <w:b/>
          <w:color w:val="000000"/>
          <w:sz w:val="20"/>
        </w:rPr>
        <w:t>ASU 2023-05</w:t>
      </w:r>
      <w:r>
        <w:rPr>
          <w:rFonts w:ascii="Times New Roman;sans-serif" w:hAnsi="Times New Roman;sans-serif"/>
          <w:b w:val="false"/>
          <w:color w:val="000000"/>
          <w:sz w:val="20"/>
        </w:rPr>
        <w:t>), which outlines updates to the formation of entities that meet the definition of a joint venture as defined by the FASB. ASU 2023-05 requires a 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 xml:space="preserve">(3)    </w:t>
      </w:r>
      <w:r>
        <w:rPr>
          <w:rFonts w:ascii="Times New Roman;sans-serif" w:hAnsi="Times New Roman;sans-serif"/>
          <w:b/>
          <w:color w:val="000000"/>
          <w:sz w:val="20"/>
          <w:u w:val="single"/>
        </w:rPr>
        <w:t>Revenue Recognition and Related Costs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$54.1 million</w:t>
      </w:r>
      <w:r>
        <w:rPr>
          <w:color w:val="000000"/>
        </w:rPr>
        <w:t xml:space="preserve"> </w:t>
      </w:r>
      <w:r>
        <w:rPr>
          <w:rFonts w:ascii="Times New Roman;sans-serif" w:hAnsi="Times New Roman;sans-serif"/>
          <w:b w:val="false"/>
          <w:color w:val="000000"/>
          <w:sz w:val="20"/>
        </w:rPr>
        <w:t>and $58.0 million at March 31, 2024 and December 31, 2023, respectively.</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w:t>
      </w:r>
      <w:r>
        <w:rPr>
          <w:color w:val="000000"/>
        </w:rPr>
        <w:t xml:space="preserve"> </w:t>
      </w:r>
      <w:r>
        <w:rPr>
          <w:rFonts w:ascii="Times New Roman;sans-serif" w:hAnsi="Times New Roman;sans-serif"/>
          <w:b w:val="false"/>
          <w:color w:val="000000"/>
          <w:sz w:val="20"/>
        </w:rPr>
        <w:t>$43.3 million and $45.8 million as of March 31, 2024 and December 31, 2023, respectively. The current and long-term portions of our contract asset balances are included within other current assets and other assets, net, respectively, on our condensed consolidated balance sheets.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record deferred revenue when we receive payment prior to transferring goods or services to a customer. We primarily defer revenue for (i) installation and other upfront services and (ii) other services that are invoiced prior to when services are provided.</w:t>
      </w:r>
      <w:r>
        <w:rPr>
          <w:color w:val="000000"/>
        </w:rPr>
        <w:t xml:space="preserve"> </w:t>
      </w:r>
      <w:r>
        <w:rPr>
          <w:rFonts w:ascii="Times New Roman;sans-serif" w:hAnsi="Times New Roman;sans-serif"/>
          <w:b w:val="false"/>
          <w:color w:val="000000"/>
          <w:sz w:val="20"/>
        </w:rPr>
        <w:t>Our deferred revenue balances were $307.4 million and $267.6 million as of March 31, 2024 and December 31, 2023, respectively. The increase in deferred revenue for the three months ended March 31, 2024 is</w:t>
      </w:r>
      <w:r>
        <w:rPr>
          <w:color w:val="000000"/>
        </w:rPr>
        <w:t xml:space="preserve"> </w:t>
      </w:r>
      <w:r>
        <w:rPr>
          <w:rFonts w:ascii="Times New Roman;sans-serif" w:hAnsi="Times New Roman;sans-serif"/>
          <w:b w:val="false"/>
          <w:color w:val="000000"/>
          <w:sz w:val="20"/>
        </w:rPr>
        <w:t xml:space="preserve">primarily due to the net effect of (a) the impact of additions during the period and (b) the recognition of $158.2 million of revenue that was included in our deferred revenue balance at December 31, 2023. The long-term portions of our deferred revenue balances are included within other long-term liabilities on our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aggregate assets associated with incremental costs to obtain and fulfill our contracts were $80.3 million and $84.1 million at March 31, 2024 and December 31, 2023, respectively. The current and long-term portions of our assets related to contract costs are included within other current assets and other assets, net, respectively, on our condensed consolidated balance sheets. We amortized $20.9 million and $19.4 million during the three months ended March 31, 2024 and 2023, respectively, to operating costs and expenses related to these assets.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Unsatisfied Performance Obligations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(4)    </w:t>
      </w:r>
      <w:r>
        <w:rPr>
          <w:rFonts w:ascii="Times New Roman;sans-serif" w:hAnsi="Times New Roman;sans-serif"/>
          <w:b/>
          <w:color w:val="000000"/>
          <w:sz w:val="20"/>
          <w:u w:val="single"/>
        </w:rPr>
        <w:t>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details of our investments are set forth below:</w:t>
      </w:r>
    </w:p>
    <w:tbl>
      <w:tblPr>
        <w:tblW w:w="8089" w:type="dxa"/>
        <w:jc w:val="center"/>
        <w:tblInd w:w="0" w:type="dxa"/>
        <w:tblLayout w:type="fixed"/>
        <w:tblCellMar>
          <w:top w:w="28" w:type="dxa"/>
          <w:left w:w="28" w:type="dxa"/>
          <w:bottom w:w="28" w:type="dxa"/>
          <w:right w:w="28" w:type="dxa"/>
        </w:tblCellMar>
      </w:tblPr>
      <w:tblGrid>
        <w:gridCol w:w="1148"/>
        <w:gridCol w:w="1009"/>
        <w:gridCol w:w="1016"/>
        <w:gridCol w:w="207"/>
        <w:gridCol w:w="207"/>
        <w:gridCol w:w="207"/>
        <w:gridCol w:w="211"/>
        <w:gridCol w:w="871"/>
        <w:gridCol w:w="109"/>
        <w:gridCol w:w="109"/>
        <w:gridCol w:w="109"/>
        <w:gridCol w:w="109"/>
        <w:gridCol w:w="211"/>
        <w:gridCol w:w="871"/>
        <w:gridCol w:w="109"/>
        <w:gridCol w:w="109"/>
        <w:gridCol w:w="109"/>
        <w:gridCol w:w="109"/>
        <w:gridCol w:w="368"/>
        <w:gridCol w:w="368"/>
        <w:gridCol w:w="523"/>
      </w:tblGrid>
      <w:tr>
        <w:trPr/>
        <w:tc>
          <w:tcPr>
            <w:tcW w:w="11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Accounting Method</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 (a)</w:t>
            </w:r>
          </w:p>
        </w:tc>
      </w:tr>
      <w:tr>
        <w:trPr/>
        <w:tc>
          <w:tcPr>
            <w:tcW w:w="37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(c)</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All3Media Ltd. (</w:t>
            </w:r>
            <w:r>
              <w:rPr>
                <w:rFonts w:ascii="Times New Roman;sans-serif" w:hAnsi="Times New Roman;sans-serif"/>
                <w:b/>
                <w:color w:val="000000"/>
                <w:sz w:val="20"/>
              </w:rPr>
              <w:t>All3Media</w:t>
            </w:r>
            <w:r>
              <w:rPr>
                <w:rFonts w:ascii="Times New Roman;sans-serif" w:hAnsi="Times New Roman;sans-serif"/>
                <w:b w:val="false"/>
                <w:color w:val="000000"/>
                <w:sz w:val="20"/>
              </w:rPr>
              <w:t>) (d)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Formula E Holdings Ltd (</w:t>
            </w:r>
            <w:r>
              <w:rPr>
                <w:rFonts w:ascii="Times New Roman;sans-serif" w:hAnsi="Times New Roman;sans-serif"/>
                <w:b/>
                <w:color w:val="000000"/>
                <w:sz w:val="20"/>
              </w:rPr>
              <w:t>Formula E</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Separately-managed accounts (</w:t>
            </w:r>
            <w:r>
              <w:rPr>
                <w:rFonts w:ascii="Times New Roman;sans-serif" w:hAnsi="Times New Roman;sans-serif"/>
                <w:b/>
                <w:color w:val="000000"/>
                <w:sz w:val="20"/>
              </w:rPr>
              <w:t>SMAs</w:t>
            </w:r>
            <w:r>
              <w:rPr>
                <w:rFonts w:ascii="Times New Roman;sans-serif" w:hAnsi="Times New Roman;sans-serif"/>
                <w:b w:val="false"/>
                <w:color w:val="000000"/>
                <w:sz w:val="20"/>
              </w:rPr>
              <w:t>) (e)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 - subject to re-use rights (f)</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EdgeConneX, Inc. (</w:t>
            </w:r>
            <w:r>
              <w:rPr>
                <w:rFonts w:ascii="Times New Roman;sans-serif" w:hAnsi="Times New Roman;sans-serif"/>
                <w:b/>
                <w:color w:val="000000"/>
                <w:sz w:val="20"/>
              </w:rPr>
              <w:t>EdgeConneX</w:t>
            </w:r>
            <w:r>
              <w:rPr>
                <w:rFonts w:ascii="Times New Roman;sans-serif" w:hAnsi="Times New Roman;sans-serif"/>
                <w:b w:val="false"/>
                <w:color w:val="000000"/>
                <w:sz w:val="20"/>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Televisa Univision, Inc. (</w:t>
            </w:r>
            <w:r>
              <w:rPr>
                <w:rFonts w:ascii="Times New Roman;sans-serif" w:hAnsi="Times New Roman;sans-serif"/>
                <w:b/>
                <w:color w:val="000000"/>
                <w:sz w:val="20"/>
              </w:rPr>
              <w:t>Televisa Univision</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 (e)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ITV plc (</w:t>
            </w:r>
            <w:r>
              <w:rPr>
                <w:rFonts w:ascii="Times New Roman;sans-serif" w:hAnsi="Times New Roman;sans-serif"/>
                <w:b/>
                <w:color w:val="000000"/>
                <w:sz w:val="20"/>
              </w:rPr>
              <w:t>ITV</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Plume Design, Inc. (</w:t>
            </w:r>
            <w:r>
              <w:rPr>
                <w:rFonts w:ascii="Times New Roman;sans-serif" w:hAnsi="Times New Roman;sans-serif"/>
                <w:b/>
                <w:color w:val="000000"/>
                <w:sz w:val="20"/>
              </w:rPr>
              <w:t>Plume</w:t>
            </w:r>
            <w:r>
              <w:rPr>
                <w:rFonts w:ascii="Times New Roman;sans-serif" w:hAnsi="Times New Roman;sans-serif"/>
                <w:b w:val="false"/>
                <w:color w:val="000000"/>
                <w:sz w:val="20"/>
              </w:rPr>
              <w:t>) (g)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Pax8, Inc.</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CANAL+ Polska S.A.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Lions Gate Entertainment Corp. (</w:t>
            </w:r>
            <w:r>
              <w:rPr>
                <w:rFonts w:ascii="Times New Roman;sans-serif" w:hAnsi="Times New Roman;sans-serif"/>
                <w:b/>
                <w:color w:val="000000"/>
                <w:sz w:val="20"/>
              </w:rPr>
              <w:t>Lionsgate</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Aviatrix Systems, Inc. (</w:t>
            </w:r>
            <w:r>
              <w:rPr>
                <w:rFonts w:ascii="Times New Roman;sans-serif" w:hAnsi="Times New Roman;sans-serif"/>
                <w:b/>
                <w:color w:val="000000"/>
                <w:sz w:val="20"/>
              </w:rPr>
              <w:t>Aviatrix</w:t>
            </w:r>
            <w:r>
              <w:rPr>
                <w:rFonts w:ascii="Times New Roman;sans-serif" w:hAnsi="Times New Roman;sans-serif"/>
                <w:b w:val="false"/>
                <w:color w:val="000000"/>
                <w:sz w:val="20"/>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Lacework, Inc. (</w:t>
            </w:r>
            <w:r>
              <w:rPr>
                <w:rFonts w:ascii="Times New Roman;sans-serif" w:hAnsi="Times New Roman;sans-serif"/>
                <w:b/>
                <w:color w:val="000000"/>
                <w:sz w:val="20"/>
              </w:rPr>
              <w:t>Lacework</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fair value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(a)Our ownership percentages are determined based on our legal ownership as of the most recent balance sheet date or are estimated based on the number of shares we own and the most recent publicly-available information.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March 31, 2024 and December 31, 2023, the aggregate carrying amounts of our equity method investments exceeded our proportionate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respective investee’s net assets by $1,213.8 million and $1,234.7 million, respectively, which primarily includes amounts associated with the VodafoneZiggo JV Receivables, as defined below, and amounts we are owed under a long-term note receivable from All3Media.</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(c)Amounts include certain notes receivable due from a subsidiary of the VodafoneZiggo JV to a subsidiary of Liberty Global comprising (i) a euro-denominated note receivable with a principal amount of $755.8 million and $774.5 million at March 31, 2024 and December 31, 2023, respectively, (the </w:t>
      </w:r>
      <w:r>
        <w:rPr>
          <w:rFonts w:ascii="Times New Roman;sans-serif" w:hAnsi="Times New Roman;sans-serif"/>
          <w:b/>
          <w:color w:val="000000"/>
          <w:sz w:val="20"/>
        </w:rPr>
        <w:t>VodafoneZiggo JV Receivable I</w:t>
      </w:r>
      <w:r>
        <w:rPr>
          <w:rFonts w:ascii="Times New Roman;sans-serif" w:hAnsi="Times New Roman;sans-serif"/>
          <w:b w:val="false"/>
          <w:color w:val="000000"/>
          <w:sz w:val="20"/>
        </w:rPr>
        <w:t xml:space="preserve">) and (ii) a euro-denominated note receivable with a principal amount of $224.4 million and $230.0 million at March 31, 2024 and December 31, 2023, respectively, (the </w:t>
      </w:r>
      <w:r>
        <w:rPr>
          <w:rFonts w:ascii="Times New Roman;sans-serif" w:hAnsi="Times New Roman;sans-serif"/>
          <w:b/>
          <w:color w:val="000000"/>
          <w:sz w:val="20"/>
        </w:rPr>
        <w:t>VodafoneZiggo JV Receivable II</w:t>
      </w:r>
      <w:r>
        <w:rPr>
          <w:color w:val="000000"/>
        </w:rPr>
        <w:t xml:space="preserve"> </w:t>
      </w:r>
      <w:r>
        <w:rPr>
          <w:rFonts w:ascii="Times New Roman;sans-serif" w:hAnsi="Times New Roman;sans-serif"/>
          <w:b w:val="false"/>
          <w:color w:val="000000"/>
          <w:sz w:val="20"/>
        </w:rPr>
        <w:t xml:space="preserve">and, together with the VodafoneZiggo JV Receivable I, the </w:t>
      </w:r>
      <w:r>
        <w:rPr>
          <w:rFonts w:ascii="Times New Roman;sans-serif" w:hAnsi="Times New Roman;sans-serif"/>
          <w:b/>
          <w:color w:val="000000"/>
          <w:sz w:val="20"/>
        </w:rPr>
        <w:t>VodafoneZiggo JV Receivables</w:t>
      </w:r>
      <w:r>
        <w:rPr>
          <w:rFonts w:ascii="Times New Roman;sans-serif" w:hAnsi="Times New Roman;sans-serif"/>
          <w:b w:val="false"/>
          <w:color w:val="000000"/>
          <w:sz w:val="20"/>
        </w:rPr>
        <w:t>). The VodafoneZiggo JV Receivables bear interest at 5.55% and have a final maturity date of December 31, 2030. During the three months ended March 31, 2024, interest accrued on the VodafoneZiggo JV Receivables was $13.8 million, all of which has been cash settled.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(d)On February 16, 2024, Liberty Global, together with joint owner Warner Bros. Discovery, Inc., reached a definitive agreement to sell 100% of All3Media to RedBird IMI. We expect to receive approximately £315.0 million ($397.7 million) of total cash proceeds from the sale. Regulatory clearance was obtained in April 2024 and we expect the transaction to close in the second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(e)Represents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March 31, 2024. Our SMA held in a leveraged structured note is accounted for at fair value and the associated gains or losses are included in realized and unrealized gains (losses) due to changes in fair values of certain investments, net, in our condensed consolidated statements of operations. At March 31, 2024 and December 31, 2023, interest accrued on our debt securities, which is included in other current assets on our condensed consolidated balance sheets, was $35.2 million and $34.6 million, respectively.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(f)In connection with our investment in Vodafone, we entered into a share collar (the </w:t>
      </w:r>
      <w:r>
        <w:rPr>
          <w:rFonts w:ascii="Times New Roman;sans-serif" w:hAnsi="Times New Roman;sans-serif"/>
          <w:b/>
          <w:color w:val="000000"/>
          <w:sz w:val="20"/>
        </w:rPr>
        <w:t>Vodafone Collar</w:t>
      </w:r>
      <w:r>
        <w:rPr>
          <w:rFonts w:ascii="Times New Roman;sans-serif" w:hAnsi="Times New Roman;sans-serif"/>
          <w:b w:val="false"/>
          <w:color w:val="000000"/>
          <w:sz w:val="20"/>
        </w:rPr>
        <w:t xml:space="preserve">) with respect to the Vodafone shares held by our company. The aggregate purchase price paid to acquire our investment in Vodafone was partially financed through borrowings under a secured borrowing agreement (the </w:t>
      </w:r>
      <w:r>
        <w:rPr>
          <w:rFonts w:ascii="Times New Roman;sans-serif" w:hAnsi="Times New Roman;sans-serif"/>
          <w:b/>
          <w:color w:val="000000"/>
          <w:sz w:val="20"/>
        </w:rPr>
        <w:t>Vodafone Collar Loan</w:t>
      </w:r>
      <w:r>
        <w:rPr>
          <w:rFonts w:ascii="Times New Roman;sans-serif" w:hAnsi="Times New Roman;sans-serif"/>
          <w:b w:val="false"/>
          <w:color w:val="000000"/>
          <w:sz w:val="20"/>
        </w:rPr>
        <w:t>) collateralized by the Vodafone shares. Under the terms of the Vodafone Collar, the counterparty has the right to re-use pledged Vodafone shares. At March 31, 2024 and December 31, 2023, the net fair value of our investment in Vodafone was $122.3 million and $115.5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(g)Our investment in Plume includes warrants with a fair value of $60.9 million and $61.3 million at March 31, 2024 and December 31, 2023, respectively.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(h)The purchase and sale of investments are presented on a gross basis in our condensed consolidated statements of cash flows, including amounts associated with SMAs.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share of results of affiliates, net:</w:t>
      </w:r>
    </w:p>
    <w:tbl>
      <w:tblPr>
        <w:tblW w:w="5216" w:type="dxa"/>
        <w:jc w:val="left"/>
        <w:tblInd w:w="0" w:type="dxa"/>
        <w:tblLayout w:type="fixed"/>
        <w:tblCellMar>
          <w:top w:w="28" w:type="dxa"/>
          <w:left w:w="28" w:type="dxa"/>
          <w:bottom w:w="28" w:type="dxa"/>
          <w:right w:w="28" w:type="dxa"/>
        </w:tblCellMar>
      </w:tblPr>
      <w:tblGrid>
        <w:gridCol w:w="724"/>
        <w:gridCol w:w="637"/>
        <w:gridCol w:w="559"/>
        <w:gridCol w:w="109"/>
        <w:gridCol w:w="109"/>
        <w:gridCol w:w="176"/>
        <w:gridCol w:w="176"/>
        <w:gridCol w:w="341"/>
        <w:gridCol w:w="826"/>
        <w:gridCol w:w="176"/>
        <w:gridCol w:w="109"/>
        <w:gridCol w:w="109"/>
        <w:gridCol w:w="109"/>
        <w:gridCol w:w="211"/>
        <w:gridCol w:w="69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(i) our 50% share of the results of operations of the VodafoneZiggo JV and (ii) 100% of the interest income earned on the VodafoneZiggo JV Receivables.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U.K. JV Framework Agreement</w:t>
      </w:r>
      <w:r>
        <w:rPr>
          <w:rFonts w:ascii="Times New Roman;sans-serif" w:hAnsi="Times New Roman;sans-serif"/>
          <w:b w:val="false"/>
          <w:color w:val="000000"/>
          <w:sz w:val="20"/>
        </w:rPr>
        <w:t xml:space="preserve">), Liberty Global provides certain services to the VMO2 JV on a transitional or ongoing basis (collectively, the </w:t>
      </w:r>
      <w:r>
        <w:rPr>
          <w:rFonts w:ascii="Times New Roman;sans-serif" w:hAnsi="Times New Roman;sans-serif"/>
          <w:b/>
          <w:color w:val="000000"/>
          <w:sz w:val="20"/>
        </w:rPr>
        <w:t>U.K. JV Services</w:t>
      </w:r>
      <w:r>
        <w:rPr>
          <w:rFonts w:ascii="Times New Roman;sans-serif" w:hAnsi="Times New Roman;sans-serif"/>
          <w:b w:val="false"/>
          <w:color w:val="000000"/>
          <w:sz w:val="20"/>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from the VMO2 JV of $112.3 million and $65.8 million during the three months ended March 31, 2024 and 2023, respectively, primarily related to (a) the U.K. JV Services and (b) the sale of customer premises equipment (</w:t>
      </w:r>
      <w:r>
        <w:rPr>
          <w:rFonts w:ascii="Times New Roman;sans-serif" w:hAnsi="Times New Roman;sans-serif"/>
          <w:b/>
          <w:color w:val="000000"/>
          <w:sz w:val="20"/>
        </w:rPr>
        <w:t>CPE</w:t>
      </w:r>
      <w:r>
        <w:rPr>
          <w:rFonts w:ascii="Times New Roman;sans-serif" w:hAnsi="Times New Roman;sans-serif"/>
          <w:b w:val="false"/>
          <w:color w:val="000000"/>
          <w:sz w:val="20"/>
        </w:rPr>
        <w:t>) to the VMO2 JV at a mark-up. At March 31, 2024 and December 31, 2023, $29.4 million and $18.6 million, respectively,</w:t>
      </w:r>
      <w:r>
        <w:rPr>
          <w:color w:val="000000"/>
        </w:rPr>
        <w:t xml:space="preserve"> </w:t>
      </w:r>
      <w:r>
        <w:rPr>
          <w:rFonts w:ascii="Times New Roman;sans-serif" w:hAnsi="Times New Roman;sans-serif"/>
          <w:b w:val="false"/>
          <w:color w:val="000000"/>
          <w:sz w:val="20"/>
        </w:rPr>
        <w:t>was due from the VMO2 JV related to the aforementioned transactions. The amounts due from the VMO2 JV, which are periodically cash settled, are included in other current assets on our condensed consolidated balance sheets. In addition, during the three months ended March 31, 2023, we received a dividend distribution from the VMO2 JV aggregating $198.3 million, which was accounted for as a return of capital for purposes of our condensed consolidated statement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VMO2 JV are set forth below:</w:t>
      </w:r>
    </w:p>
    <w:tbl>
      <w:tblPr>
        <w:tblW w:w="6354" w:type="dxa"/>
        <w:jc w:val="left"/>
        <w:tblInd w:w="0" w:type="dxa"/>
        <w:tblLayout w:type="fixed"/>
        <w:tblCellMar>
          <w:top w:w="28" w:type="dxa"/>
          <w:left w:w="28" w:type="dxa"/>
          <w:bottom w:w="28" w:type="dxa"/>
          <w:right w:w="28" w:type="dxa"/>
        </w:tblCellMar>
      </w:tblPr>
      <w:tblGrid>
        <w:gridCol w:w="1079"/>
        <w:gridCol w:w="951"/>
        <w:gridCol w:w="955"/>
        <w:gridCol w:w="109"/>
        <w:gridCol w:w="109"/>
        <w:gridCol w:w="141"/>
        <w:gridCol w:w="141"/>
        <w:gridCol w:w="274"/>
        <w:gridCol w:w="996"/>
        <w:gridCol w:w="141"/>
        <w:gridCol w:w="109"/>
        <w:gridCol w:w="109"/>
        <w:gridCol w:w="109"/>
        <w:gridCol w:w="211"/>
        <w:gridCol w:w="76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VodafoneZiggo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NL JV Framework Agreement</w:t>
      </w:r>
      <w:r>
        <w:rPr>
          <w:rFonts w:ascii="Times New Roman;sans-serif" w:hAnsi="Times New Roman;sans-serif"/>
          <w:b w:val="false"/>
          <w:color w:val="000000"/>
          <w:sz w:val="20"/>
        </w:rPr>
        <w:t xml:space="preserve">), Liberty Global provides certain services to the VodafoneZiggo JV (collectively, the </w:t>
      </w:r>
      <w:r>
        <w:rPr>
          <w:rFonts w:ascii="Times New Roman;sans-serif" w:hAnsi="Times New Roman;sans-serif"/>
          <w:b/>
          <w:color w:val="000000"/>
          <w:sz w:val="20"/>
        </w:rPr>
        <w:t>NL JV Services</w:t>
      </w:r>
      <w:r>
        <w:rPr>
          <w:rFonts w:ascii="Times New Roman;sans-serif" w:hAnsi="Times New Roman;sans-serif"/>
          <w:b w:val="false"/>
          <w:color w:val="000000"/>
          <w:sz w:val="20"/>
        </w:rPr>
        <w:t>). The NL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$62.1 million and $65.0 million during the three months ended March 31, 2024 and 2023, respectively, primarily related to (a) the NL JV Services and (b) the sale of CPE</w:t>
      </w:r>
      <w:r>
        <w:rPr>
          <w:color w:val="000000"/>
        </w:rPr>
        <w:t xml:space="preserve"> </w:t>
      </w:r>
      <w:r>
        <w:rPr>
          <w:rFonts w:ascii="Times New Roman;sans-serif" w:hAnsi="Times New Roman;sans-serif"/>
          <w:b w:val="false"/>
          <w:color w:val="000000"/>
          <w:sz w:val="20"/>
        </w:rPr>
        <w:t>to the VodafoneZiggo JV at a mark-up. At March 31, 2024 and December 31, 2023, $37.6 million and $24.2 million,</w:t>
      </w:r>
      <w:r>
        <w:rPr>
          <w:color w:val="000000"/>
        </w:rPr>
        <w:t xml:space="preserve"> </w:t>
      </w:r>
      <w:r>
        <w:rPr>
          <w:rFonts w:ascii="Times New Roman;sans-serif" w:hAnsi="Times New Roman;sans-serif"/>
          <w:b w:val="false"/>
          <w:color w:val="000000"/>
          <w:sz w:val="20"/>
        </w:rPr>
        <w:t>respectively,</w:t>
      </w:r>
      <w:r>
        <w:rPr>
          <w:color w:val="000000"/>
        </w:rPr>
        <w:t xml:space="preserve"> </w:t>
      </w:r>
      <w:r>
        <w:rPr>
          <w:rFonts w:ascii="Times New Roman;sans-serif" w:hAnsi="Times New Roman;sans-serif"/>
          <w:b w:val="false"/>
          <w:color w:val="000000"/>
          <w:sz w:val="20"/>
        </w:rPr>
        <w:t>was due from the VodafoneZiggo JV related to the aforementioned transactions. The amounts due from the VodafoneZiggo JV, which are periodically cash settled, are included in other current assets on our condensed consolidated balance sheets.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VodafoneZiggo JV are set forth below:</w:t>
      </w:r>
    </w:p>
    <w:tbl>
      <w:tblPr>
        <w:tblW w:w="5529" w:type="dxa"/>
        <w:jc w:val="left"/>
        <w:tblInd w:w="0" w:type="dxa"/>
        <w:tblLayout w:type="fixed"/>
        <w:tblCellMar>
          <w:top w:w="28" w:type="dxa"/>
          <w:left w:w="28" w:type="dxa"/>
          <w:bottom w:w="28" w:type="dxa"/>
          <w:right w:w="28" w:type="dxa"/>
        </w:tblCellMar>
      </w:tblPr>
      <w:tblGrid>
        <w:gridCol w:w="781"/>
        <w:gridCol w:w="688"/>
        <w:gridCol w:w="691"/>
        <w:gridCol w:w="109"/>
        <w:gridCol w:w="109"/>
        <w:gridCol w:w="141"/>
        <w:gridCol w:w="141"/>
        <w:gridCol w:w="274"/>
        <w:gridCol w:w="996"/>
        <w:gridCol w:w="141"/>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Fair Value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realized and unrealized gains (losses) due to changes in fair value, net:</w:t>
      </w:r>
    </w:p>
    <w:tbl>
      <w:tblPr>
        <w:tblW w:w="4332" w:type="dxa"/>
        <w:jc w:val="left"/>
        <w:tblInd w:w="0" w:type="dxa"/>
        <w:tblLayout w:type="fixed"/>
        <w:tblCellMar>
          <w:top w:w="28" w:type="dxa"/>
          <w:left w:w="28" w:type="dxa"/>
          <w:bottom w:w="28" w:type="dxa"/>
          <w:right w:w="28" w:type="dxa"/>
        </w:tblCellMar>
      </w:tblPr>
      <w:tblGrid>
        <w:gridCol w:w="440"/>
        <w:gridCol w:w="387"/>
        <w:gridCol w:w="389"/>
        <w:gridCol w:w="109"/>
        <w:gridCol w:w="109"/>
        <w:gridCol w:w="160"/>
        <w:gridCol w:w="160"/>
        <w:gridCol w:w="310"/>
        <w:gridCol w:w="905"/>
        <w:gridCol w:w="160"/>
        <w:gridCol w:w="109"/>
        <w:gridCol w:w="109"/>
        <w:gridCol w:w="109"/>
        <w:gridCol w:w="211"/>
        <w:gridCol w:w="511"/>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Securities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a summary of our debt securities at March 31, 2024 and December 31, 2023:</w:t>
      </w:r>
    </w:p>
    <w:tbl>
      <w:tblPr>
        <w:tblW w:w="8039" w:type="dxa"/>
        <w:jc w:val="left"/>
        <w:tblInd w:w="0" w:type="dxa"/>
        <w:tblLayout w:type="fixed"/>
        <w:tblCellMar>
          <w:top w:w="28" w:type="dxa"/>
          <w:left w:w="28" w:type="dxa"/>
          <w:bottom w:w="28" w:type="dxa"/>
          <w:right w:w="28" w:type="dxa"/>
        </w:tblCellMar>
      </w:tblPr>
      <w:tblGrid>
        <w:gridCol w:w="777"/>
        <w:gridCol w:w="682"/>
        <w:gridCol w:w="686"/>
        <w:gridCol w:w="329"/>
        <w:gridCol w:w="1196"/>
        <w:gridCol w:w="170"/>
        <w:gridCol w:w="109"/>
        <w:gridCol w:w="109"/>
        <w:gridCol w:w="109"/>
        <w:gridCol w:w="701"/>
        <w:gridCol w:w="1349"/>
        <w:gridCol w:w="364"/>
        <w:gridCol w:w="109"/>
        <w:gridCol w:w="109"/>
        <w:gridCol w:w="109"/>
        <w:gridCol w:w="211"/>
        <w:gridCol w:w="7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 (a)</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third-party investment bank, which is accounted for at fair value.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During the three months ended March 31, 2024, we invested an additional $46.6 million in the leveraged structured note. At March 31, 2024,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40" w:type="dxa"/>
        <w:jc w:val="left"/>
        <w:tblInd w:w="0" w:type="dxa"/>
        <w:tblLayout w:type="fixed"/>
        <w:tblCellMar>
          <w:top w:w="28" w:type="dxa"/>
          <w:left w:w="28" w:type="dxa"/>
          <w:bottom w:w="28" w:type="dxa"/>
          <w:right w:w="28" w:type="dxa"/>
        </w:tblCellMar>
      </w:tblPr>
      <w:tblGrid>
        <w:gridCol w:w="777"/>
        <w:gridCol w:w="682"/>
        <w:gridCol w:w="686"/>
        <w:gridCol w:w="329"/>
        <w:gridCol w:w="1196"/>
        <w:gridCol w:w="170"/>
        <w:gridCol w:w="109"/>
        <w:gridCol w:w="109"/>
        <w:gridCol w:w="109"/>
        <w:gridCol w:w="686"/>
        <w:gridCol w:w="1371"/>
        <w:gridCol w:w="358"/>
        <w:gridCol w:w="109"/>
        <w:gridCol w:w="109"/>
        <w:gridCol w:w="109"/>
        <w:gridCol w:w="211"/>
        <w:gridCol w:w="7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 (a)</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third-party investment bank, which is accounted for at fair value. At December 31, 2023,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proceeds from the sale of debt securities of $1.1 billion and $2.4 billion during the three months ended March 31, 2024 and 2023, respectively, the majority of which were reinvested in new debt securities held under SMAs. The sale of debt securities resulted in realized net losses of $11.2 million and $19.2 million during the three months ended March 31,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debt securities as of March 31, 2024 by contractual maturity are shown below (in millions):</w:t>
      </w:r>
    </w:p>
    <w:p>
      <w:pPr>
        <w:pStyle w:val="TextBody"/>
        <w:bidi w:val="0"/>
        <w:spacing w:before="0" w:after="0"/>
        <w:ind w:left="0" w:right="0" w:firstLine="360"/>
        <w:jc w:val="both"/>
        <w:rPr/>
      </w:pPr>
      <w:r>
        <w:rPr/>
      </w:r>
    </w:p>
    <w:tbl>
      <w:tblPr>
        <w:tblW w:w="3170" w:type="dxa"/>
        <w:jc w:val="left"/>
        <w:tblInd w:w="0" w:type="dxa"/>
        <w:tblLayout w:type="fixed"/>
        <w:tblCellMar>
          <w:top w:w="28" w:type="dxa"/>
          <w:left w:w="28" w:type="dxa"/>
          <w:bottom w:w="28" w:type="dxa"/>
          <w:right w:w="28" w:type="dxa"/>
        </w:tblCellMar>
      </w:tblPr>
      <w:tblGrid>
        <w:gridCol w:w="735"/>
        <w:gridCol w:w="647"/>
        <w:gridCol w:w="657"/>
        <w:gridCol w:w="211"/>
        <w:gridCol w:w="76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weighted average life of our total debt securities was 0.8 years as of March 31, 2024.</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Derivative Instruments</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Times New Roman;sans-serif" w:hAnsi="Times New Roman;sans-serif"/>
          <w:b/>
          <w:color w:val="000000"/>
          <w:sz w:val="20"/>
        </w:rPr>
        <w:t>$</w:t>
      </w:r>
      <w:r>
        <w:rPr>
          <w:rFonts w:ascii="Times New Roman;sans-serif" w:hAnsi="Times New Roman;sans-serif"/>
          <w:b w:val="false"/>
          <w:color w:val="000000"/>
          <w:sz w:val="20"/>
        </w:rPr>
        <w:t>), the euro (</w:t>
      </w:r>
      <w:r>
        <w:rPr>
          <w:color w:val="000000"/>
        </w:rPr>
        <w:t>€</w:t>
      </w:r>
      <w:r>
        <w:rPr>
          <w:rFonts w:ascii="Times New Roman;sans-serif" w:hAnsi="Times New Roman;sans-serif"/>
          <w:b w:val="false"/>
          <w:color w:val="000000"/>
          <w:sz w:val="20"/>
        </w:rPr>
        <w:t>), the British pound sterling (</w:t>
      </w:r>
      <w:r>
        <w:rPr>
          <w:rFonts w:ascii="Times New Roman;sans-serif" w:hAnsi="Times New Roman;sans-serif"/>
          <w:b/>
          <w:color w:val="000000"/>
          <w:sz w:val="20"/>
        </w:rPr>
        <w:t>£</w:t>
      </w:r>
      <w:r>
        <w:rPr>
          <w:rFonts w:ascii="Times New Roman;sans-serif" w:hAnsi="Times New Roman;sans-serif"/>
          <w:b w:val="false"/>
          <w:color w:val="000000"/>
          <w:sz w:val="20"/>
        </w:rPr>
        <w:t>) and the Swiss franc (</w:t>
      </w:r>
      <w:r>
        <w:rPr>
          <w:rFonts w:ascii="Times New Roman;sans-serif" w:hAnsi="Times New Roman;sans-serif"/>
          <w:b/>
          <w:color w:val="000000"/>
          <w:sz w:val="20"/>
        </w:rPr>
        <w:t>CHF</w:t>
      </w:r>
      <w:r>
        <w:rPr>
          <w:rFonts w:ascii="Times New Roman;sans-serif" w:hAnsi="Times New Roman;sans-serif"/>
          <w:b w:val="false"/>
          <w:color w:val="000000"/>
          <w:sz w:val="20"/>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fair values of our derivative instrument assets and liabilities:</w:t>
      </w:r>
    </w:p>
    <w:tbl>
      <w:tblPr>
        <w:tblW w:w="10205" w:type="dxa"/>
        <w:jc w:val="left"/>
        <w:tblInd w:w="0" w:type="dxa"/>
        <w:tblLayout w:type="fixed"/>
        <w:tblCellMar>
          <w:top w:w="28" w:type="dxa"/>
          <w:left w:w="28" w:type="dxa"/>
          <w:bottom w:w="28" w:type="dxa"/>
          <w:right w:w="28" w:type="dxa"/>
        </w:tblCellMar>
      </w:tblPr>
      <w:tblGrid>
        <w:gridCol w:w="941"/>
        <w:gridCol w:w="830"/>
        <w:gridCol w:w="83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5"/>
      </w:tblGrid>
      <w:tr>
        <w:trPr/>
        <w:tc>
          <w:tcPr>
            <w:tcW w:w="9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(a)Our long-term derivative assets and long-term derivative liabilities are included in other assets, net, and other long-term liabilities, respectively, on our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8). The changes in the credit risk valuation adjustments associated with our cross-currency and interest rate derivative contracts resulted in net losses of $48.8 million and $21.4 million during the three months ended March 31, 2024 and 2023, respectively. These amounts are included in realized and unrealized gains (losses)</w:t>
      </w:r>
      <w:r>
        <w:rPr>
          <w:color w:val="000000"/>
        </w:rPr>
        <w:t xml:space="preserve"> </w:t>
      </w:r>
      <w:r>
        <w:rPr>
          <w:rFonts w:ascii="Times New Roman;sans-serif" w:hAnsi="Times New Roman;sans-serif"/>
          <w:b w:val="false"/>
          <w:color w:val="000000"/>
          <w:sz w:val="20"/>
        </w:rPr>
        <w:t>on derivative instruments, net, in our condensed consolidated statements of operations. For further information regarding our fair value measurements, see note 6.</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realized and unrealized gains (losses) on derivative instruments, net, are as follows:</w:t>
      </w:r>
    </w:p>
    <w:tbl>
      <w:tblPr>
        <w:tblW w:w="7511" w:type="dxa"/>
        <w:jc w:val="left"/>
        <w:tblInd w:w="0" w:type="dxa"/>
        <w:tblLayout w:type="fixed"/>
        <w:tblCellMar>
          <w:top w:w="28" w:type="dxa"/>
          <w:left w:w="28" w:type="dxa"/>
          <w:bottom w:w="28" w:type="dxa"/>
          <w:right w:w="28" w:type="dxa"/>
        </w:tblCellMar>
      </w:tblPr>
      <w:tblGrid>
        <w:gridCol w:w="1565"/>
        <w:gridCol w:w="1374"/>
        <w:gridCol w:w="1381"/>
        <w:gridCol w:w="109"/>
        <w:gridCol w:w="109"/>
        <w:gridCol w:w="160"/>
        <w:gridCol w:w="160"/>
        <w:gridCol w:w="310"/>
        <w:gridCol w:w="905"/>
        <w:gridCol w:w="160"/>
        <w:gridCol w:w="109"/>
        <w:gridCol w:w="109"/>
        <w:gridCol w:w="109"/>
        <w:gridCol w:w="211"/>
        <w:gridCol w:w="58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ans-serif" w:hAnsi="Times New Roman;sans-serif"/>
          <w:b w:val="false"/>
          <w:color w:val="000000"/>
          <w:sz w:val="20"/>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(outflows)</w:t>
      </w:r>
      <w:r>
        <w:rPr>
          <w:color w:val="000000"/>
        </w:rPr>
        <w:t xml:space="preserve"> </w:t>
      </w:r>
      <w:r>
        <w:rPr>
          <w:rFonts w:ascii="Times New Roman;sans-serif" w:hAnsi="Times New Roman;sans-serif"/>
          <w:b w:val="false"/>
          <w:color w:val="000000"/>
          <w:sz w:val="20"/>
        </w:rPr>
        <w:t>of our derivative instruments:</w:t>
      </w:r>
    </w:p>
    <w:tbl>
      <w:tblPr>
        <w:tblW w:w="3774" w:type="dxa"/>
        <w:jc w:val="left"/>
        <w:tblInd w:w="0" w:type="dxa"/>
        <w:tblLayout w:type="fixed"/>
        <w:tblCellMar>
          <w:top w:w="28" w:type="dxa"/>
          <w:left w:w="28" w:type="dxa"/>
          <w:bottom w:w="28" w:type="dxa"/>
          <w:right w:w="28" w:type="dxa"/>
        </w:tblCellMar>
      </w:tblPr>
      <w:tblGrid>
        <w:gridCol w:w="630"/>
        <w:gridCol w:w="553"/>
        <w:gridCol w:w="557"/>
        <w:gridCol w:w="211"/>
        <w:gridCol w:w="511"/>
        <w:gridCol w:w="109"/>
        <w:gridCol w:w="109"/>
        <w:gridCol w:w="109"/>
        <w:gridCol w:w="109"/>
        <w:gridCol w:w="211"/>
        <w:gridCol w:w="51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March 31, 2024, our exposure to counterparty credit risk included derivative assets with an aggregate fair value of $394.0 million.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Details of our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Cross-currency Derivative Contracts</w:t>
      </w:r>
    </w:p>
    <w:p>
      <w:pPr>
        <w:pStyle w:val="TextBody"/>
        <w:bidi w:val="0"/>
        <w:spacing w:before="0" w:after="0"/>
        <w:ind w:left="0" w:right="0" w:firstLine="180"/>
        <w:jc w:val="both"/>
        <w:rPr/>
      </w:pPr>
      <w:r>
        <w:rPr/>
      </w:r>
    </w:p>
    <w:p>
      <w:pPr>
        <w:pStyle w:val="TextBody"/>
        <w:bidi w:val="0"/>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2024,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2024: </w:t>
      </w:r>
    </w:p>
    <w:tbl>
      <w:tblPr>
        <w:tblW w:w="8811" w:type="dxa"/>
        <w:jc w:val="left"/>
        <w:tblInd w:w="0" w:type="dxa"/>
        <w:tblLayout w:type="fixed"/>
        <w:tblCellMar>
          <w:top w:w="28" w:type="dxa"/>
          <w:left w:w="28" w:type="dxa"/>
          <w:bottom w:w="28" w:type="dxa"/>
          <w:right w:w="28" w:type="dxa"/>
        </w:tblCellMar>
      </w:tblPr>
      <w:tblGrid>
        <w:gridCol w:w="266"/>
        <w:gridCol w:w="233"/>
        <w:gridCol w:w="233"/>
        <w:gridCol w:w="233"/>
        <w:gridCol w:w="233"/>
        <w:gridCol w:w="240"/>
        <w:gridCol w:w="317"/>
        <w:gridCol w:w="317"/>
        <w:gridCol w:w="317"/>
        <w:gridCol w:w="394"/>
        <w:gridCol w:w="372"/>
        <w:gridCol w:w="319"/>
        <w:gridCol w:w="109"/>
        <w:gridCol w:w="109"/>
        <w:gridCol w:w="109"/>
        <w:gridCol w:w="186"/>
        <w:gridCol w:w="186"/>
        <w:gridCol w:w="186"/>
        <w:gridCol w:w="383"/>
        <w:gridCol w:w="383"/>
        <w:gridCol w:w="186"/>
        <w:gridCol w:w="186"/>
        <w:gridCol w:w="186"/>
        <w:gridCol w:w="192"/>
        <w:gridCol w:w="109"/>
        <w:gridCol w:w="109"/>
        <w:gridCol w:w="109"/>
        <w:gridCol w:w="762"/>
        <w:gridCol w:w="762"/>
        <w:gridCol w:w="1085"/>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br/>
              <w:t xml:space="preserve">due from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amount </w:t>
              <w:br/>
              <w:t xml:space="preserve">due to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CHF</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CHF</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Telenet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certain derivative instruments that are “forward-starting,” such that the initial exchange occurs at a date subsequent to March 31, 2024. These instruments are typically entered into in order to extend existing hedges without the need to amend existing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certain derivative instruments that do not involve the exchange of notional amounts at the inception and maturity of the instruments. Accordingly, the only cash flows associated with these derivative instruments are coupon-related payments and receipts.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Swap Contracts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U.S. dollar equivalents of the notional amounts and the related weighted average remaining contractual lives of our interest rate swap contracts at March 31, 2024:</w:t>
      </w:r>
    </w:p>
    <w:tbl>
      <w:tblPr>
        <w:tblW w:w="10205" w:type="dxa"/>
        <w:jc w:val="left"/>
        <w:tblInd w:w="0" w:type="dxa"/>
        <w:tblLayout w:type="fixed"/>
        <w:tblCellMar>
          <w:top w:w="28" w:type="dxa"/>
          <w:left w:w="28" w:type="dxa"/>
          <w:bottom w:w="28" w:type="dxa"/>
          <w:right w:w="28" w:type="dxa"/>
        </w:tblCellMar>
      </w:tblPr>
      <w:tblGrid>
        <w:gridCol w:w="432"/>
        <w:gridCol w:w="380"/>
        <w:gridCol w:w="383"/>
        <w:gridCol w:w="211"/>
        <w:gridCol w:w="766"/>
        <w:gridCol w:w="109"/>
        <w:gridCol w:w="211"/>
        <w:gridCol w:w="406"/>
        <w:gridCol w:w="109"/>
        <w:gridCol w:w="109"/>
        <w:gridCol w:w="109"/>
        <w:gridCol w:w="109"/>
        <w:gridCol w:w="120"/>
        <w:gridCol w:w="120"/>
        <w:gridCol w:w="121"/>
        <w:gridCol w:w="642"/>
        <w:gridCol w:w="642"/>
        <w:gridCol w:w="644"/>
        <w:gridCol w:w="211"/>
        <w:gridCol w:w="766"/>
        <w:gridCol w:w="109"/>
        <w:gridCol w:w="211"/>
        <w:gridCol w:w="511"/>
        <w:gridCol w:w="109"/>
        <w:gridCol w:w="109"/>
        <w:gridCol w:w="109"/>
        <w:gridCol w:w="109"/>
        <w:gridCol w:w="120"/>
        <w:gridCol w:w="120"/>
        <w:gridCol w:w="121"/>
        <w:gridCol w:w="576"/>
        <w:gridCol w:w="576"/>
        <w:gridCol w:w="825"/>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Pays fixed rate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Receives fixed rate</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11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tcPr>
          <w:p>
            <w:pPr>
              <w:pStyle w:val="TableContents"/>
              <w:bidi w:val="0"/>
              <w:spacing w:before="0" w:after="283"/>
              <w:jc w:val="left"/>
              <w:rPr>
                <w:sz w:val="4"/>
                <w:szCs w:val="4"/>
              </w:rPr>
            </w:pPr>
            <w:r>
              <w:rPr>
                <w:sz w:val="4"/>
                <w:szCs w:val="4"/>
              </w:rPr>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77" w:type="dxa"/>
            <w:gridSpan w:val="3"/>
            <w:tcBorders/>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77" w:type="dxa"/>
            <w:gridSpan w:val="3"/>
            <w:tcBorders/>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forward-starting derivative instruments.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Represents contracts associated with our investment in a leveraged structured note. For additional information, see note 4.</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Basis Swaps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2024:</w:t>
      </w:r>
    </w:p>
    <w:tbl>
      <w:tblPr>
        <w:tblW w:w="7584" w:type="dxa"/>
        <w:jc w:val="left"/>
        <w:tblInd w:w="0" w:type="dxa"/>
        <w:tblLayout w:type="fixed"/>
        <w:tblCellMar>
          <w:top w:w="28" w:type="dxa"/>
          <w:left w:w="28" w:type="dxa"/>
          <w:bottom w:w="28" w:type="dxa"/>
          <w:right w:w="28" w:type="dxa"/>
        </w:tblCellMar>
      </w:tblPr>
      <w:tblGrid>
        <w:gridCol w:w="266"/>
        <w:gridCol w:w="233"/>
        <w:gridCol w:w="233"/>
        <w:gridCol w:w="233"/>
        <w:gridCol w:w="233"/>
        <w:gridCol w:w="240"/>
        <w:gridCol w:w="621"/>
        <w:gridCol w:w="2263"/>
        <w:gridCol w:w="326"/>
        <w:gridCol w:w="109"/>
        <w:gridCol w:w="109"/>
        <w:gridCol w:w="109"/>
        <w:gridCol w:w="762"/>
        <w:gridCol w:w="762"/>
        <w:gridCol w:w="1085"/>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due from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Interest Rate Caps, Floors and Collars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2024, we had no interest rate collar agreements, and the total U.S. dollar equivalents of the notional amounts of our purchased interest rate caps and floors were $1.2 billion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$4.5 billion,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Impact of Derivative Instruments on Borrowing Costs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 derivative instruments that mitigate our foreign currency and interest rate risk, as described above, on our borrowing costs is as follows: </w:t>
      </w:r>
    </w:p>
    <w:tbl>
      <w:tblPr>
        <w:tblW w:w="5893" w:type="dxa"/>
        <w:jc w:val="left"/>
        <w:tblInd w:w="0" w:type="dxa"/>
        <w:tblLayout w:type="fixed"/>
        <w:tblCellMar>
          <w:top w:w="28" w:type="dxa"/>
          <w:left w:w="28" w:type="dxa"/>
          <w:bottom w:w="28" w:type="dxa"/>
          <w:right w:w="28" w:type="dxa"/>
        </w:tblCellMar>
      </w:tblPr>
      <w:tblGrid>
        <w:gridCol w:w="524"/>
        <w:gridCol w:w="459"/>
        <w:gridCol w:w="459"/>
        <w:gridCol w:w="459"/>
        <w:gridCol w:w="459"/>
        <w:gridCol w:w="473"/>
        <w:gridCol w:w="624"/>
        <w:gridCol w:w="624"/>
        <w:gridCol w:w="1812"/>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Decrease to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borrowing costs at March 31, 2024 (a)</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3060" w:type="dxa"/>
            <w:gridSpan w:val="3"/>
            <w:tcBorders/>
          </w:tcPr>
          <w:p>
            <w:pPr>
              <w:pStyle w:val="TableContents"/>
              <w:bidi w:val="0"/>
              <w:spacing w:before="0" w:after="283"/>
              <w:jc w:val="left"/>
              <w:rPr>
                <w:sz w:val="4"/>
                <w:szCs w:val="4"/>
              </w:rPr>
            </w:pPr>
            <w:r>
              <w:rPr>
                <w:sz w:val="4"/>
                <w:szCs w:val="4"/>
              </w:rPr>
            </w:r>
          </w:p>
        </w:tc>
      </w:tr>
      <w:tr>
        <w:trP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81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81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to borrowing costs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effect of derivative instruments in effect at March 31, 2024 and does not include forward-starting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Forwards and Options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enter into foreign currency forward and option contracts with respect to non-functional currency exposure. As of March 31, 2024, the total U.S. dollar equivalent of the notional amounts of our foreign currency forward and option contracts was $1.6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(6)    </w:t>
      </w:r>
      <w:r>
        <w:rPr>
          <w:rFonts w:ascii="Times New Roman;sans-serif" w:hAnsi="Times New Roman;sans-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fair value method to account for (i) certain of our investments and (ii) our derivative instruments. The reported fair values of these investments and derivative instruments as of March 31, 2024 are unlikely to represent the value that will be paid or received upon the ultimate settlement or disposition of these assets and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based on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15),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three months ended March 31, 2024 and 2023, we did not perform any significant nonrecurring 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concerning our fair value measurements, see note 9 to the consolidated financial statements included in our 10-K.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assets and liabilities that are measured at fair value on a recurring basis is as follows:</w:t>
      </w:r>
    </w:p>
    <w:tbl>
      <w:tblPr>
        <w:tblW w:w="10205" w:type="dxa"/>
        <w:jc w:val="left"/>
        <w:tblInd w:w="0" w:type="dxa"/>
        <w:tblLayout w:type="fixed"/>
        <w:tblCellMar>
          <w:top w:w="28" w:type="dxa"/>
          <w:left w:w="28" w:type="dxa"/>
          <w:bottom w:w="28" w:type="dxa"/>
          <w:right w:w="28" w:type="dxa"/>
        </w:tblCellMar>
      </w:tblPr>
      <w:tblGrid>
        <w:gridCol w:w="674"/>
        <w:gridCol w:w="591"/>
        <w:gridCol w:w="594"/>
        <w:gridCol w:w="200"/>
        <w:gridCol w:w="200"/>
        <w:gridCol w:w="200"/>
        <w:gridCol w:w="211"/>
        <w:gridCol w:w="766"/>
        <w:gridCol w:w="109"/>
        <w:gridCol w:w="109"/>
        <w:gridCol w:w="109"/>
        <w:gridCol w:w="109"/>
        <w:gridCol w:w="431"/>
        <w:gridCol w:w="1570"/>
        <w:gridCol w:w="226"/>
        <w:gridCol w:w="109"/>
        <w:gridCol w:w="109"/>
        <w:gridCol w:w="109"/>
        <w:gridCol w:w="335"/>
        <w:gridCol w:w="1219"/>
        <w:gridCol w:w="173"/>
        <w:gridCol w:w="109"/>
        <w:gridCol w:w="109"/>
        <w:gridCol w:w="109"/>
        <w:gridCol w:w="319"/>
        <w:gridCol w:w="1163"/>
        <w:gridCol w:w="243"/>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 using:</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tcPr>
          <w:p>
            <w:pPr>
              <w:pStyle w:val="TableContents"/>
              <w:bidi w:val="0"/>
              <w:spacing w:before="0" w:after="283"/>
              <w:jc w:val="left"/>
              <w:rPr>
                <w:sz w:val="4"/>
                <w:szCs w:val="4"/>
              </w:rPr>
            </w:pPr>
            <w:r>
              <w:rPr>
                <w:sz w:val="4"/>
                <w:szCs w:val="4"/>
              </w:rPr>
            </w:r>
          </w:p>
        </w:tc>
      </w:tr>
      <w:tr>
        <w:trPr/>
        <w:tc>
          <w:tcPr>
            <w:tcW w:w="24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9"/>
        <w:gridCol w:w="577"/>
        <w:gridCol w:w="581"/>
        <w:gridCol w:w="196"/>
        <w:gridCol w:w="196"/>
        <w:gridCol w:w="196"/>
        <w:gridCol w:w="242"/>
        <w:gridCol w:w="882"/>
        <w:gridCol w:w="125"/>
        <w:gridCol w:w="109"/>
        <w:gridCol w:w="109"/>
        <w:gridCol w:w="109"/>
        <w:gridCol w:w="421"/>
        <w:gridCol w:w="1534"/>
        <w:gridCol w:w="221"/>
        <w:gridCol w:w="109"/>
        <w:gridCol w:w="109"/>
        <w:gridCol w:w="109"/>
        <w:gridCol w:w="329"/>
        <w:gridCol w:w="1197"/>
        <w:gridCol w:w="170"/>
        <w:gridCol w:w="109"/>
        <w:gridCol w:w="109"/>
        <w:gridCol w:w="109"/>
        <w:gridCol w:w="315"/>
        <w:gridCol w:w="1145"/>
        <w:gridCol w:w="238"/>
      </w:tblGrid>
      <w:tr>
        <w:trPr/>
        <w:tc>
          <w:tcPr>
            <w:tcW w:w="6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 using:</w:t>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assets and liabilities measured at fair value on a recurring basis using significant unobservable, or Level 3, inputs is as follows:</w:t>
      </w:r>
    </w:p>
    <w:tbl>
      <w:tblPr>
        <w:tblW w:w="10205" w:type="dxa"/>
        <w:jc w:val="left"/>
        <w:tblInd w:w="0" w:type="dxa"/>
        <w:tblLayout w:type="fixed"/>
        <w:tblCellMar>
          <w:top w:w="28" w:type="dxa"/>
          <w:left w:w="28" w:type="dxa"/>
          <w:bottom w:w="28" w:type="dxa"/>
          <w:right w:w="28" w:type="dxa"/>
        </w:tblCellMar>
      </w:tblPr>
      <w:tblGrid>
        <w:gridCol w:w="2184"/>
        <w:gridCol w:w="1849"/>
        <w:gridCol w:w="1866"/>
        <w:gridCol w:w="211"/>
        <w:gridCol w:w="766"/>
        <w:gridCol w:w="109"/>
        <w:gridCol w:w="109"/>
        <w:gridCol w:w="109"/>
        <w:gridCol w:w="109"/>
        <w:gridCol w:w="109"/>
        <w:gridCol w:w="109"/>
        <w:gridCol w:w="274"/>
        <w:gridCol w:w="800"/>
        <w:gridCol w:w="142"/>
        <w:gridCol w:w="109"/>
        <w:gridCol w:w="109"/>
        <w:gridCol w:w="109"/>
        <w:gridCol w:w="211"/>
        <w:gridCol w:w="766"/>
        <w:gridCol w:w="155"/>
      </w:tblGrid>
      <w:tr>
        <w:trPr/>
        <w:tc>
          <w:tcPr>
            <w:tcW w:w="218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Equity-related</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59" w:type="dxa"/>
            <w:gridSpan w:val="6"/>
            <w:tcBorders/>
          </w:tcPr>
          <w:p>
            <w:pPr>
              <w:pStyle w:val="TableContents"/>
              <w:bidi w:val="0"/>
              <w:spacing w:before="0" w:after="283"/>
              <w:jc w:val="left"/>
              <w:rPr>
                <w:sz w:val="4"/>
                <w:szCs w:val="4"/>
              </w:rPr>
            </w:pPr>
            <w:r>
              <w:rPr>
                <w:sz w:val="4"/>
                <w:szCs w:val="4"/>
              </w:rPr>
            </w:r>
          </w:p>
        </w:tc>
      </w:tr>
      <w:tr>
        <w:trPr/>
        <w:tc>
          <w:tcPr>
            <w:tcW w:w="5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included in net earnings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on derivative instruments,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and other,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March 31, 2024 (b)</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primarily relate to assets and liabilities that we continue to carry on our condensed consolidated balance sheet as of March 31, 2024.</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 of March 31, 2024, $369.4 million of our Level 3 investments were accounted for under the measurement alternative at cost less impairment, adjusted for observable price changes.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(7)    </w:t>
      </w:r>
      <w:r>
        <w:rPr>
          <w:rFonts w:ascii="Times New Roman;sans-serif" w:hAnsi="Times New Roman;sans-serif"/>
          <w:b/>
          <w:color w:val="000000"/>
          <w:sz w:val="20"/>
          <w:u w:val="single"/>
        </w:rPr>
        <w:t>Long-lived Assets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property and equipment and the related accumulated depreciation are set forth below:</w:t>
      </w:r>
    </w:p>
    <w:tbl>
      <w:tblPr>
        <w:tblW w:w="6054" w:type="dxa"/>
        <w:jc w:val="left"/>
        <w:tblInd w:w="0" w:type="dxa"/>
        <w:tblLayout w:type="fixed"/>
        <w:tblCellMar>
          <w:top w:w="28" w:type="dxa"/>
          <w:left w:w="28" w:type="dxa"/>
          <w:bottom w:w="28" w:type="dxa"/>
          <w:right w:w="28" w:type="dxa"/>
        </w:tblCellMar>
      </w:tblPr>
      <w:tblGrid>
        <w:gridCol w:w="1194"/>
        <w:gridCol w:w="1052"/>
        <w:gridCol w:w="1054"/>
        <w:gridCol w:w="211"/>
        <w:gridCol w:w="871"/>
        <w:gridCol w:w="109"/>
        <w:gridCol w:w="109"/>
        <w:gridCol w:w="109"/>
        <w:gridCol w:w="109"/>
        <w:gridCol w:w="211"/>
        <w:gridCol w:w="871"/>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systems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equipment, buildings and land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premises equipment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March 31, 2024 and 2023, we recorded non-cash increases to our property and equipment related to vendor financing arrangements of $39.8 million and $42.3 million, respectively, which exclude related value-added taxes (</w:t>
      </w:r>
      <w:r>
        <w:rPr>
          <w:rFonts w:ascii="Times New Roman;sans-serif" w:hAnsi="Times New Roman;sans-serif"/>
          <w:b/>
          <w:color w:val="000000"/>
          <w:sz w:val="20"/>
        </w:rPr>
        <w:t>VAT</w:t>
      </w:r>
      <w:r>
        <w:rPr>
          <w:rFonts w:ascii="Times New Roman;sans-serif" w:hAnsi="Times New Roman;sans-serif"/>
          <w:b w:val="false"/>
          <w:color w:val="000000"/>
          <w:sz w:val="20"/>
        </w:rPr>
        <w:t>) of $5.1 million and $6.7 million, respectively, that were also financed under these arrangements.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our goodwill during the three months ended March 31, 2024 are set forth below:</w:t>
      </w:r>
    </w:p>
    <w:tbl>
      <w:tblPr>
        <w:tblW w:w="8368" w:type="dxa"/>
        <w:jc w:val="left"/>
        <w:tblInd w:w="0" w:type="dxa"/>
        <w:tblLayout w:type="fixed"/>
        <w:tblCellMar>
          <w:top w:w="28" w:type="dxa"/>
          <w:left w:w="28" w:type="dxa"/>
          <w:bottom w:w="28" w:type="dxa"/>
          <w:right w:w="28" w:type="dxa"/>
        </w:tblCellMar>
      </w:tblPr>
      <w:tblGrid>
        <w:gridCol w:w="563"/>
        <w:gridCol w:w="494"/>
        <w:gridCol w:w="502"/>
        <w:gridCol w:w="236"/>
        <w:gridCol w:w="977"/>
        <w:gridCol w:w="122"/>
        <w:gridCol w:w="109"/>
        <w:gridCol w:w="109"/>
        <w:gridCol w:w="109"/>
        <w:gridCol w:w="309"/>
        <w:gridCol w:w="596"/>
        <w:gridCol w:w="161"/>
        <w:gridCol w:w="109"/>
        <w:gridCol w:w="109"/>
        <w:gridCol w:w="109"/>
        <w:gridCol w:w="109"/>
        <w:gridCol w:w="109"/>
        <w:gridCol w:w="109"/>
        <w:gridCol w:w="109"/>
        <w:gridCol w:w="412"/>
        <w:gridCol w:w="1234"/>
        <w:gridCol w:w="214"/>
        <w:gridCol w:w="109"/>
        <w:gridCol w:w="109"/>
        <w:gridCol w:w="109"/>
        <w:gridCol w:w="211"/>
        <w:gridCol w:w="76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w:t>
              <w:br/>
              <w:t>and 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br/>
              <w:t>translation</w:t>
              <w:b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427" w:type="dxa"/>
            <w:gridSpan w:val="10"/>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intangible assets subject to amortization are set forth below:</w:t>
      </w:r>
    </w:p>
    <w:tbl>
      <w:tblPr>
        <w:tblW w:w="10205" w:type="dxa"/>
        <w:jc w:val="left"/>
        <w:tblInd w:w="0" w:type="dxa"/>
        <w:tblLayout w:type="fixed"/>
        <w:tblCellMar>
          <w:top w:w="28" w:type="dxa"/>
          <w:left w:w="28" w:type="dxa"/>
          <w:bottom w:w="28" w:type="dxa"/>
          <w:right w:w="28" w:type="dxa"/>
        </w:tblCellMar>
      </w:tblPr>
      <w:tblGrid>
        <w:gridCol w:w="463"/>
        <w:gridCol w:w="407"/>
        <w:gridCol w:w="408"/>
        <w:gridCol w:w="231"/>
        <w:gridCol w:w="841"/>
        <w:gridCol w:w="119"/>
        <w:gridCol w:w="109"/>
        <w:gridCol w:w="109"/>
        <w:gridCol w:w="109"/>
        <w:gridCol w:w="234"/>
        <w:gridCol w:w="905"/>
        <w:gridCol w:w="121"/>
        <w:gridCol w:w="109"/>
        <w:gridCol w:w="109"/>
        <w:gridCol w:w="109"/>
        <w:gridCol w:w="227"/>
        <w:gridCol w:w="824"/>
        <w:gridCol w:w="117"/>
        <w:gridCol w:w="109"/>
        <w:gridCol w:w="109"/>
        <w:gridCol w:w="109"/>
        <w:gridCol w:w="231"/>
        <w:gridCol w:w="841"/>
        <w:gridCol w:w="119"/>
        <w:gridCol w:w="109"/>
        <w:gridCol w:w="109"/>
        <w:gridCol w:w="109"/>
        <w:gridCol w:w="234"/>
        <w:gridCol w:w="905"/>
        <w:gridCol w:w="121"/>
        <w:gridCol w:w="109"/>
        <w:gridCol w:w="109"/>
        <w:gridCol w:w="109"/>
        <w:gridCol w:w="226"/>
        <w:gridCol w:w="822"/>
        <w:gridCol w:w="174"/>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(8)    </w:t>
      </w:r>
      <w:r>
        <w:rPr>
          <w:rFonts w:ascii="Times New Roman;sans-serif" w:hAnsi="Times New Roman;sans-serif"/>
          <w:b/>
          <w:color w:val="000000"/>
          <w:sz w:val="20"/>
          <w:u w:val="single"/>
        </w:rPr>
        <w:t>Debt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equivalents of the components of our debt are as follows:</w:t>
      </w:r>
    </w:p>
    <w:tbl>
      <w:tblPr>
        <w:tblW w:w="10205" w:type="dxa"/>
        <w:jc w:val="left"/>
        <w:tblInd w:w="0" w:type="dxa"/>
        <w:tblLayout w:type="fixed"/>
        <w:tblCellMar>
          <w:top w:w="28" w:type="dxa"/>
          <w:left w:w="28" w:type="dxa"/>
          <w:bottom w:w="28" w:type="dxa"/>
          <w:right w:w="28" w:type="dxa"/>
        </w:tblCellMar>
      </w:tblPr>
      <w:tblGrid>
        <w:gridCol w:w="1175"/>
        <w:gridCol w:w="976"/>
        <w:gridCol w:w="983"/>
        <w:gridCol w:w="255"/>
        <w:gridCol w:w="256"/>
        <w:gridCol w:w="467"/>
        <w:gridCol w:w="109"/>
        <w:gridCol w:w="109"/>
        <w:gridCol w:w="109"/>
        <w:gridCol w:w="301"/>
        <w:gridCol w:w="822"/>
        <w:gridCol w:w="145"/>
        <w:gridCol w:w="109"/>
        <w:gridCol w:w="109"/>
        <w:gridCol w:w="109"/>
        <w:gridCol w:w="211"/>
        <w:gridCol w:w="766"/>
        <w:gridCol w:w="109"/>
        <w:gridCol w:w="109"/>
        <w:gridCol w:w="109"/>
        <w:gridCol w:w="109"/>
        <w:gridCol w:w="211"/>
        <w:gridCol w:w="871"/>
        <w:gridCol w:w="109"/>
        <w:gridCol w:w="109"/>
        <w:gridCol w:w="109"/>
        <w:gridCol w:w="109"/>
        <w:gridCol w:w="211"/>
        <w:gridCol w:w="871"/>
        <w:gridCol w:w="158"/>
      </w:tblGrid>
      <w:tr>
        <w:trPr/>
        <w:tc>
          <w:tcPr>
            <w:tcW w:w="11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r>
      <w:tr>
        <w:trPr/>
        <w:tc>
          <w:tcPr>
            <w:tcW w:w="3134"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interest</w:t>
              <w:br/>
              <w:t>rate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Unused borrowing</w:t>
              <w:br/>
              <w:t>capacity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134"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SPE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Senior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 (d)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Senior Secured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Vodafone Collar Loan (f)</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financing (g)</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(h)</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 (i)</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debt before deferred financing costs, discounts and premiums to total debt and finance lease obligations:</w:t>
      </w:r>
    </w:p>
    <w:tbl>
      <w:tblPr>
        <w:tblW w:w="8303" w:type="dxa"/>
        <w:jc w:val="left"/>
        <w:tblInd w:w="0" w:type="dxa"/>
        <w:tblLayout w:type="fixed"/>
        <w:tblCellMar>
          <w:top w:w="28" w:type="dxa"/>
          <w:left w:w="28" w:type="dxa"/>
          <w:bottom w:w="28" w:type="dxa"/>
          <w:right w:w="28" w:type="dxa"/>
        </w:tblCellMar>
      </w:tblPr>
      <w:tblGrid>
        <w:gridCol w:w="2006"/>
        <w:gridCol w:w="1764"/>
        <w:gridCol w:w="1779"/>
        <w:gridCol w:w="211"/>
        <w:gridCol w:w="871"/>
        <w:gridCol w:w="109"/>
        <w:gridCol w:w="109"/>
        <w:gridCol w:w="109"/>
        <w:gridCol w:w="109"/>
        <w:gridCol w:w="211"/>
        <w:gridCol w:w="871"/>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amount of debt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(note 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and finance lease obligations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weighted average interest rate in effect at March 31, 2024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3.41% at March 31, 2024. The weighted average interest rate calculation includes principal amounts outstanding associated with all of our secured and unsecured borrowings. For information regarding our derivative instruments, see note 5.</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(b)Unused borrowing capacity represents the maximum availability under the applicable facility at March 31, 2024 without regard to covenant compliance calculations or other conditions precedent to borrowing. The following table provides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 availability and amounts available to loan or distribute in accordance with the terms of the respective subsidiary facilities (i) at March 31, 2024 and (ii) upon completion of the relevant March 31, 2024 compliance reporting requirements. These amounts do not consider any actual or potential changes to our borrowing levels or any amounts loaned or distributed subsequent to March 31, 2024, or the full impact of additional amounts that may be available to borrow, loan or distribute under certain defined baskets within each respective facility.</w:t>
      </w:r>
    </w:p>
    <w:tbl>
      <w:tblPr>
        <w:tblW w:w="10205" w:type="dxa"/>
        <w:jc w:val="left"/>
        <w:tblInd w:w="0" w:type="dxa"/>
        <w:tblLayout w:type="fixed"/>
        <w:tblCellMar>
          <w:top w:w="28" w:type="dxa"/>
          <w:left w:w="28" w:type="dxa"/>
          <w:bottom w:w="28" w:type="dxa"/>
          <w:right w:w="28" w:type="dxa"/>
        </w:tblCellMar>
      </w:tblPr>
      <w:tblGrid>
        <w:gridCol w:w="740"/>
        <w:gridCol w:w="644"/>
        <w:gridCol w:w="646"/>
        <w:gridCol w:w="337"/>
        <w:gridCol w:w="921"/>
        <w:gridCol w:w="162"/>
        <w:gridCol w:w="109"/>
        <w:gridCol w:w="109"/>
        <w:gridCol w:w="109"/>
        <w:gridCol w:w="211"/>
        <w:gridCol w:w="616"/>
        <w:gridCol w:w="109"/>
        <w:gridCol w:w="109"/>
        <w:gridCol w:w="109"/>
        <w:gridCol w:w="109"/>
        <w:gridCol w:w="516"/>
        <w:gridCol w:w="1407"/>
        <w:gridCol w:w="249"/>
        <w:gridCol w:w="249"/>
        <w:gridCol w:w="249"/>
        <w:gridCol w:w="249"/>
        <w:gridCol w:w="481"/>
        <w:gridCol w:w="1407"/>
        <w:gridCol w:w="358"/>
      </w:tblGrid>
      <w:tr>
        <w:trPr/>
        <w:tc>
          <w:tcPr>
            <w:tcW w:w="7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Availability</w:t>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Upon completion of the relevant March 31, 2024 compliance reporting requirements</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borrow:</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loan or distribute:</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(c)Unused borrowing capacity under the Sunrise Holding Bank Facility relates to an equivalent €707.0 million ($763.4 million) under the Sunrise Holding Revolving Facility, comprising (i) €697.0 million ($752.6 million) under Sunrise Holding Revolving Facility B and (ii) €10.0 million ($10.8 million) under Sunrise Holding Revolving Facility A. With the exception of €23.0 million ($24.8 million) of borrowings under the ancillary facilities, the Sunrise Holding Revolving Facility was undrawn at March 31, 2024. In February 2024, commitments under the Sunrise Holding Revolving Facility were reduced by €18.0 million ($19.4 million) and €60.0 million ($64.8 million) of commitments under Sunrise Holding Revolving Facility A were extended and redesignated under Sunrise Holding Revolving Facility B. As a result, the Sunrise Holding Revolving Facility now provides for maximum borrowing capacity of €730.0 million ($788.2 million), including €60.0 million under the related ancillary facilities. Sunrise Holding Revolving Facility A has a maximum borrowing capacity of €10.0 million and a final maturity date of May 31, 2026 and Sunrise Holding Revolving Facility B has a maximum borrowing capacity of €720.0 million ($777.4 million), including €60.0 million under the ancillary facilities, and a final maturity date of September 30, 2029.</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(d)Unused borrowing capacity under the Telenet Credit Facility comprises (i) €570.0 million ($615.4 million) under Telenet Revolving Facility B, (ii) €25.0 million ($27.0 million) under the Telenet Overdraft Facility and (iii) €20.0 million ($21.6 million) under the Telenet Revolving Facility, each of which were undrawn at March 31, 2024. In February 2024, the €30.0 million ($32.4 million) of commitments under Telenet Revolving Facility A were cancelled in full.</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(e)Unused borrowing capacity under the VM Ireland Credit Facility relates to €100.0 million ($108.0 million) under the VM Ireland Revolving Facility, which was undrawn at March 31,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(f)For information regarding the Vodafone Collar Loan, see note 4.</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inflows when the intermediary settles the liability with the vendor as there is no actual cash outflow until we pay the financing intermediary. During the three months ended March 31, 2024 and 2023, the constructive cash outflow included in cash flows from operating activities and the corresponding constructive cash inflow included in cash flows from financing activities related to these operating expenses were $159.8 million and $141.4 million, respectively. Repayments of vendor financing obligations at the time we pay the financing intermediary are included in repayments and repurchases of debt and finance lease obligations in our condensed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(h)Amounts include $410.9 million</w:t>
      </w:r>
      <w:r>
        <w:rPr>
          <w:color w:val="000000"/>
        </w:rPr>
        <w:t xml:space="preserve"> </w:t>
      </w:r>
      <w:r>
        <w:rPr>
          <w:rFonts w:ascii="Times New Roman;sans-serif" w:hAnsi="Times New Roman;sans-serif"/>
          <w:b w:val="false"/>
          <w:color w:val="000000"/>
          <w:sz w:val="20"/>
        </w:rPr>
        <w:t>and $430.8 million at March 31, 2024 and December 31, 2023, respectively,</w:t>
      </w:r>
      <w:r>
        <w:rPr>
          <w:color w:val="000000"/>
        </w:rPr>
        <w:t xml:space="preserve"> </w:t>
      </w:r>
      <w:r>
        <w:rPr>
          <w:rFonts w:ascii="Times New Roman;sans-serif" w:hAnsi="Times New Roman;sans-serif"/>
          <w:b w:val="false"/>
          <w:color w:val="000000"/>
          <w:sz w:val="20"/>
        </w:rPr>
        <w:t>of liabilities related to Telenet’s acquisition of mobile spectrum licenses. Telenet will make annual payments for the license fees over the terms of the respective licenses.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(i)As of March 31, 2024 and December 31, 2023, our debt had an estimated fair value of $15.2 billion and $15.5 billion, respectively. The estimated fair values of our debt instruments are generally determined using the average of applicable bid and ask prices (mostly Level 1 of the fair value hierarchy). For additional information regarding fair value hierarchies, see note 6.</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 Information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most of our outstanding debt had been incurred by one of our three subsidiary “borrowing groups.” References to these borrowing groups, which comprise Sunrise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Maturities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our debt as of March 31, 2024 are presented below for the named entity and its subsidiaries, unless otherwise noted, and represent U.S. dollar equivalents based on March 31, 2024 exchange rates.</w:t>
      </w:r>
    </w:p>
    <w:tbl>
      <w:tblPr>
        <w:tblW w:w="10205" w:type="dxa"/>
        <w:jc w:val="left"/>
        <w:tblInd w:w="0" w:type="dxa"/>
        <w:tblLayout w:type="fixed"/>
        <w:tblCellMar>
          <w:top w:w="28" w:type="dxa"/>
          <w:left w:w="28" w:type="dxa"/>
          <w:bottom w:w="28" w:type="dxa"/>
          <w:right w:w="28" w:type="dxa"/>
        </w:tblCellMar>
      </w:tblPr>
      <w:tblGrid>
        <w:gridCol w:w="1246"/>
        <w:gridCol w:w="1035"/>
        <w:gridCol w:w="868"/>
        <w:gridCol w:w="264"/>
        <w:gridCol w:w="958"/>
        <w:gridCol w:w="136"/>
        <w:gridCol w:w="109"/>
        <w:gridCol w:w="109"/>
        <w:gridCol w:w="109"/>
        <w:gridCol w:w="211"/>
        <w:gridCol w:w="766"/>
        <w:gridCol w:w="109"/>
        <w:gridCol w:w="109"/>
        <w:gridCol w:w="109"/>
        <w:gridCol w:w="109"/>
        <w:gridCol w:w="221"/>
        <w:gridCol w:w="644"/>
        <w:gridCol w:w="113"/>
        <w:gridCol w:w="109"/>
        <w:gridCol w:w="109"/>
        <w:gridCol w:w="109"/>
        <w:gridCol w:w="211"/>
        <w:gridCol w:w="766"/>
        <w:gridCol w:w="109"/>
        <w:gridCol w:w="109"/>
        <w:gridCol w:w="109"/>
        <w:gridCol w:w="109"/>
        <w:gridCol w:w="211"/>
        <w:gridCol w:w="871"/>
        <w:gridCol w:w="158"/>
      </w:tblGrid>
      <w:tr>
        <w:trPr/>
        <w:tc>
          <w:tcPr>
            <w:tcW w:w="12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Sunrise Holding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VM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maturities (c)</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6,048.8 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14,739.2 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certain senior secured notes issued by special purpose financing entities that are consolidated by Sunrise Holding and Liberty Global.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(b)Includes $1,358.2 million related to the Vodafone Collar Loan, which has settlement dates in 2025 and 2026 consistent with the Vodafone Collar.</w:t>
      </w:r>
      <w:r>
        <w:rPr>
          <w:color w:val="000000"/>
        </w:rPr>
        <w:t xml:space="preserve"> </w:t>
      </w:r>
      <w:r>
        <w:rPr>
          <w:rFonts w:ascii="Times New Roman;sans-serif" w:hAnsi="Times New Roman;sans-serif"/>
          <w:b w:val="false"/>
          <w:color w:val="000000"/>
          <w:sz w:val="20"/>
        </w:rPr>
        <w:t>We may elect to use cash or the collective value of the related shares and Vodafone Collar to settle amounts under the Vodafone Collar Loan.</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(c)Amounts include vendor financing obligations of $708.0 million, as set forth below:</w:t>
      </w:r>
    </w:p>
    <w:tbl>
      <w:tblPr>
        <w:tblW w:w="8146" w:type="dxa"/>
        <w:jc w:val="left"/>
        <w:tblInd w:w="0" w:type="dxa"/>
        <w:tblLayout w:type="fixed"/>
        <w:tblCellMar>
          <w:top w:w="28" w:type="dxa"/>
          <w:left w:w="28" w:type="dxa"/>
          <w:bottom w:w="28" w:type="dxa"/>
          <w:right w:w="28" w:type="dxa"/>
        </w:tblCellMar>
      </w:tblPr>
      <w:tblGrid>
        <w:gridCol w:w="1030"/>
        <w:gridCol w:w="908"/>
        <w:gridCol w:w="911"/>
        <w:gridCol w:w="304"/>
        <w:gridCol w:w="889"/>
        <w:gridCol w:w="157"/>
        <w:gridCol w:w="109"/>
        <w:gridCol w:w="109"/>
        <w:gridCol w:w="109"/>
        <w:gridCol w:w="211"/>
        <w:gridCol w:w="616"/>
        <w:gridCol w:w="109"/>
        <w:gridCol w:w="109"/>
        <w:gridCol w:w="109"/>
        <w:gridCol w:w="109"/>
        <w:gridCol w:w="109"/>
        <w:gridCol w:w="109"/>
        <w:gridCol w:w="211"/>
        <w:gridCol w:w="511"/>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Sunrise 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vendor financing maturities</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Vendor Financing Obligations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vendor financing obligations for the indicated periods is set forth below:</w:t>
      </w:r>
    </w:p>
    <w:tbl>
      <w:tblPr>
        <w:tblW w:w="7059" w:type="dxa"/>
        <w:jc w:val="left"/>
        <w:tblInd w:w="0" w:type="dxa"/>
        <w:tblLayout w:type="fixed"/>
        <w:tblCellMar>
          <w:top w:w="28" w:type="dxa"/>
          <w:left w:w="28" w:type="dxa"/>
          <w:bottom w:w="28" w:type="dxa"/>
          <w:right w:w="28" w:type="dxa"/>
        </w:tblCellMar>
      </w:tblPr>
      <w:tblGrid>
        <w:gridCol w:w="1745"/>
        <w:gridCol w:w="1528"/>
        <w:gridCol w:w="1542"/>
        <w:gridCol w:w="211"/>
        <w:gridCol w:w="616"/>
        <w:gridCol w:w="109"/>
        <w:gridCol w:w="109"/>
        <w:gridCol w:w="109"/>
        <w:gridCol w:w="109"/>
        <w:gridCol w:w="211"/>
        <w:gridCol w:w="61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Capital-related vendor financing 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 xml:space="preserve">(9) </w:t>
      </w:r>
      <w:r>
        <w:rPr>
          <w:rFonts w:ascii="Times New Roman;sans-serif" w:hAnsi="Times New Roman;sans-serif"/>
          <w:b/>
          <w:color w:val="000000"/>
          <w:sz w:val="20"/>
          <w:u w:val="single"/>
        </w:rPr>
        <w:t>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operating and finance leases for network equipment, real estate, mobile site sharing and vehicles. We provide residual value guarantees on certain of our vehicle leases. </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A summary of our ROU</w:t>
      </w:r>
      <w:r>
        <w:rPr>
          <w:color w:val="000000"/>
        </w:rPr>
        <w:t xml:space="preserve"> </w:t>
      </w:r>
      <w:r>
        <w:rPr>
          <w:rFonts w:ascii="Times New Roman;sans-serif" w:hAnsi="Times New Roman;sans-serif"/>
          <w:b w:val="false"/>
          <w:color w:val="000000"/>
          <w:sz w:val="20"/>
        </w:rPr>
        <w:t xml:space="preserve">assets and lease liabilities is set forth below: </w:t>
      </w:r>
    </w:p>
    <w:tbl>
      <w:tblPr>
        <w:tblW w:w="4645" w:type="dxa"/>
        <w:jc w:val="left"/>
        <w:tblInd w:w="0" w:type="dxa"/>
        <w:tblLayout w:type="fixed"/>
        <w:tblCellMar>
          <w:top w:w="28" w:type="dxa"/>
          <w:left w:w="28" w:type="dxa"/>
          <w:bottom w:w="28" w:type="dxa"/>
          <w:right w:w="28" w:type="dxa"/>
        </w:tblCellMar>
      </w:tblPr>
      <w:tblGrid>
        <w:gridCol w:w="662"/>
        <w:gridCol w:w="580"/>
        <w:gridCol w:w="588"/>
        <w:gridCol w:w="211"/>
        <w:gridCol w:w="766"/>
        <w:gridCol w:w="109"/>
        <w:gridCol w:w="109"/>
        <w:gridCol w:w="109"/>
        <w:gridCol w:w="109"/>
        <w:gridCol w:w="221"/>
        <w:gridCol w:w="804"/>
        <w:gridCol w:w="114"/>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ROU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(a)Our finance lease ROU assets are included in property and equipment, net, on our condensed consolidated balance sheets. At March 31, 2024, the weighted average remaining lease term for finance leases was 10.6 years and the weighted average discount rate was 4.9%. During the three months ended March 31, 2024 and 2023, we recorded non-cash additions to our finance lease ROU assets of $0.5 million and $7.3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(b)At March 31, 2024, the weighted average remaining lease term for operating leases was 9.9 years and the weighted average discount rate was 4.8%. During the three months ended March 31, 2024 and 2023, we recorded non-cash additions to our operating lease ROU assets of $29.4 million and $25.0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current and long-term portions of our finance lease liabilities are included within current portion of debt and finance lease obligations and long-term debt and finance lease obligations, respectively,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current portions of our operating lease liabilities are included within other accrued and current liabilities on our condensed consolidated balance sheets.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aggregate lease expense is set forth below: </w:t>
      </w:r>
    </w:p>
    <w:tbl>
      <w:tblPr>
        <w:tblW w:w="5897" w:type="dxa"/>
        <w:jc w:val="left"/>
        <w:tblInd w:w="0" w:type="dxa"/>
        <w:tblLayout w:type="fixed"/>
        <w:tblCellMar>
          <w:top w:w="28" w:type="dxa"/>
          <w:left w:w="28" w:type="dxa"/>
          <w:bottom w:w="28" w:type="dxa"/>
          <w:right w:w="28" w:type="dxa"/>
        </w:tblCellMar>
      </w:tblPr>
      <w:tblGrid>
        <w:gridCol w:w="951"/>
        <w:gridCol w:w="833"/>
        <w:gridCol w:w="840"/>
        <w:gridCol w:w="109"/>
        <w:gridCol w:w="109"/>
        <w:gridCol w:w="176"/>
        <w:gridCol w:w="176"/>
        <w:gridCol w:w="341"/>
        <w:gridCol w:w="826"/>
        <w:gridCol w:w="176"/>
        <w:gridCol w:w="109"/>
        <w:gridCol w:w="109"/>
        <w:gridCol w:w="109"/>
        <w:gridCol w:w="211"/>
        <w:gridCol w:w="511"/>
        <w:gridCol w:w="311"/>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60"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cash outflows from operating and finance leases is set forth below: </w:t>
      </w:r>
    </w:p>
    <w:tbl>
      <w:tblPr>
        <w:tblW w:w="7898" w:type="dxa"/>
        <w:jc w:val="left"/>
        <w:tblInd w:w="0" w:type="dxa"/>
        <w:tblLayout w:type="fixed"/>
        <w:tblCellMar>
          <w:top w:w="28" w:type="dxa"/>
          <w:left w:w="28" w:type="dxa"/>
          <w:bottom w:w="28" w:type="dxa"/>
          <w:right w:w="28" w:type="dxa"/>
        </w:tblCellMar>
      </w:tblPr>
      <w:tblGrid>
        <w:gridCol w:w="2126"/>
        <w:gridCol w:w="1864"/>
        <w:gridCol w:w="1874"/>
        <w:gridCol w:w="211"/>
        <w:gridCol w:w="511"/>
        <w:gridCol w:w="109"/>
        <w:gridCol w:w="109"/>
        <w:gridCol w:w="109"/>
        <w:gridCol w:w="109"/>
        <w:gridCol w:w="211"/>
        <w:gridCol w:w="51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 (interest component)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 (principal component)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outflows from operating and finance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our operating and finance lease liabilities as of March 31, 2024 are presented below. Amounts represent U.S. dollar equivalents based on March 31, 2024 exchange rates.</w:t>
      </w:r>
    </w:p>
    <w:tbl>
      <w:tblPr>
        <w:tblW w:w="5252" w:type="dxa"/>
        <w:jc w:val="left"/>
        <w:tblInd w:w="0" w:type="dxa"/>
        <w:tblLayout w:type="fixed"/>
        <w:tblCellMar>
          <w:top w:w="28" w:type="dxa"/>
          <w:left w:w="28" w:type="dxa"/>
          <w:bottom w:w="28" w:type="dxa"/>
          <w:right w:w="28" w:type="dxa"/>
        </w:tblCellMar>
      </w:tblPr>
      <w:tblGrid>
        <w:gridCol w:w="971"/>
        <w:gridCol w:w="855"/>
        <w:gridCol w:w="858"/>
        <w:gridCol w:w="265"/>
        <w:gridCol w:w="963"/>
        <w:gridCol w:w="137"/>
        <w:gridCol w:w="109"/>
        <w:gridCol w:w="109"/>
        <w:gridCol w:w="109"/>
        <w:gridCol w:w="211"/>
        <w:gridCol w:w="51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Finance </w:t>
              <w:br/>
              <w:t>leases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(10)    </w:t>
      </w:r>
      <w:r>
        <w:rPr>
          <w:rFonts w:ascii="Times New Roman;sans-serif" w:hAnsi="Times New Roman;sans-serif"/>
          <w:b/>
          <w:color w:val="000000"/>
          <w:sz w:val="20"/>
          <w:u w:val="single"/>
        </w:rPr>
        <w:t>Income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attributable to our earnings (loss) before income taxes differs from the amounts computed using the applicable income tax rate as a result of the following factors: </w:t>
      </w:r>
    </w:p>
    <w:tbl>
      <w:tblPr>
        <w:tblW w:w="10205" w:type="dxa"/>
        <w:jc w:val="left"/>
        <w:tblInd w:w="0" w:type="dxa"/>
        <w:tblLayout w:type="fixed"/>
        <w:tblCellMar>
          <w:top w:w="28" w:type="dxa"/>
          <w:left w:w="28" w:type="dxa"/>
          <w:bottom w:w="28" w:type="dxa"/>
          <w:right w:w="28" w:type="dxa"/>
        </w:tblCellMar>
      </w:tblPr>
      <w:tblGrid>
        <w:gridCol w:w="2628"/>
        <w:gridCol w:w="2238"/>
        <w:gridCol w:w="2244"/>
        <w:gridCol w:w="109"/>
        <w:gridCol w:w="109"/>
        <w:gridCol w:w="140"/>
        <w:gridCol w:w="140"/>
        <w:gridCol w:w="271"/>
        <w:gridCol w:w="875"/>
        <w:gridCol w:w="140"/>
        <w:gridCol w:w="109"/>
        <w:gridCol w:w="109"/>
        <w:gridCol w:w="109"/>
        <w:gridCol w:w="211"/>
        <w:gridCol w:w="616"/>
        <w:gridCol w:w="157"/>
      </w:tblGrid>
      <w:tr>
        <w:trPr/>
        <w:tc>
          <w:tcPr>
            <w:tcW w:w="262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11" w:type="dxa"/>
            <w:gridSpan w:val="6"/>
            <w:tcBorders/>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benefit (expense)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foreign currency exchange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interest and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rate differences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and other differences in the treatment of items associated with investments in subsidiaries and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statutory or “expected” tax rates are the U.K. rates of 25.0% for the 2024 period and 23.5% for the 2023 period. The statutory rate for the 2023 period represents the blended rate in effect for the year ended December 31, 2023 based on the 19.0% statutory rate that was in effect for the first quarter of 2023 and the 25.0% statutory rate that is in effect from April 1, 2023. Although we are domiciled in Bermuda, we use the U.K. statutory rate to compute our “expected” tax benefit (expense) as management believes it is more meaningful.</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reflect adjustments (either a benefit or expense) to the “expected” tax benefit (expense) for statutory rates in jurisdictions in which we operate outside of the U.K.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August 16, 2022, the Inflation Reduction Act was signed into law in the U.S. Although this legislation does not increase the U.S. corporate income tax rate, it includes, among other provisions, a corporate alternative minimum tax (</w:t>
      </w:r>
      <w:r>
        <w:rPr>
          <w:rFonts w:ascii="Times New Roman;sans-serif" w:hAnsi="Times New Roman;sans-serif"/>
          <w:b/>
          <w:color w:val="000000"/>
          <w:sz w:val="20"/>
        </w:rPr>
        <w:t>CAMT</w:t>
      </w:r>
      <w:r>
        <w:rPr>
          <w:rFonts w:ascii="Times New Roman;sans-serif" w:hAnsi="Times New Roman;sans-serif"/>
          <w:b w:val="false"/>
          <w:color w:val="000000"/>
          <w:sz w:val="20"/>
        </w:rPr>
        <w:t>) on “adjusted financial statement income” that is effective for tax years beginning after December 31, 2022. CAMT did not have an impact on our consolidated financial statements through March 31, 2024, although we will continue to monitor additional guidance as it is issued to assess the impact to our tax position. We will disregard our CAMT status when evaluating our deferred tax assets under the regular U.S. tax system.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March 31, 2024, our unrecognized tax benefits were $443.3 million, of which $346.0 million would have a favorable</w:t>
      </w:r>
      <w:r>
        <w:rPr>
          <w:color w:val="000000"/>
        </w:rPr>
        <w:t xml:space="preserve"> </w:t>
      </w:r>
      <w:r>
        <w:rPr>
          <w:rFonts w:ascii="Times New Roman;sans-serif" w:hAnsi="Times New Roman;sans-serif"/>
          <w:b w:val="false"/>
          <w:color w:val="000000"/>
          <w:sz w:val="20"/>
        </w:rPr>
        <w:t>impact on our effective income tax rate if ultimately recognized, after considering amounts that we would expect to be offset by valuation allowances and other factors. During the next 12 months it is reasonably possible that the resolution of ongoing tax controversies, as well as the expiration of statutes of limitation and other items, could result in reductions to our unrecognized tax benefits related to tax positions taken as of March 31, 2024. The amount of such reductions could range up to $348.0 million. No assurance can be given as to the nature or impact of any changes in our unrecognized tax positions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December 2021, the Organization for Economic Co-Operation and Development (</w:t>
      </w:r>
      <w:r>
        <w:rPr>
          <w:rFonts w:ascii="Times New Roman;sans-serif" w:hAnsi="Times New Roman;sans-serif"/>
          <w:b/>
          <w:color w:val="000000"/>
          <w:sz w:val="20"/>
        </w:rPr>
        <w:t>OECD</w:t>
      </w:r>
      <w:r>
        <w:rPr>
          <w:rFonts w:ascii="Times New Roman;sans-serif" w:hAnsi="Times New Roman;sans-serif"/>
          <w:b w:val="false"/>
          <w:color w:val="000000"/>
          <w:sz w:val="20"/>
        </w:rPr>
        <w:t>)/G20 Inclusive Framework on Base Erosion and Profit Shifting (</w:t>
      </w:r>
      <w:r>
        <w:rPr>
          <w:rFonts w:ascii="Times New Roman;sans-serif" w:hAnsi="Times New Roman;sans-serif"/>
          <w:b/>
          <w:color w:val="000000"/>
          <w:sz w:val="20"/>
        </w:rPr>
        <w:t>BEPS</w:t>
      </w:r>
      <w:r>
        <w:rPr>
          <w:rFonts w:ascii="Times New Roman;sans-serif" w:hAnsi="Times New Roman;sans-serif"/>
          <w:b w:val="false"/>
          <w:color w:val="000000"/>
          <w:sz w:val="20"/>
        </w:rPr>
        <w:t>) released Model Global Anti-Base Erosion (</w:t>
      </w:r>
      <w:r>
        <w:rPr>
          <w:rFonts w:ascii="Times New Roman;sans-serif" w:hAnsi="Times New Roman;sans-serif"/>
          <w:b/>
          <w:color w:val="000000"/>
          <w:sz w:val="20"/>
        </w:rPr>
        <w:t>GLoBE</w:t>
      </w:r>
      <w:r>
        <w:rPr>
          <w:rFonts w:ascii="Times New Roman;sans-serif" w:hAnsi="Times New Roman;sans-serif"/>
          <w:b w:val="false"/>
          <w:color w:val="000000"/>
          <w:sz w:val="20"/>
        </w:rPr>
        <w:t>) rules under Pillar Two. These rules provide for the taxation of certain large multinational corporations at a minimum rate of 15%, calculated on a jurisdictional basis. Numerous countries in which we operate, including the U.K. and certain European Union (</w:t>
      </w:r>
      <w:r>
        <w:rPr>
          <w:rFonts w:ascii="Times New Roman;sans-serif" w:hAnsi="Times New Roman;sans-serif"/>
          <w:b/>
          <w:color w:val="000000"/>
          <w:sz w:val="20"/>
        </w:rPr>
        <w:t>E.U.</w:t>
      </w:r>
      <w:r>
        <w:rPr>
          <w:rFonts w:ascii="Times New Roman;sans-serif" w:hAnsi="Times New Roman;sans-serif"/>
          <w:b w:val="false"/>
          <w:color w:val="000000"/>
          <w:sz w:val="20"/>
        </w:rPr>
        <w:t>) member states, have enacted legislation to implement many aspects of the Pillar Two rules beginning on January 1, 2024, with certain remaining impacts to be effective from January 1, 2025. We do not currently anticipate that Pillar Two legislation will have a material impact on our consolidated financial statements, but we will continue to monitor future legislation and any additional guidance that is issued.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tax returns filed by our company or our subsidiaries for years prior to 2016 are no longer subject to examination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tax authorities. Certain of our subsidiaries are currently involved in income tax examinations in various jurisdictions in which we operate, including Switzerland, Ireland and Luxembourg.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7, 2022, the U.S. Department of Justice filed suit against Liberty Global, Inc. (</w:t>
      </w:r>
      <w:r>
        <w:rPr>
          <w:rFonts w:ascii="Times New Roman;sans-serif" w:hAnsi="Times New Roman;sans-serif"/>
          <w:b/>
          <w:color w:val="000000"/>
          <w:sz w:val="20"/>
        </w:rPr>
        <w:t>LGI</w:t>
      </w:r>
      <w:r>
        <w:rPr>
          <w:rFonts w:ascii="Times New Roman;sans-serif" w:hAnsi="Times New Roman;sans-serif"/>
          <w:b w:val="false"/>
          <w:color w:val="000000"/>
          <w:sz w:val="20"/>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sans-serif" w:hAnsi="Times New Roman;sans-serif"/>
          <w:b/>
          <w:color w:val="000000"/>
          <w:sz w:val="20"/>
        </w:rPr>
        <w:t>Court of Appeals</w:t>
      </w:r>
      <w:r>
        <w:rPr>
          <w:rFonts w:ascii="Times New Roman;sans-serif" w:hAnsi="Times New Roman;sans-serif"/>
          <w:b w:val="false"/>
          <w:color w:val="000000"/>
          <w:sz w:val="20"/>
        </w:rPr>
        <w:t>) in December 2023. No amounts have been accrued by LGI with respect to this matter. We will vigorously defend this matter and continue to actively pursue our claim for refund.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 amount of $315.0 million, which reduced our accrued liability for uncertain tax benefits on our consolidated balance sheet but will continue to be included in our inventory of unrecognized tax benefits as the position is not yet settled. We will continue to vigorously defend our position, however, due to the inherent uncertainty involved in the litigation process, there can be no assurance that the Court of Appeals will rule in our favor.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(11)    </w:t>
      </w:r>
      <w:r>
        <w:rPr>
          <w:rFonts w:ascii="Times New Roman;sans-serif" w:hAnsi="Times New Roman;sans-serif"/>
          <w:b/>
          <w:color w:val="000000"/>
          <w:sz w:val="20"/>
          <w:u w:val="single"/>
        </w:rPr>
        <w:t>Equity</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Share Repurchases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repurchased 8,914,916 of our Class C common shares at an average price per share of $19.12, for an aggregate purchase price of $170.5 million, including direct acquisition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current share repurchase program, we are authorized during 2024 to repurchase up to 10% of our total outstanding shares as of December 31, 2023. As of March 31, 2024, the remaining number of our Class A and/or Class C common shares that we are authorized to repurchase during 2024 was 29.3 million. Based on the average of the respective closing share prices as of March 31, 2024, this would equate to additional share repurchases during the remainder of 2024 of approximately $506.3 million. However, the actual U.S. dollar amount of our share repurchases during the remainder of 2024 will be determined by the actual transaction date share prices during the year and could differ significantly from this amount.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Telenet Takeover Bid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19, 2023, Liberty Global Belgium Holding B.V. (</w:t>
      </w:r>
      <w:r>
        <w:rPr>
          <w:rFonts w:ascii="Times New Roman;sans-serif" w:hAnsi="Times New Roman;sans-serif"/>
          <w:b/>
          <w:color w:val="000000"/>
          <w:sz w:val="20"/>
        </w:rPr>
        <w:t>LGBH</w:t>
      </w:r>
      <w:r>
        <w:rPr>
          <w:rFonts w:ascii="Times New Roman;sans-serif" w:hAnsi="Times New Roman;sans-serif"/>
          <w:b w:val="false"/>
          <w:color w:val="000000"/>
          <w:sz w:val="20"/>
        </w:rPr>
        <w:t xml:space="preserve">), an indirect wholly-owned subsidiary of Liberty Global, completed its public takeover bid for all of the shares of Telenet that we did not already own or that were not held by Telenet (the </w:t>
      </w:r>
      <w:r>
        <w:rPr>
          <w:rFonts w:ascii="Times New Roman;sans-serif" w:hAnsi="Times New Roman;sans-serif"/>
          <w:b/>
          <w:color w:val="000000"/>
          <w:sz w:val="20"/>
        </w:rPr>
        <w:t>Telenet Takeover Bid</w:t>
      </w:r>
      <w:r>
        <w:rPr>
          <w:rFonts w:ascii="Times New Roman;sans-serif" w:hAnsi="Times New Roman;sans-serif"/>
          <w:b w:val="false"/>
          <w:color w:val="000000"/>
          <w:sz w:val="20"/>
        </w:rPr>
        <w:t xml:space="preserve">). Telenet is now 100% owned by LGBH and Telenet shares have been delisted from Euronext Brussels.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    </w:t>
      </w:r>
      <w:r>
        <w:rPr>
          <w:rFonts w:ascii="Times New Roman;sans-serif" w:hAnsi="Times New Roman;sans-serif"/>
          <w:b/>
          <w:color w:val="000000"/>
          <w:sz w:val="20"/>
          <w:u w:val="single"/>
        </w:rPr>
        <w:t>Share-based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6723" w:type="dxa"/>
        <w:jc w:val="left"/>
        <w:tblInd w:w="0" w:type="dxa"/>
        <w:tblLayout w:type="fixed"/>
        <w:tblCellMar>
          <w:top w:w="28" w:type="dxa"/>
          <w:left w:w="28" w:type="dxa"/>
          <w:bottom w:w="28" w:type="dxa"/>
          <w:right w:w="28" w:type="dxa"/>
        </w:tblCellMar>
      </w:tblPr>
      <w:tblGrid>
        <w:gridCol w:w="1249"/>
        <w:gridCol w:w="1095"/>
        <w:gridCol w:w="1106"/>
        <w:gridCol w:w="109"/>
        <w:gridCol w:w="109"/>
        <w:gridCol w:w="176"/>
        <w:gridCol w:w="176"/>
        <w:gridCol w:w="341"/>
        <w:gridCol w:w="826"/>
        <w:gridCol w:w="176"/>
        <w:gridCol w:w="109"/>
        <w:gridCol w:w="109"/>
        <w:gridCol w:w="109"/>
        <w:gridCol w:w="211"/>
        <w:gridCol w:w="511"/>
        <w:gridCol w:w="311"/>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60"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2024 amounts include share-based compensation expense related to certain Telenet Replacement Awards.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 program allows these employees to elect to receive up to 100% of their annual incentive compensation in common shares of Liberty Global in lieu of cash.</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the aggregate number of options, share appreciation rights (</w:t>
      </w:r>
      <w:r>
        <w:rPr>
          <w:rFonts w:ascii="Times New Roman;sans-serif" w:hAnsi="Times New Roman;sans-serif"/>
          <w:b/>
          <w:color w:val="000000"/>
          <w:sz w:val="20"/>
        </w:rPr>
        <w:t>SARs</w:t>
      </w:r>
      <w:r>
        <w:rPr>
          <w:rFonts w:ascii="Times New Roman;sans-serif" w:hAnsi="Times New Roman;sans-serif"/>
          <w:b w:val="false"/>
          <w:color w:val="000000"/>
          <w:sz w:val="20"/>
        </w:rPr>
        <w:t>) and performance-based share appreciation rights (</w:t>
      </w:r>
      <w:r>
        <w:rPr>
          <w:rFonts w:ascii="Times New Roman;sans-serif" w:hAnsi="Times New Roman;sans-serif"/>
          <w:b/>
          <w:color w:val="000000"/>
          <w:sz w:val="20"/>
        </w:rPr>
        <w:t>PSARs</w:t>
      </w:r>
      <w:r>
        <w:rPr>
          <w:rFonts w:ascii="Times New Roman;sans-serif" w:hAnsi="Times New Roman;sans-serif"/>
          <w:b w:val="false"/>
          <w:color w:val="000000"/>
          <w:sz w:val="20"/>
        </w:rPr>
        <w:t xml:space="preserve">) with respect to awards issued by Liberty Global that were (i) outstanding and (ii) exercisable as of March 31, 2024: </w:t>
      </w:r>
    </w:p>
    <w:tbl>
      <w:tblPr>
        <w:tblW w:w="10205" w:type="dxa"/>
        <w:jc w:val="left"/>
        <w:tblInd w:w="0" w:type="dxa"/>
        <w:tblLayout w:type="fixed"/>
        <w:tblCellMar>
          <w:top w:w="28" w:type="dxa"/>
          <w:left w:w="28" w:type="dxa"/>
          <w:bottom w:w="28" w:type="dxa"/>
          <w:right w:w="28" w:type="dxa"/>
        </w:tblCellMar>
      </w:tblPr>
      <w:tblGrid>
        <w:gridCol w:w="779"/>
        <w:gridCol w:w="468"/>
        <w:gridCol w:w="470"/>
        <w:gridCol w:w="1005"/>
        <w:gridCol w:w="653"/>
        <w:gridCol w:w="655"/>
        <w:gridCol w:w="109"/>
        <w:gridCol w:w="109"/>
        <w:gridCol w:w="109"/>
        <w:gridCol w:w="318"/>
        <w:gridCol w:w="931"/>
        <w:gridCol w:w="164"/>
        <w:gridCol w:w="109"/>
        <w:gridCol w:w="109"/>
        <w:gridCol w:w="109"/>
        <w:gridCol w:w="1005"/>
        <w:gridCol w:w="653"/>
        <w:gridCol w:w="655"/>
        <w:gridCol w:w="109"/>
        <w:gridCol w:w="109"/>
        <w:gridCol w:w="109"/>
        <w:gridCol w:w="313"/>
        <w:gridCol w:w="917"/>
        <w:gridCol w:w="238"/>
      </w:tblGrid>
      <w:tr>
        <w:trPr/>
        <w:tc>
          <w:tcPr>
            <w:tcW w:w="7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or 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or base price</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Held by Liberty Global employees:</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23,892,259 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56,105,273 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18,609,643 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40,613,634 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Held by former Liberty Global employees (b):</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1,062,927 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2,097,635 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1,030,850 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2,033,491 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common shares.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the aggregate number of restricted share units (</w:t>
      </w:r>
      <w:r>
        <w:rPr>
          <w:rFonts w:ascii="Times New Roman;sans-serif" w:hAnsi="Times New Roman;sans-serif"/>
          <w:b/>
          <w:color w:val="000000"/>
          <w:sz w:val="20"/>
        </w:rPr>
        <w:t>RSUs</w:t>
      </w:r>
      <w:r>
        <w:rPr>
          <w:rFonts w:ascii="Times New Roman;sans-serif" w:hAnsi="Times New Roman;sans-serif"/>
          <w:b w:val="false"/>
          <w:color w:val="000000"/>
          <w:sz w:val="20"/>
        </w:rPr>
        <w:t>) and performance-based restricted share units (</w:t>
      </w:r>
      <w:r>
        <w:rPr>
          <w:rFonts w:ascii="Times New Roman;sans-serif" w:hAnsi="Times New Roman;sans-serif"/>
          <w:b/>
          <w:color w:val="000000"/>
          <w:sz w:val="20"/>
        </w:rPr>
        <w:t>PSUs</w:t>
      </w:r>
      <w:r>
        <w:rPr>
          <w:rFonts w:ascii="Times New Roman;sans-serif" w:hAnsi="Times New Roman;sans-serif"/>
          <w:b w:val="false"/>
          <w:color w:val="000000"/>
          <w:sz w:val="20"/>
        </w:rPr>
        <w:t>) that were outstanding as of March 31, 2024. The number of shares to be issued on the vesting date of these awards will be reduced by the amount of the employee’s required income tax withholding.</w:t>
      </w:r>
    </w:p>
    <w:tbl>
      <w:tblPr>
        <w:tblW w:w="6854" w:type="dxa"/>
        <w:jc w:val="left"/>
        <w:tblInd w:w="0" w:type="dxa"/>
        <w:tblLayout w:type="fixed"/>
        <w:tblCellMar>
          <w:top w:w="28" w:type="dxa"/>
          <w:left w:w="28" w:type="dxa"/>
          <w:bottom w:w="28" w:type="dxa"/>
          <w:right w:w="28" w:type="dxa"/>
        </w:tblCellMar>
      </w:tblPr>
      <w:tblGrid>
        <w:gridCol w:w="1380"/>
        <w:gridCol w:w="1211"/>
        <w:gridCol w:w="1219"/>
        <w:gridCol w:w="488"/>
        <w:gridCol w:w="488"/>
        <w:gridCol w:w="236"/>
        <w:gridCol w:w="109"/>
        <w:gridCol w:w="109"/>
        <w:gridCol w:w="109"/>
        <w:gridCol w:w="109"/>
        <w:gridCol w:w="109"/>
        <w:gridCol w:w="488"/>
        <w:gridCol w:w="488"/>
        <w:gridCol w:w="31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by Liberty Global employees: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5,210,720 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441,813 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815,349 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by former Liberty Global employees (a):</w:t>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represent certain share-based awards that continue to be held by former employees of Liberty Global subsequent to certain split-off or disposal transactions. The future vesting of these RSUs and PSUs will increase the number of our outstanding common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color w:val="000000"/>
          <w:sz w:val="20"/>
        </w:rPr>
        <w:t>(13)    </w:t>
      </w:r>
      <w:r>
        <w:rPr>
          <w:rFonts w:ascii="Times New Roman;sans-serif" w:hAnsi="Times New Roman;sans-serif"/>
          <w:b/>
          <w:color w:val="000000"/>
          <w:sz w:val="20"/>
          <w:u w:val="single"/>
        </w:rPr>
        <w:t>Earnings (Loss) per Share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Basic earnings or loss per share (</w:t>
      </w:r>
      <w:r>
        <w:rPr>
          <w:rFonts w:ascii="Times New Roman;sans-serif" w:hAnsi="Times New Roman;sans-serif"/>
          <w:b/>
          <w:color w:val="000000"/>
          <w:sz w:val="20"/>
        </w:rPr>
        <w:t>EPS</w:t>
      </w:r>
      <w:r>
        <w:rPr>
          <w:rFonts w:ascii="Times New Roman;sans-serif" w:hAnsi="Times New Roman;sans-serif"/>
          <w:b w:val="false"/>
          <w:color w:val="000000"/>
          <w:sz w:val="20"/>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basic and diluted weighted average common shares outstanding are set forth below:</w:t>
      </w:r>
    </w:p>
    <w:tbl>
      <w:tblPr>
        <w:tblW w:w="10205" w:type="dxa"/>
        <w:jc w:val="left"/>
        <w:tblInd w:w="0" w:type="dxa"/>
        <w:tblLayout w:type="fixed"/>
        <w:tblCellMar>
          <w:top w:w="28" w:type="dxa"/>
          <w:left w:w="28" w:type="dxa"/>
          <w:bottom w:w="28" w:type="dxa"/>
          <w:right w:w="28" w:type="dxa"/>
        </w:tblCellMar>
      </w:tblPr>
      <w:tblGrid>
        <w:gridCol w:w="2343"/>
        <w:gridCol w:w="2010"/>
        <w:gridCol w:w="2016"/>
        <w:gridCol w:w="109"/>
        <w:gridCol w:w="109"/>
        <w:gridCol w:w="234"/>
        <w:gridCol w:w="234"/>
        <w:gridCol w:w="685"/>
        <w:gridCol w:w="501"/>
        <w:gridCol w:w="236"/>
        <w:gridCol w:w="109"/>
        <w:gridCol w:w="109"/>
        <w:gridCol w:w="109"/>
        <w:gridCol w:w="593"/>
        <w:gridCol w:w="593"/>
        <w:gridCol w:w="215"/>
      </w:tblGrid>
      <w:tr>
        <w:trPr/>
        <w:tc>
          <w:tcPr>
            <w:tcW w:w="234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728" w:type="dxa"/>
            <w:gridSpan w:val="6"/>
            <w:tcBorders/>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377,747,016 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454,394,944 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shares attributable to the assumed exercise or release of outstanding share-based incentive awards upon vesting (treasury stock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7,362,615 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385,109,631 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454,394,944 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diluted EPS excludes aggregate share-based incentive awards of 73.3 million for the three months ended March 31, 2024 because their effect would have been anti-dilutive.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a net loss attributable to Liberty Global shareholders for the three months ended March 31, 2023. Therefore, the potentially dilutive effect at March 31, 2023 excludes 111.1 million shares issuable pursuant to outstanding share-based incentive awards in the computation of diluted net loss attributable to Liberty Global shareholders per share because their inclusion would have been anti-dilutive to the computation.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net earnings (loss) attributable to Liberty Global shareholders is set forth below:</w:t>
      </w:r>
    </w:p>
    <w:tbl>
      <w:tblPr>
        <w:tblW w:w="8426" w:type="dxa"/>
        <w:jc w:val="left"/>
        <w:tblInd w:w="0" w:type="dxa"/>
        <w:tblLayout w:type="fixed"/>
        <w:tblCellMar>
          <w:top w:w="28" w:type="dxa"/>
          <w:left w:w="28" w:type="dxa"/>
          <w:bottom w:w="28" w:type="dxa"/>
          <w:right w:w="28" w:type="dxa"/>
        </w:tblCellMar>
      </w:tblPr>
      <w:tblGrid>
        <w:gridCol w:w="1860"/>
        <w:gridCol w:w="1632"/>
        <w:gridCol w:w="1638"/>
        <w:gridCol w:w="109"/>
        <w:gridCol w:w="109"/>
        <w:gridCol w:w="160"/>
        <w:gridCol w:w="160"/>
        <w:gridCol w:w="310"/>
        <w:gridCol w:w="905"/>
        <w:gridCol w:w="160"/>
        <w:gridCol w:w="109"/>
        <w:gridCol w:w="109"/>
        <w:gridCol w:w="109"/>
        <w:gridCol w:w="211"/>
        <w:gridCol w:w="691"/>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Commitments and Contingencies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March 31, 2024. The commitments included in this table do not reflect any liabilities that are included on our March 31, 2024 condensed consolidated balance sheet.</w:t>
      </w:r>
    </w:p>
    <w:tbl>
      <w:tblPr>
        <w:tblW w:w="11213" w:type="dxa"/>
        <w:jc w:val="left"/>
        <w:tblInd w:w="0" w:type="dxa"/>
        <w:tblLayout w:type="fixed"/>
        <w:tblCellMar>
          <w:top w:w="28" w:type="dxa"/>
          <w:left w:w="28" w:type="dxa"/>
          <w:bottom w:w="28" w:type="dxa"/>
          <w:right w:w="28" w:type="dxa"/>
        </w:tblCellMar>
      </w:tblPr>
      <w:tblGrid>
        <w:gridCol w:w="440"/>
        <w:gridCol w:w="387"/>
        <w:gridCol w:w="38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32"/>
        <w:gridCol w:w="563"/>
        <w:gridCol w:w="121"/>
        <w:gridCol w:w="109"/>
        <w:gridCol w:w="109"/>
        <w:gridCol w:w="109"/>
        <w:gridCol w:w="211"/>
        <w:gridCol w:w="76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Remainder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commitments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and connectivity commitments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commitments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commitments include unconditional and legally binding obligations related to (i) certain service-related commitments, including software development, information technology, maintenance and call center services and (ii) the purchase of network and other equipment and CPE.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w:t>
      </w:r>
      <w:r>
        <w:rPr>
          <w:color w:val="000000"/>
        </w:rPr>
        <w:t xml:space="preserve"> </w:t>
      </w:r>
      <w:r>
        <w:rPr>
          <w:rFonts w:ascii="Times New Roman;sans-serif" w:hAnsi="Times New Roman;sans-serif"/>
          <w:b w:val="false"/>
          <w:color w:val="000000"/>
          <w:sz w:val="20"/>
        </w:rPr>
        <w:t>In this regard, our total programming and copyright costs aggregated $152.8 million and</w:t>
      </w:r>
      <w:r>
        <w:rPr>
          <w:color w:val="000000"/>
        </w:rPr>
        <w:t xml:space="preserve"> </w:t>
      </w:r>
      <w:r>
        <w:rPr>
          <w:rFonts w:ascii="Times New Roman;sans-serif" w:hAnsi="Times New Roman;sans-serif"/>
          <w:b w:val="false"/>
          <w:color w:val="000000"/>
          <w:sz w:val="20"/>
        </w:rPr>
        <w:t>$154.1 million</w:t>
      </w:r>
      <w:r>
        <w:rPr>
          <w:color w:val="000000"/>
        </w:rPr>
        <w:t xml:space="preserve"> </w:t>
      </w:r>
      <w:r>
        <w:rPr>
          <w:rFonts w:ascii="Times New Roman;sans-serif" w:hAnsi="Times New Roman;sans-serif"/>
          <w:b w:val="false"/>
          <w:color w:val="000000"/>
          <w:sz w:val="20"/>
        </w:rPr>
        <w:t xml:space="preserve">during the three months ended March 31,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Network and connectivity commitments include</w:t>
      </w:r>
      <w:r>
        <w:rPr>
          <w:color w:val="000000"/>
        </w:rPr>
        <w:t xml:space="preserve"> </w:t>
      </w:r>
      <w:r>
        <w:rPr>
          <w:rFonts w:ascii="Times New Roman;sans-serif" w:hAnsi="Times New Roman;sans-serif"/>
          <w:b w:val="false"/>
          <w:color w:val="000000"/>
          <w:sz w:val="20"/>
        </w:rPr>
        <w:t>(i) certain equipment and service-related commitments at Telenet and (ii) certain network capacity arrangements at Sunrise.</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(i) our share of the funding commitment associated with the nexfibre JV and (ii) various sports sponsorships.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Guarantees and Other Credit Enhancements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Legal and Regulatory Proceedings and Other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Interkabel Acquisition. </w:t>
      </w:r>
      <w:r>
        <w:rPr>
          <w:rFonts w:ascii="Times New Roman;sans-serif" w:hAnsi="Times New Roman;sans-serif"/>
          <w:b w:val="false"/>
          <w:color w:val="000000"/>
          <w:sz w:val="20"/>
        </w:rPr>
        <w:t>On November 26, 2007, Telenet and four associations of municipalities in Belgium, which we refer to as the pure intercommunales or the “</w:t>
      </w:r>
      <w:r>
        <w:rPr>
          <w:rFonts w:ascii="Times New Roman;sans-serif" w:hAnsi="Times New Roman;sans-serif"/>
          <w:b/>
          <w:color w:val="000000"/>
          <w:sz w:val="20"/>
        </w:rPr>
        <w:t>PICs</w:t>
      </w:r>
      <w:r>
        <w:rPr>
          <w:rFonts w:ascii="Times New Roman;sans-serif" w:hAnsi="Times New Roman;sans-serif"/>
          <w:b w:val="false"/>
          <w:color w:val="000000"/>
          <w:sz w:val="20"/>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sans-serif" w:hAnsi="Times New Roman;sans-serif"/>
          <w:b/>
          <w:color w:val="000000"/>
          <w:sz w:val="20"/>
        </w:rPr>
        <w:t>2008 PICs Agreement</w:t>
      </w:r>
      <w:r>
        <w:rPr>
          <w:rFonts w:ascii="Times New Roman;sans-serif" w:hAnsi="Times New Roman;sans-serif"/>
          <w:b w:val="false"/>
          <w:color w:val="000000"/>
          <w:sz w:val="20"/>
        </w:rPr>
        <w:t>), which closed effective October 1, 2008. Beginning in December 2007, Proximus NV/SA (</w:t>
      </w:r>
      <w:r>
        <w:rPr>
          <w:rFonts w:ascii="Times New Roman;sans-serif" w:hAnsi="Times New Roman;sans-serif"/>
          <w:b/>
          <w:color w:val="000000"/>
          <w:sz w:val="20"/>
        </w:rPr>
        <w:t>Proximus</w:t>
      </w:r>
      <w:r>
        <w:rPr>
          <w:rFonts w:ascii="Times New Roman;sans-serif" w:hAnsi="Times New Roman;sans-serif"/>
          <w:b w:val="false"/>
          <w:color w:val="000000"/>
          <w:sz w:val="20"/>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w:t>
      </w:r>
      <w:r>
        <w:rPr>
          <w:color w:val="000000"/>
        </w:rPr>
        <w:t xml:space="preserve"> </w:t>
      </w:r>
      <w:r>
        <w:rPr>
          <w:rFonts w:ascii="Times New Roman;sans-serif" w:hAnsi="Times New Roman;sans-serif"/>
          <w:b w:val="false"/>
          <w:color w:val="000000"/>
          <w:sz w:val="20"/>
        </w:rPr>
        <w:t>($1.5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Telekom Deutschland Litigation. </w:t>
      </w:r>
      <w:r>
        <w:rPr>
          <w:rFonts w:ascii="Times New Roman;sans-serif" w:hAnsi="Times New Roman;sans-serif"/>
          <w:b w:val="false"/>
          <w:color w:val="000000"/>
          <w:sz w:val="20"/>
        </w:rPr>
        <w:t>On December 28, 2012, Unitymedia filed a lawsuit against Telekom Deutschland GmbH (</w:t>
      </w:r>
      <w:r>
        <w:rPr>
          <w:rFonts w:ascii="Times New Roman;sans-serif" w:hAnsi="Times New Roman;sans-serif"/>
          <w:b/>
          <w:color w:val="000000"/>
          <w:sz w:val="20"/>
        </w:rPr>
        <w:t>Telekom Deutschland</w:t>
      </w:r>
      <w:r>
        <w:rPr>
          <w:rFonts w:ascii="Times New Roman;sans-serif" w:hAnsi="Times New Roman;sans-serif"/>
          <w:b w:val="false"/>
          <w:color w:val="000000"/>
          <w:sz w:val="20"/>
        </w:rPr>
        <w:t xml:space="preserve">) in 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sans-serif" w:hAnsi="Times New Roman;sans-serif"/>
          <w:b/>
          <w:color w:val="000000"/>
          <w:sz w:val="20"/>
        </w:rPr>
        <w:t>Vodafone Disposal Group</w:t>
      </w:r>
      <w:r>
        <w:rPr>
          <w:rFonts w:ascii="Times New Roman;sans-serif" w:hAnsi="Times New Roman;sans-serif"/>
          <w:b w:val="false"/>
          <w:color w:val="000000"/>
          <w:sz w:val="20"/>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Swisscom MVNO Matter.</w:t>
      </w:r>
      <w:r>
        <w:rPr>
          <w:color w:val="000000"/>
        </w:rPr>
        <w:t xml:space="preserve"> </w:t>
      </w:r>
      <w:r>
        <w:rPr>
          <w:rFonts w:ascii="Times New Roman;sans-serif" w:hAnsi="Times New Roman;sans-serif"/>
          <w:b w:val="false"/>
          <w:color w:val="000000"/>
          <w:sz w:val="20"/>
        </w:rPr>
        <w:t>On December 8, 2017, one of our subsidiaries, Sunrise GmbH, formerly known as UPC Schweiz GmbH, entered into a mobile virtual network operator (</w:t>
      </w:r>
      <w:r>
        <w:rPr>
          <w:rFonts w:ascii="Times New Roman;sans-serif" w:hAnsi="Times New Roman;sans-serif"/>
          <w:b/>
          <w:color w:val="000000"/>
          <w:sz w:val="20"/>
        </w:rPr>
        <w:t>MVNO</w:t>
      </w:r>
      <w:r>
        <w:rPr>
          <w:rFonts w:ascii="Times New Roman;sans-serif" w:hAnsi="Times New Roman;sans-serif"/>
          <w:b w:val="false"/>
          <w:color w:val="000000"/>
          <w:sz w:val="20"/>
        </w:rPr>
        <w:t>) agreement with Swisscom (Schweiz) AG (</w:t>
      </w:r>
      <w:r>
        <w:rPr>
          <w:rFonts w:ascii="Times New Roman;sans-serif" w:hAnsi="Times New Roman;sans-serif"/>
          <w:b/>
          <w:color w:val="000000"/>
          <w:sz w:val="20"/>
        </w:rPr>
        <w:t>Swisscom</w:t>
      </w:r>
      <w:r>
        <w:rPr>
          <w:rFonts w:ascii="Times New Roman;sans-serif" w:hAnsi="Times New Roman;sans-serif"/>
          <w:b w:val="false"/>
          <w:color w:val="000000"/>
          <w:sz w:val="20"/>
        </w:rPr>
        <w:t xml:space="preserve">), as subsequently amended (the </w:t>
      </w:r>
      <w:r>
        <w:rPr>
          <w:rFonts w:ascii="Times New Roman;sans-serif" w:hAnsi="Times New Roman;sans-serif"/>
          <w:b/>
          <w:color w:val="000000"/>
          <w:sz w:val="20"/>
        </w:rPr>
        <w:t>Swisscom MVNO</w:t>
      </w:r>
      <w:r>
        <w:rPr>
          <w:rFonts w:ascii="Times New Roman;sans-serif" w:hAnsi="Times New Roman;sans-serif"/>
          <w:b w:val="false"/>
          <w:color w:val="000000"/>
          <w:sz w:val="20"/>
        </w:rPr>
        <w:t>), for the provision of mobile network services to certain of Sunrise GmbH’s end customers. In January 2023, Swisscom filed a formal lawsuit against Sunrise GmbH, asserting that it is in breach of the Swisscom MVNO and claiming approximately CHF 90 million</w:t>
      </w:r>
      <w:r>
        <w:rPr>
          <w:color w:val="000000"/>
        </w:rPr>
        <w:t xml:space="preserve"> </w:t>
      </w:r>
      <w:r>
        <w:rPr>
          <w:rFonts w:ascii="Times New Roman;sans-serif" w:hAnsi="Times New Roman;sans-serif"/>
          <w:b w:val="false"/>
          <w:color w:val="000000"/>
          <w:sz w:val="20"/>
        </w:rPr>
        <w:t>($100 million)</w:t>
      </w:r>
      <w:r>
        <w:rPr>
          <w:color w:val="000000"/>
        </w:rPr>
        <w:t xml:space="preserve"> </w:t>
      </w:r>
      <w:r>
        <w:rPr>
          <w:rFonts w:ascii="Times New Roman;sans-serif" w:hAnsi="Times New Roman;sans-serif"/>
          <w:b w:val="false"/>
          <w:color w:val="000000"/>
          <w:sz w:val="20"/>
        </w:rPr>
        <w:t>in damages. In April 2024, we agreed with Swisscom to resolve the matter, the terms of which are not material to us and, as a result, the lawsuit against Sunrise GmbH has been withdrawn.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Contingency Matters.</w:t>
      </w:r>
      <w:r>
        <w:rPr>
          <w:color w:val="000000"/>
        </w:rPr>
        <w:t xml:space="preserve"> </w:t>
      </w:r>
      <w:r>
        <w:rPr>
          <w:rFonts w:ascii="Times New Roman;sans-serif" w:hAnsi="Times New Roman;sans-serif"/>
          <w:b w:val="false"/>
          <w:color w:val="000000"/>
          <w:sz w:val="20"/>
        </w:rPr>
        <w:t>In connection with the dispositions of certain of our operations, we provided tax indemnities to the counterparties for 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Regulatory Matters. </w:t>
      </w:r>
      <w:r>
        <w:rPr>
          <w:rFonts w:ascii="Times New Roman;sans-serif" w:hAnsi="Times New Roman;sans-serif"/>
          <w:b w:val="false"/>
          <w:color w:val="000000"/>
          <w:sz w:val="20"/>
        </w:rPr>
        <w:t xml:space="preserve">Broadband internet, video distribution, fixed-line telephony, mobile and content businesses are regulated in each of the 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(15)    </w:t>
      </w:r>
      <w:r>
        <w:rPr>
          <w:rFonts w:ascii="Times New Roman;sans-serif" w:hAnsi="Times New Roman;sans-serif"/>
          <w:b/>
          <w:color w:val="000000"/>
          <w:sz w:val="20"/>
          <w:u w:val="single"/>
        </w:rPr>
        <w:t>Segment Reporting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net earnings or loss to Adjusted EBITDA is presented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reportable segments are as follows: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Sunrise</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Telenet</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VM Ireland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Nonconsolidated:</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VMO2 JV</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VodafoneZiggo JV</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reportable segments derive their revenue primarily from residential and B2B communications services, including broadband internet, video, fixed-line telephony and mobile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w:t>
      </w:r>
      <w:r>
        <w:rPr>
          <w:rFonts w:ascii="Times New Roman;sans-serif" w:hAnsi="Times New Roman;sans-serif"/>
          <w:b/>
          <w:color w:val="000000"/>
          <w:sz w:val="20"/>
        </w:rPr>
        <w:t>Central and Other</w:t>
      </w:r>
      <w:r>
        <w:rPr>
          <w:color w:val="000000"/>
        </w:rPr>
        <w:t xml:space="preserve">” </w:t>
      </w:r>
      <w:r>
        <w:rPr>
          <w:rFonts w:ascii="Times New Roman;sans-serif" w:hAnsi="Times New Roman;sans-serif"/>
          <w:b w:val="false"/>
          <w:color w:val="000000"/>
          <w:sz w:val="20"/>
        </w:rPr>
        <w:t xml:space="preserve">category primarily includes (i) services provided to the VMO2 JV, the VodafoneZiggo JV and various third parties related to service agreements, (ii) sales of CPE to the VMO2 JV and the VodafoneZiggo JV, (iii) certain centralized functions, including billing systems, network operations, technology, marketing, facilities, finance and other administrative functions and (iv) our operations in Slovakia.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centrally-managed technology and innovation function (our </w:t>
      </w:r>
      <w:r>
        <w:rPr>
          <w:rFonts w:ascii="Times New Roman;sans-serif" w:hAnsi="Times New Roman;sans-serif"/>
          <w:b/>
          <w:color w:val="000000"/>
          <w:sz w:val="20"/>
        </w:rPr>
        <w:t>T&amp;I Function</w:t>
      </w:r>
      <w:r>
        <w:rPr>
          <w:rFonts w:ascii="Times New Roman;sans-serif" w:hAnsi="Times New Roman;sans-serif"/>
          <w:b w:val="false"/>
          <w:color w:val="000000"/>
          <w:sz w:val="20"/>
        </w:rPr>
        <w:t xml:space="preserve">) provides, and allocates charges for, certain products and services to our consolidated reportable segments (the </w:t>
      </w:r>
      <w:r>
        <w:rPr>
          <w:rFonts w:ascii="Times New Roman;sans-serif" w:hAnsi="Times New Roman;sans-serif"/>
          <w:b/>
          <w:color w:val="000000"/>
          <w:sz w:val="20"/>
        </w:rPr>
        <w:t>Tech Framework</w:t>
      </w:r>
      <w:r>
        <w:rPr>
          <w:rFonts w:ascii="Times New Roman;sans-serif" w:hAnsi="Times New Roman;sans-serif"/>
          <w:b w:val="false"/>
          <w:color w:val="000000"/>
          <w:sz w:val="20"/>
        </w:rPr>
        <w:t xml:space="preserve">). These products and services include CPE hardware and related essential software, maintenance, hosting and other services. Our consolidated reportable segments capitalize the combined cost of the CPE hardware and essential software as property and equipment additions and the corresponding amounts charged by our T&amp;I Function are reflected as revenue when earned.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were applied against the net book value of our existing internally-developed capitalized software. As of December 31, 2023, the net book value of our existing internally-developed software was reduced to zero, after which time we began recognizing revenue for such licensing and related sale of products. Further, from May 2023, we expense the costs of development of such software due to the fact that it is able to be externally marketed to third parties.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Performance Measures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below represent 100% of each of our reportable segment’s revenue and Adjusted EBITDA. The noncontrolling owners’ interests in the operating results of Telenet, prior to the Telenet Takeover Bid, and other less significant majority-owned subsidiaries are reflected in net earnings or loss attributable to noncontrolling interests in our condensed consolidated statements of operations. Furthermore,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condensed consolidated statements of operations.</w:t>
      </w:r>
    </w:p>
    <w:tbl>
      <w:tblPr>
        <w:tblW w:w="5859" w:type="dxa"/>
        <w:jc w:val="left"/>
        <w:tblInd w:w="0" w:type="dxa"/>
        <w:tblLayout w:type="fixed"/>
        <w:tblCellMar>
          <w:top w:w="28" w:type="dxa"/>
          <w:left w:w="28" w:type="dxa"/>
          <w:bottom w:w="28" w:type="dxa"/>
          <w:right w:w="28" w:type="dxa"/>
        </w:tblCellMar>
      </w:tblPr>
      <w:tblGrid>
        <w:gridCol w:w="899"/>
        <w:gridCol w:w="789"/>
        <w:gridCol w:w="802"/>
        <w:gridCol w:w="109"/>
        <w:gridCol w:w="109"/>
        <w:gridCol w:w="141"/>
        <w:gridCol w:w="141"/>
        <w:gridCol w:w="274"/>
        <w:gridCol w:w="996"/>
        <w:gridCol w:w="141"/>
        <w:gridCol w:w="109"/>
        <w:gridCol w:w="109"/>
        <w:gridCol w:w="109"/>
        <w:gridCol w:w="211"/>
        <w:gridCol w:w="766"/>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(a)Amounts primarily relate to the revenue recognized within our T&amp;I Function related to the</w:t>
      </w:r>
      <w:r>
        <w:rPr>
          <w:color w:val="000000"/>
        </w:rPr>
        <w:t xml:space="preserve"> </w:t>
      </w:r>
      <w:r>
        <w:rPr>
          <w:rFonts w:ascii="Times New Roman;sans-serif" w:hAnsi="Times New Roman;sans-serif"/>
          <w:b w:val="false"/>
          <w:color w:val="000000"/>
          <w:sz w:val="20"/>
        </w:rPr>
        <w:t>Tech Framework.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873" w:type="dxa"/>
        <w:jc w:val="left"/>
        <w:tblInd w:w="0" w:type="dxa"/>
        <w:tblLayout w:type="fixed"/>
        <w:tblCellMar>
          <w:top w:w="28" w:type="dxa"/>
          <w:left w:w="28" w:type="dxa"/>
          <w:bottom w:w="28" w:type="dxa"/>
          <w:right w:w="28" w:type="dxa"/>
        </w:tblCellMar>
      </w:tblPr>
      <w:tblGrid>
        <w:gridCol w:w="905"/>
        <w:gridCol w:w="792"/>
        <w:gridCol w:w="807"/>
        <w:gridCol w:w="109"/>
        <w:gridCol w:w="109"/>
        <w:gridCol w:w="141"/>
        <w:gridCol w:w="141"/>
        <w:gridCol w:w="274"/>
        <w:gridCol w:w="996"/>
        <w:gridCol w:w="141"/>
        <w:gridCol w:w="109"/>
        <w:gridCol w:w="109"/>
        <w:gridCol w:w="109"/>
        <w:gridCol w:w="211"/>
        <w:gridCol w:w="76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Adjusted EBITDA</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2024 amount includes development costs related to our internally-developed software subsequent to our decision to externally market such software during the second quarter of 2023.</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(b)Amounts relate to the Adjusted EBITDA impact within our T&amp;I Function related to the</w:t>
      </w:r>
      <w:r>
        <w:rPr>
          <w:color w:val="000000"/>
        </w:rPr>
        <w:t xml:space="preserve"> </w:t>
      </w:r>
      <w:r>
        <w:rPr>
          <w:rFonts w:ascii="Times New Roman;sans-serif" w:hAnsi="Times New Roman;sans-serif"/>
          <w:b w:val="false"/>
          <w:color w:val="000000"/>
          <w:sz w:val="20"/>
        </w:rPr>
        <w:t>Tech Framework.</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earnings (loss) to Adjusted EBITDA:</w:t>
      </w:r>
    </w:p>
    <w:tbl>
      <w:tblPr>
        <w:tblW w:w="10205" w:type="dxa"/>
        <w:jc w:val="left"/>
        <w:tblInd w:w="0" w:type="dxa"/>
        <w:tblLayout w:type="fixed"/>
        <w:tblCellMar>
          <w:top w:w="28" w:type="dxa"/>
          <w:left w:w="28" w:type="dxa"/>
          <w:bottom w:w="28" w:type="dxa"/>
          <w:right w:w="28" w:type="dxa"/>
        </w:tblCellMar>
      </w:tblPr>
      <w:tblGrid>
        <w:gridCol w:w="2563"/>
        <w:gridCol w:w="2202"/>
        <w:gridCol w:w="2213"/>
        <w:gridCol w:w="109"/>
        <w:gridCol w:w="109"/>
        <w:gridCol w:w="154"/>
        <w:gridCol w:w="154"/>
        <w:gridCol w:w="298"/>
        <w:gridCol w:w="871"/>
        <w:gridCol w:w="154"/>
        <w:gridCol w:w="109"/>
        <w:gridCol w:w="109"/>
        <w:gridCol w:w="109"/>
        <w:gridCol w:w="211"/>
        <w:gridCol w:w="683"/>
        <w:gridCol w:w="157"/>
      </w:tblGrid>
      <w:tr>
        <w:trPr/>
        <w:tc>
          <w:tcPr>
            <w:tcW w:w="256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78" w:type="dxa"/>
            <w:gridSpan w:val="6"/>
            <w:tcBorders/>
          </w:tcPr>
          <w:p>
            <w:pPr>
              <w:pStyle w:val="TableContents"/>
              <w:bidi w:val="0"/>
              <w:spacing w:before="0" w:after="283"/>
              <w:jc w:val="left"/>
              <w:rPr>
                <w:sz w:val="4"/>
                <w:szCs w:val="4"/>
              </w:rPr>
            </w:pPr>
            <w:r>
              <w:rPr>
                <w:sz w:val="4"/>
                <w:szCs w:val="4"/>
              </w:rPr>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Additions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7 and 9, respectively.</w:t>
      </w:r>
    </w:p>
    <w:tbl>
      <w:tblPr>
        <w:tblW w:w="7913" w:type="dxa"/>
        <w:jc w:val="left"/>
        <w:tblInd w:w="0" w:type="dxa"/>
        <w:tblLayout w:type="fixed"/>
        <w:tblCellMar>
          <w:top w:w="28" w:type="dxa"/>
          <w:left w:w="28" w:type="dxa"/>
          <w:bottom w:w="28" w:type="dxa"/>
          <w:right w:w="28" w:type="dxa"/>
        </w:tblCellMar>
      </w:tblPr>
      <w:tblGrid>
        <w:gridCol w:w="2048"/>
        <w:gridCol w:w="1794"/>
        <w:gridCol w:w="1827"/>
        <w:gridCol w:w="211"/>
        <w:gridCol w:w="616"/>
        <w:gridCol w:w="109"/>
        <w:gridCol w:w="109"/>
        <w:gridCol w:w="109"/>
        <w:gridCol w:w="109"/>
        <w:gridCol w:w="211"/>
        <w:gridCol w:w="616"/>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additions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property and equipment additions representing centrally-owned assets that benefit our operating segments, including development costs related to our internally-developed software prior to our decision to externally market such software during the second quarter of 2023, (ii) the net impact of certain centrally-procured network equipment that is ultimately transferred to our operating segments and (iii) property and equipment additions of our operations in Slovakia.</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reflect the charge under the Tech Framework to each respective consolidated reportable segment related to the value attributed to centrally-held internally developed technology that is embedded within our various CPE, as well as any applicable markup.</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Revenue by Major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by major category for our consolidated reportable segments is set forth below:</w:t>
      </w:r>
    </w:p>
    <w:tbl>
      <w:tblPr>
        <w:tblW w:w="6128" w:type="dxa"/>
        <w:jc w:val="left"/>
        <w:tblInd w:w="0" w:type="dxa"/>
        <w:tblLayout w:type="fixed"/>
        <w:tblCellMar>
          <w:top w:w="28" w:type="dxa"/>
          <w:left w:w="28" w:type="dxa"/>
          <w:bottom w:w="28" w:type="dxa"/>
          <w:right w:w="28" w:type="dxa"/>
        </w:tblCellMar>
      </w:tblPr>
      <w:tblGrid>
        <w:gridCol w:w="1000"/>
        <w:gridCol w:w="877"/>
        <w:gridCol w:w="882"/>
        <w:gridCol w:w="109"/>
        <w:gridCol w:w="109"/>
        <w:gridCol w:w="141"/>
        <w:gridCol w:w="141"/>
        <w:gridCol w:w="274"/>
        <w:gridCol w:w="996"/>
        <w:gridCol w:w="141"/>
        <w:gridCol w:w="109"/>
        <w:gridCol w:w="109"/>
        <w:gridCol w:w="109"/>
        <w:gridCol w:w="211"/>
        <w:gridCol w:w="7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(c)Residential mobile subscription revenue includes amounts received from subscribers for ongoing services. Residential mobile non-subscription revenue includes, among other items, interconnect revenue and revenue from sales of mobile handsets and other devices.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(d)B2B subscription revenue represents revenue from (i) services provided to small or home office (</w:t>
      </w:r>
      <w:r>
        <w:rPr>
          <w:rFonts w:ascii="Times New Roman;sans-serif" w:hAnsi="Times New Roman;sans-serif"/>
          <w:b/>
          <w:color w:val="000000"/>
          <w:sz w:val="20"/>
        </w:rPr>
        <w:t>SOHO</w:t>
      </w:r>
      <w:r>
        <w:rPr>
          <w:rFonts w:ascii="Times New Roman;sans-serif" w:hAnsi="Times New Roman;sans-serif"/>
          <w:b w:val="false"/>
          <w:color w:val="000000"/>
          <w:sz w:val="20"/>
        </w:rPr>
        <w:t xml:space="preserve">)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enterprises and, fixed-line and mobile services on a wholesale basis, to other operators and (b) revenue from long-term leases of portions of our network.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(e)Other revenue includes, among other items, (i) broadcasting revenue at Telenet, VM Ireland and Sunrise, (ii) revenue earned from the U.K. JV Services and NL JV Services and (iii) revenue earned from the sale of CPE to the VMO2 JV and VodafoneZiggo JV.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Geographic Segments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of our geographic segments is set forth below:</w:t>
      </w:r>
    </w:p>
    <w:tbl>
      <w:tblPr>
        <w:tblW w:w="7238" w:type="dxa"/>
        <w:jc w:val="left"/>
        <w:tblInd w:w="0" w:type="dxa"/>
        <w:tblLayout w:type="fixed"/>
        <w:tblCellMar>
          <w:top w:w="28" w:type="dxa"/>
          <w:left w:w="28" w:type="dxa"/>
          <w:bottom w:w="28" w:type="dxa"/>
          <w:right w:w="28" w:type="dxa"/>
        </w:tblCellMar>
      </w:tblPr>
      <w:tblGrid>
        <w:gridCol w:w="1398"/>
        <w:gridCol w:w="1229"/>
        <w:gridCol w:w="1242"/>
        <w:gridCol w:w="109"/>
        <w:gridCol w:w="109"/>
        <w:gridCol w:w="141"/>
        <w:gridCol w:w="141"/>
        <w:gridCol w:w="274"/>
        <w:gridCol w:w="996"/>
        <w:gridCol w:w="141"/>
        <w:gridCol w:w="109"/>
        <w:gridCol w:w="109"/>
        <w:gridCol w:w="109"/>
        <w:gridCol w:w="211"/>
        <w:gridCol w:w="76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intersegment eliminations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(U.K.)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VodafoneZiggo JV (Netherlands)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(a)Revenue from our other geographic segments relates to (i) our Central functions, most of which are located in the Netherlands and the U.K., and (ii) certain other operations at Telenet, primarily in the U.S. and Luxembourg.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 2.</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which should be read in conjunction with our consolidated financial statements and the discussion and analysis included in our 10-K, is intended to assist in providing an understanding of changes in our results of operations and financial condition and is organized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Forward-Looking Statements. </w:t>
      </w:r>
      <w:r>
        <w:rPr>
          <w:rFonts w:ascii="Times New Roman;sans-serif" w:hAnsi="Times New Roman;sans-serif"/>
          <w:b w:val="false"/>
          <w:color w:val="000000"/>
          <w:sz w:val="20"/>
        </w:rPr>
        <w:t>This section provides a description of certain factors that could cause actual results or events to differ materially from anticipated results or events.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This section provides a general description of our business and recent events.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Material Changes in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months ended March 31, 2024 and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Material Changes in Financial Condition.</w:t>
      </w:r>
      <w:r>
        <w:rPr>
          <w:color w:val="000000"/>
        </w:rPr>
        <w:t xml:space="preserve"> </w:t>
      </w:r>
      <w:r>
        <w:rPr>
          <w:rFonts w:ascii="Times New Roman;sans-serif" w:hAnsi="Times New Roman;sans-serif"/>
          <w:b w:val="false"/>
          <w:color w:val="000000"/>
          <w:sz w:val="20"/>
        </w:rPr>
        <w:t>This section provides an analysis of our corporate and subsidiary liquidity and our condensed consolidated statements of cash flows.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convenience translations into U.S. dollars are calculated, and operational data is presented, as of March 31, 2024.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Part I, Item 3.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 xml:space="preserve">and Part II, Item 2. </w:t>
      </w:r>
      <w:r>
        <w:rPr>
          <w:rFonts w:ascii="Times New Roman;sans-serif" w:hAnsi="Times New Roman;sans-serif"/>
          <w:b w:val="false"/>
          <w:i/>
          <w:color w:val="000000"/>
          <w:sz w:val="20"/>
        </w:rPr>
        <w:t>Unregistered Sales of Equity Securities and Use of Proceeds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 xml:space="preserve">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of our 10-K, as well as the following list of some, but not all, of the factors that could cause actual results or events (including with respect to affiliates) to differ materially from anticipated results or events: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competitive environment in the industries and in the countries in which we or our affiliates operate, including competitor responses to our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instability in global financial markets, including sovereign debt issues, currency instability and related fiscal reforms;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disposable income and spending levels, including the availability and amount of individual consumer debt, as a result of, among other things, inflationary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consumer television viewing, mobile and broadband usage preferences and habits;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manage rapid technological changes, including our ability to adequately manage our legacy technologies and transformation, and the rate at which our current technology becomes obsolete;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or increase the number of subscriptions to our broadband internet, video, fixed-line telephony and mobile service offerings and our average revenue per household;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provide satisfactory customer service, including support for new and evolving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or increase rates to our subscribers or to pass through increased costs to our subscribers, including with respect to our significant property and equipment additions, as a result of, among other things, inflationary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impact of our future financial performance, or market conditions generally, on the availability, terms and deployment of capital;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or failure or inability to comply with, government regulations and legislation in the countries in which we or our affiliates operate and adverse outcomes from regulatory proceedings;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intervention that requires opening our broadband distribution networks to competitors, such as certain regulatory obligations imposed in Belgium;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and further develop our direct and indirect distribution channels;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 of perceived health risks associated with electromagnetic radiation from base stations and associated equipment;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 on our businesses of strikes or collective action by certain of our employees that are represented by trade unions;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obtain regulatory approval and shareholder approval and satisfy other conditions necessary to close acquisitions, dispositions, combinations or joint ventures and the impact of conditions imposed by competition and other regulatory authorities in connection with acquisitions, combinations and joint ventures;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successfully acquire new businesses or form joint ventures and, if acquired or joined, to integrate, realize anticipated efficiencies from, and implement our business plan with respect to, the businesses we have acquired or joined or that we expect to acquire or join;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or treaties relating to taxation, or the interpretation thereof, in the U.K., the U.S. or in other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monetary policies and government regulations that may impact the availability or cost of capital and the derivative instruments that hedge certain of our financial risks;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navigate the potential impacts on our business resulting from the U.K.’s departure from the E.U.;</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of suppliers and vendors (including our third-party wireless network provider, Three (Hutchison), under our MVNO arrangement at VM Ireland) to timely deliver quality products, equipment, software, services and access;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activities of device manufacturers, and our operating companies’ ability to secure adequate and timely supply of handsets that experience high demand;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of attractive programming for our video services and the costs associated with such programming, including, but not limited to, production costs, retransmission and copyright fees payable to public and private broadcasters;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uncertainties inherent in the development and integration of new business lines and business strategies;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adequately forecast and plan future network requirements;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and cost of capital for the acquisition, maintenance and/or development of telecommunications networks,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cost and regulation of spectrum;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processes, of businesses we acquire;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integrating businesses or operations that we acquire or partner with on the timelines or within the budgets estimated for such integrations;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costs, customer loss and business disruption, including maintaining relationships with employees, customers, suppliers or vendors, may be greater than expected in connection with our acquisitions, dispositions or joint ventures;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realize the expected synergies from our acquisitions and joint ventures in the amounts anticipated or on the anticipated timelines;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profit from investments, such as our joint ventures, that we do not solely control;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anticipate, protect against, mitigate and contain loss of our and our customers’ data as a result of cyber attacks on us or any of our operating companies;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leakage of sensitive customer or company data or the failure to comply with applicable data protection laws, regulations and rules;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failure in our network and information systems, whether caused by a natural failure or a security breach, and unauthorized access to our networks;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outcome of any pending or threatened litigation;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loss of key employees and the availability of qualified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nature of key strategic relationships with partners and joint venturers;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risk of default by counterparties to our cash investments, derivative and other financial instruments and undrawn debt facilities;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capital structure and factors related to our debt arrangements;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events that are outside of our control, such as political unrest in international markets, terrorist attacks, armed conflicts, malicious human acts, natural disasters, epidemics, pandemics and other similar events, including the ongoing invasion of Ukraine by Russia and the Israeli-Palestinian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Sunrise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announced our intention to spin-off the Sunrise Entities, which is expected to close during the fourth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Telenet Takeover Bid, pursuant to which we increased our ownership interest in Telenet to 100%.</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we owned and operated networks that passed 8,552,900 homes and served 4,036,700 fixed-line customers and 5,887,500 mobile subscribers.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Competition and Other External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sans-serif" w:hAnsi="Times New Roman;sans-serif"/>
          <w:b/>
          <w:color w:val="000000"/>
          <w:sz w:val="20"/>
        </w:rPr>
        <w:t>ARPU</w:t>
      </w:r>
      <w:r>
        <w:rPr>
          <w:rFonts w:ascii="Times New Roman;sans-serif" w:hAnsi="Times New Roman;sans-serif"/>
          <w:b w:val="false"/>
          <w:color w:val="000000"/>
          <w:sz w:val="20"/>
        </w:rPr>
        <w:t xml:space="preserve">). For additional information regarding the revenue impact of changes in the fixed-line customers and ARPU of our consolidated reportable segments, see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below</w:t>
      </w:r>
      <w:r>
        <w:rPr>
          <w:rFonts w:ascii="Times New Roman;sans-serif" w:hAnsi="Times New Roman;sans-serif"/>
          <w:b w:val="false"/>
          <w:i/>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inflationary pressures, which remain elevated,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Material Changes in Results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following discussion, we quantify the estimated impact of material acquisitions (the </w:t>
      </w:r>
      <w:r>
        <w:rPr>
          <w:rFonts w:ascii="Times New Roman;sans-serif" w:hAnsi="Times New Roman;sans-serif"/>
          <w:b/>
          <w:color w:val="000000"/>
          <w:sz w:val="20"/>
        </w:rPr>
        <w:t>Acquisition Impact</w:t>
      </w:r>
      <w:r>
        <w:rPr>
          <w:rFonts w:ascii="Times New Roman;sans-serif" w:hAnsi="Times New Roman;sans-serif"/>
          <w:b w:val="false"/>
          <w:color w:val="000000"/>
          <w:sz w:val="20"/>
        </w:rPr>
        <w:t xml:space="preserve">)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sans-serif" w:hAnsi="Times New Roman;sans-serif"/>
          <w:b/>
          <w:color w:val="000000"/>
          <w:sz w:val="20"/>
        </w:rPr>
        <w:t>FX</w:t>
      </w:r>
      <w:r>
        <w:rPr>
          <w:rFonts w:ascii="Times New Roman;sans-serif" w:hAnsi="Times New Roman;sans-serif"/>
          <w:b w:val="false"/>
          <w:color w:val="000000"/>
          <w:sz w:val="20"/>
        </w:rPr>
        <w:t>) risk during the three months ended March 31, 2024 was to the euro and Swiss franc, as 57.8% and</w:t>
      </w:r>
      <w:r>
        <w:rPr>
          <w:color w:val="000000"/>
        </w:rPr>
        <w:t xml:space="preserve"> </w:t>
      </w:r>
      <w:r>
        <w:rPr>
          <w:rFonts w:ascii="Times New Roman;sans-serif" w:hAnsi="Times New Roman;sans-serif"/>
          <w:b w:val="false"/>
          <w:color w:val="000000"/>
          <w:sz w:val="20"/>
        </w:rPr>
        <w:t>43.9%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w:t>
      </w:r>
      <w:r>
        <w:rPr>
          <w:color w:val="000000"/>
        </w:rPr>
        <w:t xml:space="preserve"> </w:t>
      </w:r>
      <w:r>
        <w:rPr>
          <w:rFonts w:ascii="Times New Roman;sans-serif" w:hAnsi="Times New Roman;sans-serif"/>
          <w:b w:val="false"/>
          <w:color w:val="000000"/>
          <w:sz w:val="20"/>
        </w:rPr>
        <w:t xml:space="preserve">in the various components of our results of operations that are attributable to changes in FX are highlighted under </w:t>
      </w:r>
      <w:r>
        <w:rPr>
          <w:rFonts w:ascii="Times New Roman;sans-serif" w:hAnsi="Times New Roman;sans-serif"/>
          <w:b w:val="false"/>
          <w:i/>
          <w:color w:val="000000"/>
          <w:sz w:val="20"/>
        </w:rPr>
        <w:t>Discussion and Analysis of our</w:t>
      </w:r>
      <w:r>
        <w:rPr>
          <w:color w:val="000000"/>
        </w:rPr>
        <w:t xml:space="preserve"> </w:t>
      </w:r>
      <w:r>
        <w:rPr>
          <w:rFonts w:ascii="Times New Roman;sans-serif" w:hAnsi="Times New Roman;sans-serif"/>
          <w:b w:val="false"/>
          <w:i/>
          <w:color w:val="000000"/>
          <w:sz w:val="20"/>
        </w:rPr>
        <w:t xml:space="preserve">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information regarding our foreign currency risks and the applicable foreign currency exchange rates in effect for the periods covered by this Quarterly Report, see Part I, Item 3. </w:t>
      </w:r>
      <w:r>
        <w:rPr>
          <w:rFonts w:ascii="Times New Roman;sans-serif" w:hAnsi="Times New Roman;sans-serif"/>
          <w:b w:val="false"/>
          <w:i/>
          <w:color w:val="000000"/>
          <w:sz w:val="20"/>
        </w:rPr>
        <w:t>Quantitative and Qualitative Disclosures about Market Risk — Foreign Currency Risk</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of our consolidated reportable segment’s results of operations. The noncontrolling owners’ interests at Telenet and other less significant majority-owned subsidiaries are reflected in net earnings or loss attributable to noncontrolling interests in our condensed consolidated statements of operations. Furthermore, despite only holding a 50% noncontrolling interest in both the VMO2 JV and the VodafoneZiggo JV, we present 100% of the revenue and Adjusted EBITDA of those entities in the tables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and Analysis of our Reportable Segments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15 to our condensed consolidated financial statements. For information regarding the results of operations of the VMO2 JV and the VodafoneZiggo JV, refer to </w:t>
      </w:r>
      <w:r>
        <w:rPr>
          <w:rFonts w:ascii="Times New Roman;sans-serif" w:hAnsi="Times New Roman;sans-serif"/>
          <w:b w:val="false"/>
          <w:i/>
          <w:color w:val="000000"/>
          <w:sz w:val="20"/>
        </w:rPr>
        <w:t xml:space="preserve">Discussion and Analysis of our Consolidated Operating Results — Share of results of affiliates, net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presented below in this section provide the details of the revenue and Adjusted EBITDA of our reportable segments for the three months ended March 31, 2024, as compared to the corresponding period in 2023.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months ended March 31, 2024 and 2023 at the end of this section.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a reconciliation of</w:t>
      </w:r>
      <w:r>
        <w:rPr>
          <w:color w:val="000000"/>
        </w:rPr>
        <w:t xml:space="preserve"> </w:t>
      </w:r>
      <w:r>
        <w:rPr>
          <w:rFonts w:ascii="Times New Roman;sans-serif" w:hAnsi="Times New Roman;sans-serif"/>
          <w:b w:val="false"/>
          <w:color w:val="000000"/>
          <w:sz w:val="20"/>
        </w:rPr>
        <w:t>net earnings (loss)</w:t>
      </w:r>
      <w:r>
        <w:rPr>
          <w:color w:val="000000"/>
        </w:rPr>
        <w:t xml:space="preserve"> </w:t>
      </w:r>
      <w:r>
        <w:rPr>
          <w:rFonts w:ascii="Times New Roman;sans-serif" w:hAnsi="Times New Roman;sans-serif"/>
          <w:b w:val="false"/>
          <w:color w:val="000000"/>
          <w:sz w:val="20"/>
        </w:rPr>
        <w:t>to Adjusted EBITDA:</w:t>
      </w:r>
    </w:p>
    <w:tbl>
      <w:tblPr>
        <w:tblW w:w="10205" w:type="dxa"/>
        <w:jc w:val="left"/>
        <w:tblInd w:w="0" w:type="dxa"/>
        <w:tblLayout w:type="fixed"/>
        <w:tblCellMar>
          <w:top w:w="28" w:type="dxa"/>
          <w:left w:w="28" w:type="dxa"/>
          <w:bottom w:w="28" w:type="dxa"/>
          <w:right w:w="28" w:type="dxa"/>
        </w:tblCellMar>
      </w:tblPr>
      <w:tblGrid>
        <w:gridCol w:w="2563"/>
        <w:gridCol w:w="2202"/>
        <w:gridCol w:w="2213"/>
        <w:gridCol w:w="109"/>
        <w:gridCol w:w="109"/>
        <w:gridCol w:w="154"/>
        <w:gridCol w:w="154"/>
        <w:gridCol w:w="298"/>
        <w:gridCol w:w="871"/>
        <w:gridCol w:w="154"/>
        <w:gridCol w:w="109"/>
        <w:gridCol w:w="109"/>
        <w:gridCol w:w="109"/>
        <w:gridCol w:w="211"/>
        <w:gridCol w:w="683"/>
        <w:gridCol w:w="157"/>
      </w:tblGrid>
      <w:tr>
        <w:trPr/>
        <w:tc>
          <w:tcPr>
            <w:tcW w:w="256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78" w:type="dxa"/>
            <w:gridSpan w:val="6"/>
            <w:tcBorders/>
          </w:tcPr>
          <w:p>
            <w:pPr>
              <w:pStyle w:val="TableContents"/>
              <w:bidi w:val="0"/>
              <w:spacing w:before="0" w:after="283"/>
              <w:jc w:val="left"/>
              <w:rPr>
                <w:sz w:val="4"/>
                <w:szCs w:val="4"/>
              </w:rPr>
            </w:pPr>
            <w:r>
              <w:rPr>
                <w:sz w:val="4"/>
                <w:szCs w:val="4"/>
              </w:rPr>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Revenue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While not specifically discussed in the below explanations of the changes in the revenue of our reportable segments, we are experiencing competition in all of our markets. This competition has an adverse impact on our ability to increase or maintain our total number of customers and/or our ARPU.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96" w:type="dxa"/>
        <w:jc w:val="left"/>
        <w:tblInd w:w="0" w:type="dxa"/>
        <w:tblLayout w:type="fixed"/>
        <w:tblCellMar>
          <w:top w:w="28" w:type="dxa"/>
          <w:left w:w="28" w:type="dxa"/>
          <w:bottom w:w="28" w:type="dxa"/>
          <w:right w:w="28" w:type="dxa"/>
        </w:tblCellMar>
      </w:tblPr>
      <w:tblGrid>
        <w:gridCol w:w="807"/>
        <w:gridCol w:w="708"/>
        <w:gridCol w:w="71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109"/>
        <w:gridCol w:w="109"/>
        <w:gridCol w:w="109"/>
        <w:gridCol w:w="109"/>
        <w:gridCol w:w="308"/>
        <w:gridCol w:w="746"/>
        <w:gridCol w:w="159"/>
        <w:gridCol w:w="159"/>
        <w:gridCol w:w="159"/>
        <w:gridCol w:w="159"/>
        <w:gridCol w:w="254"/>
        <w:gridCol w:w="257"/>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Sunrise. </w:t>
      </w:r>
      <w:r>
        <w:rPr>
          <w:rFonts w:ascii="Times New Roman;sans-serif" w:hAnsi="Times New Roman;sans-serif"/>
          <w:b w:val="false"/>
          <w:color w:val="000000"/>
          <w:sz w:val="20"/>
        </w:rPr>
        <w:t>The details of the</w:t>
      </w:r>
      <w:r>
        <w:rPr>
          <w:color w:val="000000"/>
        </w:rPr>
        <w:t xml:space="preserve"> </w:t>
      </w:r>
      <w:r>
        <w:rPr>
          <w:rFonts w:ascii="Times New Roman;sans-serif" w:hAnsi="Times New Roman;sans-serif"/>
          <w:b w:val="false"/>
          <w:color w:val="000000"/>
          <w:sz w:val="20"/>
        </w:rPr>
        <w:t>increase</w:t>
      </w:r>
      <w:r>
        <w:rPr>
          <w:color w:val="000000"/>
        </w:rPr>
        <w:t xml:space="preserve"> </w:t>
      </w:r>
      <w:r>
        <w:rPr>
          <w:rFonts w:ascii="Times New Roman;sans-serif" w:hAnsi="Times New Roman;sans-serif"/>
          <w:b w:val="false"/>
          <w:color w:val="000000"/>
          <w:sz w:val="20"/>
        </w:rPr>
        <w:t>in Sunrise’s revenue during the three months ended March 31, 2024</w:t>
      </w:r>
      <w:r>
        <w:rPr>
          <w:rFonts w:ascii="Times New Roman;sans-serif" w:hAnsi="Times New Roman;sans-serif"/>
          <w:b w:val="false"/>
          <w:color w:val="2C2C2C"/>
          <w:sz w:val="20"/>
        </w:rPr>
        <w:t>,</w:t>
      </w:r>
      <w:r>
        <w:rPr>
          <w:color w:val="000000"/>
        </w:rPr>
        <w:t xml:space="preserve"> </w:t>
      </w:r>
      <w:r>
        <w:rPr>
          <w:rFonts w:ascii="Times New Roman;sans-serif" w:hAnsi="Times New Roman;sans-serif"/>
          <w:b w:val="false"/>
          <w:color w:val="000000"/>
          <w:sz w:val="20"/>
        </w:rPr>
        <w:t xml:space="preserve">as compared to the corresponding period in </w:t>
      </w:r>
      <w:r>
        <w:rPr>
          <w:rFonts w:ascii="Times New Roman;sans-serif" w:hAnsi="Times New Roman;sans-serif"/>
          <w:b w:val="false"/>
          <w:color w:val="2C2C2C"/>
          <w:sz w:val="20"/>
        </w:rPr>
        <w:t>2023</w:t>
      </w:r>
      <w:r>
        <w:rPr>
          <w:rFonts w:ascii="Times New Roman;sans-serif" w:hAnsi="Times New Roman;sans-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1977"/>
        <w:gridCol w:w="1720"/>
        <w:gridCol w:w="1729"/>
        <w:gridCol w:w="109"/>
        <w:gridCol w:w="109"/>
        <w:gridCol w:w="109"/>
        <w:gridCol w:w="109"/>
        <w:gridCol w:w="109"/>
        <w:gridCol w:w="109"/>
        <w:gridCol w:w="288"/>
        <w:gridCol w:w="698"/>
        <w:gridCol w:w="149"/>
        <w:gridCol w:w="109"/>
        <w:gridCol w:w="109"/>
        <w:gridCol w:w="109"/>
        <w:gridCol w:w="369"/>
        <w:gridCol w:w="895"/>
        <w:gridCol w:w="192"/>
        <w:gridCol w:w="109"/>
        <w:gridCol w:w="109"/>
        <w:gridCol w:w="109"/>
        <w:gridCol w:w="211"/>
        <w:gridCol w:w="511"/>
        <w:gridCol w:w="158"/>
      </w:tblGrid>
      <w:tr>
        <w:trPr/>
        <w:tc>
          <w:tcPr>
            <w:tcW w:w="197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2" w:type="dxa"/>
            <w:gridSpan w:val="18"/>
            <w:tcBorders/>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increase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mobile revenue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B2B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increase in residential mobile subscription revenue is primarily attributable to an increase in the average number of mobile subscribers. The decrease in residential mobile non-subscription revenue is primarily due to lower revenue from handset sales.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increase in B2B non-subscription revenue is primarily attributable to higher interconnect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Telenet.</w:t>
      </w:r>
      <w:r>
        <w:rPr>
          <w:color w:val="000000"/>
        </w:rPr>
        <w:t xml:space="preserve"> </w:t>
      </w:r>
      <w:r>
        <w:rPr>
          <w:rFonts w:ascii="Times New Roman;sans-serif" w:hAnsi="Times New Roman;sans-serif"/>
          <w:b w:val="false"/>
          <w:color w:val="000000"/>
          <w:sz w:val="20"/>
        </w:rPr>
        <w:t>The details of the increase</w:t>
      </w:r>
      <w:r>
        <w:rPr>
          <w:color w:val="000000"/>
        </w:rPr>
        <w:t xml:space="preserve"> </w:t>
      </w:r>
      <w:r>
        <w:rPr>
          <w:rFonts w:ascii="Times New Roman;sans-serif" w:hAnsi="Times New Roman;sans-serif"/>
          <w:b w:val="false"/>
          <w:color w:val="000000"/>
          <w:sz w:val="20"/>
        </w:rPr>
        <w:t>in Telenet’s revenue during the three months ended March 31, 2024</w:t>
      </w:r>
      <w:r>
        <w:rPr>
          <w:rFonts w:ascii="Times New Roman;sans-serif" w:hAnsi="Times New Roman;sans-serif"/>
          <w:b w:val="false"/>
          <w:color w:val="2C2C2C"/>
          <w:sz w:val="20"/>
        </w:rPr>
        <w:t>,</w:t>
      </w:r>
      <w:r>
        <w:rPr>
          <w:color w:val="000000"/>
        </w:rPr>
        <w:t xml:space="preserve"> </w:t>
      </w:r>
      <w:r>
        <w:rPr>
          <w:rFonts w:ascii="Times New Roman;sans-serif" w:hAnsi="Times New Roman;sans-serif"/>
          <w:b w:val="false"/>
          <w:color w:val="000000"/>
          <w:sz w:val="20"/>
        </w:rPr>
        <w:t xml:space="preserve">as compared to the corresponding period in </w:t>
      </w:r>
      <w:r>
        <w:rPr>
          <w:rFonts w:ascii="Times New Roman;sans-serif" w:hAnsi="Times New Roman;sans-serif"/>
          <w:b w:val="false"/>
          <w:color w:val="2C2C2C"/>
          <w:sz w:val="20"/>
        </w:rPr>
        <w:t>2023</w:t>
      </w:r>
      <w:r>
        <w:rPr>
          <w:rFonts w:ascii="Times New Roman;sans-serif" w:hAnsi="Times New Roman;sans-serif"/>
          <w:b w:val="false"/>
          <w:color w:val="000000"/>
          <w:sz w:val="20"/>
        </w:rPr>
        <w:t xml:space="preserve">, are set forth below: </w:t>
      </w:r>
    </w:p>
    <w:tbl>
      <w:tblPr>
        <w:tblW w:w="10205" w:type="dxa"/>
        <w:jc w:val="left"/>
        <w:tblInd w:w="0" w:type="dxa"/>
        <w:tblLayout w:type="fixed"/>
        <w:tblCellMar>
          <w:top w:w="28" w:type="dxa"/>
          <w:left w:w="28" w:type="dxa"/>
          <w:bottom w:w="28" w:type="dxa"/>
          <w:right w:w="28" w:type="dxa"/>
        </w:tblCellMar>
      </w:tblPr>
      <w:tblGrid>
        <w:gridCol w:w="1997"/>
        <w:gridCol w:w="1682"/>
        <w:gridCol w:w="1692"/>
        <w:gridCol w:w="109"/>
        <w:gridCol w:w="109"/>
        <w:gridCol w:w="109"/>
        <w:gridCol w:w="109"/>
        <w:gridCol w:w="109"/>
        <w:gridCol w:w="109"/>
        <w:gridCol w:w="281"/>
        <w:gridCol w:w="702"/>
        <w:gridCol w:w="145"/>
        <w:gridCol w:w="109"/>
        <w:gridCol w:w="109"/>
        <w:gridCol w:w="109"/>
        <w:gridCol w:w="414"/>
        <w:gridCol w:w="827"/>
        <w:gridCol w:w="215"/>
        <w:gridCol w:w="109"/>
        <w:gridCol w:w="109"/>
        <w:gridCol w:w="109"/>
        <w:gridCol w:w="211"/>
        <w:gridCol w:w="573"/>
        <w:gridCol w:w="158"/>
      </w:tblGrid>
      <w:tr>
        <w:trPr/>
        <w:tc>
          <w:tcPr>
            <w:tcW w:w="199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7" w:type="dxa"/>
            <w:gridSpan w:val="18"/>
            <w:tcBorders/>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mobile revenue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B2B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increase in residential mobile non-subscription revenue is primarily attributable to an increase in revenue from handset sales.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increase in B2B subscription revenue is primarily due to an increase in the average number of customers. The decrease in B2B non-subscription revenue is primarily attributable to (i) lower interconnect revenue and (ii) a decrease in revenue from wholesale services.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VM Ireland.</w:t>
      </w:r>
      <w:r>
        <w:rPr>
          <w:color w:val="000000"/>
        </w:rPr>
        <w:t xml:space="preserve"> </w:t>
      </w:r>
      <w:r>
        <w:rPr>
          <w:rFonts w:ascii="Times New Roman;sans-serif" w:hAnsi="Times New Roman;sans-serif"/>
          <w:b w:val="false"/>
          <w:color w:val="000000"/>
          <w:sz w:val="20"/>
        </w:rPr>
        <w:t>The details of the change</w:t>
      </w:r>
      <w:r>
        <w:rPr>
          <w:color w:val="000000"/>
        </w:rPr>
        <w:t xml:space="preserve"> </w:t>
      </w:r>
      <w:r>
        <w:rPr>
          <w:rFonts w:ascii="Times New Roman;sans-serif" w:hAnsi="Times New Roman;sans-serif"/>
          <w:b w:val="false"/>
          <w:color w:val="000000"/>
          <w:sz w:val="20"/>
        </w:rPr>
        <w:t xml:space="preserve">in VM Ireland’s revenue during the three months ended March 31, 2024, as compared to the corresponding period in </w:t>
      </w:r>
      <w:r>
        <w:rPr>
          <w:rFonts w:ascii="Times New Roman;sans-serif" w:hAnsi="Times New Roman;sans-serif"/>
          <w:b w:val="false"/>
          <w:color w:val="2C2C2C"/>
          <w:sz w:val="20"/>
        </w:rPr>
        <w:t>2023</w:t>
      </w:r>
      <w:r>
        <w:rPr>
          <w:rFonts w:ascii="Times New Roman;sans-serif" w:hAnsi="Times New Roman;sans-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2029"/>
        <w:gridCol w:w="1717"/>
        <w:gridCol w:w="1728"/>
        <w:gridCol w:w="109"/>
        <w:gridCol w:w="109"/>
        <w:gridCol w:w="109"/>
        <w:gridCol w:w="109"/>
        <w:gridCol w:w="109"/>
        <w:gridCol w:w="109"/>
        <w:gridCol w:w="321"/>
        <w:gridCol w:w="642"/>
        <w:gridCol w:w="166"/>
        <w:gridCol w:w="109"/>
        <w:gridCol w:w="109"/>
        <w:gridCol w:w="109"/>
        <w:gridCol w:w="423"/>
        <w:gridCol w:w="814"/>
        <w:gridCol w:w="219"/>
        <w:gridCol w:w="109"/>
        <w:gridCol w:w="109"/>
        <w:gridCol w:w="109"/>
        <w:gridCol w:w="211"/>
        <w:gridCol w:w="469"/>
        <w:gridCol w:w="158"/>
      </w:tblGrid>
      <w:tr>
        <w:trPr/>
        <w:tc>
          <w:tcPr>
            <w:tcW w:w="202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4" w:type="dxa"/>
            <w:gridSpan w:val="18"/>
            <w:tcBorders/>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mobile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B2B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Programming and Other Direct Costs of Services, Other Operating Expenses and SG&amp;A Expenses of our Consolidated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information regarding the changes in our (i) programming and other direct costs of services, (ii) other operating expenses and (iii) SG&amp;A expenses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w:t>
      </w:r>
      <w:r>
        <w:rPr>
          <w:color w:val="000000"/>
        </w:rPr>
        <w:t xml:space="preserve">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EBITDA of our Reportable Segments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47" w:type="dxa"/>
        <w:jc w:val="left"/>
        <w:tblInd w:w="0" w:type="dxa"/>
        <w:tblLayout w:type="fixed"/>
        <w:tblCellMar>
          <w:top w:w="28" w:type="dxa"/>
          <w:left w:w="28" w:type="dxa"/>
          <w:bottom w:w="28" w:type="dxa"/>
          <w:right w:w="28" w:type="dxa"/>
        </w:tblCellMar>
      </w:tblPr>
      <w:tblGrid>
        <w:gridCol w:w="807"/>
        <w:gridCol w:w="708"/>
        <w:gridCol w:w="719"/>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54"/>
        <w:gridCol w:w="257"/>
        <w:gridCol w:w="109"/>
        <w:gridCol w:w="109"/>
        <w:gridCol w:w="109"/>
        <w:gridCol w:w="109"/>
        <w:gridCol w:w="293"/>
        <w:gridCol w:w="816"/>
        <w:gridCol w:w="151"/>
        <w:gridCol w:w="151"/>
        <w:gridCol w:w="151"/>
        <w:gridCol w:w="151"/>
        <w:gridCol w:w="239"/>
        <w:gridCol w:w="241"/>
        <w:gridCol w:w="214"/>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N.M. </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Adjusted EBITDA margins (Adjusted EBITDA divided by revenue) of each of our reportable segments:</w:t>
      </w:r>
    </w:p>
    <w:tbl>
      <w:tblPr>
        <w:tblW w:w="4730" w:type="dxa"/>
        <w:jc w:val="left"/>
        <w:tblInd w:w="0" w:type="dxa"/>
        <w:tblLayout w:type="fixed"/>
        <w:tblCellMar>
          <w:top w:w="28" w:type="dxa"/>
          <w:left w:w="28" w:type="dxa"/>
          <w:bottom w:w="28" w:type="dxa"/>
          <w:right w:w="28" w:type="dxa"/>
        </w:tblCellMar>
      </w:tblPr>
      <w:tblGrid>
        <w:gridCol w:w="600"/>
        <w:gridCol w:w="526"/>
        <w:gridCol w:w="538"/>
        <w:gridCol w:w="109"/>
        <w:gridCol w:w="109"/>
        <w:gridCol w:w="261"/>
        <w:gridCol w:w="261"/>
        <w:gridCol w:w="261"/>
        <w:gridCol w:w="261"/>
        <w:gridCol w:w="650"/>
        <w:gridCol w:w="109"/>
        <w:gridCol w:w="109"/>
        <w:gridCol w:w="109"/>
        <w:gridCol w:w="255"/>
        <w:gridCol w:w="256"/>
        <w:gridCol w:w="316"/>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 xml:space="preserve">above and the analysis of our expenses included in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discussion of the factors contributing to the changes in the Adjusted EBITDA margins of the VMO2 JV and the VodafoneZiggo JV, see </w:t>
      </w:r>
      <w:r>
        <w:rPr>
          <w:rFonts w:ascii="Times New Roman;sans-serif" w:hAnsi="Times New Roman;sans-serif"/>
          <w:b w:val="false"/>
          <w:i/>
          <w:color w:val="000000"/>
          <w:sz w:val="20"/>
        </w:rPr>
        <w:t>Discussion and Analysis of our Consolidated Operating Results — Share of results of affiliates, net</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Discussion and Analysis of our Consolidated Operating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more detailed explanations of the changes in our revenue,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by major category is set forth below: </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6"/>
        <w:gridCol w:w="864"/>
        <w:gridCol w:w="869"/>
        <w:gridCol w:w="211"/>
        <w:gridCol w:w="766"/>
        <w:gridCol w:w="109"/>
        <w:gridCol w:w="109"/>
        <w:gridCol w:w="109"/>
        <w:gridCol w:w="109"/>
        <w:gridCol w:w="211"/>
        <w:gridCol w:w="766"/>
        <w:gridCol w:w="109"/>
        <w:gridCol w:w="109"/>
        <w:gridCol w:w="109"/>
        <w:gridCol w:w="109"/>
        <w:gridCol w:w="220"/>
        <w:gridCol w:w="536"/>
        <w:gridCol w:w="113"/>
        <w:gridCol w:w="113"/>
        <w:gridCol w:w="113"/>
        <w:gridCol w:w="113"/>
        <w:gridCol w:w="254"/>
        <w:gridCol w:w="257"/>
        <w:gridCol w:w="113"/>
        <w:gridCol w:w="109"/>
        <w:gridCol w:w="109"/>
        <w:gridCol w:w="109"/>
        <w:gridCol w:w="305"/>
        <w:gridCol w:w="740"/>
        <w:gridCol w:w="157"/>
        <w:gridCol w:w="157"/>
        <w:gridCol w:w="157"/>
        <w:gridCol w:w="157"/>
        <w:gridCol w:w="290"/>
        <w:gridCol w:w="293"/>
        <w:gridCol w:w="235"/>
      </w:tblGrid>
      <w:tr>
        <w:trPr/>
        <w:tc>
          <w:tcPr>
            <w:tcW w:w="9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$30.6 million and $33.3 million during the three months ended March 31, 2024 and 2023,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w:t>
      </w:r>
      <w:r>
        <w:rPr>
          <w:color w:val="000000"/>
        </w:rPr>
        <w:t xml:space="preserve"> </w:t>
      </w:r>
      <w:r>
        <w:rPr>
          <w:rFonts w:ascii="Times New Roman;sans-serif" w:hAnsi="Times New Roman;sans-serif"/>
          <w:b w:val="false"/>
          <w:color w:val="000000"/>
          <w:sz w:val="20"/>
        </w:rPr>
        <w:t>change in our B2B subscription revenue is attributable to the conversion of certain residential subscribers to SOHO subscribers.</w:t>
      </w:r>
      <w:r>
        <w:rPr>
          <w:color w:val="000000"/>
        </w:rPr>
        <w:t xml:space="preserve"> </w:t>
      </w:r>
      <w:r>
        <w:rPr>
          <w:rFonts w:ascii="Times New Roman;sans-serif" w:hAnsi="Times New Roman;sans-serif"/>
          <w:b w:val="false"/>
          <w:color w:val="000000"/>
          <w:sz w:val="20"/>
        </w:rPr>
        <w:t>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(e)Other revenue includes, among other items, (i) broadcasting revenue at Telenet, VM Ireland and Sunrise, (ii) revenue earned from the U.K. JV Services and NL JV Services and (iii) revenue earned from the sale of CPE to the VMO2 JV and VodafoneZiggo JV.</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Total revenue.</w:t>
      </w:r>
      <w:r>
        <w:rPr>
          <w:color w:val="000000"/>
        </w:rPr>
        <w:t xml:space="preserve"> </w:t>
      </w:r>
      <w:r>
        <w:rPr>
          <w:rFonts w:ascii="Times New Roman;sans-serif" w:hAnsi="Times New Roman;sans-serif"/>
          <w:b w:val="false"/>
          <w:color w:val="000000"/>
          <w:sz w:val="20"/>
        </w:rPr>
        <w:t>Our consolidated revenue</w:t>
      </w:r>
      <w:r>
        <w:rPr>
          <w:color w:val="000000"/>
        </w:rPr>
        <w:t xml:space="preserve"> </w:t>
      </w:r>
      <w:r>
        <w:rPr>
          <w:rFonts w:ascii="Times New Roman;sans-serif" w:hAnsi="Times New Roman;sans-serif"/>
          <w:b w:val="false"/>
          <w:color w:val="000000"/>
          <w:sz w:val="20"/>
        </w:rPr>
        <w:t>increased $76.7 million or 4.1% during the three months ended March 31, 2024, as compared to the corresponding period in 2023. On an organic basis, our consolidated revenue</w:t>
      </w:r>
      <w:r>
        <w:rPr>
          <w:color w:val="000000"/>
        </w:rPr>
        <w:t xml:space="preserve"> </w:t>
      </w:r>
      <w:r>
        <w:rPr>
          <w:rFonts w:ascii="Times New Roman;sans-serif" w:hAnsi="Times New Roman;sans-serif"/>
          <w:b w:val="false"/>
          <w:color w:val="000000"/>
          <w:sz w:val="20"/>
        </w:rPr>
        <w:t>increased $35.5 million or 1.9%.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Residential revenue.</w:t>
      </w:r>
      <w:r>
        <w:rPr>
          <w:color w:val="000000"/>
        </w:rPr>
        <w:t xml:space="preserve"> </w:t>
      </w:r>
      <w:r>
        <w:rPr>
          <w:rFonts w:ascii="Times New Roman;sans-serif" w:hAnsi="Times New Roman;sans-serif"/>
          <w:b w:val="false"/>
          <w:color w:val="000000"/>
          <w:sz w:val="20"/>
        </w:rPr>
        <w:t>The details of the increase in our consolidated residential revenue during the three months ended March 31, 2024, as compared to the corresponding period in 2023, are as follows (in millions):</w:t>
      </w:r>
    </w:p>
    <w:tbl>
      <w:tblPr>
        <w:tblW w:w="7574" w:type="dxa"/>
        <w:jc w:val="left"/>
        <w:tblInd w:w="0" w:type="dxa"/>
        <w:tblLayout w:type="fixed"/>
        <w:tblCellMar>
          <w:top w:w="28" w:type="dxa"/>
          <w:left w:w="28" w:type="dxa"/>
          <w:bottom w:w="28" w:type="dxa"/>
          <w:right w:w="28" w:type="dxa"/>
        </w:tblCellMar>
      </w:tblPr>
      <w:tblGrid>
        <w:gridCol w:w="2321"/>
        <w:gridCol w:w="2036"/>
        <w:gridCol w:w="2048"/>
        <w:gridCol w:w="109"/>
        <w:gridCol w:w="109"/>
        <w:gridCol w:w="211"/>
        <w:gridCol w:w="586"/>
        <w:gridCol w:w="154"/>
      </w:tblGrid>
      <w:tr>
        <w:trPr/>
        <w:tc>
          <w:tcPr>
            <w:tcW w:w="232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mobile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mobile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decrease in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increase in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fixed subscription revenue</w:t>
      </w:r>
      <w:r>
        <w:rPr>
          <w:color w:val="000000"/>
        </w:rPr>
        <w:t xml:space="preserve"> </w:t>
      </w:r>
      <w:r>
        <w:rPr>
          <w:rFonts w:ascii="Times New Roman;sans-serif" w:hAnsi="Times New Roman;sans-serif"/>
          <w:b w:val="false"/>
          <w:color w:val="000000"/>
          <w:sz w:val="20"/>
        </w:rPr>
        <w:t>decreased $15.9 million or 2.2% during the three months ended March 31, 2024, as compared to the corresponding period in 2023, primarily attributable to</w:t>
      </w:r>
      <w:r>
        <w:rPr>
          <w:color w:val="000000"/>
        </w:rPr>
        <w:t xml:space="preserve"> </w:t>
      </w:r>
      <w:r>
        <w:rPr>
          <w:rFonts w:ascii="Times New Roman;sans-serif" w:hAnsi="Times New Roman;sans-serif"/>
          <w:b w:val="false"/>
          <w:color w:val="000000"/>
          <w:sz w:val="20"/>
        </w:rPr>
        <w:t>a decrease at Sunrise</w:t>
      </w:r>
      <w:r>
        <w:rPr>
          <w:rFonts w:ascii="Times New Roman;sans-serif" w:hAnsi="Times New Roman;sans-serif"/>
          <w:b w:val="false"/>
          <w:color w:val="2C2C2C"/>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fixed non-subscription revenue decreased $1.2 million or 8.4% during the three months ended March 31, 2024, as compared to the corresponding period in 2023, primarily due to</w:t>
      </w:r>
      <w:r>
        <w:rPr>
          <w:color w:val="000000"/>
        </w:rPr>
        <w:t xml:space="preserve"> </w:t>
      </w:r>
      <w:r>
        <w:rPr>
          <w:rFonts w:ascii="Times New Roman;sans-serif" w:hAnsi="Times New Roman;sans-serif"/>
          <w:b w:val="false"/>
          <w:color w:val="000000"/>
          <w:sz w:val="20"/>
        </w:rPr>
        <w:t>a decrease at Telenet.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mobile subscription revenue</w:t>
      </w:r>
      <w:r>
        <w:rPr>
          <w:color w:val="000000"/>
        </w:rPr>
        <w:t xml:space="preserve"> </w:t>
      </w:r>
      <w:r>
        <w:rPr>
          <w:rFonts w:ascii="Times New Roman;sans-serif" w:hAnsi="Times New Roman;sans-serif"/>
          <w:b w:val="false"/>
          <w:color w:val="000000"/>
          <w:sz w:val="20"/>
        </w:rPr>
        <w:t>increased $4.8 million or 1.3% during the three months ended March 31, 2024, as compared to the corresponding period in 2023, primarily attributable to an increase at Sunrise.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mobile non-subscription revenue decreased $2.1 million or 1.6% during the three months ended March 31, 2024, as compared to the corresponding period in 2023, primarily due to the net effect of (i) a decrease at</w:t>
      </w:r>
      <w:r>
        <w:rPr>
          <w:color w:val="2C2C2C"/>
        </w:rPr>
        <w:t xml:space="preserve"> </w:t>
      </w:r>
      <w:r>
        <w:rPr>
          <w:rFonts w:ascii="Times New Roman;sans-serif" w:hAnsi="Times New Roman;sans-serif"/>
          <w:b w:val="false"/>
          <w:color w:val="000000"/>
          <w:sz w:val="20"/>
        </w:rPr>
        <w:t>Sunrise and (ii) an increase at Telenet.</w:t>
      </w:r>
      <w:r>
        <w:rPr>
          <w:color w:val="2C2C2C"/>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B2B revenue. </w:t>
      </w:r>
      <w:r>
        <w:rPr>
          <w:rFonts w:ascii="Times New Roman;sans-serif" w:hAnsi="Times New Roman;sans-serif"/>
          <w:b w:val="false"/>
          <w:color w:val="000000"/>
          <w:sz w:val="20"/>
        </w:rPr>
        <w:t>On an organic basis, our consolidated B2B subscription revenue increased $8.3 million or 6.2% during the three months ended March 31, 2024, as compared to the corresponding period in 2023,</w:t>
      </w:r>
      <w:r>
        <w:rPr>
          <w:color w:val="000000"/>
        </w:rPr>
        <w:t xml:space="preserve"> </w:t>
      </w:r>
      <w:r>
        <w:rPr>
          <w:rFonts w:ascii="Times New Roman;sans-serif" w:hAnsi="Times New Roman;sans-serif"/>
          <w:b w:val="false"/>
          <w:color w:val="000000"/>
          <w:sz w:val="20"/>
        </w:rPr>
        <w:t xml:space="preserve">primarily attributable to an increase at Telenet.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B2B non-subscription revenue</w:t>
      </w:r>
      <w:r>
        <w:rPr>
          <w:color w:val="000000"/>
        </w:rPr>
        <w:t xml:space="preserve"> </w:t>
      </w:r>
      <w:r>
        <w:rPr>
          <w:rFonts w:ascii="Times New Roman;sans-serif" w:hAnsi="Times New Roman;sans-serif"/>
          <w:b w:val="false"/>
          <w:color w:val="000000"/>
          <w:sz w:val="20"/>
        </w:rPr>
        <w:t>decreased $5.0 million or 2.2% during the three months ended March 31, 2024, as compared to the corresponding period in 2023, primarily due to the net effect of (i) a decrease at Telenet and (ii) an increase at Sunrise.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an organic basis, our consolidated other revenue increased $46.6 million or 16.5% during the three months ended March 31, 2024, as compared to the corresponding period in 2023, primarily due to an increase at Central and Other related to revenue earned from the sale of CPE to the VMO2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the changes in our residential, B2B and other revenue,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Programming and other direct costs of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details of our programming and other direct costs of services are as follows: </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96" w:type="dxa"/>
        <w:jc w:val="left"/>
        <w:tblInd w:w="0" w:type="dxa"/>
        <w:tblLayout w:type="fixed"/>
        <w:tblCellMar>
          <w:top w:w="28" w:type="dxa"/>
          <w:left w:w="28" w:type="dxa"/>
          <w:bottom w:w="28" w:type="dxa"/>
          <w:right w:w="28" w:type="dxa"/>
        </w:tblCellMar>
      </w:tblPr>
      <w:tblGrid>
        <w:gridCol w:w="807"/>
        <w:gridCol w:w="708"/>
        <w:gridCol w:w="71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4"/>
        <w:gridCol w:w="257"/>
        <w:gridCol w:w="109"/>
        <w:gridCol w:w="109"/>
        <w:gridCol w:w="109"/>
        <w:gridCol w:w="109"/>
        <w:gridCol w:w="308"/>
        <w:gridCol w:w="746"/>
        <w:gridCol w:w="159"/>
        <w:gridCol w:w="159"/>
        <w:gridCol w:w="159"/>
        <w:gridCol w:w="159"/>
        <w:gridCol w:w="254"/>
        <w:gridCol w:w="257"/>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programming and other direct costs of services</w:t>
      </w:r>
      <w:r>
        <w:rPr>
          <w:color w:val="000000"/>
        </w:rPr>
        <w:t xml:space="preserve"> </w:t>
      </w:r>
      <w:r>
        <w:rPr>
          <w:rFonts w:ascii="Times New Roman;sans-serif" w:hAnsi="Times New Roman;sans-serif"/>
          <w:b w:val="false"/>
          <w:color w:val="000000"/>
          <w:sz w:val="20"/>
        </w:rPr>
        <w:t>increased $101.4 million or 17.8%</w:t>
      </w:r>
      <w:r>
        <w:rPr>
          <w:color w:val="000000"/>
        </w:rPr>
        <w:t xml:space="preserve"> </w:t>
      </w:r>
      <w:r>
        <w:rPr>
          <w:rFonts w:ascii="Times New Roman;sans-serif" w:hAnsi="Times New Roman;sans-serif"/>
          <w:b w:val="false"/>
          <w:color w:val="000000"/>
          <w:sz w:val="20"/>
        </w:rPr>
        <w:t>during the three months ended March 31, 2024, as compared to the corresponding period in 2023. On an organic basis, our programming and other direct costs of services</w:t>
      </w:r>
      <w:r>
        <w:rPr>
          <w:color w:val="000000"/>
        </w:rPr>
        <w:t xml:space="preserve"> </w:t>
      </w:r>
      <w:r>
        <w:rPr>
          <w:rFonts w:ascii="Times New Roman;sans-serif" w:hAnsi="Times New Roman;sans-serif"/>
          <w:b w:val="false"/>
          <w:color w:val="000000"/>
          <w:sz w:val="20"/>
        </w:rPr>
        <w:t>increased $80.7 million or 14.1%. This increase includes the following factors:</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 increase in costs of $45.3 million at Central and Other due to lower capitalization as a result of our decision during the second quarter of 2023 to market and sell certain of our internally-developed software to third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costs of $45.2 million at Central and Other related to the sale of CPE to the VMO2 JV;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programming and copyright costs of $6.0 million or 3.1%, primarily attributable to lower costs for certain content at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operating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other operating expenses are as follows:</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74"/>
        <w:gridCol w:w="1092"/>
        <w:gridCol w:w="1031"/>
        <w:gridCol w:w="211"/>
        <w:gridCol w:w="616"/>
        <w:gridCol w:w="109"/>
        <w:gridCol w:w="109"/>
        <w:gridCol w:w="109"/>
        <w:gridCol w:w="109"/>
        <w:gridCol w:w="211"/>
        <w:gridCol w:w="616"/>
        <w:gridCol w:w="109"/>
        <w:gridCol w:w="109"/>
        <w:gridCol w:w="109"/>
        <w:gridCol w:w="109"/>
        <w:gridCol w:w="222"/>
        <w:gridCol w:w="429"/>
        <w:gridCol w:w="115"/>
        <w:gridCol w:w="115"/>
        <w:gridCol w:w="115"/>
        <w:gridCol w:w="115"/>
        <w:gridCol w:w="276"/>
        <w:gridCol w:w="276"/>
        <w:gridCol w:w="115"/>
        <w:gridCol w:w="109"/>
        <w:gridCol w:w="109"/>
        <w:gridCol w:w="109"/>
        <w:gridCol w:w="256"/>
        <w:gridCol w:w="550"/>
        <w:gridCol w:w="132"/>
        <w:gridCol w:w="132"/>
        <w:gridCol w:w="132"/>
        <w:gridCol w:w="132"/>
        <w:gridCol w:w="274"/>
        <w:gridCol w:w="277"/>
        <w:gridCol w:w="192"/>
      </w:tblGrid>
      <w:tr>
        <w:trPr/>
        <w:tc>
          <w:tcPr>
            <w:tcW w:w="137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operating expenses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operating expenses (exclusive of share-based compensation expense) increased $3.9 million or 1.3% during the three months ended March 31, 2024, as compared to the corresponding period in 2023. On an organic basis, our other operating expenses decreased $5.8 million or 1.9%. This decrease includes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core network and information technology-related costs of $7.9 million or 10.0%, primarily at Central and Other;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customer service costs of $4.8 million or 12.8%, primarily related to lower call center costs at Sunrise and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SG&amp;A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SG&amp;A expenses are as follows:</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6"/>
        <w:gridCol w:w="1120"/>
        <w:gridCol w:w="1072"/>
        <w:gridCol w:w="211"/>
        <w:gridCol w:w="616"/>
        <w:gridCol w:w="109"/>
        <w:gridCol w:w="109"/>
        <w:gridCol w:w="109"/>
        <w:gridCol w:w="109"/>
        <w:gridCol w:w="211"/>
        <w:gridCol w:w="616"/>
        <w:gridCol w:w="109"/>
        <w:gridCol w:w="109"/>
        <w:gridCol w:w="109"/>
        <w:gridCol w:w="109"/>
        <w:gridCol w:w="216"/>
        <w:gridCol w:w="524"/>
        <w:gridCol w:w="111"/>
        <w:gridCol w:w="111"/>
        <w:gridCol w:w="111"/>
        <w:gridCol w:w="111"/>
        <w:gridCol w:w="225"/>
        <w:gridCol w:w="226"/>
        <w:gridCol w:w="111"/>
        <w:gridCol w:w="109"/>
        <w:gridCol w:w="109"/>
        <w:gridCol w:w="109"/>
        <w:gridCol w:w="274"/>
        <w:gridCol w:w="527"/>
        <w:gridCol w:w="141"/>
        <w:gridCol w:w="141"/>
        <w:gridCol w:w="141"/>
        <w:gridCol w:w="141"/>
        <w:gridCol w:w="225"/>
        <w:gridCol w:w="226"/>
        <w:gridCol w:w="212"/>
      </w:tblGrid>
      <w:tr>
        <w:trPr/>
        <w:tc>
          <w:tcPr>
            <w:tcW w:w="138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N.M. </w:t>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SG&amp;A expense information</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463"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03"/>
        <w:gridCol w:w="203"/>
        <w:gridCol w:w="109"/>
        <w:gridCol w:w="109"/>
        <w:gridCol w:w="109"/>
        <w:gridCol w:w="109"/>
        <w:gridCol w:w="331"/>
        <w:gridCol w:w="637"/>
        <w:gridCol w:w="171"/>
        <w:gridCol w:w="171"/>
        <w:gridCol w:w="171"/>
        <w:gridCol w:w="171"/>
        <w:gridCol w:w="239"/>
        <w:gridCol w:w="241"/>
        <w:gridCol w:w="241"/>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(a)General and administrative expenses include all personnel-related costs within our SG&amp;A expenses, including personnel-related costs associated with our sales and marketing function.</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SG&amp;A expenses (exclusive of share-based compensation expense) increased $14.5 million or 3.9% during the three months ended March 31, 2024, as compared to the corresponding period in 2023. On an organic basis, our SG&amp;A expenses increased $1.3 million or 0.3%. This increase includes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core network and information technology-related costs of $5.5 million or 19.2%, primarily due to higher information technology-related expenses at Sunrise;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business service costs of $5.4 million or 11.0%, primarily due to lower consulting costs, as decreases at Sunrise and Telenet were only partially offset by an increase at Central and Other;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personnel costs of $4.4 million or 2.6%, primarily due to the net effect of (i) an increase in temporary personnel costs at Telenet, (ii) lower staffing levels, primarily at Central and Other and Sunrise, and (iii) higher average costs per employee, primarily at Central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6566" w:type="dxa"/>
        <w:jc w:val="left"/>
        <w:tblInd w:w="0" w:type="dxa"/>
        <w:tblLayout w:type="fixed"/>
        <w:tblCellMar>
          <w:top w:w="28" w:type="dxa"/>
          <w:left w:w="28" w:type="dxa"/>
          <w:bottom w:w="28" w:type="dxa"/>
          <w:right w:w="28" w:type="dxa"/>
        </w:tblCellMar>
      </w:tblPr>
      <w:tblGrid>
        <w:gridCol w:w="1249"/>
        <w:gridCol w:w="1095"/>
        <w:gridCol w:w="1106"/>
        <w:gridCol w:w="109"/>
        <w:gridCol w:w="109"/>
        <w:gridCol w:w="176"/>
        <w:gridCol w:w="176"/>
        <w:gridCol w:w="341"/>
        <w:gridCol w:w="826"/>
        <w:gridCol w:w="176"/>
        <w:gridCol w:w="109"/>
        <w:gridCol w:w="109"/>
        <w:gridCol w:w="109"/>
        <w:gridCol w:w="211"/>
        <w:gridCol w:w="51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2024 amounts include share-based compensation expense related to certain Telenet Replacement Awards.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share-based compensation expense, see note 12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Depreciation and amortization expense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depreciation and amortization expense was $480.7 million and $526.9 million during the three months ended March 31, 2024 and 2023, respectively. Excluding the effects of FX, depreciation and amortization expense decreased</w:t>
      </w:r>
      <w:r>
        <w:rPr>
          <w:color w:val="000000"/>
        </w:rPr>
        <w:t xml:space="preserve"> </w:t>
      </w:r>
      <w:r>
        <w:rPr>
          <w:rFonts w:ascii="Times New Roman;sans-serif" w:hAnsi="Times New Roman;sans-serif"/>
          <w:b w:val="false"/>
          <w:color w:val="000000"/>
          <w:sz w:val="20"/>
        </w:rPr>
        <w:t>$60.3 million or 11.4% during the three months ended March 31, 2024, as compared to the corresponding period in 2023. This decrease is primarily due to the net effect of (i) a decrease associated with certain assets becoming fully depreciated, primarily at Central and Other, Sunrise and Telenet and (ii) an increase associated with property and equipment additions related to the installation of CPE, the expansion and upgrade of our networks and other capital initiatives, primarily at Sunrise, Telenet and VM Ireland.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restructuring and other operating items, net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impairment, restructuring and other operating items, net, of $33.5 million and $16.4 million during the three months ended March 31,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amount for the 2024 period includes</w:t>
      </w:r>
      <w:r>
        <w:rPr>
          <w:color w:val="000000"/>
        </w:rPr>
        <w:t xml:space="preserve"> </w:t>
      </w:r>
      <w:r>
        <w:rPr>
          <w:rFonts w:ascii="Times New Roman;sans-serif" w:hAnsi="Times New Roman;sans-serif"/>
          <w:b w:val="false"/>
          <w:color w:val="000000"/>
          <w:sz w:val="20"/>
        </w:rPr>
        <w:t>(i) a provision for legal contingencies of $17.5 million at Central and Other and (ii) restructuring costs of $15.2 million, primarily at Central and Other. The amount for the 2023 period includes direct acquisition and disposition costs of $13.9 million, primarily at Telenet and Central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recognized interest expense of $253.5 million</w:t>
      </w:r>
      <w:r>
        <w:rPr>
          <w:color w:val="66CC00"/>
        </w:rPr>
        <w:t xml:space="preserve"> </w:t>
      </w:r>
      <w:r>
        <w:rPr>
          <w:rFonts w:ascii="Times New Roman;sans-serif" w:hAnsi="Times New Roman;sans-serif"/>
          <w:b w:val="false"/>
          <w:color w:val="000000"/>
          <w:sz w:val="20"/>
        </w:rPr>
        <w:t>and $200.9 million during the three months ended March 31, 2024 and 2023, respectively. Excluding the effects of FX, interest expense increased $49.0 million or 24.4% during the three months ended March 31, 2024, as compared to the corresponding period in 2023. This increase is primarily attributable to a higher weighted average interest rate, partially offset by a lower average outstanding debt balance. For additional information regarding our outstanding indebtedness, see note 8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It is possible that the interest rates on (i) any new borrowings could be higher than the current interest rates on our existing indebtedness and (ii) our variable-rate indebtedness could increase in future periods. As further discussed in note 5 to our condensed consolidated financial statements and under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below, we use derivative instruments to manage our interest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Realized and unrealized</w:t>
      </w:r>
      <w:r>
        <w:rPr>
          <w:color w:val="000000"/>
        </w:rPr>
        <w:t xml:space="preserve"> </w:t>
      </w:r>
      <w:r>
        <w:rPr>
          <w:rFonts w:ascii="Times New Roman;sans-serif" w:hAnsi="Times New Roman;sans-serif"/>
          <w:b w:val="false"/>
          <w:i/>
          <w:color w:val="000000"/>
          <w:sz w:val="20"/>
        </w:rPr>
        <w:t>gains (losses)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tbl>
      <w:tblPr>
        <w:tblW w:w="7765" w:type="dxa"/>
        <w:jc w:val="left"/>
        <w:tblInd w:w="0" w:type="dxa"/>
        <w:tblLayout w:type="fixed"/>
        <w:tblCellMar>
          <w:top w:w="28" w:type="dxa"/>
          <w:left w:w="28" w:type="dxa"/>
          <w:bottom w:w="28" w:type="dxa"/>
          <w:right w:w="28" w:type="dxa"/>
        </w:tblCellMar>
      </w:tblPr>
      <w:tblGrid>
        <w:gridCol w:w="1657"/>
        <w:gridCol w:w="1455"/>
        <w:gridCol w:w="1462"/>
        <w:gridCol w:w="109"/>
        <w:gridCol w:w="109"/>
        <w:gridCol w:w="160"/>
        <w:gridCol w:w="160"/>
        <w:gridCol w:w="310"/>
        <w:gridCol w:w="905"/>
        <w:gridCol w:w="160"/>
        <w:gridCol w:w="109"/>
        <w:gridCol w:w="109"/>
        <w:gridCol w:w="109"/>
        <w:gridCol w:w="211"/>
        <w:gridCol w:w="58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(a)The</w:t>
      </w:r>
      <w:r>
        <w:rPr>
          <w:color w:val="000000"/>
        </w:rPr>
        <w:t xml:space="preserve"> </w:t>
      </w:r>
      <w:r>
        <w:rPr>
          <w:rFonts w:ascii="Times New Roman;sans-serif" w:hAnsi="Times New Roman;sans-serif"/>
          <w:b w:val="false"/>
          <w:color w:val="000000"/>
          <w:sz w:val="20"/>
        </w:rPr>
        <w:t>gain</w:t>
      </w:r>
      <w:r>
        <w:rPr>
          <w:color w:val="000000"/>
        </w:rPr>
        <w:t xml:space="preserve"> </w:t>
      </w:r>
      <w:r>
        <w:rPr>
          <w:rFonts w:ascii="Times New Roman;sans-serif" w:hAnsi="Times New Roman;sans-serif"/>
          <w:b w:val="false"/>
          <w:color w:val="000000"/>
          <w:sz w:val="20"/>
        </w:rPr>
        <w:t>for the 2024 period is primarily attributable to the net effect of (i) net gains associated with changes in the</w:t>
      </w:r>
      <w:r>
        <w:rPr>
          <w:color w:val="000000"/>
        </w:rPr>
        <w:t xml:space="preserve"> </w:t>
      </w:r>
      <w:r>
        <w:rPr>
          <w:rFonts w:ascii="Times New Roman;sans-serif" w:hAnsi="Times New Roman;sans-serif"/>
          <w:b w:val="false"/>
          <w:color w:val="000000"/>
          <w:sz w:val="20"/>
        </w:rPr>
        <w:t>relative value of certain currencies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(ii) net losses associated with changes in certain market interest rates. In addition, the gain</w:t>
      </w:r>
      <w:r>
        <w:rPr>
          <w:color w:val="000000"/>
        </w:rPr>
        <w:t xml:space="preserve"> </w:t>
      </w:r>
      <w:r>
        <w:rPr>
          <w:rFonts w:ascii="Times New Roman;sans-serif" w:hAnsi="Times New Roman;sans-serif"/>
          <w:b w:val="false"/>
          <w:color w:val="000000"/>
          <w:sz w:val="20"/>
        </w:rPr>
        <w:t>for the 2024 period includes a net loss</w:t>
      </w:r>
      <w:r>
        <w:rPr>
          <w:color w:val="000000"/>
        </w:rPr>
        <w:t xml:space="preserve"> </w:t>
      </w:r>
      <w:r>
        <w:rPr>
          <w:rFonts w:ascii="Times New Roman;sans-serif" w:hAnsi="Times New Roman;sans-serif"/>
          <w:b w:val="false"/>
          <w:color w:val="000000"/>
          <w:sz w:val="20"/>
        </w:rPr>
        <w:t>of $48.8 million</w:t>
      </w:r>
      <w:r>
        <w:rPr>
          <w:color w:val="000000"/>
        </w:rPr>
        <w:t xml:space="preserve"> </w:t>
      </w:r>
      <w:r>
        <w:rPr>
          <w:rFonts w:ascii="Times New Roman;sans-serif" w:hAnsi="Times New Roman;sans-serif"/>
          <w:b w:val="false"/>
          <w:color w:val="000000"/>
          <w:sz w:val="20"/>
        </w:rPr>
        <w:t>resulting from changes in our credit risk valuation adjustments.</w:t>
      </w:r>
      <w:r>
        <w:rPr>
          <w:color w:val="000000"/>
        </w:rPr>
        <w:t xml:space="preserve"> </w:t>
      </w:r>
      <w:r>
        <w:rPr>
          <w:rFonts w:ascii="Times New Roman;sans-serif" w:hAnsi="Times New Roman;sans-serif"/>
          <w:b w:val="false"/>
          <w:color w:val="000000"/>
          <w:sz w:val="20"/>
        </w:rPr>
        <w:t>The loss for the 2023 period is attributable to net</w:t>
      </w:r>
      <w:r>
        <w:rPr>
          <w:color w:val="000000"/>
        </w:rPr>
        <w:t xml:space="preserve"> </w:t>
      </w:r>
      <w:r>
        <w:rPr>
          <w:rFonts w:ascii="Times New Roman;sans-serif" w:hAnsi="Times New Roman;sans-serif"/>
          <w:b w:val="false"/>
          <w:color w:val="000000"/>
          <w:sz w:val="20"/>
        </w:rPr>
        <w:t>losses associated with changes in (a) the relative value of certain currencies and (b) certain market interest rates. In addition, the loss for the 2023 period includes a net loss of $21.4 million resulting from changes in our credit risk valuation adjustments.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recurring fair value measurements of our equity-related derivative instruments are based on Black-Scholes pricing models.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concerning our derivative instruments, see notes 5 and 6 to our condensed consolidated financial statements and Part I, Item 3.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transaction gains (losses),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tbl>
      <w:tblPr>
        <w:tblW w:w="10205" w:type="dxa"/>
        <w:jc w:val="left"/>
        <w:tblInd w:w="0" w:type="dxa"/>
        <w:tblLayout w:type="fixed"/>
        <w:tblCellMar>
          <w:top w:w="28" w:type="dxa"/>
          <w:left w:w="28" w:type="dxa"/>
          <w:bottom w:w="28" w:type="dxa"/>
          <w:right w:w="28" w:type="dxa"/>
        </w:tblCellMar>
      </w:tblPr>
      <w:tblGrid>
        <w:gridCol w:w="2578"/>
        <w:gridCol w:w="2206"/>
        <w:gridCol w:w="2212"/>
        <w:gridCol w:w="109"/>
        <w:gridCol w:w="109"/>
        <w:gridCol w:w="152"/>
        <w:gridCol w:w="152"/>
        <w:gridCol w:w="295"/>
        <w:gridCol w:w="862"/>
        <w:gridCol w:w="152"/>
        <w:gridCol w:w="109"/>
        <w:gridCol w:w="109"/>
        <w:gridCol w:w="109"/>
        <w:gridCol w:w="211"/>
        <w:gridCol w:w="682"/>
        <w:gridCol w:w="158"/>
      </w:tblGrid>
      <w:tr>
        <w:trPr/>
        <w:tc>
          <w:tcPr>
            <w:tcW w:w="257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78" w:type="dxa"/>
            <w:gridSpan w:val="6"/>
            <w:tcBorders/>
          </w:tcPr>
          <w:p>
            <w:pPr>
              <w:pStyle w:val="TableContents"/>
              <w:bidi w:val="0"/>
              <w:spacing w:before="0" w:after="283"/>
              <w:jc w:val="left"/>
              <w:rPr>
                <w:sz w:val="4"/>
                <w:szCs w:val="4"/>
              </w:rPr>
            </w:pPr>
            <w:r>
              <w:rPr>
                <w:sz w:val="4"/>
                <w:szCs w:val="4"/>
              </w:rPr>
            </w:r>
          </w:p>
        </w:tc>
      </w:tr>
      <w:tr>
        <w:trPr/>
        <w:tc>
          <w:tcPr>
            <w:tcW w:w="6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balances denominated in a currency other than the entity’s functional currency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dollar-denominated debt issued by euro functional currency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denominated in a currency other than the entity’s functional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primarily relate to (i) loans between certain of our non-operating subsidiaries in Europe and (ii) loans between certain of our non-operating and operating subsidiaries in Europe, which generally are denominated in the currency of the applicable operating subsidiary.</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Realized and unrealized gains (losses) due to changes in fair values of certain investments, net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4 and 6, respectively, to our condensed consolidated financial statements. The details of our realized and unrealized gains (losses) due to changes in fair values of certain investments, net, are as follows:</w:t>
      </w:r>
    </w:p>
    <w:tbl>
      <w:tblPr>
        <w:tblW w:w="4332" w:type="dxa"/>
        <w:jc w:val="left"/>
        <w:tblInd w:w="0" w:type="dxa"/>
        <w:tblLayout w:type="fixed"/>
        <w:tblCellMar>
          <w:top w:w="28" w:type="dxa"/>
          <w:left w:w="28" w:type="dxa"/>
          <w:bottom w:w="28" w:type="dxa"/>
          <w:right w:w="28" w:type="dxa"/>
        </w:tblCellMar>
      </w:tblPr>
      <w:tblGrid>
        <w:gridCol w:w="440"/>
        <w:gridCol w:w="387"/>
        <w:gridCol w:w="389"/>
        <w:gridCol w:w="109"/>
        <w:gridCol w:w="109"/>
        <w:gridCol w:w="160"/>
        <w:gridCol w:w="160"/>
        <w:gridCol w:w="310"/>
        <w:gridCol w:w="905"/>
        <w:gridCol w:w="160"/>
        <w:gridCol w:w="109"/>
        <w:gridCol w:w="109"/>
        <w:gridCol w:w="109"/>
        <w:gridCol w:w="211"/>
        <w:gridCol w:w="511"/>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of results of affiliates,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sets forth the details of our share of results</w:t>
      </w:r>
      <w:r>
        <w:rPr>
          <w:color w:val="000000"/>
        </w:rPr>
        <w:t xml:space="preserve"> </w:t>
      </w:r>
      <w:r>
        <w:rPr>
          <w:rFonts w:ascii="Times New Roman;sans-serif" w:hAnsi="Times New Roman;sans-serif"/>
          <w:b w:val="false"/>
          <w:color w:val="000000"/>
          <w:sz w:val="20"/>
        </w:rPr>
        <w:t>of affiliates, net:</w:t>
      </w:r>
    </w:p>
    <w:tbl>
      <w:tblPr>
        <w:tblW w:w="5215" w:type="dxa"/>
        <w:jc w:val="left"/>
        <w:tblInd w:w="0" w:type="dxa"/>
        <w:tblLayout w:type="fixed"/>
        <w:tblCellMar>
          <w:top w:w="28" w:type="dxa"/>
          <w:left w:w="28" w:type="dxa"/>
          <w:bottom w:w="28" w:type="dxa"/>
          <w:right w:w="28" w:type="dxa"/>
        </w:tblCellMar>
      </w:tblPr>
      <w:tblGrid>
        <w:gridCol w:w="706"/>
        <w:gridCol w:w="621"/>
        <w:gridCol w:w="592"/>
        <w:gridCol w:w="109"/>
        <w:gridCol w:w="109"/>
        <w:gridCol w:w="176"/>
        <w:gridCol w:w="176"/>
        <w:gridCol w:w="341"/>
        <w:gridCol w:w="826"/>
        <w:gridCol w:w="176"/>
        <w:gridCol w:w="109"/>
        <w:gridCol w:w="109"/>
        <w:gridCol w:w="109"/>
        <w:gridCol w:w="211"/>
        <w:gridCol w:w="69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(i) our 50% share of the results of operations of the VodafoneZiggo JV and (ii) interest income of $13.8 million and $13.5 million, in the respective periods shown, representing 100% of the interest earned on the VodafoneZiggo JV Receivables. The summarized results of operations of the VodafoneZiggo JV are set forth below:</w:t>
      </w:r>
    </w:p>
    <w:tbl>
      <w:tblPr>
        <w:tblW w:w="5649" w:type="dxa"/>
        <w:jc w:val="left"/>
        <w:tblInd w:w="0" w:type="dxa"/>
        <w:tblLayout w:type="fixed"/>
        <w:tblCellMar>
          <w:top w:w="28" w:type="dxa"/>
          <w:left w:w="28" w:type="dxa"/>
          <w:bottom w:w="28" w:type="dxa"/>
          <w:right w:w="28" w:type="dxa"/>
        </w:tblCellMar>
      </w:tblPr>
      <w:tblGrid>
        <w:gridCol w:w="823"/>
        <w:gridCol w:w="725"/>
        <w:gridCol w:w="732"/>
        <w:gridCol w:w="109"/>
        <w:gridCol w:w="109"/>
        <w:gridCol w:w="141"/>
        <w:gridCol w:w="141"/>
        <w:gridCol w:w="274"/>
        <w:gridCol w:w="996"/>
        <w:gridCol w:w="141"/>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interest expense of $206.4 million and $180.6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change in the VodafoneZiggo JV’s revenue during the three months ended March 31, 2024, as compared to the corresponding period in 2023, is primarily due to (i) an increase in residential mobile revenue and (ii) an increase in B2B fixed revenue. The change in the VodafoneZiggo JV’s Adjusted EBITDA during the three months ended March 31, 2024, as compared to the corresponding period in 2023, is primarily due to lower energy and staff costs.</w:t>
      </w:r>
      <w:r>
        <w:rPr>
          <w:color w:val="000000"/>
        </w:rPr>
        <w:t xml:space="preserve"> </w:t>
      </w:r>
      <w:r>
        <w:rPr>
          <w:rFonts w:ascii="Times New Roman;sans-serif" w:hAnsi="Times New Roman;sans-serif"/>
          <w:b w:val="false"/>
          <w:color w:val="000000"/>
          <w:sz w:val="20"/>
        </w:rPr>
        <w:t>In addition, the reported revenue and Adjusted EBITDA amounts are impacted by FX.</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tbl>
      <w:tblPr>
        <w:tblW w:w="5648" w:type="dxa"/>
        <w:jc w:val="left"/>
        <w:tblInd w:w="0" w:type="dxa"/>
        <w:tblLayout w:type="fixed"/>
        <w:tblCellMar>
          <w:top w:w="28" w:type="dxa"/>
          <w:left w:w="28" w:type="dxa"/>
          <w:bottom w:w="28" w:type="dxa"/>
          <w:right w:w="28" w:type="dxa"/>
        </w:tblCellMar>
      </w:tblPr>
      <w:tblGrid>
        <w:gridCol w:w="823"/>
        <w:gridCol w:w="724"/>
        <w:gridCol w:w="732"/>
        <w:gridCol w:w="109"/>
        <w:gridCol w:w="109"/>
        <w:gridCol w:w="141"/>
        <w:gridCol w:w="141"/>
        <w:gridCol w:w="274"/>
        <w:gridCol w:w="996"/>
        <w:gridCol w:w="141"/>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_______________</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(1)Includes interest expense of $417.9 million and $327.7 million, in the respective periods shown.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VMO2 JV’s revenue during the three months ended March 31, 2024, as compared to the corresponding period in 2023, is primarily due to the net effect of (i) an increase in other revenue related to low-margin construction revenue from the nexfibre JV, (ii) a decrease in mobile revenue due to lower handset sales and (iii) a decrease in B2B fixed revenue, with each revenue category as defined and reported by the VMO2 JV. The change in the VMO2 JV’s Adjusted EBITDA during the three months ended March 31, 2024, as compared to the corresponding period in 2023, is primarily due to the net effect of (a) a benefit of approximately $15 million during the 2024 three-month period related to higher capitalized costs by the VMO2 JV due to a change in the terms of a related-party contract under which Liberty Global now sells CPE hardware and embedded essential software to the VMO2 JV and (b) investment in information technology and digital efficiency programs. In addition, the reported revenue and Adjusted EBITDA amounts are impacted by FX.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other income, net, of $43.5 million and $43.9 million during the three months ended March 31, 2024 and 2023, respectively. These amounts include (i) interest and dividend income of $36.8 million and $33.6 million, respectively, and (ii) credits related to the non-service component of our net periodic pension costs of $7.4 million and $5.2 million, respectively.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expense of $26.9 million and $12.5 million during the three months ended March 31,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income tax</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 xml:space="preserve">during the three months ended March 31, 2024 differs from the expected income tax expense of $138.5 million (based on the U.K. statutory income tax rate of 25.0%), primarily due to the net positive impact of non-deductible or non-taxable foreign currency exchange results.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during the three months ended March 31, 2023 differs from the expected income tax benefit of $164.7 million (based on the U.K. blended income tax rate of 23.5%), primarily due to the net negative impact of (i) nondeductible or non-taxable foreign currency exchange results and (ii) certain permanent differences between the financial and tax accounting treatment of items associated with investments in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income taxes, see note 10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earnings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we reported net earnings (loss) of $527.0 million and ($713.5 million), respectively, consisting of (i) operating income of $22.6 million and $37.4 million, respectively, (ii) net non-operating income (expense) of $531.3 million and ($738.4 million), respectively, and (iii) income tax expense of $26.9 million and $12.5 million,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Due largely to the fact that we seek to maintain our debt at levels that provide for attractive equity returns, as discussed under </w:t>
      </w:r>
      <w:r>
        <w:rPr>
          <w:rFonts w:ascii="Times New Roman;sans-serif" w:hAnsi="Times New Roman;sans-serif"/>
          <w:b w:val="false"/>
          <w:i/>
          <w:color w:val="000000"/>
          <w:sz w:val="20"/>
        </w:rPr>
        <w:t xml:space="preserve">Material Changes in Financial Condition </w:t>
      </w:r>
      <w:r>
        <w:rPr>
          <w:color w:val="000000"/>
        </w:rPr>
        <w:t xml:space="preserve">— </w:t>
      </w:r>
      <w:r>
        <w:rPr>
          <w:rFonts w:ascii="Times New Roman;sans-serif" w:hAnsi="Times New Roman;sans-serif"/>
          <w:b w:val="false"/>
          <w:i/>
          <w:color w:val="000000"/>
          <w:sz w:val="20"/>
        </w:rPr>
        <w:t>Capitalization</w:t>
      </w:r>
      <w:r>
        <w:rPr>
          <w:color w:val="000000"/>
        </w:rPr>
        <w:t xml:space="preserve"> </w:t>
      </w:r>
      <w:r>
        <w:rPr>
          <w:rFonts w:ascii="Times New Roman;sans-serif" w:hAnsi="Times New Roman;sans-serif"/>
          <w:b w:val="false"/>
          <w:color w:val="000000"/>
          <w:sz w:val="20"/>
        </w:rPr>
        <w:t xml:space="preserve">below,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 xml:space="preserve">above. For information concerning the reasons for changes in specific line items in our condensed consolidated statements of operations,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earnings attributable to noncontrolling interests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 was $17.0 million and $7.9 million during the three months ended March 31, 2024 and 2023, respectively, primarily attributable to certain noncontrolling interests at Telenet.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Material Changes in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Sunrise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SMAs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the U.S. dollar equivalent balances of our consolidated cash and cash equivalents at March 31, 2024 are set forth in the following table (in millions):</w:t>
      </w:r>
    </w:p>
    <w:tbl>
      <w:tblPr>
        <w:tblW w:w="6808" w:type="dxa"/>
        <w:jc w:val="left"/>
        <w:tblInd w:w="0" w:type="dxa"/>
        <w:tblLayout w:type="fixed"/>
        <w:tblCellMar>
          <w:top w:w="28" w:type="dxa"/>
          <w:left w:w="28" w:type="dxa"/>
          <w:bottom w:w="28" w:type="dxa"/>
          <w:right w:w="28" w:type="dxa"/>
        </w:tblCellMar>
      </w:tblPr>
      <w:tblGrid>
        <w:gridCol w:w="1998"/>
        <w:gridCol w:w="1755"/>
        <w:gridCol w:w="1767"/>
        <w:gridCol w:w="211"/>
        <w:gridCol w:w="766"/>
        <w:gridCol w:w="311"/>
      </w:tblGrid>
      <w:tr>
        <w:trPr/>
        <w:tc>
          <w:tcPr>
            <w:tcW w:w="19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and unrestricted subsidiaries: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subsidiaries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and unrestricted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groups (c):</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 groups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held under SMAs (e)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investments held under SMAs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_______________</w:t>
      </w:r>
    </w:p>
    <w:p>
      <w:pPr>
        <w:pStyle w:val="TextBody"/>
        <w:bidi w:val="0"/>
        <w:spacing w:before="0" w:after="0"/>
        <w:ind w:left="0" w:right="0" w:firstLine="9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amount held by Liberty Global on a standalone basis.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(b)Represents the aggregate amount held by subsidiaries that are outside of our borrowing groups.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the aggregate amounts held by the parent entity and restricted subsidiaries of our borrowing groups.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total cash and cash equivalents balance includes $918.8 million or 80.6% and $189.7 million or 16.6% denominated in euros and U.S. dollars,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(e)The balance of our investments held under SMAs is</w:t>
      </w:r>
      <w:r>
        <w:rPr>
          <w:color w:val="000000"/>
        </w:rPr>
        <w:t xml:space="preserve"> </w:t>
      </w:r>
      <w:r>
        <w:rPr>
          <w:rFonts w:ascii="Times New Roman;sans-serif" w:hAnsi="Times New Roman;sans-serif"/>
          <w:b w:val="false"/>
          <w:color w:val="000000"/>
          <w:sz w:val="20"/>
        </w:rPr>
        <w:t>held by unrestricted subsidiaries of Liberty Global and includes $1,973.5 million or 97.2%</w:t>
      </w:r>
      <w:r>
        <w:rPr>
          <w:color w:val="000000"/>
        </w:rPr>
        <w:t xml:space="preserve"> </w:t>
      </w:r>
      <w:r>
        <w:rPr>
          <w:rFonts w:ascii="Times New Roman;sans-serif" w:hAnsi="Times New Roman;sans-serif"/>
          <w:b w:val="false"/>
          <w:color w:val="000000"/>
          <w:sz w:val="20"/>
        </w:rPr>
        <w:t>denominated in U.S. dollars.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cash and cash equivalents and investments held under SMAs, see the discussion under </w:t>
      </w:r>
      <w:r>
        <w:rPr>
          <w:rFonts w:ascii="Times New Roman;sans-serif" w:hAnsi="Times New Roman;sans-serif"/>
          <w:b w:val="false"/>
          <w:i/>
          <w:color w:val="000000"/>
          <w:sz w:val="20"/>
        </w:rPr>
        <w:t>Quantitative and Qualitative Disclosures about Market Risk</w:t>
      </w:r>
      <w:r>
        <w:rPr>
          <w:color w:val="000000"/>
        </w:rPr>
        <w:t xml:space="preserve"> — </w:t>
      </w:r>
      <w:r>
        <w:rPr>
          <w:rFonts w:ascii="Times New Roman;sans-serif" w:hAnsi="Times New Roman;sans-serif"/>
          <w:b w:val="false"/>
          <w:i/>
          <w:color w:val="000000"/>
          <w:sz w:val="20"/>
        </w:rPr>
        <w:t xml:space="preserve">Cash and Investments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of Liberty Global and its unrestricted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$4.4 million of cash held by Liberty Global and, subject to certain tax and legal considerations, the $223.4 million of aggregate cash and cash equivalents held by unrestricted subsidiaries, together with the $2,029.5 million of investments held under SMAs, represented available liquidity at the corporate level at March 31, 2024. Our remaining cash and cash equivalents of $911.8 million at March 31, 2024 were held by our borrowing groups, as set forth in the table above. As noted above, various factors may limit our ability to access the cash of our borrowing groups. For information regarding certain limitations imposed by our subsidiaries’ debt instruments at March 31, 2024, see note 8 to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our consolidated cash and cash equivalents include $1,135.2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amount of cash we receive from our subsidiaries and affiliates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aggregate amount of our share repurchases, including direct acquisition costs, was $170.5 million. Under our current share repurchase program, we are authorized during 2024 to repurchase up to 10% of our total outstanding shares as of December 31, 2023. For additional information regarding our share repurchase programs, see note 11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of borrowing groups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2024, see note 8 to our condensed consolidated financial statements. The aforementioned sources of liquidity may be supplemented in certain cases by contributions and/or loans from Liberty Global and its unrestricted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liquidity of our borrowing groups generally is used to fund (i) property and equipment additions, (ii) debt service requirements and (iii) income tax payments, as well as to settle certain obligations that are not included on our March 31, 2024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14 to our condensed consolidated financial statements.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consolidated cash flows, see the discussion under </w:t>
      </w:r>
      <w:r>
        <w:rPr>
          <w:rFonts w:ascii="Times New Roman;sans-serif" w:hAnsi="Times New Roman;sans-serif"/>
          <w:b w:val="false"/>
          <w:i/>
          <w:color w:val="000000"/>
          <w:sz w:val="20"/>
        </w:rPr>
        <w:t xml:space="preserve">Condensed Consolidated Statements of Cash Flows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2024, each of our borrowing groups was in compliance with its debt covenants. In addition, we do not anticipate any instances of non-compliance with respect to the debt covenants of our borrowing groups that would have a material adverse impact on our liquidity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outstanding principal amount of our consolidated debt, together with our finance lease obligations, aggregated $15.7 billion, including $0.7 billion that is classified as current on our condensed consolidated balance sheet and $1.6 billion that is not due until 2030 or thereafter. All of our consolidated debt and finance lease obligations have been borrowed or incurred by our subsidiaries at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debt and finance lease obligations, see notes 8 and 9, respectively,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Condensed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 xml:space="preserve">Our cash flows are subject to significant variations due to FX.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Summary.</w:t>
      </w:r>
      <w:r>
        <w:rPr>
          <w:color w:val="000000"/>
        </w:rPr>
        <w:t xml:space="preserve"> </w:t>
      </w:r>
      <w:r>
        <w:rPr>
          <w:rFonts w:ascii="Times New Roman;sans-serif" w:hAnsi="Times New Roman;sans-serif"/>
          <w:b w:val="false"/>
          <w:color w:val="000000"/>
          <w:sz w:val="20"/>
        </w:rPr>
        <w:t>The condensed consolidated statements of cash flows for the three months ended March 31, 2024 and 2023 are summarized as follows:</w:t>
      </w:r>
    </w:p>
    <w:tbl>
      <w:tblPr>
        <w:tblW w:w="10205" w:type="dxa"/>
        <w:jc w:val="left"/>
        <w:tblInd w:w="0" w:type="dxa"/>
        <w:tblLayout w:type="fixed"/>
        <w:tblCellMar>
          <w:top w:w="28" w:type="dxa"/>
          <w:left w:w="28" w:type="dxa"/>
          <w:bottom w:w="28" w:type="dxa"/>
          <w:right w:w="28" w:type="dxa"/>
        </w:tblCellMar>
      </w:tblPr>
      <w:tblGrid>
        <w:gridCol w:w="2367"/>
        <w:gridCol w:w="2082"/>
        <w:gridCol w:w="2087"/>
        <w:gridCol w:w="211"/>
        <w:gridCol w:w="690"/>
        <w:gridCol w:w="109"/>
        <w:gridCol w:w="109"/>
        <w:gridCol w:w="109"/>
        <w:gridCol w:w="109"/>
        <w:gridCol w:w="211"/>
        <w:gridCol w:w="690"/>
        <w:gridCol w:w="109"/>
        <w:gridCol w:w="109"/>
        <w:gridCol w:w="109"/>
        <w:gridCol w:w="109"/>
        <w:gridCol w:w="221"/>
        <w:gridCol w:w="617"/>
        <w:gridCol w:w="157"/>
      </w:tblGrid>
      <w:tr>
        <w:trPr/>
        <w:tc>
          <w:tcPr>
            <w:tcW w:w="236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investing activities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financing activities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The decrease in net cash provided by operating activities is primarily attributable to the net effect of (i) a decrease in cash provided by our Adjusted EBITDA and related working capital items, (ii) an increase in cash provided due to higher dividend distributions received related to our investment in Vodafone, (iii) an increase due to FX and (iv) an increase in cash provided due to higher receipts of interest. Consolidated Adjusted EBITDA is a non-GAAP measure, which investors should view as a supplement to, and not a substitute for, GAAP measures of performance included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 xml:space="preserve">The decrease in net cash used by investing activities is primarily attributable to the net effect of (i) a decrease in cash used of $1,318.8 million associated with higher net cash received from the sale of investments, primarily related to our investment in Vodafone in 2023 and our investments held under SMAs, (ii) an increase in cash used of $198.3 million due to lower dividend distributions received from the VMO2 JV and (iii) a decrease in cash used of $90.1 million associated with lower net cash paid for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w:t>
      </w:r>
      <w:r>
        <w:rPr>
          <w:color w:val="000000"/>
        </w:rPr>
        <w:t xml:space="preserve"> </w:t>
      </w:r>
      <w:r>
        <w:rPr>
          <w:rFonts w:ascii="Times New Roman;sans-serif" w:hAnsi="Times New Roman;sans-serif"/>
          <w:b w:val="false"/>
          <w:color w:val="000000"/>
          <w:sz w:val="20"/>
        </w:rPr>
        <w:t>(i)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15 to our condensed consolidated financial statements. A reconciliation of our consolidated property and equipment additions to our consolidated capital expenditures, as reported in our condensed consolidated statements of cash flows, is set forth below:</w:t>
      </w:r>
    </w:p>
    <w:tbl>
      <w:tblPr>
        <w:tblW w:w="7914" w:type="dxa"/>
        <w:jc w:val="left"/>
        <w:tblInd w:w="0" w:type="dxa"/>
        <w:tblLayout w:type="fixed"/>
        <w:tblCellMar>
          <w:top w:w="28" w:type="dxa"/>
          <w:left w:w="28" w:type="dxa"/>
          <w:bottom w:w="28" w:type="dxa"/>
          <w:right w:w="28" w:type="dxa"/>
        </w:tblCellMar>
      </w:tblPr>
      <w:tblGrid>
        <w:gridCol w:w="2054"/>
        <w:gridCol w:w="1802"/>
        <w:gridCol w:w="1814"/>
        <w:gridCol w:w="211"/>
        <w:gridCol w:w="616"/>
        <w:gridCol w:w="109"/>
        <w:gridCol w:w="109"/>
        <w:gridCol w:w="109"/>
        <w:gridCol w:w="109"/>
        <w:gridCol w:w="211"/>
        <w:gridCol w:w="61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decrease in our property and equipment additions during the three months ended March 31, 2024, as compared to the corresponding period in 2023, is primarily due to the net effect of</w:t>
      </w:r>
      <w:r>
        <w:rPr>
          <w:color w:val="000000"/>
        </w:rPr>
        <w:t xml:space="preserve"> </w:t>
      </w:r>
      <w:r>
        <w:rPr>
          <w:rFonts w:ascii="Times New Roman;sans-serif" w:hAnsi="Times New Roman;sans-serif"/>
          <w:b w:val="false"/>
          <w:color w:val="000000"/>
          <w:sz w:val="20"/>
        </w:rPr>
        <w:t xml:space="preserve">(i) a decrease in local currency expenditures of our subsidiaries primarily due to the net effect of (a) a decrease in expenditures to support new customer products and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efficiency initiatives, (b) an increase in new build and upgrade projects and (c) a decrease in expenditures for the purchase and installation of CPE, and (ii) an increase due to FX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change in net cash provided (used) by financing activities is primarily attributable to the net effect of (i) a decrease in cash of $1,217.4 million due to higher net repayments of debt, including with respect to our borrowings related to the Vodafone Collar Loan in 2023, (ii) an increase in cash of $60.6 million due to lower net payments related to derivatives</w:t>
      </w:r>
      <w:r>
        <w:rPr>
          <w:color w:val="000000"/>
        </w:rPr>
        <w:t xml:space="preserve"> </w:t>
      </w:r>
      <w:r>
        <w:rPr>
          <w:rFonts w:ascii="Times New Roman;sans-serif" w:hAnsi="Times New Roman;sans-serif"/>
          <w:b w:val="false"/>
          <w:color w:val="000000"/>
          <w:sz w:val="20"/>
        </w:rPr>
        <w:t>and (iii) an increase in cash of $53.0 million due to lower repurchases of Liberty Global common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$5.2 million and $11.6 million during the three months ended March 31,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details of our adjusted free cash flow:</w:t>
      </w:r>
    </w:p>
    <w:tbl>
      <w:tblPr>
        <w:tblW w:w="7208" w:type="dxa"/>
        <w:jc w:val="left"/>
        <w:tblInd w:w="0" w:type="dxa"/>
        <w:tblLayout w:type="fixed"/>
        <w:tblCellMar>
          <w:top w:w="28" w:type="dxa"/>
          <w:left w:w="28" w:type="dxa"/>
          <w:bottom w:w="28" w:type="dxa"/>
          <w:right w:w="28" w:type="dxa"/>
        </w:tblCellMar>
      </w:tblPr>
      <w:tblGrid>
        <w:gridCol w:w="1743"/>
        <w:gridCol w:w="1533"/>
        <w:gridCol w:w="1538"/>
        <w:gridCol w:w="211"/>
        <w:gridCol w:w="691"/>
        <w:gridCol w:w="109"/>
        <w:gridCol w:w="109"/>
        <w:gridCol w:w="109"/>
        <w:gridCol w:w="109"/>
        <w:gridCol w:w="211"/>
        <w:gridCol w:w="69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 (a)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General</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information in this section should be read in conjunction with the more complete discussion that appears under Part II,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 our 10-K. The following discussion updates selected numerical information to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convenience translations into U.S. dollars are calculated as of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Cash and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2024,</w:t>
      </w:r>
      <w:r>
        <w:rPr>
          <w:color w:val="000000"/>
        </w:rPr>
        <w:t xml:space="preserve"> </w:t>
      </w:r>
      <w:r>
        <w:rPr>
          <w:rFonts w:ascii="Times New Roman;sans-serif" w:hAnsi="Times New Roman;sans-serif"/>
          <w:b w:val="false"/>
          <w:color w:val="000000"/>
          <w:sz w:val="20"/>
        </w:rPr>
        <w:t>$918.8 million or</w:t>
      </w:r>
      <w:r>
        <w:rPr>
          <w:color w:val="000000"/>
        </w:rPr>
        <w:t xml:space="preserve"> </w:t>
      </w:r>
      <w:r>
        <w:rPr>
          <w:rFonts w:ascii="Times New Roman;sans-serif" w:hAnsi="Times New Roman;sans-serif"/>
          <w:b w:val="false"/>
          <w:color w:val="000000"/>
          <w:sz w:val="20"/>
        </w:rPr>
        <w:t>80.6% and $189.7 million or 16.6%</w:t>
      </w:r>
      <w:r>
        <w:rPr>
          <w:color w:val="000000"/>
        </w:rPr>
        <w:t xml:space="preserve"> </w:t>
      </w:r>
      <w:r>
        <w:rPr>
          <w:rFonts w:ascii="Times New Roman;sans-serif" w:hAnsi="Times New Roman;sans-serif"/>
          <w:b w:val="false"/>
          <w:color w:val="000000"/>
          <w:sz w:val="20"/>
        </w:rPr>
        <w:t>of our consolidated cash balance was denominated in euros and U.S. dollars, respectively, and $1,973.5 million or 97.2% of our consolidated balance of investments held under SMAs was denominated in U.S.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price fluctuations related to our investment in Vodafone shares, which had an aggregate value of $1,187.6 million at March 31, 2024. Our exposure to market risk is limited for our Vodafone shares, all which are held through the Vodafone Collar. For information regarding the Vodafone Collar, Vodafone Collar Loan and our investment in Vodafone shares, see note 4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5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relationships between the primary currencies of the countries in which we operate and the U.S. dollar, which is our reporting currency, are shown below, per one U.S. dollar: </w:t>
      </w:r>
    </w:p>
    <w:tbl>
      <w:tblPr>
        <w:tblW w:w="4461" w:type="dxa"/>
        <w:jc w:val="left"/>
        <w:tblInd w:w="0" w:type="dxa"/>
        <w:tblLayout w:type="fixed"/>
        <w:tblCellMar>
          <w:top w:w="28" w:type="dxa"/>
          <w:left w:w="28" w:type="dxa"/>
          <w:bottom w:w="28" w:type="dxa"/>
          <w:right w:w="28" w:type="dxa"/>
        </w:tblCellMar>
      </w:tblPr>
      <w:tblGrid>
        <w:gridCol w:w="686"/>
        <w:gridCol w:w="607"/>
        <w:gridCol w:w="611"/>
        <w:gridCol w:w="360"/>
        <w:gridCol w:w="361"/>
        <w:gridCol w:w="296"/>
        <w:gridCol w:w="109"/>
        <w:gridCol w:w="109"/>
        <w:gridCol w:w="109"/>
        <w:gridCol w:w="360"/>
        <w:gridCol w:w="361"/>
        <w:gridCol w:w="492"/>
      </w:tblGrid>
      <w:tr>
        <w:trPr/>
        <w:tc>
          <w:tcPr>
            <w:tcW w:w="6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Spot rates: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0.9038 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franc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0.9014 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0.8392 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0.7835 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Polish zloty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5155" w:type="dxa"/>
        <w:jc w:val="left"/>
        <w:tblInd w:w="0" w:type="dxa"/>
        <w:tblLayout w:type="fixed"/>
        <w:tblCellMar>
          <w:top w:w="28" w:type="dxa"/>
          <w:left w:w="28" w:type="dxa"/>
          <w:bottom w:w="28" w:type="dxa"/>
          <w:right w:w="28" w:type="dxa"/>
        </w:tblCellMar>
      </w:tblPr>
      <w:tblGrid>
        <w:gridCol w:w="690"/>
        <w:gridCol w:w="606"/>
        <w:gridCol w:w="609"/>
        <w:gridCol w:w="109"/>
        <w:gridCol w:w="109"/>
        <w:gridCol w:w="338"/>
        <w:gridCol w:w="338"/>
        <w:gridCol w:w="416"/>
        <w:gridCol w:w="338"/>
        <w:gridCol w:w="341"/>
        <w:gridCol w:w="109"/>
        <w:gridCol w:w="109"/>
        <w:gridCol w:w="109"/>
        <w:gridCol w:w="360"/>
        <w:gridCol w:w="361"/>
        <w:gridCol w:w="21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franc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0.8747 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Polish zloty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and Foreign Investment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inflationary pressures, which remain elevated,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5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significant changes in the benchmark interest rates used to set floating rates on our debt and derivative instruments. ICE Benchmark Administration (the entity that administers LIBOR) ceased to publish CHF and GBP LIBOR rates after December 31, 2021, and it ceased to publish USD LIBOR rates after June 30, 2023. The methodology for EURIBOR has been reformed and EURIBOR has been granted regulatory approval to continue to be used.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amendments in respect of all of our debt and derivative instruments to replace the ceased rates. For USD, these reference the Secured Overnight Financing Rate administered by the Federal Reserve Bank of New York or Term SOFR administered by CME Group Benchmark Administration Limited. For CHF, these reference the Swiss Average Rate Overnight administered by the SIX Swiss Exchange. For GBP, these reference the Sterling Overnight Index Average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Weighted Average Variable Interest Rate. </w:t>
      </w:r>
      <w:r>
        <w:rPr>
          <w:rFonts w:ascii="Times New Roman;sans-serif" w:hAnsi="Times New Roman;sans-serif"/>
          <w:b w:val="false"/>
          <w:color w:val="000000"/>
          <w:sz w:val="20"/>
        </w:rPr>
        <w:t xml:space="preserve">At March 31, 2024, the outstanding principal amount of our variable-rate indebtedness aggregated $10.2 billion, and the weighted average interest rate (including margin) on such variable-rate indebtedness was approximately 7.1%,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$51.0 million. As discussed above and in note 5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Sensitivity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5 and 6 to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Sunrise Holding Cross-currency and Interest Rate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March 31, 2024:</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(i)an instantaneous increase (decrease) of 10% in the value of the Swiss franc relative to the U.S. dollar would have decreased (increased) the aggregate fair value of the Sunrise Holding cross-currency and interest rate derivative contracts by approximately €416 million</w:t>
      </w:r>
      <w:r>
        <w:rPr>
          <w:color w:val="000000"/>
        </w:rPr>
        <w:t xml:space="preserve"> </w:t>
      </w:r>
      <w:r>
        <w:rPr>
          <w:rFonts w:ascii="Times New Roman;sans-serif" w:hAnsi="Times New Roman;sans-serif"/>
          <w:b w:val="false"/>
          <w:color w:val="000000"/>
          <w:sz w:val="20"/>
        </w:rPr>
        <w:t>($450 million);</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(ii)an instantaneous increase (decrease) of 10% in the value of the Swiss franc relative to the euro would have decreased (increased) the aggregate fair value of the Sunrise Holding cross-currency and interest rate derivative contracts by approximately</w:t>
      </w:r>
      <w:r>
        <w:rPr>
          <w:color w:val="000000"/>
        </w:rPr>
        <w:t xml:space="preserve"> €</w:t>
      </w:r>
      <w:r>
        <w:rPr>
          <w:rFonts w:ascii="Times New Roman;sans-serif" w:hAnsi="Times New Roman;sans-serif"/>
          <w:b w:val="false"/>
          <w:color w:val="000000"/>
          <w:sz w:val="20"/>
        </w:rPr>
        <w:t>244 million</w:t>
      </w:r>
      <w:r>
        <w:rPr>
          <w:color w:val="000000"/>
        </w:rPr>
        <w:t xml:space="preserve"> </w:t>
      </w:r>
      <w:r>
        <w:rPr>
          <w:rFonts w:ascii="Times New Roman;sans-serif" w:hAnsi="Times New Roman;sans-serif"/>
          <w:b w:val="false"/>
          <w:color w:val="000000"/>
          <w:sz w:val="20"/>
        </w:rPr>
        <w:t>($263 million); and</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(iii)an instantaneous increase (decrease) in the relevant base rate of 50 basis points (0.50%) would have increased (decreased) the aggregate fair value of the Sunrise Holding cross-currency and interest rate derivative contracts by approximately €86 million</w:t>
      </w:r>
      <w:r>
        <w:rPr>
          <w:color w:val="000000"/>
        </w:rPr>
        <w:t xml:space="preserve"> </w:t>
      </w:r>
      <w:r>
        <w:rPr>
          <w:rFonts w:ascii="Times New Roman;sans-serif" w:hAnsi="Times New Roman;sans-serif"/>
          <w:b w:val="false"/>
          <w:color w:val="000000"/>
          <w:sz w:val="20"/>
        </w:rPr>
        <w:t>($93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Telenet Cross-currency and Interest Rate Derivative Contracts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March 31, 2024:</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(i)an instantaneous increase (decrease) of 10% in the value of the euro relative to the U.S. dollar would have decreased (increased) the aggregate fair value of the Telenet cross-currency and interest rate derivative contracts by approximately €296 million ($320 million);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(ii)an instantaneous increase (decrease) in the relevant base rate of 50 basis points (0.50%) would have increased (decreased) the aggregate fair value of the Telenet cross-currency and interest rate derivative contracts by approximately €86 million ($93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Vodafone Collar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March 31, 2024, (i) an instantaneous increase of 10% in the per share market price of Vodafone’s ordinary shares would have decreased the fair value of the Vodafone Collar by approximately €74 million ($80 million) and (ii) an instantaneous decrease of 10% in the per share market price of Vodafone’s ordinary shares would have increased the fair value of the Vodafone Collar by approximately €77 million ($83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Projected Cash Flows Associated with Derivative Instruments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projected cash flows associated with our derivative instruments. The U.S. dollar equivalents presented below are based on interest rate projections and exchange rates as of March 31, 2024. These amounts are presented for illustrative purposes only and will likely differ from the actual cash payments or receipts required in future periods. For additional information regarding our derivative instruments, see note 5 to our condensed consolidated financial statements. </w:t>
      </w:r>
    </w:p>
    <w:tbl>
      <w:tblPr>
        <w:tblW w:w="10810" w:type="dxa"/>
        <w:jc w:val="left"/>
        <w:tblInd w:w="0" w:type="dxa"/>
        <w:tblLayout w:type="fixed"/>
        <w:tblCellMar>
          <w:top w:w="28" w:type="dxa"/>
          <w:left w:w="28" w:type="dxa"/>
          <w:bottom w:w="28" w:type="dxa"/>
          <w:right w:w="28" w:type="dxa"/>
        </w:tblCellMar>
      </w:tblPr>
      <w:tblGrid>
        <w:gridCol w:w="982"/>
        <w:gridCol w:w="244"/>
        <w:gridCol w:w="245"/>
        <w:gridCol w:w="211"/>
        <w:gridCol w:w="64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511"/>
        <w:gridCol w:w="109"/>
        <w:gridCol w:w="109"/>
        <w:gridCol w:w="109"/>
        <w:gridCol w:w="211"/>
        <w:gridCol w:w="78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(receipts) due during: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47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Remainder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7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6" w:type="dxa"/>
            <w:gridSpan w:val="3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7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Projected derivative cash payments (receipts), net:</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Interest-related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Principal-related (b)</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the cash flows of our interest rate cap, floor and swap contracts and (ii) the interest-related cash flows of our cross-currency and interest rate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the principal-related cash flows of our cross-currency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(c)Includes amounts related to our equity-related derivative instruments and foreign currency forward contracts. We may elect to use cash or the collective value of the related shares and Vodafone Collar to settle the Vodafone Collar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accordance with Rule 13a-15 of the Securities Exchange Act of 1934, as amended (the </w:t>
      </w:r>
      <w:r>
        <w:rPr>
          <w:rFonts w:ascii="Times New Roman;sans-serif" w:hAnsi="Times New Roman;sans-serif"/>
          <w:b/>
          <w:color w:val="000000"/>
          <w:sz w:val="20"/>
        </w:rPr>
        <w:t>Exchange Act</w:t>
      </w:r>
      <w:r>
        <w:rPr>
          <w:rFonts w:ascii="Times New Roman;sans-serif" w:hAnsi="Times New Roman;sans-serif"/>
          <w:b w:val="false"/>
          <w:color w:val="000000"/>
          <w:sz w:val="20"/>
        </w:rPr>
        <w:t xml:space="preserve">), we carried out an evaluation, under the supervision and with the participation of management, including our chief executive officer and chief financial officer (the </w:t>
      </w:r>
      <w:r>
        <w:rPr>
          <w:rFonts w:ascii="Times New Roman;sans-serif" w:hAnsi="Times New Roman;sans-serif"/>
          <w:b/>
          <w:color w:val="000000"/>
          <w:sz w:val="20"/>
        </w:rPr>
        <w:t>Executives</w:t>
      </w:r>
      <w:r>
        <w:rPr>
          <w:rFonts w:ascii="Times New Roman;sans-serif" w:hAnsi="Times New Roman;sans-serif"/>
          <w:b w:val="false"/>
          <w:color w:val="000000"/>
          <w:sz w:val="20"/>
        </w:rPr>
        <w:t>), of the effectiveness of our disclosure controls and procedures as of March 31, 2024.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2024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subsidiaries and affiliates have become involved in litigation relating to claims arising out of their operations in the normal course of business. For additional information, see note 14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color w:val="000000"/>
          <w:sz w:val="20"/>
        </w:rPr>
        <w:t>(c)</w:t>
      </w:r>
      <w:r>
        <w:rPr>
          <w:color w:val="000000"/>
        </w:rPr>
        <w:t>    </w:t>
      </w:r>
      <w:r>
        <w:rPr>
          <w:rFonts w:ascii="Times New Roman;sans-serif" w:hAnsi="Times New Roman;sans-serif"/>
          <w:b/>
          <w:i/>
          <w:color w:val="000000"/>
          <w:sz w:val="20"/>
        </w:rPr>
        <w:t>Issuer Purchases of Equity Securities</w:t>
      </w:r>
      <w:r>
        <w:rPr>
          <w:color w:val="000000"/>
        </w:rPr>
        <w:t xml:space="preserve"> </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12"/>
        <w:gridCol w:w="328"/>
        <w:gridCol w:w="330"/>
        <w:gridCol w:w="182"/>
        <w:gridCol w:w="182"/>
        <w:gridCol w:w="182"/>
        <w:gridCol w:w="564"/>
        <w:gridCol w:w="441"/>
        <w:gridCol w:w="437"/>
        <w:gridCol w:w="109"/>
        <w:gridCol w:w="109"/>
        <w:gridCol w:w="109"/>
        <w:gridCol w:w="275"/>
        <w:gridCol w:w="805"/>
        <w:gridCol w:w="144"/>
        <w:gridCol w:w="109"/>
        <w:gridCol w:w="109"/>
        <w:gridCol w:w="109"/>
        <w:gridCol w:w="845"/>
        <w:gridCol w:w="792"/>
        <w:gridCol w:w="794"/>
        <w:gridCol w:w="109"/>
        <w:gridCol w:w="109"/>
        <w:gridCol w:w="109"/>
        <w:gridCol w:w="732"/>
        <w:gridCol w:w="732"/>
        <w:gridCol w:w="1047"/>
      </w:tblGrid>
      <w:tr>
        <w:trPr/>
        <w:tc>
          <w:tcPr>
            <w:tcW w:w="41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r>
          </w:p>
        </w:tc>
      </w:tr>
      <w:tr>
        <w:trPr/>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through January 31, 2024:</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5,121,035 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5,121,035 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through February 29, 2024:</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822,000 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through March 31, 2024:</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2,971,881 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2,971,881 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January 1, 2024 through March 31, 2024:</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8,914,916 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8,914,916 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(a)Average price paid per share includes direct acquisition costs.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(b)Under our current share repurchase program, we are authorized during 2024 to repurchase up to 10% of our total outstanding shares as of December 31, 2023. As of March 31, 2024, the remaining number of our Class A and/or Class C common shares that we are authorized to repurchase during 2024 was 29.3 million. Based on the average of the respective closing share prices as of March 31, 2024, this would equate to additional share repurchases during the remainder of 2024 of approximately $506.3 million. However, the actual U.S. dollar amount of our share repurchases during the remainder of 2024 will be determined by the actual transaction date share prices during the year and could differ significantly from this amount. For additional information, see note 11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 xml:space="preserve">EXHIBITS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exhibits filed as part of this Quarterly Report (according to the number assigned to them in Item 601 of Regulation S-K):</w:t>
      </w:r>
    </w:p>
    <w:tbl>
      <w:tblPr>
        <w:tblW w:w="10205" w:type="dxa"/>
        <w:jc w:val="left"/>
        <w:tblInd w:w="0" w:type="dxa"/>
        <w:tblLayout w:type="fixed"/>
        <w:tblCellMar>
          <w:top w:w="28" w:type="dxa"/>
          <w:left w:w="28" w:type="dxa"/>
          <w:bottom w:w="28" w:type="dxa"/>
          <w:right w:w="28" w:type="dxa"/>
        </w:tblCellMar>
      </w:tblPr>
      <w:tblGrid>
        <w:gridCol w:w="475"/>
        <w:gridCol w:w="416"/>
        <w:gridCol w:w="416"/>
        <w:gridCol w:w="416"/>
        <w:gridCol w:w="416"/>
        <w:gridCol w:w="416"/>
        <w:gridCol w:w="2497"/>
        <w:gridCol w:w="2497"/>
        <w:gridCol w:w="2496"/>
        <w:gridCol w:w="160"/>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Rule 13a-14(a)/15d-14(a) Certification:</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12024ex311.htm">
              <w:r>
                <w:rPr>
                  <w:rStyle w:val="InternetLink"/>
                  <w:rFonts w:ascii="Times New Roman;sans-serif" w:hAnsi="Times New Roman;sans-serif"/>
                  <w:b w:val="false"/>
                  <w:color w:val="0000FF"/>
                  <w:sz w:val="20"/>
                  <w:u w:val="single"/>
                </w:rPr>
                <w:t>Certification of President and Chief Executive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12024ex312.htm">
              <w:r>
                <w:rPr>
                  <w:rStyle w:val="InternetLink"/>
                  <w:rFonts w:ascii="Times New Roman;sans-serif" w:hAnsi="Times New Roman;sans-serif"/>
                  <w:b w:val="false"/>
                  <w:color w:val="0000FF"/>
                  <w:sz w:val="20"/>
                  <w:u w:val="single"/>
                </w:rPr>
                <w:t>Certification of Executive Vice President and Chief Financial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lgq12024ex32.htm">
              <w:r>
                <w:rPr>
                  <w:rStyle w:val="InternetLink"/>
                  <w:rFonts w:ascii="Times New Roman;sans-serif" w:hAnsi="Times New Roman;sans-serif"/>
                  <w:b w:val="false"/>
                  <w:color w:val="0000FF"/>
                  <w:sz w:val="20"/>
                  <w:u w:val="single"/>
                </w:rPr>
                <w:t>32 — Section 1350 Certification**</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tbl>
      <w:tblPr>
        <w:tblW w:w="2052" w:type="dxa"/>
        <w:jc w:val="left"/>
        <w:tblInd w:w="0" w:type="dxa"/>
        <w:tblLayout w:type="fixed"/>
        <w:tblCellMar>
          <w:top w:w="28" w:type="dxa"/>
          <w:left w:w="28" w:type="dxa"/>
          <w:bottom w:w="28" w:type="dxa"/>
          <w:right w:w="28" w:type="dxa"/>
        </w:tblCellMar>
      </w:tblPr>
      <w:tblGrid>
        <w:gridCol w:w="124"/>
        <w:gridCol w:w="109"/>
        <w:gridCol w:w="109"/>
        <w:gridCol w:w="499"/>
        <w:gridCol w:w="499"/>
        <w:gridCol w:w="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946"/>
        <w:gridCol w:w="946"/>
        <w:gridCol w:w="134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LIBERTY GLOBAL LTD.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color w:val="000000"/>
                <w:sz w:val="20"/>
              </w:rPr>
              <w:t>/s/    M</w:t>
            </w:r>
            <w:r>
              <w:rPr>
                <w:rFonts w:ascii="Times New Roman;sans-serif" w:hAnsi="Times New Roman;sans-serif"/>
                <w:b w:val="false"/>
                <w:color w:val="000000"/>
                <w:sz w:val="16"/>
              </w:rPr>
              <w:t>ICHAEL</w:t>
            </w:r>
            <w:r>
              <w:rPr>
                <w:color w:val="000000"/>
              </w:rPr>
              <w:t xml:space="preserve"> </w:t>
            </w:r>
            <w:r>
              <w:rPr>
                <w:rFonts w:ascii="Times New Roman;sans-serif" w:hAnsi="Times New Roman;sans-serif"/>
                <w:b w:val="false"/>
                <w:color w:val="000000"/>
                <w:sz w:val="20"/>
              </w:rPr>
              <w:t>T. F</w:t>
            </w:r>
            <w:r>
              <w:rPr>
                <w:rFonts w:ascii="Times New Roman;sans-serif" w:hAnsi="Times New Roman;sans-serif"/>
                <w:b w:val="false"/>
                <w:color w:val="000000"/>
                <w:sz w:val="16"/>
              </w:rPr>
              <w:t>RIES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p>
            <w:pPr>
              <w:pStyle w:val="TableContents"/>
              <w:bidi w:val="0"/>
              <w:spacing w:lineRule="auto" w:line="240" w:before="0" w:after="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color w:val="000000"/>
                <w:sz w:val="20"/>
              </w:rPr>
              <w:t>/s/    C</w:t>
            </w:r>
            <w:r>
              <w:rPr>
                <w:rFonts w:ascii="Times New Roman;sans-serif" w:hAnsi="Times New Roman;sans-serif"/>
                <w:b w:val="false"/>
                <w:color w:val="000000"/>
                <w:sz w:val="16"/>
              </w:rPr>
              <w:t>HARLES</w:t>
            </w:r>
            <w:r>
              <w:rPr>
                <w:color w:val="000000"/>
              </w:rPr>
              <w:t xml:space="preserve"> </w:t>
            </w:r>
            <w:r>
              <w:rPr>
                <w:rFonts w:ascii="Times New Roman;sans-serif" w:hAnsi="Times New Roman;sans-serif"/>
                <w:b w:val="false"/>
                <w:color w:val="000000"/>
                <w:sz w:val="20"/>
              </w:rPr>
              <w:t>H.R. B</w:t>
            </w:r>
            <w:r>
              <w:rPr>
                <w:rFonts w:ascii="Times New Roman;sans-serif" w:hAnsi="Times New Roman;sans-serif"/>
                <w:b w:val="false"/>
                <w:color w:val="000000"/>
                <w:sz w:val="16"/>
              </w:rPr>
              <w:t>RACKEN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w:t>
            </w:r>
          </w:p>
          <w:p>
            <w:pPr>
              <w:pStyle w:val="TableContents"/>
              <w:bidi w:val="0"/>
              <w:spacing w:lineRule="auto" w:line="240" w:before="0" w:after="20"/>
              <w:jc w:val="center"/>
              <w:rPr>
                <w:rFonts w:ascii="Times New Roman;sans-serif" w:hAnsi="Times New Roman;sans-serif"/>
                <w:b w:val="false"/>
                <w:i/>
                <w:color w:val="000000"/>
                <w:sz w:val="20"/>
              </w:rPr>
            </w:pPr>
            <w:r>
              <w:rPr>
                <w:rFonts w:ascii="Times New Roman;sans-serif" w:hAnsi="Times New Roman;sans-serif"/>
                <w:b w:val="false"/>
                <w:i/>
                <w:color w:val="000000"/>
                <w:sz w:val="20"/>
              </w:rPr>
              <w:t>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Michael T. Fries,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bl>
      <w:tblPr>
        <w:tblW w:w="3551" w:type="dxa"/>
        <w:jc w:val="center"/>
        <w:tblInd w:w="0" w:type="dxa"/>
        <w:tblLayout w:type="fixed"/>
        <w:tblCellMar>
          <w:top w:w="28" w:type="dxa"/>
          <w:left w:w="28" w:type="dxa"/>
          <w:bottom w:w="28" w:type="dxa"/>
          <w:right w:w="28" w:type="dxa"/>
        </w:tblCellMar>
      </w:tblPr>
      <w:tblGrid>
        <w:gridCol w:w="1151"/>
        <w:gridCol w:w="1007"/>
        <w:gridCol w:w="1021"/>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Charles H.R. Bracken,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bl>
      <w:tblPr>
        <w:tblW w:w="4782" w:type="dxa"/>
        <w:jc w:val="center"/>
        <w:tblInd w:w="0" w:type="dxa"/>
        <w:tblLayout w:type="fixed"/>
        <w:tblCellMar>
          <w:top w:w="28" w:type="dxa"/>
          <w:left w:w="28" w:type="dxa"/>
          <w:bottom w:w="28" w:type="dxa"/>
          <w:right w:w="28" w:type="dxa"/>
        </w:tblCellMar>
      </w:tblPr>
      <w:tblGrid>
        <w:gridCol w:w="1590"/>
        <w:gridCol w:w="1398"/>
        <w:gridCol w:w="1422"/>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Liberty Global Ltd. (the "Company"), does hereby certify, to such officer's knowledge, that: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for the period ended March 31, 2024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2024 and December 31, 2023, and for the three months ended March 31, 2024 and 2023.</w:t>
      </w:r>
    </w:p>
    <w:p>
      <w:pPr>
        <w:pStyle w:val="TextBody"/>
        <w:bidi w:val="0"/>
        <w:spacing w:before="100" w:after="283"/>
        <w:jc w:val="both"/>
        <w:rPr/>
      </w:pPr>
      <w:r>
        <w:rPr/>
      </w:r>
    </w:p>
    <w:tbl>
      <w:tblPr>
        <w:tblW w:w="6179" w:type="dxa"/>
        <w:jc w:val="center"/>
        <w:tblInd w:w="0" w:type="dxa"/>
        <w:tblLayout w:type="fixed"/>
        <w:tblCellMar>
          <w:top w:w="28" w:type="dxa"/>
          <w:left w:w="28" w:type="dxa"/>
          <w:bottom w:w="28" w:type="dxa"/>
          <w:right w:w="28" w:type="dxa"/>
        </w:tblCellMar>
      </w:tblPr>
      <w:tblGrid>
        <w:gridCol w:w="629"/>
        <w:gridCol w:w="553"/>
        <w:gridCol w:w="558"/>
        <w:gridCol w:w="1296"/>
        <w:gridCol w:w="1296"/>
        <w:gridCol w:w="184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33222</Words>
  <Characters>186624</Characters>
  <CharactersWithSpaces>217339</CharactersWithSpaces>
  <Paragraphs>4869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