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8-K/A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No. 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31,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Explanatory Statement</w:t>
      </w:r>
    </w:p>
    <w:p>
      <w:pPr>
        <w:pStyle w:val="TextBody"/>
        <w:bidi w:val="0"/>
        <w:spacing w:before="0" w:after="0"/>
        <w:jc w:val="center"/>
        <w:rPr/>
      </w:pPr>
      <w:r>
        <w:rPr/>
      </w:r>
    </w:p>
    <w:p>
      <w:pPr>
        <w:pStyle w:val="TextBody"/>
        <w:bidi w:val="0"/>
        <w:spacing w:lineRule="auto" w:line="276" w:before="0" w:after="0"/>
        <w:jc w:val="both"/>
        <w:rPr/>
      </w:pPr>
      <w:r>
        <w:rPr>
          <w:rFonts w:ascii="Times New Roman;serif" w:hAnsi="Times New Roman;serif"/>
          <w:b w:val="false"/>
          <w:color w:val="000000"/>
          <w:sz w:val="20"/>
        </w:rPr>
        <w:t>On July 31, 2026, Ziggo Group B.V. (formerly known as Liberty Global Holding B.V. and hereafter referred to as “</w:t>
      </w:r>
      <w:r>
        <w:rPr>
          <w:rFonts w:ascii="Times New Roman;serif" w:hAnsi="Times New Roman;serif"/>
          <w:b/>
          <w:color w:val="000000"/>
          <w:sz w:val="20"/>
        </w:rPr>
        <w:t>Ziggo Group</w:t>
      </w:r>
      <w:r>
        <w:rPr>
          <w:color w:val="000000"/>
        </w:rPr>
        <w:t xml:space="preserve">” </w:t>
      </w:r>
      <w:r>
        <w:rPr>
          <w:rFonts w:ascii="Times New Roman;serif" w:hAnsi="Times New Roman;serif"/>
          <w:b w:val="false"/>
          <w:color w:val="000000"/>
          <w:sz w:val="20"/>
        </w:rPr>
        <w:t>or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 indirect wholly-owned subsidiary of Liberty Global Ltd. (“</w:t>
      </w:r>
      <w:r>
        <w:rPr>
          <w:rFonts w:ascii="Times New Roman;serif" w:hAnsi="Times New Roman;serif"/>
          <w:b/>
          <w:color w:val="000000"/>
          <w:sz w:val="20"/>
        </w:rPr>
        <w:t>Liberty Global</w:t>
      </w:r>
      <w:r>
        <w:rPr>
          <w:color w:val="000000"/>
        </w:rPr>
        <w:t>”</w:t>
      </w:r>
      <w:r>
        <w:rPr>
          <w:rFonts w:ascii="Times New Roman;serif" w:hAnsi="Times New Roman;serif"/>
          <w:b w:val="false"/>
          <w:color w:val="000000"/>
          <w:sz w:val="20"/>
        </w:rPr>
        <w:t>), completed the acquisition from Vodafone Europe B.V. (“</w:t>
      </w:r>
      <w:r>
        <w:rPr>
          <w:rFonts w:ascii="Times New Roman;serif" w:hAnsi="Times New Roman;serif"/>
          <w:b/>
          <w:color w:val="000000"/>
          <w:sz w:val="20"/>
        </w:rPr>
        <w:t>Vodafone</w:t>
      </w:r>
      <w:r>
        <w:rPr>
          <w:color w:val="000000"/>
        </w:rPr>
        <w:t>”</w:t>
      </w:r>
      <w:r>
        <w:rPr>
          <w:rFonts w:ascii="Times New Roman;serif" w:hAnsi="Times New Roman;serif"/>
          <w:b w:val="false"/>
          <w:color w:val="000000"/>
          <w:sz w:val="20"/>
        </w:rPr>
        <w:t>) and Vodafone International S.à r.l. (together, the “</w:t>
      </w:r>
      <w:r>
        <w:rPr>
          <w:rFonts w:ascii="Times New Roman;serif" w:hAnsi="Times New Roman;serif"/>
          <w:b/>
          <w:color w:val="000000"/>
          <w:sz w:val="20"/>
        </w:rPr>
        <w:t>Vodafone Sellers</w:t>
      </w:r>
      <w:r>
        <w:rPr>
          <w:color w:val="000000"/>
        </w:rPr>
        <w:t>”</w:t>
      </w:r>
      <w:r>
        <w:rPr>
          <w:rFonts w:ascii="Times New Roman;serif" w:hAnsi="Times New Roman;serif"/>
          <w:b w:val="false"/>
          <w:color w:val="000000"/>
          <w:sz w:val="20"/>
        </w:rPr>
        <w:t>), subsidiaries of Vodafone Group Plc, of (i) all of the issued and outstanding shares held by Vodafone in VodafoneZiggo Group Holding B.V. (“</w:t>
      </w:r>
      <w:r>
        <w:rPr>
          <w:rFonts w:ascii="Times New Roman;serif" w:hAnsi="Times New Roman;serif"/>
          <w:b/>
          <w:color w:val="000000"/>
          <w:sz w:val="20"/>
        </w:rPr>
        <w:t>VodafoneZiggo</w:t>
      </w:r>
      <w:r>
        <w:rPr>
          <w:color w:val="000000"/>
        </w:rPr>
        <w:t>”</w:t>
      </w:r>
      <w:r>
        <w:rPr>
          <w:rFonts w:ascii="Times New Roman;serif" w:hAnsi="Times New Roman;serif"/>
          <w:b w:val="false"/>
          <w:color w:val="000000"/>
          <w:sz w:val="20"/>
        </w:rPr>
        <w:t>), representing 50% of the issued share capital of VodafoneZiggo, and (ii) all of the shareholder loans held by Vodafone International 1 S.à r.l. to VodafoneZiggo Group B.V. (collectively, the “</w:t>
      </w:r>
      <w:r>
        <w:rPr>
          <w:rFonts w:ascii="Times New Roman;serif" w:hAnsi="Times New Roman;serif"/>
          <w:b/>
          <w:color w:val="000000"/>
          <w:sz w:val="20"/>
        </w:rPr>
        <w:t>VodafoneZiggo Acquisition</w:t>
      </w:r>
      <w:r>
        <w:rPr>
          <w:color w:val="000000"/>
        </w:rPr>
        <w:t xml:space="preserve">” </w:t>
      </w:r>
      <w:r>
        <w:rPr>
          <w:rFonts w:ascii="Times New Roman;serif" w:hAnsi="Times New Roman;serif"/>
          <w:b w:val="false"/>
          <w:color w:val="000000"/>
          <w:sz w:val="20"/>
        </w:rPr>
        <w:t>or the “</w:t>
      </w:r>
      <w:r>
        <w:rPr>
          <w:rFonts w:ascii="Times New Roman;serif" w:hAnsi="Times New Roman;serif"/>
          <w:b/>
          <w:color w:val="000000"/>
          <w:sz w:val="20"/>
        </w:rPr>
        <w:t>Transaction</w:t>
      </w:r>
      <w:r>
        <w:rPr>
          <w:color w:val="000000"/>
        </w:rPr>
        <w:t>”</w:t>
      </w:r>
      <w:r>
        <w:rPr>
          <w:rFonts w:ascii="Times New Roman;serif" w:hAnsi="Times New Roman;serif"/>
          <w:b w:val="false"/>
          <w:color w:val="000000"/>
          <w:sz w:val="20"/>
        </w:rPr>
        <w:t>). Following completion of the Transaction, the Company owns 100% of the issued share capital of VodafoneZiggo, and Vodafone holds a 10% non-controlling equity interest in the Company.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Registrant reported the closing of the Transaction and certain related matters under Item 1.01 and Item 2.01 of its Current Report on Form 8-K, dated August 6, 2026 (File No. 001-35961) (the “</w:t>
      </w:r>
      <w:r>
        <w:rPr>
          <w:rFonts w:ascii="Times New Roman;serif" w:hAnsi="Times New Roman;serif"/>
          <w:b/>
          <w:color w:val="000000"/>
          <w:sz w:val="20"/>
        </w:rPr>
        <w:t>August 8-K</w:t>
      </w:r>
      <w:r>
        <w:rPr>
          <w:color w:val="000000"/>
        </w:rPr>
        <w:t>”</w:t>
      </w:r>
      <w:r>
        <w:rPr>
          <w:rFonts w:ascii="Times New Roman;serif" w:hAnsi="Times New Roman;serif"/>
          <w:b w:val="false"/>
          <w:color w:val="000000"/>
          <w:sz w:val="20"/>
        </w:rPr>
        <w:t>), and undertook therein to file the financial statements required by Item 9.01(a) of Form 8-K (the “</w:t>
      </w:r>
      <w:r>
        <w:rPr>
          <w:rFonts w:ascii="Times New Roman;serif" w:hAnsi="Times New Roman;serif"/>
          <w:b/>
          <w:color w:val="000000"/>
          <w:sz w:val="20"/>
          <w:u w:val="single"/>
        </w:rPr>
        <w:t>Historical Financial Statements</w:t>
      </w:r>
      <w:r>
        <w:rPr>
          <w:color w:val="000000"/>
        </w:rPr>
        <w:t>”</w:t>
      </w:r>
      <w:r>
        <w:rPr>
          <w:rFonts w:ascii="Times New Roman;serif" w:hAnsi="Times New Roman;serif"/>
          <w:b w:val="false"/>
          <w:color w:val="000000"/>
          <w:sz w:val="20"/>
        </w:rPr>
        <w:t>) and the pro forma financial information required by Item 9.01(b) of Form 8-K (the “</w:t>
      </w:r>
      <w:r>
        <w:rPr>
          <w:rFonts w:ascii="Times New Roman;serif" w:hAnsi="Times New Roman;serif"/>
          <w:b/>
          <w:color w:val="000000"/>
          <w:sz w:val="20"/>
          <w:u w:val="single"/>
        </w:rPr>
        <w:t>Pro Forma Financial Information</w:t>
      </w:r>
      <w:r>
        <w:rPr>
          <w:color w:val="000000"/>
        </w:rPr>
        <w:t>”</w:t>
      </w:r>
      <w:r>
        <w:rPr>
          <w:rFonts w:ascii="Times New Roman;serif" w:hAnsi="Times New Roman;serif"/>
          <w:b w:val="false"/>
          <w:color w:val="000000"/>
          <w:sz w:val="20"/>
        </w:rPr>
        <w:t>), in each case, in connection with the closing of the Transaction, by amendment to the August 8-K within 71 calendar days after the date on which the August 8-K was required to have been filed.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Historical Financial Statements and the Pro Forma Financial Information are being filed herewith under Item 9.01 of this Current Report on Form 8-K/A (Amendment No.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Item 9.01 is hereby amended in its entirety to read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Financial Statements of Businesses Acquired.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audited consolidated financial statements of VodafoneZiggo as of and for the years ended December 31, 2025 and 2024 are incorporated herein by reference to Exhibit 99.1 to this Current Report on Form 8-K/A.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VodafoneZiggo as of and for the six months ended June 30, 2026 and 2025 are incorporated herein by reference to Exhibit 99.2 to this Current Report on Form 8-K/A.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and the related notes thereto, of Liberty Global, as of and for the six months ended June 30, 2026 and for the year ended December 31, 2025, respectively, are incorporated herein by reference to Exhibit 99.3 to this Current Report on Form 8-K/A.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6"/>
        <w:gridCol w:w="109"/>
        <w:gridCol w:w="109"/>
        <w:gridCol w:w="109"/>
        <w:gridCol w:w="2726"/>
        <w:gridCol w:w="2611"/>
        <w:gridCol w:w="3709"/>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Shareholders' Agreement, dated July 31, 2026, by and among Liberty Global Holding B.V., Liberty Global Broadband I Limited and Vodafone Europe B.V.</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kpmgconsentforprojec.htm">
              <w:r>
                <w:rPr>
                  <w:rStyle w:val="InternetLink"/>
                  <w:rFonts w:ascii="Times New Roman;serif" w:hAnsi="Times New Roman;serif"/>
                  <w:b w:val="false"/>
                  <w:color w:val="0000FF"/>
                  <w:sz w:val="20"/>
                  <w:u w:val="single"/>
                </w:rPr>
                <w:t>Consent of KPMG Accountants N.V.</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vzgh2025annualreport.htm">
              <w:r>
                <w:rPr>
                  <w:rStyle w:val="InternetLink"/>
                  <w:rFonts w:ascii="Times New Roman;serif" w:hAnsi="Times New Roman;serif"/>
                  <w:b w:val="false"/>
                  <w:color w:val="0000FF"/>
                  <w:sz w:val="20"/>
                  <w:u w:val="single"/>
                </w:rPr>
                <w:t>Audited consolidated financial statements of VodafoneZiggo as of and for the years ended December 31, 2025 and 2024</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vzgh2026interimfinan.htm">
              <w:r>
                <w:rPr>
                  <w:rStyle w:val="InternetLink"/>
                  <w:rFonts w:ascii="Times New Roman;serif" w:hAnsi="Times New Roman;serif"/>
                  <w:b w:val="false"/>
                  <w:color w:val="0000FF"/>
                  <w:sz w:val="20"/>
                  <w:u w:val="single"/>
                </w:rPr>
                <w:t>Unaudited condensed consolidated financial statements of VodafoneZiggo as of and for the six months ended June 30, 2026 and 2025</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3-lgproformafinancials.htm">
              <w:r>
                <w:rPr>
                  <w:rStyle w:val="InternetLink"/>
                  <w:rFonts w:ascii="Times New Roman;serif" w:hAnsi="Times New Roman;serif"/>
                  <w:b w:val="false"/>
                  <w:color w:val="000080"/>
                  <w:sz w:val="20"/>
                  <w:u w:val="single"/>
                </w:rPr>
                <w:t>Unaudited pro forma condensed co</w:t>
              </w:r>
            </w:hyperlink>
            <w:hyperlink w:anchor="ex993-lgproformafinancials.htm">
              <w:r>
                <w:rPr>
                  <w:rStyle w:val="InternetLink"/>
                  <w:rFonts w:ascii="Times New Roman;serif" w:hAnsi="Times New Roman;serif"/>
                  <w:b w:val="false"/>
                  <w:color w:val="000080"/>
                  <w:sz w:val="20"/>
                  <w:u w:val="single"/>
                </w:rPr>
                <w:t>mbin</w:t>
              </w:r>
            </w:hyperlink>
            <w:hyperlink w:anchor="ex993-lgproformafinancials.htm">
              <w:r>
                <w:rPr>
                  <w:rStyle w:val="InternetLink"/>
                  <w:rFonts w:ascii="Times New Roman;serif" w:hAnsi="Times New Roman;serif"/>
                  <w:b w:val="false"/>
                  <w:color w:val="000080"/>
                  <w:sz w:val="20"/>
                  <w:u w:val="single"/>
                </w:rPr>
                <w:t>ed financial information, and the related notes thereto, of Liberty Global</w:t>
              </w:r>
            </w:hyperlink>
            <w:hyperlink w:anchor="ex993-lgproformafinancials.htm">
              <w:r>
                <w:rPr>
                  <w:rStyle w:val="InternetLink"/>
                  <w:rFonts w:ascii="Times New Roman;serif" w:hAnsi="Times New Roman;serif"/>
                  <w:b w:val="false"/>
                  <w:color w:val="000080"/>
                  <w:sz w:val="20"/>
                  <w:u w:val="single"/>
                </w:rPr>
                <w:t xml:space="preserve"> Ltd.</w:t>
              </w:r>
            </w:hyperlink>
            <w:hyperlink w:anchor="ex993-lgproformafinancials.htm">
              <w:r>
                <w:rPr>
                  <w:rStyle w:val="InternetLink"/>
                  <w:rFonts w:ascii="Times New Roman;serif" w:hAnsi="Times New Roman;serif"/>
                  <w:b w:val="false"/>
                  <w:color w:val="000080"/>
                  <w:sz w:val="20"/>
                  <w:u w:val="single"/>
                </w:rPr>
                <w:t>, as of and for the six months ended June 30, 2026 and for the year ended December 31, 2025, respectively</w:t>
              </w:r>
            </w:hyperlink>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with the Registrant's Form 8-K dated August 6,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Certain portions of this exhibit are omitted pursuant to Item 601(b)(10)(iv) of Regulation S-K because they are not material and are the type that the registrant treats as private or confidential. The Registrant hereby agrees to furnish a copy of any omitted portion to the SEC upon request.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October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 333-194578, 333-194581, 333-254168, 333-273218 and 333-275737) on Form S-8 of our report dated October 12, 2026, with respect to the consolidated financial statements of VodafoneZiggo Group Holding B.V.</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KPMG Accountants N.V.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Utrecht, the Netherlands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12,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40" w:before="0" w:after="24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drawing>
          <wp:inline distT="0" distB="0" distL="0" distR="0">
            <wp:extent cx="11877675" cy="66770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3"/>
                    <a:stretch>
                      <a:fillRect/>
                    </a:stretch>
                  </pic:blipFill>
                  <pic:spPr bwMode="auto">
                    <a:xfrm>
                      <a:off x="0" y="0"/>
                      <a:ext cx="11877675" cy="66770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420"/>
        <w:jc w:val="left"/>
        <w:rPr>
          <w:rFonts w:ascii="Verdana;sans-serif" w:hAnsi="Verdana;sans-serif"/>
          <w:b/>
          <w:color w:val="000000"/>
          <w:sz w:val="44"/>
        </w:rPr>
      </w:pPr>
      <w:bookmarkStart w:id="0" w:name="i413e711370854d7b90ccbc05e582ba5b"/>
      <w:bookmarkEnd w:id="0"/>
      <w:r>
        <w:rPr>
          <w:rFonts w:ascii="Verdana;sans-serif" w:hAnsi="Verdana;sans-serif"/>
          <w:b/>
          <w:color w:val="000000"/>
          <w:sz w:val="44"/>
        </w:rPr>
        <w:t>Table of contents</w:t>
      </w:r>
    </w:p>
    <w:p>
      <w:pPr>
        <w:pStyle w:val="TextBody"/>
        <w:bidi w:val="0"/>
        <w:spacing w:lineRule="auto" w:line="288" w:before="0" w:after="0"/>
        <w:ind w:left="0" w:right="0" w:hanging="283"/>
        <w:jc w:val="left"/>
        <w:rPr>
          <w:color w:val="FFFFFF"/>
        </w:rPr>
      </w:pPr>
      <w:r>
        <w:rPr>
          <w:color w:val="FFFFFF"/>
        </w:rPr>
        <w:t>•</w:t>
      </w:r>
    </w:p>
    <w:tbl>
      <w:tblPr>
        <w:tblW w:w="8686" w:type="dxa"/>
        <w:jc w:val="left"/>
        <w:tblInd w:w="0" w:type="dxa"/>
        <w:tblLayout w:type="fixed"/>
        <w:tblCellMar>
          <w:top w:w="28" w:type="dxa"/>
          <w:left w:w="28" w:type="dxa"/>
          <w:bottom w:w="28" w:type="dxa"/>
          <w:right w:w="28" w:type="dxa"/>
        </w:tblCellMar>
      </w:tblPr>
      <w:tblGrid>
        <w:gridCol w:w="3005"/>
        <w:gridCol w:w="2643"/>
        <w:gridCol w:w="2647"/>
        <w:gridCol w:w="114"/>
        <w:gridCol w:w="114"/>
        <w:gridCol w:w="163"/>
      </w:tblGrid>
      <w:tr>
        <w:trPr/>
        <w:tc>
          <w:tcPr>
            <w:tcW w:w="3005"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c1e100b6d9466cb08911d1691944b4">
              <w:r>
                <w:rPr>
                  <w:rStyle w:val="InternetLink"/>
                  <w:rFonts w:ascii="sans-serif" w:hAnsi="sans-serif"/>
                  <w:b/>
                  <w:strike w:val="false"/>
                  <w:dstrike w:val="false"/>
                  <w:color w:val="000000"/>
                  <w:sz w:val="20"/>
                  <w:u w:val="none"/>
                  <w:effect w:val="none"/>
                </w:rPr>
                <w:t>Consolidated statement of profit or loss and other comprehensive income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c1e100b6d9466cb08911d1691944b4">
              <w:r>
                <w:rPr>
                  <w:rStyle w:val="InternetLink"/>
                  <w:rFonts w:ascii="sans-serif" w:hAnsi="sans-serif"/>
                  <w:b/>
                  <w:strike w:val="false"/>
                  <w:dstrike w:val="false"/>
                  <w:color w:val="000000"/>
                  <w:sz w:val="20"/>
                  <w:u w:val="none"/>
                  <w:effect w:val="none"/>
                </w:rPr>
                <w:t>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2a311c55584c44b091f5e6d9123a12">
              <w:r>
                <w:rPr>
                  <w:rStyle w:val="InternetLink"/>
                  <w:rFonts w:ascii="sans-serif" w:hAnsi="sans-serif"/>
                  <w:b/>
                  <w:strike w:val="false"/>
                  <w:dstrike w:val="false"/>
                  <w:color w:val="000000"/>
                  <w:sz w:val="20"/>
                  <w:u w:val="none"/>
                  <w:effect w:val="none"/>
                </w:rPr>
                <w:t>Consolidated statement of financial position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2a311c55584c44b091f5e6d9123a12">
              <w:r>
                <w:rPr>
                  <w:rStyle w:val="InternetLink"/>
                  <w:rFonts w:ascii="sans-serif" w:hAnsi="sans-serif"/>
                  <w:b/>
                  <w:strike w:val="false"/>
                  <w:dstrike w:val="false"/>
                  <w:color w:val="000000"/>
                  <w:sz w:val="20"/>
                  <w:u w:val="none"/>
                  <w:effect w:val="none"/>
                </w:rPr>
                <w:t>4</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61d8635bc6407d8160509590515c48">
              <w:r>
                <w:rPr>
                  <w:rStyle w:val="InternetLink"/>
                  <w:rFonts w:ascii="sans-serif" w:hAnsi="sans-serif"/>
                  <w:b/>
                  <w:strike w:val="false"/>
                  <w:dstrike w:val="false"/>
                  <w:color w:val="000000"/>
                  <w:sz w:val="20"/>
                  <w:u w:val="none"/>
                  <w:effect w:val="none"/>
                </w:rPr>
                <w:t>Consolidated statement of changes in equity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61d8635bc6407d8160509590515c48">
              <w:r>
                <w:rPr>
                  <w:rStyle w:val="InternetLink"/>
                  <w:rFonts w:ascii="sans-serif" w:hAnsi="sans-serif"/>
                  <w:b/>
                  <w:strike w:val="false"/>
                  <w:dstrike w:val="false"/>
                  <w:color w:val="000000"/>
                  <w:sz w:val="20"/>
                  <w:u w:val="none"/>
                  <w:effect w:val="none"/>
                </w:rPr>
                <w:t>5</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446a69f52c4a91ad0d35cd36d28f62">
              <w:r>
                <w:rPr>
                  <w:rStyle w:val="InternetLink"/>
                  <w:rFonts w:ascii="sans-serif" w:hAnsi="sans-serif"/>
                  <w:b/>
                  <w:strike w:val="false"/>
                  <w:dstrike w:val="false"/>
                  <w:color w:val="000000"/>
                  <w:sz w:val="20"/>
                  <w:u w:val="none"/>
                  <w:effect w:val="none"/>
                </w:rPr>
                <w:t>Consolidated statement of cash flows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446a69f52c4a91ad0d35cd36d28f62">
              <w:r>
                <w:rPr>
                  <w:rStyle w:val="InternetLink"/>
                  <w:rFonts w:ascii="sans-serif" w:hAnsi="sans-serif"/>
                  <w:b/>
                  <w:strike w:val="false"/>
                  <w:dstrike w:val="false"/>
                  <w:color w:val="000000"/>
                  <w:sz w:val="20"/>
                  <w:u w:val="none"/>
                  <w:effect w:val="none"/>
                </w:rPr>
                <w:t>6</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333be1f713449df95badec124e9975d">
              <w:r>
                <w:rPr>
                  <w:rStyle w:val="InternetLink"/>
                  <w:rFonts w:ascii="sans-serif" w:hAnsi="sans-serif"/>
                  <w:b/>
                  <w:strike w:val="false"/>
                  <w:dstrike w:val="false"/>
                  <w:color w:val="000000"/>
                  <w:sz w:val="20"/>
                  <w:u w:val="none"/>
                  <w:effect w:val="none"/>
                </w:rPr>
                <w:t>Notes to the consolidated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33be1f713449df95badec124e9975d">
              <w:r>
                <w:rPr>
                  <w:rStyle w:val="InternetLink"/>
                  <w:rFonts w:ascii="sans-serif" w:hAnsi="sans-serif"/>
                  <w:b/>
                  <w:strike w:val="false"/>
                  <w:dstrike w:val="false"/>
                  <w:color w:val="000000"/>
                  <w:sz w:val="20"/>
                  <w:u w:val="none"/>
                  <w:effect w:val="none"/>
                </w:rPr>
                <w:t>7</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1faa1a5c08a447e9b4bb657ae78f0f8">
              <w:r>
                <w:rPr>
                  <w:rStyle w:val="InternetLink"/>
                  <w:rFonts w:ascii="sans-serif" w:hAnsi="sans-serif"/>
                  <w:b w:val="false"/>
                  <w:strike w:val="false"/>
                  <w:dstrike w:val="false"/>
                  <w:color w:val="000000"/>
                  <w:sz w:val="18"/>
                  <w:u w:val="none"/>
                  <w:effect w:val="none"/>
                </w:rPr>
                <w:t>1.    General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1faa1a5c08a447e9b4bb657ae78f0f8">
              <w:r>
                <w:rPr>
                  <w:rStyle w:val="InternetLink"/>
                  <w:rFonts w:ascii="sans-serif" w:hAnsi="sans-serif"/>
                  <w:b w:val="false"/>
                  <w:strike w:val="false"/>
                  <w:dstrike w:val="false"/>
                  <w:color w:val="000000"/>
                  <w:sz w:val="18"/>
                  <w:u w:val="none"/>
                  <w:effect w:val="none"/>
                </w:rPr>
                <w:t>7</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46bbf44024c5aba806b1286e0f062">
              <w:r>
                <w:rPr>
                  <w:rStyle w:val="InternetLink"/>
                  <w:rFonts w:ascii="sans-serif" w:hAnsi="sans-serif"/>
                  <w:b w:val="false"/>
                  <w:strike w:val="false"/>
                  <w:dstrike w:val="false"/>
                  <w:color w:val="000000"/>
                  <w:sz w:val="18"/>
                  <w:u w:val="none"/>
                  <w:effect w:val="none"/>
                </w:rPr>
                <w:t>2.    Basis of preparation and general accounting policies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e46bbf44024c5aba806b1286e0f062">
              <w:r>
                <w:rPr>
                  <w:rStyle w:val="InternetLink"/>
                  <w:rFonts w:ascii="sans-serif" w:hAnsi="sans-serif"/>
                  <w:b w:val="false"/>
                  <w:strike w:val="false"/>
                  <w:dstrike w:val="false"/>
                  <w:color w:val="000000"/>
                  <w:sz w:val="18"/>
                  <w:u w:val="none"/>
                  <w:effect w:val="none"/>
                </w:rPr>
                <w:t>7</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da473781f7444c8534f57be822ea54">
              <w:r>
                <w:rPr>
                  <w:rStyle w:val="InternetLink"/>
                  <w:rFonts w:ascii="sans-serif" w:hAnsi="sans-serif"/>
                  <w:b w:val="false"/>
                  <w:strike w:val="false"/>
                  <w:dstrike w:val="false"/>
                  <w:color w:val="000000"/>
                  <w:sz w:val="18"/>
                  <w:u w:val="none"/>
                  <w:effect w:val="none"/>
                </w:rPr>
                <w:t>3.    IAS 8 Retrospective change in accounting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da473781f7444c8534f57be822ea54">
              <w:r>
                <w:rPr>
                  <w:rStyle w:val="InternetLink"/>
                  <w:rFonts w:ascii="sans-serif" w:hAnsi="sans-serif"/>
                  <w:b w:val="false"/>
                  <w:strike w:val="false"/>
                  <w:dstrike w:val="false"/>
                  <w:color w:val="000000"/>
                  <w:sz w:val="18"/>
                  <w:u w:val="none"/>
                  <w:effect w:val="none"/>
                </w:rPr>
                <w:t>11</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13e7d866f34da482765397d68393fb">
              <w:r>
                <w:rPr>
                  <w:rStyle w:val="InternetLink"/>
                  <w:rFonts w:ascii="sans-serif" w:hAnsi="sans-serif"/>
                  <w:b w:val="false"/>
                  <w:strike w:val="false"/>
                  <w:dstrike w:val="false"/>
                  <w:color w:val="000000"/>
                  <w:sz w:val="18"/>
                  <w:u w:val="none"/>
                  <w:effect w:val="none"/>
                </w:rPr>
                <w:t>4.    Revenue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13e7d866f34da482765397d68393fb">
              <w:r>
                <w:rPr>
                  <w:rStyle w:val="InternetLink"/>
                  <w:rFonts w:ascii="sans-serif" w:hAnsi="sans-serif"/>
                  <w:b w:val="false"/>
                  <w:strike w:val="false"/>
                  <w:dstrike w:val="false"/>
                  <w:color w:val="000000"/>
                  <w:sz w:val="18"/>
                  <w:u w:val="none"/>
                  <w:effect w:val="none"/>
                </w:rPr>
                <w:t>13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0b1e99885540749d1bb2ab3319029a">
              <w:r>
                <w:rPr>
                  <w:rStyle w:val="InternetLink"/>
                  <w:rFonts w:ascii="sans-serif" w:hAnsi="sans-serif"/>
                  <w:b w:val="false"/>
                  <w:strike w:val="false"/>
                  <w:dstrike w:val="false"/>
                  <w:color w:val="000000"/>
                  <w:sz w:val="18"/>
                  <w:u w:val="none"/>
                  <w:effect w:val="none"/>
                </w:rPr>
                <w:t>5.    Cost of outsourced work and other external costs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0b1e99885540749d1bb2ab3319029a">
              <w:r>
                <w:rPr>
                  <w:rStyle w:val="InternetLink"/>
                  <w:rFonts w:ascii="sans-serif" w:hAnsi="sans-serif"/>
                  <w:b w:val="false"/>
                  <w:strike w:val="false"/>
                  <w:dstrike w:val="false"/>
                  <w:color w:val="000000"/>
                  <w:sz w:val="18"/>
                  <w:u w:val="none"/>
                  <w:effect w:val="none"/>
                </w:rPr>
                <w:t>14</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ca81a348b114a4c97d6714915dd5069">
              <w:r>
                <w:rPr>
                  <w:rStyle w:val="InternetLink"/>
                  <w:rFonts w:ascii="sans-serif" w:hAnsi="sans-serif"/>
                  <w:b w:val="false"/>
                  <w:strike w:val="false"/>
                  <w:dstrike w:val="false"/>
                  <w:color w:val="000000"/>
                  <w:sz w:val="18"/>
                  <w:u w:val="none"/>
                  <w:effect w:val="none"/>
                </w:rPr>
                <w:t>6.    Personnel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ca81a348b114a4c97d6714915dd5069">
              <w:r>
                <w:rPr>
                  <w:rStyle w:val="InternetLink"/>
                  <w:rFonts w:ascii="sans-serif" w:hAnsi="sans-serif"/>
                  <w:b w:val="false"/>
                  <w:strike w:val="false"/>
                  <w:dstrike w:val="false"/>
                  <w:color w:val="000000"/>
                  <w:sz w:val="18"/>
                  <w:u w:val="none"/>
                  <w:effect w:val="none"/>
                </w:rPr>
                <w:t>14</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88bb9539fb4f439080f2774f88266d">
              <w:r>
                <w:rPr>
                  <w:rStyle w:val="InternetLink"/>
                  <w:rFonts w:ascii="sans-serif" w:hAnsi="sans-serif"/>
                  <w:b w:val="false"/>
                  <w:strike w:val="false"/>
                  <w:dstrike w:val="false"/>
                  <w:color w:val="000000"/>
                  <w:sz w:val="18"/>
                  <w:u w:val="none"/>
                  <w:effect w:val="none"/>
                </w:rPr>
                <w:t>7.    Finance income and costs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c88bb9539fb4f439080f2774f88266d">
              <w:r>
                <w:rPr>
                  <w:rStyle w:val="InternetLink"/>
                  <w:rFonts w:ascii="sans-serif" w:hAnsi="sans-serif"/>
                  <w:b w:val="false"/>
                  <w:strike w:val="false"/>
                  <w:dstrike w:val="false"/>
                  <w:color w:val="000000"/>
                  <w:sz w:val="18"/>
                  <w:u w:val="none"/>
                  <w:effect w:val="none"/>
                </w:rPr>
                <w:t>15</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2e0843fcc34c40a5507013c37736bd">
              <w:r>
                <w:rPr>
                  <w:rStyle w:val="InternetLink"/>
                  <w:rFonts w:ascii="sans-serif" w:hAnsi="sans-serif"/>
                  <w:b w:val="false"/>
                  <w:strike w:val="false"/>
                  <w:dstrike w:val="false"/>
                  <w:color w:val="000000"/>
                  <w:sz w:val="18"/>
                  <w:u w:val="none"/>
                  <w:effect w:val="none"/>
                </w:rPr>
                <w:t>8.    Income taxes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2e0843fcc34c40a5507013c37736bd">
              <w:r>
                <w:rPr>
                  <w:rStyle w:val="InternetLink"/>
                  <w:rFonts w:ascii="sans-serif" w:hAnsi="sans-serif"/>
                  <w:b w:val="false"/>
                  <w:strike w:val="false"/>
                  <w:dstrike w:val="false"/>
                  <w:color w:val="000000"/>
                  <w:sz w:val="18"/>
                  <w:u w:val="none"/>
                  <w:effect w:val="none"/>
                </w:rPr>
                <w:t>16</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2193e505a1421dbdc3db03f567ba82">
              <w:r>
                <w:rPr>
                  <w:rStyle w:val="InternetLink"/>
                  <w:rFonts w:ascii="sans-serif" w:hAnsi="sans-serif"/>
                  <w:b w:val="false"/>
                  <w:strike w:val="false"/>
                  <w:dstrike w:val="false"/>
                  <w:color w:val="000000"/>
                  <w:sz w:val="18"/>
                  <w:u w:val="none"/>
                  <w:effect w:val="none"/>
                </w:rPr>
                <w:t>9.    Intangible assets and goodwill</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2193e505a1421dbdc3db03f567ba82">
              <w:r>
                <w:rPr>
                  <w:rStyle w:val="InternetLink"/>
                  <w:rFonts w:ascii="sans-serif" w:hAnsi="sans-serif"/>
                  <w:b w:val="false"/>
                  <w:strike w:val="false"/>
                  <w:dstrike w:val="false"/>
                  <w:color w:val="000000"/>
                  <w:sz w:val="18"/>
                  <w:u w:val="none"/>
                  <w:effect w:val="none"/>
                </w:rPr>
                <w:t>17</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1be90cb4d284b51b4aa8f50cee1418d">
              <w:r>
                <w:rPr>
                  <w:rStyle w:val="InternetLink"/>
                  <w:rFonts w:ascii="sans-serif" w:hAnsi="sans-serif"/>
                  <w:b w:val="false"/>
                  <w:strike w:val="false"/>
                  <w:dstrike w:val="false"/>
                  <w:color w:val="000000"/>
                  <w:sz w:val="18"/>
                  <w:u w:val="none"/>
                  <w:effect w:val="none"/>
                </w:rPr>
                <w:t>10.    Property and equipment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1be90cb4d284b51b4aa8f50cee1418d">
              <w:r>
                <w:rPr>
                  <w:rStyle w:val="InternetLink"/>
                  <w:rFonts w:ascii="sans-serif" w:hAnsi="sans-serif"/>
                  <w:b w:val="false"/>
                  <w:strike w:val="false"/>
                  <w:dstrike w:val="false"/>
                  <w:color w:val="000000"/>
                  <w:sz w:val="18"/>
                  <w:u w:val="none"/>
                  <w:effect w:val="none"/>
                </w:rPr>
                <w:t>19</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3e2d72d3eb413cbe6101481181cbd3">
              <w:r>
                <w:rPr>
                  <w:rStyle w:val="InternetLink"/>
                  <w:rFonts w:ascii="sans-serif" w:hAnsi="sans-serif"/>
                  <w:b w:val="false"/>
                  <w:strike w:val="false"/>
                  <w:dstrike w:val="false"/>
                  <w:color w:val="000000"/>
                  <w:sz w:val="18"/>
                  <w:u w:val="none"/>
                  <w:effect w:val="none"/>
                </w:rPr>
                <w:t>11.    Leases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3e2d72d3eb413cbe6101481181cbd3">
              <w:r>
                <w:rPr>
                  <w:rStyle w:val="InternetLink"/>
                  <w:rFonts w:ascii="sans-serif" w:hAnsi="sans-serif"/>
                  <w:b w:val="false"/>
                  <w:strike w:val="false"/>
                  <w:dstrike w:val="false"/>
                  <w:color w:val="000000"/>
                  <w:sz w:val="18"/>
                  <w:u w:val="none"/>
                  <w:effect w:val="none"/>
                </w:rPr>
                <w:t>20</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068cde4b9b54d1fb1e066eb5199f36d">
              <w:r>
                <w:rPr>
                  <w:rStyle w:val="InternetLink"/>
                  <w:rFonts w:ascii="sans-serif" w:hAnsi="sans-serif"/>
                  <w:b w:val="false"/>
                  <w:strike w:val="false"/>
                  <w:dstrike w:val="false"/>
                  <w:color w:val="000000"/>
                  <w:sz w:val="18"/>
                  <w:u w:val="none"/>
                  <w:effect w:val="none"/>
                </w:rPr>
                <w:t xml:space="preserve">12.    Contract assets and contract costs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068cde4b9b54d1fb1e066eb5199f36d">
              <w:r>
                <w:rPr>
                  <w:rStyle w:val="InternetLink"/>
                  <w:rFonts w:ascii="sans-serif" w:hAnsi="sans-serif"/>
                  <w:b w:val="false"/>
                  <w:strike w:val="false"/>
                  <w:dstrike w:val="false"/>
                  <w:color w:val="000000"/>
                  <w:sz w:val="18"/>
                  <w:u w:val="none"/>
                  <w:effect w:val="none"/>
                </w:rPr>
                <w:t>22</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1f2bb0f53343acbfe7bcb15f70c1ce">
              <w:r>
                <w:rPr>
                  <w:rStyle w:val="InternetLink"/>
                  <w:rFonts w:ascii="sans-serif" w:hAnsi="sans-serif"/>
                  <w:b w:val="false"/>
                  <w:strike w:val="false"/>
                  <w:dstrike w:val="false"/>
                  <w:color w:val="000000"/>
                  <w:sz w:val="18"/>
                  <w:u w:val="none"/>
                  <w:effect w:val="none"/>
                </w:rPr>
                <w:t xml:space="preserve">13.    Trade and other receivables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1f2bb0f53343acbfe7bcb15f70c1ce">
              <w:r>
                <w:rPr>
                  <w:rStyle w:val="InternetLink"/>
                  <w:rFonts w:ascii="sans-serif" w:hAnsi="sans-serif"/>
                  <w:b w:val="false"/>
                  <w:strike w:val="false"/>
                  <w:dstrike w:val="false"/>
                  <w:color w:val="000000"/>
                  <w:sz w:val="18"/>
                  <w:u w:val="none"/>
                  <w:effect w:val="none"/>
                </w:rPr>
                <w:t>22</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71d9528fc44f738d97b5c5d9eaaae9">
              <w:r>
                <w:rPr>
                  <w:rStyle w:val="InternetLink"/>
                  <w:rFonts w:ascii="sans-serif" w:hAnsi="sans-serif"/>
                  <w:b w:val="false"/>
                  <w:strike w:val="false"/>
                  <w:dstrike w:val="false"/>
                  <w:color w:val="000000"/>
                  <w:sz w:val="18"/>
                  <w:u w:val="none"/>
                  <w:effect w:val="none"/>
                </w:rPr>
                <w:t>14.    Cash and cash equivalents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e71d9528fc44f738d97b5c5d9eaaae9">
              <w:r>
                <w:rPr>
                  <w:rStyle w:val="InternetLink"/>
                  <w:rFonts w:ascii="sans-serif" w:hAnsi="sans-serif"/>
                  <w:b w:val="false"/>
                  <w:strike w:val="false"/>
                  <w:dstrike w:val="false"/>
                  <w:color w:val="000000"/>
                  <w:sz w:val="18"/>
                  <w:u w:val="none"/>
                  <w:effect w:val="none"/>
                </w:rPr>
                <w:t>23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171ec1ac87e4e6eaf2b773e485f2501">
              <w:r>
                <w:rPr>
                  <w:rStyle w:val="InternetLink"/>
                  <w:rFonts w:ascii="sans-serif" w:hAnsi="sans-serif"/>
                  <w:b w:val="false"/>
                  <w:strike w:val="false"/>
                  <w:dstrike w:val="false"/>
                  <w:color w:val="000000"/>
                  <w:sz w:val="18"/>
                  <w:u w:val="none"/>
                  <w:effect w:val="none"/>
                </w:rPr>
                <w:t>15.    Group equity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171ec1ac87e4e6eaf2b773e485f2501">
              <w:r>
                <w:rPr>
                  <w:rStyle w:val="InternetLink"/>
                  <w:rFonts w:ascii="sans-serif" w:hAnsi="sans-serif"/>
                  <w:b w:val="false"/>
                  <w:strike w:val="false"/>
                  <w:dstrike w:val="false"/>
                  <w:color w:val="000000"/>
                  <w:sz w:val="18"/>
                  <w:u w:val="none"/>
                  <w:effect w:val="none"/>
                </w:rPr>
                <w:t>23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92f2cb35cf40b9b886dfb362517ae5">
              <w:r>
                <w:rPr>
                  <w:rStyle w:val="InternetLink"/>
                  <w:rFonts w:ascii="sans-serif" w:hAnsi="sans-serif"/>
                  <w:b w:val="false"/>
                  <w:strike w:val="false"/>
                  <w:dstrike w:val="false"/>
                  <w:color w:val="000000"/>
                  <w:sz w:val="18"/>
                  <w:u w:val="none"/>
                  <w:effect w:val="none"/>
                </w:rPr>
                <w:t>16.    Debt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392f2cb35cf40b9b886dfb362517ae5">
              <w:r>
                <w:rPr>
                  <w:rStyle w:val="InternetLink"/>
                  <w:rFonts w:ascii="sans-serif" w:hAnsi="sans-serif"/>
                  <w:b w:val="false"/>
                  <w:strike w:val="false"/>
                  <w:dstrike w:val="false"/>
                  <w:color w:val="000000"/>
                  <w:sz w:val="18"/>
                  <w:u w:val="none"/>
                  <w:effect w:val="none"/>
                </w:rPr>
                <w:t>23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83314f7c0f47e9b4e0f98dfb3cee1f">
              <w:r>
                <w:rPr>
                  <w:rStyle w:val="InternetLink"/>
                  <w:rFonts w:ascii="sans-serif" w:hAnsi="sans-serif"/>
                  <w:b w:val="false"/>
                  <w:strike w:val="false"/>
                  <w:dstrike w:val="false"/>
                  <w:color w:val="000000"/>
                  <w:sz w:val="18"/>
                  <w:u w:val="none"/>
                  <w:effect w:val="none"/>
                </w:rPr>
                <w:t>17.    Trade and other payables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583314f7c0f47e9b4e0f98dfb3cee1f">
              <w:r>
                <w:rPr>
                  <w:rStyle w:val="InternetLink"/>
                  <w:rFonts w:ascii="sans-serif" w:hAnsi="sans-serif"/>
                  <w:b w:val="false"/>
                  <w:strike w:val="false"/>
                  <w:dstrike w:val="false"/>
                  <w:color w:val="000000"/>
                  <w:sz w:val="18"/>
                  <w:u w:val="none"/>
                  <w:effect w:val="none"/>
                </w:rPr>
                <w:t>28</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b368d49bc1d446cafb457ba834113ac">
              <w:r>
                <w:rPr>
                  <w:rStyle w:val="InternetLink"/>
                  <w:rFonts w:ascii="sans-serif" w:hAnsi="sans-serif"/>
                  <w:b w:val="false"/>
                  <w:strike w:val="false"/>
                  <w:dstrike w:val="false"/>
                  <w:color w:val="000000"/>
                  <w:sz w:val="18"/>
                  <w:u w:val="none"/>
                  <w:effect w:val="none"/>
                </w:rPr>
                <w:t>18.    Accruals and deferred income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b368d49bc1d446cafb457ba834113ac">
              <w:r>
                <w:rPr>
                  <w:rStyle w:val="InternetLink"/>
                  <w:rFonts w:ascii="sans-serif" w:hAnsi="sans-serif"/>
                  <w:b w:val="false"/>
                  <w:strike w:val="false"/>
                  <w:dstrike w:val="false"/>
                  <w:color w:val="000000"/>
                  <w:sz w:val="18"/>
                  <w:u w:val="none"/>
                  <w:effect w:val="none"/>
                </w:rPr>
                <w:t>29</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c85c11e98e473e9d36bfc3fea8f0b2">
              <w:r>
                <w:rPr>
                  <w:rStyle w:val="InternetLink"/>
                  <w:rFonts w:ascii="sans-serif" w:hAnsi="sans-serif"/>
                  <w:b w:val="false"/>
                  <w:strike w:val="false"/>
                  <w:dstrike w:val="false"/>
                  <w:color w:val="000000"/>
                  <w:sz w:val="18"/>
                  <w:u w:val="none"/>
                  <w:effect w:val="none"/>
                </w:rPr>
                <w:t>19.    Financial instruments - Fair value and risk management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c85c11e98e473e9d36bfc3fea8f0b2">
              <w:r>
                <w:rPr>
                  <w:rStyle w:val="InternetLink"/>
                  <w:rFonts w:ascii="sans-serif" w:hAnsi="sans-serif"/>
                  <w:b w:val="false"/>
                  <w:strike w:val="false"/>
                  <w:dstrike w:val="false"/>
                  <w:color w:val="000000"/>
                  <w:sz w:val="18"/>
                  <w:u w:val="none"/>
                  <w:effect w:val="none"/>
                </w:rPr>
                <w:t>29</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5f184a38944d56b3d3e8ea8e97b8dc">
              <w:r>
                <w:rPr>
                  <w:rStyle w:val="InternetLink"/>
                  <w:rFonts w:ascii="sans-serif" w:hAnsi="sans-serif"/>
                  <w:b w:val="false"/>
                  <w:strike w:val="false"/>
                  <w:dstrike w:val="false"/>
                  <w:color w:val="000000"/>
                  <w:sz w:val="18"/>
                  <w:u w:val="none"/>
                  <w:effect w:val="none"/>
                </w:rPr>
                <w:t>20.    Derivative financial instruments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e5f184a38944d56b3d3e8ea8e97b8dc">
              <w:r>
                <w:rPr>
                  <w:rStyle w:val="InternetLink"/>
                  <w:rFonts w:ascii="sans-serif" w:hAnsi="sans-serif"/>
                  <w:b w:val="false"/>
                  <w:strike w:val="false"/>
                  <w:dstrike w:val="false"/>
                  <w:color w:val="000000"/>
                  <w:sz w:val="18"/>
                  <w:u w:val="none"/>
                  <w:effect w:val="none"/>
                </w:rPr>
                <w:t>33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2accb1a9b84bc689156ce5aed698b1">
              <w:r>
                <w:rPr>
                  <w:rStyle w:val="InternetLink"/>
                  <w:rFonts w:ascii="sans-serif" w:hAnsi="sans-serif"/>
                  <w:b w:val="false"/>
                  <w:strike w:val="false"/>
                  <w:dstrike w:val="false"/>
                  <w:color w:val="000000"/>
                  <w:sz w:val="18"/>
                  <w:u w:val="none"/>
                  <w:effect w:val="none"/>
                </w:rPr>
                <w:t xml:space="preserve">21.    Restructuring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72accb1a9b84bc689156ce5aed698b1">
              <w:r>
                <w:rPr>
                  <w:rStyle w:val="InternetLink"/>
                  <w:rFonts w:ascii="sans-serif" w:hAnsi="sans-serif"/>
                  <w:b w:val="false"/>
                  <w:strike w:val="false"/>
                  <w:dstrike w:val="false"/>
                  <w:color w:val="000000"/>
                  <w:sz w:val="18"/>
                  <w:u w:val="none"/>
                  <w:effect w:val="none"/>
                </w:rPr>
                <w:t>35</w:t>
              </w:r>
            </w:hyperlink>
          </w:p>
        </w:tc>
      </w:tr>
    </w:tbl>
    <w:tbl>
      <w:tblPr>
        <w:tblW w:w="4500" w:type="dxa"/>
        <w:jc w:val="left"/>
        <w:tblInd w:w="0" w:type="dxa"/>
        <w:tblLayout w:type="fixed"/>
        <w:tblCellMar>
          <w:top w:w="28" w:type="dxa"/>
          <w:left w:w="28" w:type="dxa"/>
          <w:bottom w:w="28" w:type="dxa"/>
          <w:right w:w="28" w:type="dxa"/>
        </w:tblCellMar>
      </w:tblPr>
      <w:tblGrid>
        <w:gridCol w:w="1478"/>
        <w:gridCol w:w="1299"/>
        <w:gridCol w:w="1302"/>
        <w:gridCol w:w="122"/>
        <w:gridCol w:w="122"/>
        <w:gridCol w:w="177"/>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014028b41b497885d37e9058d53c2e">
              <w:r>
                <w:rPr>
                  <w:rStyle w:val="InternetLink"/>
                  <w:rFonts w:ascii="sans-serif" w:hAnsi="sans-serif"/>
                  <w:b w:val="false"/>
                  <w:strike w:val="false"/>
                  <w:dstrike w:val="false"/>
                  <w:color w:val="000000"/>
                  <w:sz w:val="18"/>
                  <w:u w:val="none"/>
                  <w:effect w:val="none"/>
                </w:rPr>
                <w:t>22.    Off-balance sheet assets and liabilities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014028b41b497885d37e9058d53c2e">
              <w:r>
                <w:rPr>
                  <w:rStyle w:val="InternetLink"/>
                  <w:rFonts w:ascii="sans-serif" w:hAnsi="sans-serif"/>
                  <w:b w:val="false"/>
                  <w:strike w:val="false"/>
                  <w:dstrike w:val="false"/>
                  <w:color w:val="000000"/>
                  <w:sz w:val="18"/>
                  <w:u w:val="none"/>
                  <w:effect w:val="none"/>
                </w:rPr>
                <w:t>35</w:t>
              </w:r>
            </w:hyperlink>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e956da5a50b487a897de0895eaf4628">
              <w:r>
                <w:rPr>
                  <w:rStyle w:val="InternetLink"/>
                  <w:rFonts w:ascii="sans-serif" w:hAnsi="sans-serif"/>
                  <w:b w:val="false"/>
                  <w:strike w:val="false"/>
                  <w:dstrike w:val="false"/>
                  <w:color w:val="000000"/>
                  <w:sz w:val="18"/>
                  <w:u w:val="none"/>
                  <w:effect w:val="none"/>
                </w:rPr>
                <w:t xml:space="preserve">23.    Transactions with related parties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e956da5a50b487a897de0895eaf4628">
              <w:r>
                <w:rPr>
                  <w:rStyle w:val="InternetLink"/>
                  <w:rFonts w:ascii="sans-serif" w:hAnsi="sans-serif"/>
                  <w:b w:val="false"/>
                  <w:strike w:val="false"/>
                  <w:dstrike w:val="false"/>
                  <w:color w:val="000000"/>
                  <w:sz w:val="18"/>
                  <w:u w:val="none"/>
                  <w:effect w:val="none"/>
                </w:rPr>
                <w:t>37</w:t>
              </w:r>
            </w:hyperlink>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2728203a5c4371b68c08c3b0f1eb20">
              <w:r>
                <w:rPr>
                  <w:rStyle w:val="InternetLink"/>
                  <w:rFonts w:ascii="sans-serif" w:hAnsi="sans-serif"/>
                  <w:b w:val="false"/>
                  <w:strike w:val="false"/>
                  <w:dstrike w:val="false"/>
                  <w:color w:val="000000"/>
                  <w:sz w:val="18"/>
                  <w:u w:val="none"/>
                  <w:effect w:val="none"/>
                </w:rPr>
                <w:t>24.    Subsequent Events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2728203a5c4371b68c08c3b0f1eb20">
              <w:r>
                <w:rPr>
                  <w:rStyle w:val="InternetLink"/>
                  <w:rFonts w:ascii="sans-serif" w:hAnsi="sans-serif"/>
                  <w:b w:val="false"/>
                  <w:strike w:val="false"/>
                  <w:dstrike w:val="false"/>
                  <w:color w:val="000000"/>
                  <w:sz w:val="18"/>
                  <w:u w:val="none"/>
                  <w:effect w:val="none"/>
                </w:rPr>
                <w:t>39</w:t>
              </w:r>
            </w:hyperlink>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6c5a7af607438ea0db19789af213ae">
              <w:r>
                <w:rPr>
                  <w:rStyle w:val="InternetLink"/>
                  <w:rFonts w:ascii="sans-serif" w:hAnsi="sans-serif"/>
                  <w:b/>
                  <w:strike w:val="false"/>
                  <w:dstrike w:val="false"/>
                  <w:color w:val="000000"/>
                  <w:sz w:val="20"/>
                  <w:u w:val="none"/>
                  <w:effect w:val="none"/>
                </w:rPr>
                <w:t>Independent Auditors’ Report</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6c5a7af607438ea0db19789af213ae">
              <w:r>
                <w:rPr>
                  <w:rStyle w:val="InternetLink"/>
                  <w:rFonts w:ascii="sans-serif" w:hAnsi="sans-serif"/>
                  <w:b/>
                  <w:strike w:val="false"/>
                  <w:dstrike w:val="false"/>
                  <w:color w:val="000000"/>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540"/>
        <w:jc w:val="left"/>
        <w:rPr>
          <w:rFonts w:ascii="Verdana;sans-serif" w:hAnsi="Verdana;sans-serif"/>
          <w:b/>
          <w:color w:val="000000"/>
          <w:sz w:val="44"/>
        </w:rPr>
      </w:pPr>
      <w:bookmarkStart w:id="1" w:name="ia8c1e100b6d9466cb08911d1691944b4"/>
      <w:bookmarkEnd w:id="1"/>
      <w:r>
        <w:rPr>
          <w:rFonts w:ascii="Verdana;sans-serif" w:hAnsi="Verdana;sans-serif"/>
          <w:b/>
          <w:color w:val="000000"/>
          <w:sz w:val="44"/>
        </w:rPr>
        <w:t>Consolidated statement of profit or loss and other comprehensive income</w:t>
      </w:r>
    </w:p>
    <w:tbl>
      <w:tblPr>
        <w:tblW w:w="10205" w:type="dxa"/>
        <w:jc w:val="left"/>
        <w:tblInd w:w="0" w:type="dxa"/>
        <w:tblLayout w:type="fixed"/>
        <w:tblCellMar>
          <w:top w:w="28" w:type="dxa"/>
          <w:left w:w="28" w:type="dxa"/>
          <w:bottom w:w="28" w:type="dxa"/>
          <w:right w:w="28" w:type="dxa"/>
        </w:tblCellMar>
      </w:tblPr>
      <w:tblGrid>
        <w:gridCol w:w="2356"/>
        <w:gridCol w:w="1980"/>
        <w:gridCol w:w="1972"/>
        <w:gridCol w:w="297"/>
        <w:gridCol w:w="297"/>
        <w:gridCol w:w="299"/>
        <w:gridCol w:w="109"/>
        <w:gridCol w:w="486"/>
        <w:gridCol w:w="477"/>
        <w:gridCol w:w="418"/>
        <w:gridCol w:w="516"/>
        <w:gridCol w:w="447"/>
        <w:gridCol w:w="551"/>
      </w:tblGrid>
      <w:tr>
        <w:trPr/>
        <w:tc>
          <w:tcPr>
            <w:tcW w:w="2356"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2025</w:t>
            </w:r>
          </w:p>
        </w:tc>
        <w:tc>
          <w:tcPr>
            <w:tcW w:w="1514"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r>
      <w:tr>
        <w:trPr/>
        <w:tc>
          <w:tcPr>
            <w:tcW w:w="6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Revenue</w:t>
            </w:r>
          </w:p>
        </w:tc>
        <w:tc>
          <w:tcPr>
            <w:tcW w:w="8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4, 23</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3,999.0 </w:t>
            </w:r>
          </w:p>
        </w:tc>
        <w:tc>
          <w:tcPr>
            <w:tcW w:w="41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4,113.8 </w:t>
            </w:r>
          </w:p>
        </w:tc>
        <w:tc>
          <w:tcPr>
            <w:tcW w:w="5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operating income</w:t>
            </w:r>
          </w:p>
        </w:tc>
        <w:tc>
          <w:tcPr>
            <w:tcW w:w="8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3,999.0</w:t>
            </w:r>
            <w:r>
              <w:rPr>
                <w:color w:val="000000"/>
              </w:rPr>
              <w:t> </w:t>
            </w:r>
          </w:p>
        </w:tc>
        <w:tc>
          <w:tcPr>
            <w:tcW w:w="41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4,113.8</w:t>
            </w:r>
            <w:r>
              <w:rPr>
                <w:color w:val="000000"/>
              </w:rPr>
              <w:t> </w:t>
            </w:r>
          </w:p>
        </w:tc>
        <w:tc>
          <w:tcPr>
            <w:tcW w:w="5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 of outsourced work and other external costs</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5, 12, 23</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1,631.3 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1,621.2 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Personnel expenses</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6, 22</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481.6 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492.3 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 and amortisation</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9, 10, 11</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1,699.1 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1,679.3 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Impairment, restructuring and other operating expenses, net</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9, 10, 21</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66.7 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operating expenses</w:t>
            </w:r>
          </w:p>
        </w:tc>
        <w:tc>
          <w:tcPr>
            <w:tcW w:w="8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3,878.7</w:t>
            </w:r>
            <w:r>
              <w:rPr>
                <w:color w:val="000000"/>
              </w:rPr>
              <w:t> </w:t>
            </w:r>
          </w:p>
        </w:tc>
        <w:tc>
          <w:tcPr>
            <w:tcW w:w="41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3,808.1</w:t>
            </w:r>
            <w:r>
              <w:rPr>
                <w:color w:val="000000"/>
              </w:rPr>
              <w:t> </w:t>
            </w:r>
          </w:p>
        </w:tc>
        <w:tc>
          <w:tcPr>
            <w:tcW w:w="5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Operating profit</w:t>
            </w:r>
          </w:p>
        </w:tc>
        <w:tc>
          <w:tcPr>
            <w:tcW w:w="893"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120.3</w:t>
            </w:r>
            <w:r>
              <w:rPr>
                <w:color w:val="F85F00"/>
              </w:rPr>
              <w:t> </w:t>
            </w:r>
          </w:p>
        </w:tc>
        <w:tc>
          <w:tcPr>
            <w:tcW w:w="41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305.7</w:t>
            </w:r>
            <w:r>
              <w:rPr>
                <w:color w:val="F85F00"/>
              </w:rPr>
              <w:t> </w:t>
            </w:r>
          </w:p>
        </w:tc>
        <w:tc>
          <w:tcPr>
            <w:tcW w:w="55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Finance income</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643.1 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498.9 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Finance costs</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7, 16, 23</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(1,176.4)</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(1,169.4)</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before tax</w:t>
            </w:r>
          </w:p>
        </w:tc>
        <w:tc>
          <w:tcPr>
            <w:tcW w:w="893"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(413.0)</w:t>
            </w:r>
          </w:p>
        </w:tc>
        <w:tc>
          <w:tcPr>
            <w:tcW w:w="41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(364.8)</w:t>
            </w:r>
          </w:p>
        </w:tc>
        <w:tc>
          <w:tcPr>
            <w:tcW w:w="55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8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116.5 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attributable to equity owners of the company</w:t>
            </w:r>
          </w:p>
        </w:tc>
        <w:tc>
          <w:tcPr>
            <w:tcW w:w="893"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(296.5)</w:t>
            </w:r>
          </w:p>
        </w:tc>
        <w:tc>
          <w:tcPr>
            <w:tcW w:w="41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(244.5)</w:t>
            </w:r>
          </w:p>
        </w:tc>
        <w:tc>
          <w:tcPr>
            <w:tcW w:w="55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comprehensive income</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6308"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attributable to equity owners of the company</w:t>
            </w:r>
          </w:p>
        </w:tc>
        <w:tc>
          <w:tcPr>
            <w:tcW w:w="893"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(296.5)</w:t>
            </w:r>
          </w:p>
        </w:tc>
        <w:tc>
          <w:tcPr>
            <w:tcW w:w="41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(244.5)</w:t>
            </w:r>
          </w:p>
        </w:tc>
        <w:tc>
          <w:tcPr>
            <w:tcW w:w="55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0250"/>
                <wp:effectExtent l="0" t="0" r="0" b="0"/>
                <wp:wrapNone/>
                <wp:docPr id="9" name="Frame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4"/>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5"/>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w:t>
                      </w:r>
                    </w:p>
                  </w:txbxContent>
                </v:textbox>
                <w10:wrap type="none"/>
              </v:rect>
            </w:pict>
          </mc:Fallback>
        </mc:AlternateContent>
      </w:r>
    </w:p>
    <w:p>
      <w:pPr>
        <w:pStyle w:val="TextBody"/>
        <w:bidi w:val="0"/>
        <w:spacing w:lineRule="auto" w:line="288" w:before="0" w:after="480"/>
        <w:jc w:val="left"/>
        <w:rPr>
          <w:rFonts w:ascii="Verdana;sans-serif" w:hAnsi="Verdana;sans-serif"/>
          <w:b/>
          <w:color w:val="000000"/>
          <w:sz w:val="44"/>
        </w:rPr>
      </w:pPr>
      <w:bookmarkStart w:id="2" w:name="i0f2a311c55584c44b091f5e6d9123a12"/>
      <w:bookmarkEnd w:id="2"/>
      <w:r>
        <w:rPr>
          <w:rFonts w:ascii="Verdana;sans-serif" w:hAnsi="Verdana;sans-serif"/>
          <w:b/>
          <w:color w:val="000000"/>
          <w:sz w:val="44"/>
        </w:rPr>
        <w:t>Consolidated statement of financial position</w:t>
      </w:r>
    </w:p>
    <w:tbl>
      <w:tblPr>
        <w:tblW w:w="8903" w:type="dxa"/>
        <w:jc w:val="left"/>
        <w:tblInd w:w="0" w:type="dxa"/>
        <w:tblLayout w:type="fixed"/>
        <w:tblCellMar>
          <w:top w:w="28" w:type="dxa"/>
          <w:left w:w="28" w:type="dxa"/>
          <w:bottom w:w="28" w:type="dxa"/>
          <w:right w:w="28" w:type="dxa"/>
        </w:tblCellMar>
      </w:tblPr>
      <w:tblGrid>
        <w:gridCol w:w="1182"/>
        <w:gridCol w:w="1042"/>
        <w:gridCol w:w="1045"/>
        <w:gridCol w:w="234"/>
        <w:gridCol w:w="234"/>
        <w:gridCol w:w="236"/>
        <w:gridCol w:w="109"/>
        <w:gridCol w:w="518"/>
        <w:gridCol w:w="518"/>
        <w:gridCol w:w="481"/>
        <w:gridCol w:w="518"/>
        <w:gridCol w:w="518"/>
        <w:gridCol w:w="487"/>
        <w:gridCol w:w="528"/>
        <w:gridCol w:w="508"/>
        <w:gridCol w:w="482"/>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0"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518"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 January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2025</w:t>
            </w:r>
          </w:p>
        </w:tc>
        <w:tc>
          <w:tcPr>
            <w:tcW w:w="1523"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c>
          <w:tcPr>
            <w:tcW w:w="1518"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Assets:</w:t>
            </w:r>
          </w:p>
        </w:tc>
        <w:tc>
          <w:tcPr>
            <w:tcW w:w="7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Intangible assets and goodwill</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10,534.9 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11,198.3 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11,770.7 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Property and equipment</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4,191.8 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4,266.6 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4,324.4 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Right-of-use assets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355.3 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332.8 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343.5 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186.5 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717.2 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508.2 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Contract assets and contract costs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61.5 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93.8 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non-current assets</w:t>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30.3 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40.9 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non-current assets</w:t>
            </w:r>
          </w:p>
        </w:tc>
        <w:tc>
          <w:tcPr>
            <w:tcW w:w="704"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15,373.7</w:t>
            </w:r>
            <w:r>
              <w:rPr>
                <w:color w:val="F85F00"/>
              </w:rPr>
              <w:t> </w:t>
            </w:r>
          </w:p>
        </w:tc>
        <w:tc>
          <w:tcPr>
            <w:tcW w:w="48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16,598.9</w:t>
            </w:r>
            <w:r>
              <w:rPr>
                <w:color w:val="F85F00"/>
              </w:rPr>
              <w:t> </w:t>
            </w:r>
          </w:p>
        </w:tc>
        <w:tc>
          <w:tcPr>
            <w:tcW w:w="48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17,081.5</w:t>
            </w:r>
            <w:r>
              <w:rPr>
                <w:color w:val="F85F00"/>
              </w:rPr>
              <w:t> </w:t>
            </w:r>
          </w:p>
        </w:tc>
        <w:tc>
          <w:tcPr>
            <w:tcW w:w="482"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Contract assets and contract costs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191.4 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171.5 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227.9 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receivables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13, 23</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192.4 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187.7 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188.8 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95.0 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311.8 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218.0 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Inventories</w:t>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26.2 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receivable</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11.2 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current assets</w:t>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39.9 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and cash equivalents</w:t>
            </w:r>
          </w:p>
        </w:tc>
        <w:tc>
          <w:tcPr>
            <w:tcW w:w="7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745.2 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125.2 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current assets</w:t>
            </w:r>
          </w:p>
        </w:tc>
        <w:tc>
          <w:tcPr>
            <w:tcW w:w="704"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716.4</w:t>
            </w:r>
            <w:r>
              <w:rPr>
                <w:color w:val="F85F00"/>
              </w:rPr>
              <w:t> </w:t>
            </w:r>
          </w:p>
        </w:tc>
        <w:tc>
          <w:tcPr>
            <w:tcW w:w="48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1,467.6</w:t>
            </w:r>
            <w:r>
              <w:rPr>
                <w:color w:val="F85F00"/>
              </w:rPr>
              <w:t> </w:t>
            </w:r>
          </w:p>
        </w:tc>
        <w:tc>
          <w:tcPr>
            <w:tcW w:w="48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826.0</w:t>
            </w:r>
            <w:r>
              <w:rPr>
                <w:color w:val="F85F00"/>
              </w:rPr>
              <w:t> </w:t>
            </w:r>
          </w:p>
        </w:tc>
        <w:tc>
          <w:tcPr>
            <w:tcW w:w="482"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assets</w:t>
            </w:r>
          </w:p>
        </w:tc>
        <w:tc>
          <w:tcPr>
            <w:tcW w:w="704"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16,090.1</w:t>
            </w:r>
            <w:r>
              <w:rPr>
                <w:color w:val="000000"/>
              </w:rPr>
              <w:t> </w:t>
            </w:r>
          </w:p>
        </w:tc>
        <w:tc>
          <w:tcPr>
            <w:tcW w:w="48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18,066.5</w:t>
            </w:r>
            <w:r>
              <w:rPr>
                <w:color w:val="000000"/>
              </w:rPr>
              <w:t> </w:t>
            </w:r>
          </w:p>
        </w:tc>
        <w:tc>
          <w:tcPr>
            <w:tcW w:w="48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17,907.5</w:t>
            </w:r>
            <w:r>
              <w:rPr>
                <w:color w:val="000000"/>
              </w:rPr>
              <w:t> </w:t>
            </w:r>
          </w:p>
        </w:tc>
        <w:tc>
          <w:tcPr>
            <w:tcW w:w="48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02"/>
        <w:gridCol w:w="1482"/>
        <w:gridCol w:w="1469"/>
        <w:gridCol w:w="233"/>
        <w:gridCol w:w="233"/>
        <w:gridCol w:w="235"/>
        <w:gridCol w:w="109"/>
        <w:gridCol w:w="550"/>
        <w:gridCol w:w="487"/>
        <w:gridCol w:w="454"/>
        <w:gridCol w:w="550"/>
        <w:gridCol w:w="487"/>
        <w:gridCol w:w="459"/>
        <w:gridCol w:w="550"/>
        <w:gridCol w:w="487"/>
        <w:gridCol w:w="449"/>
        <w:gridCol w:w="109"/>
        <w:gridCol w:w="160"/>
      </w:tblGrid>
      <w:tr>
        <w:trPr/>
        <w:tc>
          <w:tcPr>
            <w:tcW w:w="170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7"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 January</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2025</w:t>
            </w:r>
          </w:p>
        </w:tc>
        <w:tc>
          <w:tcPr>
            <w:tcW w:w="1496"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c>
          <w:tcPr>
            <w:tcW w:w="1486"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Equity:</w:t>
            </w:r>
          </w:p>
        </w:tc>
        <w:tc>
          <w:tcPr>
            <w:tcW w:w="7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 capital</w:t>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0.0</w:t>
            </w:r>
          </w:p>
        </w:tc>
        <w:tc>
          <w:tcPr>
            <w:tcW w:w="149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0.0</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 premium</w:t>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3,091.2 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3,214.0 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3,339.0 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Retained earnings</w:t>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(1,970.0)</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(1,673.5)</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(1,429.0)</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Equity attributable to the owners of the Company</w:t>
            </w:r>
          </w:p>
        </w:tc>
        <w:tc>
          <w:tcPr>
            <w:tcW w:w="701"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F85F00"/>
                <w:sz w:val="18"/>
              </w:rPr>
            </w:pPr>
            <w:r>
              <w:rPr>
                <w:rFonts w:ascii="sans-serif" w:hAnsi="sans-serif"/>
                <w:b w:val="false"/>
                <w:color w:val="F85F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1,121.2</w:t>
            </w:r>
            <w:r>
              <w:rPr>
                <w:color w:val="F85F00"/>
              </w:rPr>
              <w:t> </w:t>
            </w:r>
          </w:p>
        </w:tc>
        <w:tc>
          <w:tcPr>
            <w:tcW w:w="45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1,540.5</w:t>
            </w:r>
            <w:r>
              <w:rPr>
                <w:color w:val="F85F00"/>
              </w:rPr>
              <w:t> </w:t>
            </w:r>
          </w:p>
        </w:tc>
        <w:tc>
          <w:tcPr>
            <w:tcW w:w="459"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1,910.0</w:t>
            </w:r>
            <w:r>
              <w:rPr>
                <w:color w:val="F85F00"/>
              </w:rPr>
              <w:t> </w:t>
            </w:r>
          </w:p>
        </w:tc>
        <w:tc>
          <w:tcPr>
            <w:tcW w:w="449"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Liabilities:</w:t>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16, 23</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11,387.0 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12,724.6 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11,933.8 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Deferred tax liabilities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600.9 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797.8 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1,022.4 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143.9 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24.6 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69.3 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 liabilities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280.8 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270.1 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276.9 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Provisions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27.1 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25.5 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19.4 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liabilities</w:t>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88.3 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182.0 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141.9 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non-current liabilities</w:t>
            </w:r>
          </w:p>
        </w:tc>
        <w:tc>
          <w:tcPr>
            <w:tcW w:w="7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12,528.0</w:t>
            </w:r>
            <w:r>
              <w:rPr>
                <w:color w:val="000000"/>
              </w:rPr>
              <w:t> </w:t>
            </w:r>
          </w:p>
        </w:tc>
        <w:tc>
          <w:tcPr>
            <w:tcW w:w="4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14,024.6</w:t>
            </w:r>
            <w:r>
              <w:rPr>
                <w:color w:val="000000"/>
              </w:rPr>
              <w:t> </w:t>
            </w:r>
          </w:p>
        </w:tc>
        <w:tc>
          <w:tcPr>
            <w:tcW w:w="4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13,463.7</w:t>
            </w:r>
            <w:r>
              <w:rPr>
                <w:color w:val="000000"/>
              </w:rPr>
              <w:t> </w:t>
            </w:r>
          </w:p>
        </w:tc>
        <w:tc>
          <w:tcPr>
            <w:tcW w:w="4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portion of debt</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999.7 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1,006.6 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payables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17, 23</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800.3 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700.5 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795.2 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Accruals and deferred income</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18, 23</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487.5 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493.4 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531.6 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52.6 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175.4 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48.6 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 liabilities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75.4 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80.9 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payable</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17.7 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34.1 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Provisions</w:t>
            </w:r>
          </w:p>
        </w:tc>
        <w:tc>
          <w:tcPr>
            <w:tcW w:w="7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15.8 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39.3 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36.8 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current liabilities</w:t>
            </w:r>
          </w:p>
        </w:tc>
        <w:tc>
          <w:tcPr>
            <w:tcW w:w="7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2,440.9</w:t>
            </w:r>
            <w:r>
              <w:rPr>
                <w:color w:val="000000"/>
              </w:rPr>
              <w:t> </w:t>
            </w:r>
          </w:p>
        </w:tc>
        <w:tc>
          <w:tcPr>
            <w:tcW w:w="4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2,501.4</w:t>
            </w:r>
            <w:r>
              <w:rPr>
                <w:color w:val="000000"/>
              </w:rPr>
              <w:t> </w:t>
            </w:r>
          </w:p>
        </w:tc>
        <w:tc>
          <w:tcPr>
            <w:tcW w:w="4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2,533.8</w:t>
            </w:r>
            <w:r>
              <w:rPr>
                <w:color w:val="000000"/>
              </w:rPr>
              <w:t> </w:t>
            </w:r>
          </w:p>
        </w:tc>
        <w:tc>
          <w:tcPr>
            <w:tcW w:w="4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 xml:space="preserve">Total liabilities </w:t>
            </w:r>
          </w:p>
        </w:tc>
        <w:tc>
          <w:tcPr>
            <w:tcW w:w="70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14,968.9</w:t>
            </w:r>
            <w:r>
              <w:rPr>
                <w:color w:val="F85F00"/>
              </w:rPr>
              <w:t> </w:t>
            </w:r>
          </w:p>
        </w:tc>
        <w:tc>
          <w:tcPr>
            <w:tcW w:w="45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16,526.0</w:t>
            </w:r>
            <w:r>
              <w:rPr>
                <w:color w:val="F85F00"/>
              </w:rPr>
              <w:t> </w:t>
            </w:r>
          </w:p>
        </w:tc>
        <w:tc>
          <w:tcPr>
            <w:tcW w:w="459"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15,997.5</w:t>
            </w:r>
            <w:r>
              <w:rPr>
                <w:color w:val="F85F00"/>
              </w:rPr>
              <w:t> </w:t>
            </w:r>
          </w:p>
        </w:tc>
        <w:tc>
          <w:tcPr>
            <w:tcW w:w="449"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equity and liabilities</w:t>
            </w:r>
          </w:p>
        </w:tc>
        <w:tc>
          <w:tcPr>
            <w:tcW w:w="701"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16,090.1</w:t>
            </w:r>
            <w:r>
              <w:rPr>
                <w:color w:val="000000"/>
              </w:rPr>
              <w:t> </w:t>
            </w:r>
          </w:p>
        </w:tc>
        <w:tc>
          <w:tcPr>
            <w:tcW w:w="45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18,066.5</w:t>
            </w:r>
            <w:r>
              <w:rPr>
                <w:color w:val="000000"/>
              </w:rPr>
              <w:t> </w:t>
            </w:r>
          </w:p>
        </w:tc>
        <w:tc>
          <w:tcPr>
            <w:tcW w:w="45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17,907.5</w:t>
            </w:r>
            <w:r>
              <w:rPr>
                <w:color w:val="000000"/>
              </w:rPr>
              <w:t> </w:t>
            </w:r>
          </w:p>
        </w:tc>
        <w:tc>
          <w:tcPr>
            <w:tcW w:w="44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0250"/>
                <wp:effectExtent l="0" t="0" r="0" b="0"/>
                <wp:wrapNone/>
                <wp:docPr id="12" name="Frame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6"/>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7"/>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4</w:t>
                      </w:r>
                    </w:p>
                  </w:txbxContent>
                </v:textbox>
                <w10:wrap type="none"/>
              </v:rect>
            </w:pict>
          </mc:Fallback>
        </mc:AlternateContent>
      </w:r>
    </w:p>
    <w:p>
      <w:pPr>
        <w:pStyle w:val="TextBody"/>
        <w:bidi w:val="0"/>
        <w:spacing w:lineRule="auto" w:line="288" w:before="0" w:after="600"/>
        <w:jc w:val="left"/>
        <w:rPr>
          <w:rFonts w:ascii="Verdana;sans-serif" w:hAnsi="Verdana;sans-serif"/>
          <w:b/>
          <w:color w:val="000000"/>
          <w:sz w:val="44"/>
        </w:rPr>
      </w:pPr>
      <w:bookmarkStart w:id="3" w:name="id261d8635bc6407d8160509590515c48"/>
      <w:bookmarkEnd w:id="3"/>
      <w:r>
        <w:rPr>
          <w:rFonts w:ascii="Verdana;sans-serif" w:hAnsi="Verdana;sans-serif"/>
          <w:b/>
          <w:color w:val="000000"/>
          <w:sz w:val="44"/>
        </w:rPr>
        <w:t>Consolidated statement of changes in equity</w:t>
      </w:r>
    </w:p>
    <w:tbl>
      <w:tblPr>
        <w:tblW w:w="10205" w:type="dxa"/>
        <w:jc w:val="left"/>
        <w:tblInd w:w="0" w:type="dxa"/>
        <w:tblLayout w:type="fixed"/>
        <w:tblCellMar>
          <w:top w:w="28" w:type="dxa"/>
          <w:left w:w="28" w:type="dxa"/>
          <w:bottom w:w="28" w:type="dxa"/>
          <w:right w:w="28" w:type="dxa"/>
        </w:tblCellMar>
      </w:tblPr>
      <w:tblGrid>
        <w:gridCol w:w="1061"/>
        <w:gridCol w:w="517"/>
        <w:gridCol w:w="462"/>
        <w:gridCol w:w="230"/>
        <w:gridCol w:w="230"/>
        <w:gridCol w:w="231"/>
        <w:gridCol w:w="796"/>
        <w:gridCol w:w="213"/>
        <w:gridCol w:w="134"/>
        <w:gridCol w:w="134"/>
        <w:gridCol w:w="379"/>
        <w:gridCol w:w="379"/>
        <w:gridCol w:w="380"/>
        <w:gridCol w:w="458"/>
        <w:gridCol w:w="458"/>
        <w:gridCol w:w="134"/>
        <w:gridCol w:w="390"/>
        <w:gridCol w:w="390"/>
        <w:gridCol w:w="391"/>
        <w:gridCol w:w="470"/>
        <w:gridCol w:w="471"/>
        <w:gridCol w:w="134"/>
        <w:gridCol w:w="271"/>
        <w:gridCol w:w="241"/>
        <w:gridCol w:w="134"/>
        <w:gridCol w:w="458"/>
        <w:gridCol w:w="458"/>
        <w:gridCol w:w="201"/>
      </w:tblGrid>
      <w:tr>
        <w:trPr/>
        <w:tc>
          <w:tcPr>
            <w:tcW w:w="10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78" w:type="dxa"/>
            <w:gridSpan w:val="21"/>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Restated Equity attributable to equity holders of the Company</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796" w:type="dxa"/>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Share </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capital</w:t>
            </w:r>
          </w:p>
        </w:tc>
        <w:tc>
          <w:tcPr>
            <w:tcW w:w="481" w:type="dxa"/>
            <w:gridSpan w:val="3"/>
            <w:tcBorders>
              <w:top w:val="single" w:sz="4" w:space="0" w:color="4C4C4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Share premium</w:t>
            </w:r>
          </w:p>
        </w:tc>
        <w:tc>
          <w:tcPr>
            <w:tcW w:w="1050" w:type="dxa"/>
            <w:gridSpan w:val="3"/>
            <w:tcBorders>
              <w:top w:val="single" w:sz="4" w:space="0" w:color="4C4C4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Retained earnings</w:t>
            </w:r>
          </w:p>
        </w:tc>
        <w:tc>
          <w:tcPr>
            <w:tcW w:w="1075" w:type="dxa"/>
            <w:gridSpan w:val="3"/>
            <w:tcBorders>
              <w:top w:val="single" w:sz="4" w:space="0" w:color="4C4C4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c>
          <w:tcPr>
            <w:tcW w:w="1117" w:type="dxa"/>
            <w:gridSpan w:val="3"/>
            <w:tcBorders/>
          </w:tcPr>
          <w:p>
            <w:pPr>
              <w:pStyle w:val="TableContents"/>
              <w:bidi w:val="0"/>
              <w:spacing w:before="0" w:after="283"/>
              <w:jc w:val="left"/>
              <w:rPr>
                <w:sz w:val="4"/>
                <w:szCs w:val="4"/>
              </w:rPr>
            </w:pPr>
            <w:r>
              <w:rPr>
                <w:sz w:val="4"/>
                <w:szCs w:val="4"/>
              </w:rPr>
            </w:r>
          </w:p>
        </w:tc>
      </w:tr>
      <w:tr>
        <w:trPr/>
        <w:tc>
          <w:tcPr>
            <w:tcW w:w="2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1 January 2024</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0.0</w:t>
            </w:r>
          </w:p>
        </w:tc>
        <w:tc>
          <w:tcPr>
            <w:tcW w:w="11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3,339.0</w:t>
            </w:r>
            <w:r>
              <w:rPr>
                <w:color w:val="000000"/>
              </w:rPr>
              <w:t>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(1,429.0)</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1,910.0</w:t>
            </w:r>
            <w:r>
              <w:rPr>
                <w:color w:val="000000"/>
              </w:rPr>
              <w:t> </w:t>
            </w:r>
          </w:p>
        </w:tc>
        <w:tc>
          <w:tcPr>
            <w:tcW w:w="2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 for the year</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(244.5)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(244.5)</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for the year</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(244.5)</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(244.5)</w:t>
            </w:r>
          </w:p>
        </w:tc>
        <w:tc>
          <w:tcPr>
            <w:tcW w:w="2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Contributions and distributions: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Equity distributions to shareholders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w:t>
            </w:r>
          </w:p>
        </w:tc>
        <w:tc>
          <w:tcPr>
            <w:tcW w:w="796" w:type="dxa"/>
            <w:tcBorders/>
            <w:vAlign w:val="center"/>
          </w:tcPr>
          <w:p>
            <w:pPr>
              <w:pStyle w:val="TableContents"/>
              <w:bidi w:val="0"/>
              <w:spacing w:before="0" w:after="283"/>
              <w:jc w:val="left"/>
              <w:rPr>
                <w:sz w:val="4"/>
                <w:szCs w:val="4"/>
              </w:rPr>
            </w:pPr>
            <w:r>
              <w:rPr>
                <w:sz w:val="4"/>
                <w:szCs w:val="4"/>
              </w:rPr>
            </w:r>
          </w:p>
        </w:tc>
        <w:tc>
          <w:tcPr>
            <w:tcW w:w="3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(125.0)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(125.0)</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Balance at 31 December 2024</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0.0</w:t>
            </w:r>
          </w:p>
        </w:tc>
        <w:tc>
          <w:tcPr>
            <w:tcW w:w="1138"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3,214.0</w:t>
            </w:r>
            <w:r>
              <w:rPr>
                <w:color w:val="F85F00"/>
              </w:rPr>
              <w:t> </w:t>
            </w:r>
          </w:p>
        </w:tc>
        <w:tc>
          <w:tcPr>
            <w:tcW w:w="13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(1,673.5)</w:t>
            </w:r>
          </w:p>
        </w:tc>
        <w:tc>
          <w:tcPr>
            <w:tcW w:w="13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1,540.5</w:t>
            </w:r>
            <w:r>
              <w:rPr>
                <w:color w:val="F85F00"/>
              </w:rPr>
              <w:t> </w:t>
            </w:r>
          </w:p>
        </w:tc>
        <w:tc>
          <w:tcPr>
            <w:tcW w:w="20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 for the year</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(296.5)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(296.5)</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for the year</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(296.5)</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(296.5)</w:t>
            </w:r>
          </w:p>
        </w:tc>
        <w:tc>
          <w:tcPr>
            <w:tcW w:w="2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Contributions and distributions: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Equity distributions to shareholders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w:t>
            </w:r>
          </w:p>
        </w:tc>
        <w:tc>
          <w:tcPr>
            <w:tcW w:w="796" w:type="dxa"/>
            <w:tcBorders/>
            <w:vAlign w:val="center"/>
          </w:tcPr>
          <w:p>
            <w:pPr>
              <w:pStyle w:val="TableContents"/>
              <w:bidi w:val="0"/>
              <w:spacing w:before="0" w:after="283"/>
              <w:jc w:val="left"/>
              <w:rPr>
                <w:sz w:val="4"/>
                <w:szCs w:val="4"/>
              </w:rPr>
            </w:pPr>
            <w:r>
              <w:rPr>
                <w:sz w:val="4"/>
                <w:szCs w:val="4"/>
              </w:rPr>
            </w:r>
          </w:p>
        </w:tc>
        <w:tc>
          <w:tcPr>
            <w:tcW w:w="3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(123.0)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(123.0)</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Share-based compensation</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w:t>
            </w:r>
          </w:p>
        </w:tc>
        <w:tc>
          <w:tcPr>
            <w:tcW w:w="796" w:type="dxa"/>
            <w:tcBorders/>
            <w:vAlign w:val="center"/>
          </w:tcPr>
          <w:p>
            <w:pPr>
              <w:pStyle w:val="TableContents"/>
              <w:bidi w:val="0"/>
              <w:spacing w:before="0" w:after="283"/>
              <w:jc w:val="left"/>
              <w:rPr>
                <w:sz w:val="4"/>
                <w:szCs w:val="4"/>
              </w:rPr>
            </w:pPr>
            <w:r>
              <w:rPr>
                <w:sz w:val="4"/>
                <w:szCs w:val="4"/>
              </w:rPr>
            </w:r>
          </w:p>
        </w:tc>
        <w:tc>
          <w:tcPr>
            <w:tcW w:w="3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31 December 2025</w:t>
            </w:r>
          </w:p>
        </w:tc>
        <w:tc>
          <w:tcPr>
            <w:tcW w:w="691"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0.0</w:t>
            </w:r>
          </w:p>
        </w:tc>
        <w:tc>
          <w:tcPr>
            <w:tcW w:w="1138"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3,091.2</w:t>
            </w:r>
            <w:r>
              <w:rPr>
                <w:color w:val="000000"/>
              </w:rPr>
              <w:t> </w:t>
            </w:r>
          </w:p>
        </w:tc>
        <w:tc>
          <w:tcPr>
            <w:tcW w:w="13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(1,970.0)</w:t>
            </w:r>
          </w:p>
        </w:tc>
        <w:tc>
          <w:tcPr>
            <w:tcW w:w="13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1,121.2</w:t>
            </w:r>
            <w:r>
              <w:rPr>
                <w:color w:val="000000"/>
              </w:rPr>
              <w:t> </w:t>
            </w:r>
          </w:p>
        </w:tc>
        <w:tc>
          <w:tcPr>
            <w:tcW w:w="20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0250"/>
                <wp:effectExtent l="0" t="0" r="0" b="0"/>
                <wp:wrapNone/>
                <wp:docPr id="15" name="Frame1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8"/>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9"/>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5</w:t>
                      </w:r>
                    </w:p>
                  </w:txbxContent>
                </v:textbox>
                <w10:wrap type="none"/>
              </v:rect>
            </w:pict>
          </mc:Fallback>
        </mc:AlternateContent>
      </w:r>
    </w:p>
    <w:p>
      <w:pPr>
        <w:pStyle w:val="TextBody"/>
        <w:bidi w:val="0"/>
        <w:spacing w:lineRule="auto" w:line="288" w:before="0" w:after="540"/>
        <w:jc w:val="left"/>
        <w:rPr>
          <w:rFonts w:ascii="Verdana;sans-serif" w:hAnsi="Verdana;sans-serif"/>
          <w:b/>
          <w:color w:val="000000"/>
          <w:sz w:val="44"/>
        </w:rPr>
      </w:pPr>
      <w:bookmarkStart w:id="4" w:name="i65446a69f52c4a91ad0d35cd36d28f62"/>
      <w:bookmarkEnd w:id="4"/>
      <w:r>
        <w:rPr>
          <w:rFonts w:ascii="Verdana;sans-serif" w:hAnsi="Verdana;sans-serif"/>
          <w:b/>
          <w:color w:val="000000"/>
          <w:sz w:val="44"/>
        </w:rPr>
        <w:t>Consolidated statement of cash flows</w:t>
      </w:r>
    </w:p>
    <w:tbl>
      <w:tblPr>
        <w:tblW w:w="10205" w:type="dxa"/>
        <w:jc w:val="left"/>
        <w:tblInd w:w="0" w:type="dxa"/>
        <w:tblLayout w:type="fixed"/>
        <w:tblCellMar>
          <w:top w:w="28" w:type="dxa"/>
          <w:left w:w="28" w:type="dxa"/>
          <w:bottom w:w="28" w:type="dxa"/>
          <w:right w:w="28" w:type="dxa"/>
        </w:tblCellMar>
      </w:tblPr>
      <w:tblGrid>
        <w:gridCol w:w="2276"/>
        <w:gridCol w:w="1971"/>
        <w:gridCol w:w="1962"/>
        <w:gridCol w:w="109"/>
        <w:gridCol w:w="296"/>
        <w:gridCol w:w="296"/>
        <w:gridCol w:w="298"/>
        <w:gridCol w:w="480"/>
        <w:gridCol w:w="470"/>
        <w:gridCol w:w="415"/>
        <w:gridCol w:w="476"/>
        <w:gridCol w:w="468"/>
        <w:gridCol w:w="421"/>
        <w:gridCol w:w="109"/>
        <w:gridCol w:w="158"/>
      </w:tblGrid>
      <w:tr>
        <w:trPr/>
        <w:tc>
          <w:tcPr>
            <w:tcW w:w="227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36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2025</w:t>
            </w:r>
          </w:p>
        </w:tc>
        <w:tc>
          <w:tcPr>
            <w:tcW w:w="136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(296.5)</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(244.5)</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Adjustments to reconcile net loss to net cash generated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 and amortisation</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9, 10, 11</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1,699.1 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1,679.3 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Impairment, restructuring and other operating items, net</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9, 10, 21</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66.7 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15.3 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finance costs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7, 16, 23</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533.3 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670.5 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(116.5)</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(120.3)</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(99.8)</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144.1 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generated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1,786.3</w:t>
            </w:r>
            <w:r>
              <w:rPr>
                <w:color w:val="000000"/>
              </w:rPr>
              <w:t> </w:t>
            </w:r>
          </w:p>
        </w:tc>
        <w:tc>
          <w:tcPr>
            <w:tcW w:w="41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2,144.4</w:t>
            </w:r>
            <w:r>
              <w:rPr>
                <w:color w:val="000000"/>
              </w:rPr>
              <w:t> </w:t>
            </w:r>
          </w:p>
        </w:tc>
        <w:tc>
          <w:tcPr>
            <w:tcW w:w="4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(719.7)</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(856.0)</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received related to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119.0 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269.8 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(109.4)</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(120.8)</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1,076.2</w:t>
            </w:r>
            <w:r>
              <w:rPr>
                <w:color w:val="F85F00"/>
              </w:rPr>
              <w:t> </w:t>
            </w:r>
          </w:p>
        </w:tc>
        <w:tc>
          <w:tcPr>
            <w:tcW w:w="41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1,437.4</w:t>
            </w:r>
            <w:r>
              <w:rPr>
                <w:color w:val="F85F00"/>
              </w:rPr>
              <w:t> </w:t>
            </w:r>
          </w:p>
        </w:tc>
        <w:tc>
          <w:tcPr>
            <w:tcW w:w="42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9, 10</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(411.3)</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(445.7)</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paid for spectrum licenses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(57.6)</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investing activities, net</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Net cash used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(407.5)</w:t>
            </w:r>
          </w:p>
        </w:tc>
        <w:tc>
          <w:tcPr>
            <w:tcW w:w="41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(498.3)</w:t>
            </w:r>
          </w:p>
        </w:tc>
        <w:tc>
          <w:tcPr>
            <w:tcW w:w="42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left"/>
        <w:rPr>
          <w:color w:val="000000"/>
        </w:rPr>
      </w:pPr>
      <w:r>
        <w:rPr>
          <w:color w:val="000000"/>
        </w:rPr>
        <w:t>    </w:t>
      </w:r>
    </w:p>
    <w:tbl>
      <w:tblPr>
        <w:tblW w:w="9683" w:type="dxa"/>
        <w:jc w:val="left"/>
        <w:tblInd w:w="0" w:type="dxa"/>
        <w:tblLayout w:type="fixed"/>
        <w:tblCellMar>
          <w:top w:w="28" w:type="dxa"/>
          <w:left w:w="28" w:type="dxa"/>
          <w:bottom w:w="28" w:type="dxa"/>
          <w:right w:w="28" w:type="dxa"/>
        </w:tblCellMar>
      </w:tblPr>
      <w:tblGrid>
        <w:gridCol w:w="2121"/>
        <w:gridCol w:w="1870"/>
        <w:gridCol w:w="1874"/>
        <w:gridCol w:w="109"/>
        <w:gridCol w:w="230"/>
        <w:gridCol w:w="230"/>
        <w:gridCol w:w="231"/>
        <w:gridCol w:w="503"/>
        <w:gridCol w:w="503"/>
        <w:gridCol w:w="480"/>
        <w:gridCol w:w="480"/>
        <w:gridCol w:w="432"/>
        <w:gridCol w:w="620"/>
      </w:tblGrid>
      <w:tr>
        <w:trPr/>
        <w:tc>
          <w:tcPr>
            <w:tcW w:w="212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486"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2025</w:t>
            </w:r>
          </w:p>
        </w:tc>
        <w:tc>
          <w:tcPr>
            <w:tcW w:w="153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r>
      <w:tr>
        <w:trPr/>
        <w:tc>
          <w:tcPr>
            <w:tcW w:w="58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Borrowings of third-party debt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2,111.9 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1,361.0 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Operating-related vendor financing additions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766.2 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709.3 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Repayments of third-party debt and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 (excluding vendor financing)</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(2,816.4)</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(963.2)</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operating-related vendor financing</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(720.1)</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(728.6)</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capital-related vendor financing</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(504.8)</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(482.3)</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Payments on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(84.1)</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(84.6)</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received related to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143.2 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Equity distributions to shareholders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(123.0)</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(125.0)</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 of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(6.3)</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financing activities, net</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Net cash used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(1,238.6)</w:t>
            </w:r>
          </w:p>
        </w:tc>
        <w:tc>
          <w:tcPr>
            <w:tcW w:w="48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(319.2)</w:t>
            </w:r>
          </w:p>
        </w:tc>
        <w:tc>
          <w:tcPr>
            <w:tcW w:w="62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Effect of exchange rate changes on cash and cash equivalents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Net increase (decrease) in cash and cash equivalents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(566.3)</w:t>
            </w:r>
          </w:p>
        </w:tc>
        <w:tc>
          <w:tcPr>
            <w:tcW w:w="48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620.0</w:t>
            </w:r>
            <w:r>
              <w:rPr>
                <w:color w:val="000000"/>
              </w:rPr>
              <w:t> </w:t>
            </w:r>
          </w:p>
        </w:tc>
        <w:tc>
          <w:tcPr>
            <w:tcW w:w="62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745.2 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125.2 </w:t>
            </w:r>
          </w:p>
        </w:tc>
        <w:tc>
          <w:tcPr>
            <w:tcW w:w="6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End of year</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480"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745.2 </w:t>
            </w:r>
          </w:p>
        </w:tc>
        <w:tc>
          <w:tcPr>
            <w:tcW w:w="620"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0250"/>
                <wp:effectExtent l="0" t="0" r="0" b="0"/>
                <wp:wrapNone/>
                <wp:docPr id="18" name="Frame1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10"/>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11"/>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6</w:t>
                      </w:r>
                    </w:p>
                  </w:txbxContent>
                </v:textbox>
                <w10:wrap type="none"/>
              </v:rect>
            </w:pict>
          </mc:Fallback>
        </mc:AlternateContent>
      </w:r>
    </w:p>
    <w:p>
      <w:pPr>
        <w:pStyle w:val="TextBody"/>
        <w:bidi w:val="0"/>
        <w:spacing w:before="400" w:after="1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20"/>
        <w:jc w:val="left"/>
        <w:rPr>
          <w:rFonts w:ascii="Verdana;sans-serif" w:hAnsi="Verdana;sans-serif"/>
          <w:b/>
          <w:color w:val="000000"/>
          <w:sz w:val="44"/>
        </w:rPr>
      </w:pPr>
      <w:bookmarkStart w:id="5" w:name="ie333be1f713449df95badec124e9975d"/>
      <w:bookmarkEnd w:id="5"/>
      <w:r>
        <w:rPr>
          <w:rFonts w:ascii="Verdana;sans-serif" w:hAnsi="Verdana;sans-serif"/>
          <w:b/>
          <w:color w:val="000000"/>
          <w:sz w:val="44"/>
        </w:rPr>
        <w:t>Notes to the consolidated financial statements</w:t>
      </w:r>
    </w:p>
    <w:p>
      <w:pPr>
        <w:pStyle w:val="TextBody"/>
        <w:bidi w:val="0"/>
        <w:spacing w:lineRule="auto" w:line="288" w:before="0" w:after="250"/>
        <w:ind w:left="0" w:right="0" w:hanging="340"/>
        <w:jc w:val="left"/>
        <w:rPr>
          <w:rFonts w:ascii="sans-serif" w:hAnsi="sans-serif"/>
          <w:b/>
          <w:color w:val="000000"/>
          <w:sz w:val="24"/>
        </w:rPr>
      </w:pPr>
      <w:bookmarkStart w:id="6" w:name="ic1faa1a5c08a447e9b4bb657ae78f0f8"/>
      <w:bookmarkEnd w:id="6"/>
      <w:r>
        <w:rPr>
          <w:rFonts w:ascii="sans-serif" w:hAnsi="sans-serif"/>
          <w:b/>
          <w:color w:val="000000"/>
          <w:sz w:val="24"/>
        </w:rPr>
        <w:t>1.    General information</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VodafoneZiggo Group Holding B.V. (the Company), having its registered address at Boven Vredenburgpassage 128, 3511WR Utrecht, is a private limited liability company under Dutch law and is registered as a financial holding company under number 65291166 in the Trade Register. The Company has its legal seat in Amsterdam. The Company and its subsidiaries are called the Group, VodafoneZiggo or we hereafter. The Group provides fixed, mobile and integrated communication and entertainment services to consumers and businesses in the Netherlands.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per the balance sheet date the Company was indirectly 50% owned by each of Liberty Global Ltd. (Liberty Global) and Vodafone Group Plc (Vodafone Group).</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On 31 July 2026, Liberty Global completed its acquisition of Vodafone Group's 50% shareholding in VodafoneZiggo Group Holding (the VodafoneZiggo Acquisition). Under the terms of the agreement, Vodafone Group received approximately €1.0 billion in cash and a 10% equity interest in Ziggo Group, which holds Liberty Global’s interests in VodafoneZiggo and Telenet in Belgium and Luxembourg. Liberty Global holds the remaining 90% interest in Ziggo Group.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consolidated financial statements of the Group are part of the statutory financial statements of VodafoneZiggo Group Holding B.V.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7" w:name="id7e46bbf44024c5aba806b1286e0f062"/>
      <w:bookmarkEnd w:id="7"/>
      <w:r>
        <w:rPr>
          <w:rFonts w:ascii="sans-serif" w:hAnsi="sans-serif"/>
          <w:b/>
          <w:color w:val="000000"/>
          <w:sz w:val="24"/>
        </w:rPr>
        <w:t>2.    Basis of preparation and general accounting policies</w:t>
      </w:r>
    </w:p>
    <w:p>
      <w:pPr>
        <w:pStyle w:val="TextBody"/>
        <w:bidi w:val="0"/>
        <w:spacing w:lineRule="auto" w:line="324" w:before="120" w:after="283"/>
        <w:jc w:val="left"/>
        <w:rPr>
          <w:rFonts w:ascii="sans-serif" w:hAnsi="sans-serif"/>
          <w:b/>
          <w:color w:val="F85F00"/>
          <w:sz w:val="20"/>
        </w:rPr>
      </w:pPr>
      <w:bookmarkStart w:id="8" w:name="i775ad836401a40979909af9304d20c94"/>
      <w:bookmarkEnd w:id="8"/>
      <w:r>
        <w:rPr>
          <w:rFonts w:ascii="sans-serif" w:hAnsi="sans-serif"/>
          <w:b/>
          <w:color w:val="F85F00"/>
          <w:sz w:val="20"/>
        </w:rPr>
        <w:t>Basis of preparation</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consolidated financial statements and accompanying explanatory notes have been prepared in accordance with International Financial Reporting Standards (IFRS), as issued by the International Accounting Standards Board (IASB), as well as IFRS as adopted by the European Union. The accounting policies applied for measurement of assets and liabilities and determination of results are based on the historical cost convention, except for derivative financial instruments, which are measured at fair value. The financial statements have been prepared on the basis of the going concern assumption. The financial statements are presented in euros (€), which is the Group’s functional currency. Unless otherwise indicated, all amounts have been rounded to millions, with one decimal place of precision.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Certain prior year amounts have been reclassified to conform to the current year presentation for the change in accounting policy treatment of sports broadcasting rights, as disclosed in note 3.</w:t>
      </w:r>
    </w:p>
    <w:p>
      <w:pPr>
        <w:pStyle w:val="TextBody"/>
        <w:bidi w:val="0"/>
        <w:spacing w:lineRule="auto" w:line="324" w:before="120" w:after="283"/>
        <w:jc w:val="left"/>
        <w:rPr>
          <w:rFonts w:ascii="sans-serif" w:hAnsi="sans-serif"/>
          <w:b/>
          <w:color w:val="F85F00"/>
          <w:sz w:val="20"/>
        </w:rPr>
      </w:pPr>
      <w:bookmarkStart w:id="9" w:name="i13d43646ba7c4f549e4465f4c8098d87"/>
      <w:bookmarkEnd w:id="9"/>
      <w:r>
        <w:rPr>
          <w:rFonts w:ascii="sans-serif" w:hAnsi="sans-serif"/>
          <w:b/>
          <w:color w:val="F85F00"/>
          <w:sz w:val="20"/>
        </w:rPr>
        <w:t>Estimates and judgements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preparation of financial statements in conformity with IFRS as issued by the IASB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allowances for impairment of receivables, certain components of revenue, programming and copyright expenses, deferred income taxes, loss contingencies, fair value measurements, impairment assessments, capitalisation of internal costs associated with construction and installation activities and development of internal-use software and useful lives of non-current assets. Actual results could differ from those estimates.</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We believe the following accounting policies are critical in the preparation of our consolidated financial statements because of the judgment necessary to account for these matters and the significant estimates involved, which are susceptible to change:</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Impairment of goodwill.</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Costs associated with capitalisation of property &amp; equipment and development of internal-use software.</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Fair value measurements.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Income tax accounting.</w:t>
      </w:r>
    </w:p>
    <w:p>
      <w:pPr>
        <w:pStyle w:val="TextBody"/>
        <w:bidi w:val="0"/>
        <w:spacing w:lineRule="auto" w:line="348" w:before="230" w:after="283"/>
        <w:jc w:val="left"/>
        <w:rPr>
          <w:rFonts w:ascii="sans-serif" w:hAnsi="sans-serif"/>
          <w:b/>
          <w:color w:val="000000"/>
          <w:sz w:val="18"/>
        </w:rPr>
      </w:pPr>
      <w:bookmarkStart w:id="10" w:name="i1b0d9cba1a1f4c53935453a2110ad8c8"/>
      <w:bookmarkEnd w:id="10"/>
      <w:r>
        <w:rPr>
          <w:rFonts w:ascii="sans-serif" w:hAnsi="sans-serif"/>
          <w:b/>
          <w:color w:val="000000"/>
          <w:sz w:val="18"/>
        </w:rPr>
        <w:t>Impairment of goodwill</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annually perform an impairment test on goodwill, irrespective of whether there are indicators of impairment. To determine if any impairment exists in relation to goodwill, the carrying amount of the cash-generating unit is compared with the recoverable amount. The recoverable amount concerns the higher of value in use and fair value less costs of disposal. When the carrying amount of the cash-generating unit exceeds its recoverable amount, an impairment loss is recognised for the difference between the carrying amount and the recoverable amount. The resulting impairment loss is allocated to goodwill.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For additional information concerning our annual impairment testing, see note 9 to our consolidated financial statements.</w:t>
      </w:r>
    </w:p>
    <w:p>
      <w:pPr>
        <w:pStyle w:val="TextBody"/>
        <w:bidi w:val="0"/>
        <w:spacing w:lineRule="auto" w:line="288" w:before="120" w:after="283"/>
        <w:jc w:val="left"/>
        <w:rPr>
          <w:rFonts w:ascii="sans-serif" w:hAnsi="sans-serif"/>
          <w:b/>
          <w:color w:val="000000"/>
          <w:sz w:val="18"/>
        </w:rPr>
      </w:pPr>
      <w:bookmarkStart w:id="11" w:name="i9752432f415d492a935fb02e410a1244"/>
      <w:bookmarkEnd w:id="11"/>
      <w:r>
        <w:rPr>
          <w:rFonts w:ascii="sans-serif" w:hAnsi="sans-serif"/>
          <w:b/>
          <w:color w:val="000000"/>
          <w:sz w:val="18"/>
        </w:rPr>
        <w:t>Costs associated with capitalisation of property &amp; equipment and development of internal-use software</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capitalise costs associated with the construction of new, or upgrades to existing, fixed and mobile transmission and distribution facilities, the installation of new fixed-line services and the development of internal-use software. Installation activities that are capitalised include (i) the initial connection (or drop) from our fixed-line system to a customer location, (ii) the replacement of a drop and (iii) the installation of equipment for new, or upgrades to existing, fixed-line services. The costs of other customer-facing activities, such as reconnecting customer locations where a drop already exists, disconnecting customer locations and repairing or maintaining drops, are expensed as incurred. We capitalise internal and external costs directly associated with the development of internal-use software. </w:t>
      </w:r>
    </w:p>
    <w:p>
      <w:pPr>
        <w:pStyle w:val="TextBody"/>
        <w:bidi w:val="0"/>
        <w:spacing w:before="0" w:after="24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2400"/>
                <wp:effectExtent l="0" t="0" r="0" b="0"/>
                <wp:wrapNone/>
                <wp:docPr id="21" name="Frame12"/>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7</w:t>
                      </w:r>
                    </w:p>
                  </w:txbxContent>
                </v:textbox>
                <w10:wrap type="none"/>
              </v:rect>
            </w:pict>
          </mc:Fallback>
        </mc:AlternateContent>
      </w:r>
    </w:p>
    <w:p>
      <w:pPr>
        <w:pStyle w:val="TextBody"/>
        <w:bidi w:val="0"/>
        <w:spacing w:lineRule="atLeast" w:line="240" w:before="0" w:after="180"/>
        <w:jc w:val="left"/>
        <w:rPr>
          <w:rFonts w:ascii="sans-serif" w:hAnsi="sans-serif"/>
          <w:b w:val="false"/>
          <w:color w:val="000000"/>
          <w:sz w:val="18"/>
        </w:rPr>
      </w:pPr>
      <w:r>
        <w:rPr>
          <w:rFonts w:ascii="sans-serif" w:hAnsi="sans-serif"/>
          <w:b w:val="false"/>
          <w:color w:val="000000"/>
          <w:sz w:val="18"/>
        </w:rPr>
        <w:t>We make judgments regarding the construction, upgrade and installation activities to be capitalised and the development of internal-use software. In addition to direct external and internal labour and materials, we also capitalise other costs directly attributable to our construction and installation activities, including dispatch costs, quality-control costs, vehicle-related costs and certain warehouse-related costs. The capitalisation of these costs is based on time sheets, standard costs, call tracking systems and other verifiable means that directly link the costs incurred with the applicable capitalisable activity. We continuously monitor the appropriateness of our capitalisation policies and update the policies when necessary to respond to changes in facts and circumstances, such as the development of new products and services and changes in the manner that installations, construction or upgrade activities or the development of internal-use software are performed.</w:t>
      </w:r>
    </w:p>
    <w:p>
      <w:pPr>
        <w:pStyle w:val="TextBody"/>
        <w:bidi w:val="0"/>
        <w:spacing w:lineRule="auto" w:line="288" w:before="120" w:after="283"/>
        <w:jc w:val="left"/>
        <w:rPr>
          <w:rFonts w:ascii="sans-serif" w:hAnsi="sans-serif"/>
          <w:b/>
          <w:color w:val="000000"/>
          <w:sz w:val="18"/>
        </w:rPr>
      </w:pPr>
      <w:bookmarkStart w:id="12" w:name="i65f4d4b413294b749c9093b6b32617ea"/>
      <w:bookmarkEnd w:id="12"/>
      <w:r>
        <w:rPr>
          <w:rFonts w:ascii="sans-serif" w:hAnsi="sans-serif"/>
          <w:b/>
          <w:color w:val="000000"/>
          <w:sz w:val="18"/>
        </w:rPr>
        <w:t>Fair value measurements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IFRS provides guidance with respect to the recurring and nonrecurring fair value measurements and for a fair value hierarchy that prioritises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2025, no such transfers were made.</w:t>
      </w:r>
    </w:p>
    <w:p>
      <w:pPr>
        <w:pStyle w:val="TextBody"/>
        <w:bidi w:val="0"/>
        <w:spacing w:lineRule="atLeast" w:line="240" w:before="0" w:after="240"/>
        <w:jc w:val="left"/>
        <w:rPr/>
      </w:pPr>
      <w:r>
        <w:rPr>
          <w:rFonts w:ascii="sans-serif" w:hAnsi="sans-serif"/>
          <w:b w:val="false"/>
          <w:i/>
          <w:color w:val="000000"/>
          <w:sz w:val="18"/>
        </w:rPr>
        <w:t>Recurring valuations.</w:t>
      </w:r>
      <w:r>
        <w:rPr>
          <w:color w:val="000000"/>
        </w:rPr>
        <w:t xml:space="preserve"> </w:t>
      </w:r>
      <w:r>
        <w:rPr>
          <w:rFonts w:ascii="sans-serif" w:hAnsi="sans-serif"/>
          <w:b w:val="false"/>
          <w:color w:val="000000"/>
          <w:sz w:val="18"/>
        </w:rPr>
        <w:t>We perform recurring fair value measurements with respect to our derivative instruments. We use cash flow valuation models to determine the fair values of our interest rate and foreign currency derivative instruments. Changes in the fair values of our derivative instruments have had, and we believe will continue to have, a significant and volatile impact on our results. For additional information concerning fair value measurements of our derivative instruments, see note 20 to our consolidated financial statements.</w:t>
      </w:r>
    </w:p>
    <w:p>
      <w:pPr>
        <w:pStyle w:val="TextBody"/>
        <w:bidi w:val="0"/>
        <w:spacing w:lineRule="atLeast" w:line="240" w:before="0" w:after="240"/>
        <w:jc w:val="left"/>
        <w:rPr/>
      </w:pPr>
      <w:r>
        <w:rPr>
          <w:rFonts w:ascii="sans-serif" w:hAnsi="sans-serif"/>
          <w:b w:val="false"/>
          <w:i/>
          <w:color w:val="000000"/>
          <w:sz w:val="18"/>
        </w:rPr>
        <w:t xml:space="preserve">Nonrecurring valuations. </w:t>
      </w:r>
      <w:r>
        <w:rPr>
          <w:rFonts w:ascii="sans-serif" w:hAnsi="sans-serif"/>
          <w:b w:val="false"/>
          <w:color w:val="000000"/>
          <w:sz w:val="18"/>
        </w:rPr>
        <w:t xml:space="preserve">Our nonrecurring valuations are primarily associated with (i) the application of acquisition accounting, (ii) impairment assessments, and (iii) fair value assessments, each of which require that we make fair value determinations as of the applicable valuation date. In making these determinations, we are required to make estimates and assumptions that affect the recorded amounts, including, but not limited to, expected future cash flows, market comparables and discount rates, remaining useful lives of intangible assets and property and equipment,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amortisation, impairment charges and income tax expense or benefit that we report. Our estimates of fair value are based upon assumptions we believe to be reasonable, but which are inherently uncertain. A significant portion of our intangible assets and property and equipment were initially recorded through the application of acquisition accounting and all of our intangible assets and property and equipment are subject to impairment assessments. </w:t>
      </w:r>
    </w:p>
    <w:p>
      <w:pPr>
        <w:pStyle w:val="TextBody"/>
        <w:bidi w:val="0"/>
        <w:spacing w:lineRule="auto" w:line="336" w:before="120" w:after="283"/>
        <w:jc w:val="left"/>
        <w:rPr>
          <w:rFonts w:ascii="sans-serif" w:hAnsi="sans-serif"/>
          <w:b/>
          <w:color w:val="000000"/>
          <w:sz w:val="18"/>
        </w:rPr>
      </w:pPr>
      <w:bookmarkStart w:id="13" w:name="i4ec586f7093b4f93a0d873fa484325ec"/>
      <w:bookmarkEnd w:id="13"/>
      <w:r>
        <w:rPr>
          <w:rFonts w:ascii="sans-serif" w:hAnsi="sans-serif"/>
          <w:b/>
          <w:color w:val="000000"/>
          <w:sz w:val="18"/>
        </w:rPr>
        <w:t>Income tax accounting</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Tax laws in the Netherlands are subject to varied interpretation, and many tax positions we take may be subject to uncertainty regarding whether the position will be ultimately sustained after review by the relevant tax authority. We recognise the financial statement effects of a tax position when it is considered probable that the position will be sustained upon examination. The determination of whether the tax position meets the probable threshold requires a facts-based judgment using all information available.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Current tax comprises the expected tax payable or receivable on the taxable income or loss for the year and any adjustment to tax payable or receivable in respect of previous years. The amount of current tax payable or receivable is the best estimate of the tax amount expected to be paid or received that reflects uncertainty related to income taxes, if any. It is measured using tax rates enacted or substantively enacted at the reporting date.</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Deferred tax is recognised in respect of temporary differences between the carrying amounts of assets and liabilities for financial reporting purposes and the amounts used for taxation purposes. Deferred tax is not recognised for:</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Temporary differences on the initial recognition of assets or liabilities in a transaction that is not a business combination and that affects neither accounting nor taxable profit or loss;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Temporary differences related to investments in subsidiaries, associates and joint arrangements to the extent that we are able to control the timing of the reversal of the temporary differences and it is probable that they will not reverse in the foreseeable future; and</w:t>
      </w:r>
    </w:p>
    <w:p>
      <w:pPr>
        <w:pStyle w:val="TextBody"/>
        <w:bidi w:val="0"/>
        <w:spacing w:lineRule="atLeast" w:line="240" w:before="0" w:after="40"/>
        <w:ind w:left="0" w:right="0" w:hanging="283"/>
        <w:jc w:val="left"/>
        <w:rPr/>
      </w:pPr>
      <w:r>
        <w:rPr>
          <w:color w:val="000000"/>
        </w:rPr>
        <w:t>•</w:t>
      </w:r>
      <w:r>
        <w:rPr>
          <w:rFonts w:ascii="sans-serif" w:hAnsi="sans-serif"/>
          <w:b w:val="false"/>
          <w:color w:val="000000"/>
          <w:sz w:val="18"/>
        </w:rPr>
        <w:t>Taxable temporary differences arising on the initial recognition of goodwill.</w:t>
      </w:r>
    </w:p>
    <w:p>
      <w:pPr>
        <w:pStyle w:val="TextBody"/>
        <w:bidi w:val="0"/>
        <w:spacing w:before="0" w:after="24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2400"/>
                <wp:effectExtent l="0" t="0" r="0" b="0"/>
                <wp:wrapNone/>
                <wp:docPr id="22" name="Frame13"/>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8</w:t>
                      </w:r>
                    </w:p>
                  </w:txbxContent>
                </v:textbox>
                <w10:wrap type="none"/>
              </v:rect>
            </w:pict>
          </mc:Fallback>
        </mc:AlternateConten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are required to estimate the amount of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utilising tax credit carryforwards, using enacted tax rates in effect for the year in which those temporary differences are expected to be recovered or settled. This process requires our management to make assessments regarding the timing and probability of the ultimate tax impact of such items. </w:t>
      </w:r>
    </w:p>
    <w:p>
      <w:pPr>
        <w:pStyle w:val="TextBody"/>
        <w:bidi w:val="0"/>
        <w:spacing w:lineRule="atLeast" w:line="240" w:before="0" w:after="240"/>
        <w:jc w:val="left"/>
        <w:rPr/>
      </w:pPr>
      <w:r>
        <w:rPr>
          <w:rFonts w:ascii="sans-serif" w:hAnsi="sans-serif"/>
          <w:b w:val="false"/>
          <w:color w:val="000000"/>
          <w:sz w:val="18"/>
        </w:rPr>
        <w:t xml:space="preserve">Deferred tax assets and liabilities are separately recognised and netted off when permitted. Net deferred tax assets are recognised to the extent that the realisation of them is considered probable. Recognising deferred tax assets requires us to make assessments about the timing of future events, including the probability of expected future taxable income and available tax planning strategies. On 31 December 2025, we had unrecognised deferred tax assets </w:t>
      </w:r>
      <w:r>
        <w:rPr>
          <w:rFonts w:ascii="sans-serif" w:hAnsi="sans-serif"/>
          <w:b w:val="false"/>
          <w:color w:val="000000"/>
          <w:sz w:val="18"/>
          <w:shd w:fill="FFFFFF" w:val="clear"/>
        </w:rPr>
        <w:t>of €190.1 million</w:t>
      </w:r>
      <w:r>
        <w:rPr>
          <w:color w:val="000000"/>
        </w:rPr>
        <w:t xml:space="preserve"> </w:t>
      </w:r>
      <w:r>
        <w:rPr>
          <w:rFonts w:ascii="sans-serif" w:hAnsi="sans-serif"/>
          <w:b w:val="false"/>
          <w:color w:val="000000"/>
          <w:sz w:val="18"/>
        </w:rPr>
        <w:t>(2024: €185.2 million). The actual amount of income tax benefits realised in future periods will likely differ from the net deferred tax assets reflected in our 31 December 2025 consolidated statement of financial position due to, among other factors, possible future changes in income tax law or interpretations thereof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pStyle w:val="TextBody"/>
        <w:bidi w:val="0"/>
        <w:spacing w:lineRule="atLeast" w:line="240" w:before="0" w:after="220"/>
        <w:jc w:val="left"/>
        <w:rPr>
          <w:rFonts w:ascii="sans-serif" w:hAnsi="sans-serif"/>
          <w:b w:val="false"/>
          <w:color w:val="000000"/>
          <w:sz w:val="18"/>
        </w:rPr>
      </w:pPr>
      <w:r>
        <w:rPr>
          <w:rFonts w:ascii="sans-serif" w:hAnsi="sans-serif"/>
          <w:b w:val="false"/>
          <w:color w:val="000000"/>
          <w:sz w:val="18"/>
        </w:rPr>
        <w:t xml:space="preserve">For additional information concerning our income taxes, see note 8 to our consolidated financial statements. </w:t>
      </w:r>
    </w:p>
    <w:p>
      <w:pPr>
        <w:pStyle w:val="TextBody"/>
        <w:bidi w:val="0"/>
        <w:spacing w:lineRule="auto" w:line="324" w:before="120" w:after="283"/>
        <w:jc w:val="left"/>
        <w:rPr>
          <w:rFonts w:ascii="sans-serif" w:hAnsi="sans-serif"/>
          <w:b/>
          <w:color w:val="F85F00"/>
          <w:sz w:val="20"/>
        </w:rPr>
      </w:pPr>
      <w:bookmarkStart w:id="14" w:name="i73d8af04d9574c50aacf10f699433865"/>
      <w:bookmarkEnd w:id="14"/>
      <w:r>
        <w:rPr>
          <w:rFonts w:ascii="sans-serif" w:hAnsi="sans-serif"/>
          <w:b/>
          <w:color w:val="F85F00"/>
          <w:sz w:val="20"/>
        </w:rPr>
        <w:t>Accounting policies</w:t>
      </w:r>
    </w:p>
    <w:p>
      <w:pPr>
        <w:pStyle w:val="TextBody"/>
        <w:bidi w:val="0"/>
        <w:spacing w:lineRule="atLeast" w:line="240" w:before="0" w:after="230"/>
        <w:jc w:val="left"/>
        <w:rPr>
          <w:rFonts w:ascii="sans-serif" w:hAnsi="sans-serif"/>
          <w:b w:val="false"/>
          <w:color w:val="000000"/>
          <w:sz w:val="18"/>
        </w:rPr>
      </w:pPr>
      <w:r>
        <w:rPr>
          <w:rFonts w:ascii="sans-serif" w:hAnsi="sans-serif"/>
          <w:b w:val="false"/>
          <w:color w:val="000000"/>
          <w:sz w:val="18"/>
        </w:rPr>
        <w:t>Where necessary, accounting policies relating to financial statement captions are included in the relevant notes to the consolidated financial statements. These are presented as text highlighted in grey at the bottom of each note. The accounting policies below are applied throughout the financial statements.</w:t>
      </w:r>
    </w:p>
    <w:p>
      <w:pPr>
        <w:pStyle w:val="TextBody"/>
        <w:bidi w:val="0"/>
        <w:spacing w:lineRule="auto" w:line="288" w:before="120" w:after="283"/>
        <w:jc w:val="left"/>
        <w:rPr>
          <w:rFonts w:ascii="sans-serif" w:hAnsi="sans-serif"/>
          <w:b/>
          <w:color w:val="000000"/>
          <w:sz w:val="18"/>
        </w:rPr>
      </w:pPr>
      <w:bookmarkStart w:id="15" w:name="i82e3053bc66c4a81b0cade492ebc0466"/>
      <w:bookmarkEnd w:id="15"/>
      <w:r>
        <w:rPr>
          <w:rFonts w:ascii="sans-serif" w:hAnsi="sans-serif"/>
          <w:b/>
          <w:color w:val="000000"/>
          <w:sz w:val="18"/>
        </w:rPr>
        <w:t>Basis of consolidation</w:t>
      </w:r>
    </w:p>
    <w:p>
      <w:pPr>
        <w:pStyle w:val="TextBody"/>
        <w:bidi w:val="0"/>
        <w:spacing w:lineRule="atLeast" w:line="240" w:before="0" w:after="240"/>
        <w:jc w:val="left"/>
        <w:rPr/>
      </w:pPr>
      <w:r>
        <w:rPr>
          <w:rFonts w:ascii="sans-serif" w:hAnsi="sans-serif"/>
          <w:b w:val="false"/>
          <w:i/>
          <w:color w:val="000000"/>
          <w:sz w:val="18"/>
        </w:rPr>
        <w:t xml:space="preserve">Business combinations. </w:t>
      </w:r>
      <w:r>
        <w:rPr>
          <w:rFonts w:ascii="sans-serif" w:hAnsi="sans-serif"/>
          <w:b w:val="false"/>
          <w:color w:val="000000"/>
          <w:sz w:val="18"/>
        </w:rPr>
        <w:t>We account for business combinations using the acquisition method when control is transferred to the Group. The consideration transferred in the acquisition is generally measured at fair value, as are the identifiable net assets acquired. Any goodwill that arises is tested annually for impairment. Any gain on a bargain purchase is recognised in profit or loss immediately. Transaction costs are expensed as incurred, except if related to the issue of debt or equity securities.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consideration transferred does not include amounts related to the settlement of pre-existing relationships. Such amounts are generally recognised in profit or loss. Any contingent consideration payable is measured at fair value at the acquisition date. If an obligation to pay contingent consideration that meets the definition of a financial instrument is classified as equity, then it is not remeasured and settlement is accounted for within equity. Otherwise, other contingent consideration is remeasured at fair value at each reporting date and subsequent changes in the fair value of the contingent consideration are recognised in profit or loss.</w:t>
      </w:r>
    </w:p>
    <w:p>
      <w:pPr>
        <w:pStyle w:val="TextBody"/>
        <w:bidi w:val="0"/>
        <w:spacing w:lineRule="atLeast" w:line="240" w:before="0" w:after="240"/>
        <w:jc w:val="left"/>
        <w:rPr/>
      </w:pPr>
      <w:r>
        <w:rPr>
          <w:rFonts w:ascii="sans-serif" w:hAnsi="sans-serif"/>
          <w:b w:val="false"/>
          <w:i/>
          <w:color w:val="000000"/>
          <w:sz w:val="18"/>
        </w:rPr>
        <w:t xml:space="preserve">Subsidiaries. </w:t>
      </w:r>
      <w:r>
        <w:rPr>
          <w:rFonts w:ascii="sans-serif" w:hAnsi="sans-serif"/>
          <w:b w:val="false"/>
          <w:color w:val="000000"/>
          <w:sz w:val="18"/>
        </w:rPr>
        <w:t>Subsidiaries are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pStyle w:val="TextBody"/>
        <w:bidi w:val="0"/>
        <w:spacing w:lineRule="atLeast" w:line="240" w:before="0" w:after="240"/>
        <w:jc w:val="left"/>
        <w:rPr/>
      </w:pPr>
      <w:r>
        <w:rPr>
          <w:rFonts w:ascii="sans-serif" w:hAnsi="sans-serif"/>
          <w:b w:val="false"/>
          <w:i/>
          <w:color w:val="000000"/>
          <w:sz w:val="18"/>
        </w:rPr>
        <w:t xml:space="preserve">Loss of control. </w:t>
      </w:r>
      <w:r>
        <w:rPr>
          <w:rFonts w:ascii="sans-serif" w:hAnsi="sans-serif"/>
          <w:b w:val="false"/>
          <w:color w:val="000000"/>
          <w:sz w:val="18"/>
        </w:rPr>
        <w:t xml:space="preserve">When the Group loses control over a subsidiary, it derecognises the assets and liabilities of the subsidiary, and any non-controlling interests and other components of equity. Any resulting gain or loss is recognised in profit or loss. Any interest retained in the former subsidiary is measured at fair value when control is lost. </w:t>
      </w:r>
    </w:p>
    <w:p>
      <w:pPr>
        <w:pStyle w:val="TextBody"/>
        <w:bidi w:val="0"/>
        <w:spacing w:lineRule="atLeast" w:line="240" w:before="0" w:after="60"/>
        <w:jc w:val="left"/>
        <w:rPr/>
      </w:pPr>
      <w:r>
        <w:rPr>
          <w:rFonts w:ascii="sans-serif" w:hAnsi="sans-serif"/>
          <w:b w:val="false"/>
          <w:i/>
          <w:color w:val="000000"/>
          <w:sz w:val="18"/>
        </w:rPr>
        <w:t>Transactions eliminated on consolidation.</w:t>
      </w:r>
      <w:r>
        <w:rPr>
          <w:color w:val="000000"/>
        </w:rPr>
        <w:t xml:space="preserve"> </w:t>
      </w:r>
      <w:r>
        <w:rPr>
          <w:rFonts w:ascii="sans-serif" w:hAnsi="sans-serif"/>
          <w:b w:val="false"/>
          <w:color w:val="000000"/>
          <w:sz w:val="18"/>
        </w:rPr>
        <w:t xml:space="preserve">Intra-group balances and transactions, and any unrealised income and expenses arising from intra-group transactions, are eliminated. </w:t>
      </w:r>
    </w:p>
    <w:p>
      <w:pPr>
        <w:pStyle w:val="TextBody"/>
        <w:bidi w:val="0"/>
        <w:spacing w:lineRule="auto" w:line="288" w:before="120" w:after="283"/>
        <w:jc w:val="left"/>
        <w:rPr>
          <w:rFonts w:ascii="sans-serif" w:hAnsi="sans-serif"/>
          <w:b/>
          <w:color w:val="000000"/>
          <w:sz w:val="18"/>
        </w:rPr>
      </w:pPr>
      <w:bookmarkStart w:id="16" w:name="i0dbca6cb74ce425b99226b02d278a4f0"/>
      <w:bookmarkEnd w:id="16"/>
      <w:r>
        <w:rPr>
          <w:rFonts w:ascii="sans-serif" w:hAnsi="sans-serif"/>
          <w:b/>
          <w:color w:val="000000"/>
          <w:sz w:val="18"/>
        </w:rPr>
        <w:t>Foreign currencies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Transactions in foreign currencies are translated to the functional currency of the Group at exchange rates at the dates of the transactions.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Monetary assets and liabilities denominated in foreign currencies are translated into the functional currency at the exchange rate at the reporting date. Non-monetary assets and liabilities that are measured at fair value in a foreign currency are translated into the functional currency at the exchange rate when the fair value was determined. Non-monetary items that are measured based on historical cost in a foreign currency are translated at the exchange rate at the date of the transaction. Foreign currency differences are generally recognised in profit or loss and presented within finance costs.</w:t>
      </w:r>
    </w:p>
    <w:p>
      <w:pPr>
        <w:pStyle w:val="TextBody"/>
        <w:bidi w:val="0"/>
        <w:spacing w:lineRule="auto" w:line="288" w:before="120" w:after="283"/>
        <w:jc w:val="left"/>
        <w:rPr>
          <w:rFonts w:ascii="sans-serif" w:hAnsi="sans-serif"/>
          <w:b/>
          <w:color w:val="000000"/>
          <w:sz w:val="18"/>
        </w:rPr>
      </w:pPr>
      <w:bookmarkStart w:id="17" w:name="ia9bd68a9d2c1484183ddc8ad77936e5e"/>
      <w:bookmarkEnd w:id="17"/>
      <w:r>
        <w:rPr>
          <w:rFonts w:ascii="sans-serif" w:hAnsi="sans-serif"/>
          <w:b/>
          <w:color w:val="000000"/>
          <w:sz w:val="18"/>
        </w:rPr>
        <w:t>Provisions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Provisions are recognised when (i) we have a present obligation (legal or constructive) as a result of a past event, (ii) it is more likely than not that we will be required to settle that obligation and (iii) a reliable estimate can be made of the amount of the obligation. Provisions are measured at the management's best estimate of the expenditure required to settle the obligation at the reporting date and are discounted to present value where the effect is material. The discount rate used to determine the present value reflects current market assessments of the time value of money and risks specific to the liability.</w:t>
      </w:r>
    </w:p>
    <w:p>
      <w:pPr>
        <w:pStyle w:val="TextBody"/>
        <w:bidi w:val="0"/>
        <w:spacing w:lineRule="auto" w:line="288" w:before="120" w:after="283"/>
        <w:jc w:val="left"/>
        <w:rPr>
          <w:rFonts w:ascii="sans-serif" w:hAnsi="sans-serif"/>
          <w:b/>
          <w:color w:val="000000"/>
          <w:sz w:val="18"/>
        </w:rPr>
      </w:pPr>
      <w:bookmarkStart w:id="18" w:name="ic265ab18a5c74209974acc6df8169517"/>
      <w:bookmarkEnd w:id="18"/>
      <w:r>
        <w:rPr>
          <w:rFonts w:ascii="sans-serif" w:hAnsi="sans-serif"/>
          <w:b/>
          <w:color w:val="000000"/>
          <w:sz w:val="18"/>
        </w:rPr>
        <w:t>Cash flow statement</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cash flow statement is prepared using the indirect method. Cash flows in foreign currency are translated into euros using the weighted average exchange rates at the dates of the transactions. With the exception of constructive cash flows related to vendor financing, as further described below, transactions that do not include an exchange of cash and cash equivalents are not included in the cash flow statement.</w:t>
      </w:r>
    </w:p>
    <w:p>
      <w:pPr>
        <w:pStyle w:val="TextBody"/>
        <w:bidi w:val="0"/>
        <w:spacing w:lineRule="atLeast" w:line="240" w:before="0" w:after="240"/>
        <w:jc w:val="left"/>
        <w:rPr/>
      </w:pPr>
      <w:r>
        <w:rPr>
          <w:rFonts w:ascii="sans-serif" w:hAnsi="sans-serif"/>
          <w:b w:val="false"/>
          <w:i/>
          <w:color w:val="000000"/>
          <w:sz w:val="18"/>
        </w:rPr>
        <w:t>Leases</w:t>
      </w:r>
      <w:r>
        <w:rPr>
          <w:rFonts w:ascii="sans-serif" w:hAnsi="sans-serif"/>
          <w:b w:val="false"/>
          <w:color w:val="000000"/>
          <w:sz w:val="18"/>
        </w:rPr>
        <w:t xml:space="preserve">. In the cash flow statement, we have classified the repayment of the lease obligation as cash flows from financing activities, whereas we have allocated the interest portion to cash flows from operating activities. </w:t>
      </w:r>
    </w:p>
    <w:p>
      <w:pPr>
        <w:pStyle w:val="TextBody"/>
        <w:bidi w:val="0"/>
        <w:spacing w:lineRule="atLeast" w:line="240" w:before="0" w:after="240"/>
        <w:jc w:val="left"/>
        <w:rPr/>
      </w:pPr>
      <w:r>
        <w:rPr>
          <w:rFonts w:ascii="sans-serif" w:hAnsi="sans-serif"/>
          <w:b w:val="false"/>
          <w:i/>
          <w:color w:val="000000"/>
          <w:sz w:val="18"/>
        </w:rPr>
        <w:t>Derivative instruments.</w:t>
      </w:r>
      <w:r>
        <w:rPr>
          <w:color w:val="000000"/>
        </w:rPr>
        <w:t xml:space="preserve"> </w:t>
      </w:r>
      <w:r>
        <w:rPr>
          <w:rFonts w:ascii="sans-serif" w:hAnsi="sans-serif"/>
          <w:b w:val="false"/>
          <w:color w:val="000000"/>
          <w:sz w:val="18"/>
        </w:rPr>
        <w:t>Cash flows from derivative instruments are classified in accordance with the nature of the instrument. For contracts that are terminated prior to maturity, the cash paid or received upon termination that relates to future periods is classified as a financing activity.</w:t>
      </w:r>
    </w:p>
    <w:p>
      <w:pPr>
        <w:pStyle w:val="TextBody"/>
        <w:bidi w:val="0"/>
        <w:spacing w:before="0" w:after="24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2400"/>
                <wp:effectExtent l="0" t="0" r="0" b="0"/>
                <wp:wrapNone/>
                <wp:docPr id="23" name="Frame1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9</w:t>
                      </w:r>
                    </w:p>
                  </w:txbxContent>
                </v:textbox>
                <w10:wrap type="none"/>
              </v:rect>
            </w:pict>
          </mc:Fallback>
        </mc:AlternateContent>
      </w:r>
    </w:p>
    <w:p>
      <w:pPr>
        <w:pStyle w:val="TextBody"/>
        <w:bidi w:val="0"/>
        <w:spacing w:lineRule="atLeast" w:line="240" w:before="0" w:after="240"/>
        <w:jc w:val="left"/>
        <w:rPr/>
      </w:pPr>
      <w:r>
        <w:rPr>
          <w:rFonts w:ascii="sans-serif" w:hAnsi="sans-serif"/>
          <w:b w:val="false"/>
          <w:i/>
          <w:color w:val="000000"/>
          <w:sz w:val="18"/>
        </w:rPr>
        <w:t>Vendor financing</w:t>
      </w:r>
      <w:r>
        <w:rPr>
          <w:rFonts w:ascii="sans-serif" w:hAnsi="sans-serif"/>
          <w:b w:val="false"/>
          <w:color w:val="000000"/>
          <w:sz w:val="18"/>
        </w:rPr>
        <w:t>. Our operating-related expenses financed by an intermediary, are treated as constructive operating cash outflows and constructive financing cash inflows when the intermediary settles the liability with the vendor on our behalf as there is no actual cash outflow until we pay the financing intermediary. When we pay the financing intermediary, we record financing cash outflows in our consolidated statement of cash flows. The capital expenditure that we report in our consolidated statement of cash flows do not include amounts that are financed under capital-related vendor financing. Instead, these amounts are reflected as non-cash additions to our property and equipment when the underlying assets are delivered, and as repayments of debt when the principal is repaid.</w:t>
      </w:r>
    </w:p>
    <w:p>
      <w:pPr>
        <w:pStyle w:val="TextBody"/>
        <w:bidi w:val="0"/>
        <w:spacing w:lineRule="auto" w:line="288" w:before="120" w:after="283"/>
        <w:jc w:val="left"/>
        <w:rPr>
          <w:rFonts w:ascii="sans-serif" w:hAnsi="sans-serif"/>
          <w:b/>
          <w:color w:val="000000"/>
          <w:sz w:val="18"/>
        </w:rPr>
      </w:pPr>
      <w:bookmarkStart w:id="19" w:name="i24123dabc6754f08809f3907e28a7413"/>
      <w:bookmarkEnd w:id="19"/>
      <w:r>
        <w:rPr>
          <w:rFonts w:ascii="sans-serif" w:hAnsi="sans-serif"/>
          <w:b/>
          <w:color w:val="000000"/>
          <w:sz w:val="18"/>
        </w:rPr>
        <w:t>New accounting policies effective for 2025</w:t>
      </w:r>
    </w:p>
    <w:p>
      <w:pPr>
        <w:pStyle w:val="TextBody"/>
        <w:bidi w:val="0"/>
        <w:spacing w:lineRule="auto" w:line="288" w:before="0" w:after="180"/>
        <w:jc w:val="left"/>
        <w:rPr>
          <w:rFonts w:ascii="sans-serif" w:hAnsi="sans-serif"/>
          <w:b w:val="false"/>
          <w:color w:val="000000"/>
          <w:sz w:val="18"/>
        </w:rPr>
      </w:pPr>
      <w:r>
        <w:rPr>
          <w:rFonts w:ascii="sans-serif" w:hAnsi="sans-serif"/>
          <w:b w:val="false"/>
          <w:color w:val="000000"/>
          <w:sz w:val="18"/>
        </w:rPr>
        <w:t>We apply new standards and amendments issued by the International Accounting Standards Board (IASB) when effective. We have not early adopted any standards. The accounting policies applied are consistent with those of the previous financial year.</w:t>
      </w:r>
    </w:p>
    <w:p>
      <w:pPr>
        <w:pStyle w:val="TextBody"/>
        <w:bidi w:val="0"/>
        <w:spacing w:lineRule="auto" w:line="288" w:before="120" w:after="283"/>
        <w:jc w:val="left"/>
        <w:rPr>
          <w:rFonts w:ascii="sans-serif" w:hAnsi="sans-serif"/>
          <w:b/>
          <w:color w:val="000000"/>
          <w:sz w:val="18"/>
        </w:rPr>
      </w:pPr>
      <w:bookmarkStart w:id="20" w:name="i391b79c633e34ebbb9279524392e5b0b"/>
      <w:bookmarkEnd w:id="20"/>
      <w:r>
        <w:rPr>
          <w:rFonts w:ascii="sans-serif" w:hAnsi="sans-serif"/>
          <w:b/>
          <w:color w:val="000000"/>
          <w:sz w:val="18"/>
        </w:rPr>
        <w:t>New accounting policies not yet effective for 2025</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We are reviewing the impact of the following standards and amendments, which are effective as of 1 January 2026 or later:</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 xml:space="preserve">IFRS 9 Financial Instruments and IFRS 7 Financial Instruments: Disclosures - amendments to classification and measurement of financial Instruments; </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IFRS 18 Presentation and Disclosure in Financial Statements, superseding IAS 1 Presentation of Financial Statements; and</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Annual improvements to IFRS Accounting Standards - Volume 11.</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IFRS 19 Subsidiaries without Public Accountability: Disclosures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IFRS 20 Regulatory Assets and Regulatory Liabilities</w:t>
      </w:r>
    </w:p>
    <w:p>
      <w:pPr>
        <w:pStyle w:val="TextBody"/>
        <w:bidi w:val="0"/>
        <w:spacing w:before="0" w:after="10"/>
        <w:ind w:left="0" w:right="0" w:firstLine="77"/>
        <w:jc w:val="left"/>
        <w:rPr/>
      </w:pPr>
      <w:r>
        <w:rPr/>
      </w:r>
    </w:p>
    <w:p>
      <w:pPr>
        <w:pStyle w:val="TextBody"/>
        <w:bidi w:val="0"/>
        <w:spacing w:lineRule="atLeast" w:line="240" w:before="0" w:after="10"/>
        <w:ind w:left="0" w:right="0" w:hanging="340"/>
        <w:jc w:val="left"/>
        <w:rPr>
          <w:rFonts w:ascii="sans-serif" w:hAnsi="sans-serif"/>
          <w:b w:val="false"/>
          <w:color w:val="000000"/>
          <w:sz w:val="18"/>
        </w:rPr>
      </w:pPr>
      <w:r>
        <w:rPr>
          <w:rFonts w:ascii="sans-serif" w:hAnsi="sans-serif"/>
          <w:b w:val="false"/>
          <w:color w:val="000000"/>
          <w:sz w:val="18"/>
        </w:rPr>
        <w:t>With the exception of IFRS 18 as discussed below, VodafoneZiggo does not expect that these standards and amendments will have a material impact on the financial statements</w:t>
      </w:r>
    </w:p>
    <w:p>
      <w:pPr>
        <w:pStyle w:val="TextBody"/>
        <w:bidi w:val="0"/>
        <w:spacing w:lineRule="auto" w:line="288" w:before="120" w:after="283"/>
        <w:jc w:val="left"/>
        <w:rPr>
          <w:rFonts w:ascii="sans-serif" w:hAnsi="sans-serif"/>
          <w:b/>
          <w:color w:val="000000"/>
          <w:sz w:val="18"/>
        </w:rPr>
      </w:pPr>
      <w:bookmarkStart w:id="21" w:name="i4171687600cf40afaa6e9a4fd8043ae6"/>
      <w:bookmarkEnd w:id="21"/>
      <w:r>
        <w:rPr>
          <w:rFonts w:ascii="sans-serif" w:hAnsi="sans-serif"/>
          <w:b/>
          <w:color w:val="000000"/>
          <w:sz w:val="18"/>
        </w:rPr>
        <w:t>IFRS 18</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IFRS 18 will replace IAS 1 Presentation of Financial Statements and applies for the periods beginning on or after 1 January 2027. The new accounting standard introduces the following requirements: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Entities are required to classify income and expenses into five categories of profit or loss, namely the operating, investing, financing, discontinued operations and income tax categories. Entities are also required to a newly defined “operating profit” subtotal, however net profit will not change.</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Management defined performance measures (MPM) are to be identified and disclosed in a single note in the financial statements.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The guidance on grouping of information in the financial statements has been enhanced.</w:t>
      </w:r>
    </w:p>
    <w:p>
      <w:pPr>
        <w:pStyle w:val="TextBody"/>
        <w:bidi w:val="0"/>
        <w:spacing w:lineRule="auto" w:line="288" w:before="120" w:after="283"/>
        <w:ind w:left="0" w:right="0" w:firstLine="77"/>
        <w:jc w:val="left"/>
        <w:rPr>
          <w:rFonts w:ascii="sans-serif" w:hAnsi="sans-serif"/>
          <w:b/>
          <w:color w:val="000000"/>
          <w:sz w:val="18"/>
        </w:rPr>
      </w:pPr>
      <w:bookmarkStart w:id="22" w:name="i6ad5e6229fe04245afe97dff568f15cb"/>
      <w:bookmarkEnd w:id="22"/>
      <w:r>
        <w:rPr>
          <w:rFonts w:ascii="sans-serif" w:hAnsi="sans-serif"/>
          <w:b/>
          <w:color w:val="000000"/>
          <w:sz w:val="18"/>
        </w:rPr>
        <w:t>Change in Accounting Policy - Sports Rights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part of the formation of the Ziggo Group, management identified a difference in accounting policy relating to sports broadcasting rights and has elected to align VodafoneZiggo's accounting policy with that applied elsewhere within the Ziggo Group. Previously, sports broadcasting rights were expensed as incurred during the period in which the related sporting events occurred. This accounting policy change excludes contracts related to programming rights for channels and only applies to contracts related to sporting events.</w:t>
      </w:r>
    </w:p>
    <w:p>
      <w:pPr>
        <w:pStyle w:val="TextBody"/>
        <w:bidi w:val="0"/>
        <w:spacing w:before="0" w:after="240"/>
        <w:jc w:val="left"/>
        <w:rPr/>
      </w:pPr>
      <w:r>
        <w:rPr/>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Under the revised policy, contractual sports broadcasting rights are recognised as an intangible asset, together with a corresponding liability, when the contractual rights and obligations arise upon execution of the contract. The liability is initially measured at the present value of the contractual payments. The broadcasting rights asset is subsequently amortised over the applicable sports season(s), during which the content is being broadcasted, as covered by the contract. The corresponding liability is subsequently measured at amortised cost, with the discount unwound through finance expense using the effective interest method. Settlement of the liability occurs in accordance with the contractual payment terms.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Management believes that the voluntary policy change provides more relevant and reliable information regarding the recognition and consumption of sports broadcasting rights, enhances the faithful representation of the Group's financial position and performance, improves comparability across the Ziggo Group and industry peers, and results in financial information that is more relevant to users of the financial statements. The change has been applied retrospectively in accordance with IAS 8. This change in accounting policy will be implemented for the 2026 statutory financial statements. The impact of the change in accounting policy on the comparative financial information is presented in note 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2400"/>
                <wp:effectExtent l="0" t="0" r="0" b="0"/>
                <wp:wrapNone/>
                <wp:docPr id="24" name="Frame15"/>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10</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23" w:name="ib0da473781f7444c8534f57be822ea54"/>
      <w:bookmarkEnd w:id="23"/>
      <w:r>
        <w:rPr>
          <w:rFonts w:ascii="sans-serif" w:hAnsi="sans-serif"/>
          <w:b/>
          <w:color w:val="000000"/>
          <w:sz w:val="24"/>
        </w:rPr>
        <w:t>3.    IAS 8 Retrospective change in accounting policy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part of the formation of the Ziggo Group, management identified a difference in accounting policy relating to sports broadcasting rights and has elected to align VodafoneZiggo's accounting policy with that applied elsewhere within the Ziggo Group. Previously, sports broadcasting rights were expensed as incurred during the period in which the related sporting events occurred. This accounting policy change excludes contracts related to programming rights for channels and only applies to contracts related to sporting events.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Under the revised policy, contractual sports broadcasting rights are recognised as an intangible asset, together with a corresponding liability, when the contractual rights and obligations arise upon execution of the contract. The liability is initially measured at the present value of the contractual payments. The broadcasting rights asset is subsequently amortised over the applicable sports season(s), during which the content is being broadcasted, as covered by the contract. The corresponding liability is subsequently measured at amortised cost, with the discount unwound through finance expense using the effective interest method. Settlement of the liability occurs in accordance with the contractual payment terms.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a result of this change, a net deferred tax liability is created.</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Management believes that the voluntary policy change provides more relevant and reliable information regarding the recognition and consumption of sports broadcasting rights, enhances the faithful representation of the Group's financial position and performance, improves comparability across the Ziggo Group and industry peers, and results in financial information that is more relevant to users of the financial statements. The change has been applied retrospectively in accordance with IAS 8. This change in accounting policy will be implemented for the 2026 statutory financial statements. The impact of this accounting policy change on the affected primary statement line items is shown in the tables below:</w:t>
      </w:r>
    </w:p>
    <w:tbl>
      <w:tblPr>
        <w:tblW w:w="10205" w:type="dxa"/>
        <w:jc w:val="left"/>
        <w:tblInd w:w="0" w:type="dxa"/>
        <w:tblLayout w:type="fixed"/>
        <w:tblCellMar>
          <w:top w:w="28" w:type="dxa"/>
          <w:left w:w="28" w:type="dxa"/>
          <w:bottom w:w="28" w:type="dxa"/>
          <w:right w:w="28" w:type="dxa"/>
        </w:tblCellMar>
      </w:tblPr>
      <w:tblGrid>
        <w:gridCol w:w="857"/>
        <w:gridCol w:w="567"/>
        <w:gridCol w:w="568"/>
        <w:gridCol w:w="596"/>
        <w:gridCol w:w="364"/>
        <w:gridCol w:w="365"/>
        <w:gridCol w:w="410"/>
        <w:gridCol w:w="410"/>
        <w:gridCol w:w="411"/>
        <w:gridCol w:w="459"/>
        <w:gridCol w:w="459"/>
        <w:gridCol w:w="333"/>
        <w:gridCol w:w="109"/>
        <w:gridCol w:w="109"/>
        <w:gridCol w:w="109"/>
        <w:gridCol w:w="596"/>
        <w:gridCol w:w="364"/>
        <w:gridCol w:w="365"/>
        <w:gridCol w:w="410"/>
        <w:gridCol w:w="410"/>
        <w:gridCol w:w="411"/>
        <w:gridCol w:w="459"/>
        <w:gridCol w:w="459"/>
        <w:gridCol w:w="333"/>
        <w:gridCol w:w="109"/>
        <w:gridCol w:w="163"/>
      </w:tblGrid>
      <w:tr>
        <w:trPr/>
        <w:tc>
          <w:tcPr>
            <w:tcW w:w="85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vMerge w:val="restart"/>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profit or loss</w:t>
            </w:r>
          </w:p>
        </w:tc>
        <w:tc>
          <w:tcPr>
            <w:tcW w:w="3807"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vMerge w:val="continue"/>
            <w:tcBorders/>
            <w:tcMar>
              <w:top w:w="0" w:type="dxa"/>
              <w:left w:w="0" w:type="dxa"/>
              <w:bottom w:w="0" w:type="dxa"/>
              <w:right w:w="0" w:type="dxa"/>
            </w:tcMar>
            <w:vAlign w:val="center"/>
          </w:tcPr>
          <w:p>
            <w:pPr>
              <w:pStyle w:val="Normal"/>
              <w:bidi w:val="0"/>
              <w:jc w:val="left"/>
              <w:rPr/>
            </w:pPr>
            <w:r>
              <w:rPr/>
            </w:r>
          </w:p>
        </w:tc>
        <w:tc>
          <w:tcPr>
            <w:tcW w:w="3807"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32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reported amount</w:t>
            </w:r>
          </w:p>
        </w:tc>
        <w:tc>
          <w:tcPr>
            <w:tcW w:w="123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25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reported amount</w:t>
            </w:r>
          </w:p>
        </w:tc>
        <w:tc>
          <w:tcPr>
            <w:tcW w:w="123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25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 of outsourced work and other external costs</w:t>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1,694.3 </w:t>
            </w:r>
          </w:p>
        </w:tc>
        <w:tc>
          <w:tcPr>
            <w:tcW w:w="3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(63.0)</w:t>
            </w:r>
          </w:p>
        </w:tc>
        <w:tc>
          <w:tcPr>
            <w:tcW w:w="4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1,631.3 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1,663.5 </w:t>
            </w:r>
          </w:p>
        </w:tc>
        <w:tc>
          <w:tcPr>
            <w:tcW w:w="3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(42.3)</w:t>
            </w:r>
          </w:p>
        </w:tc>
        <w:tc>
          <w:tcPr>
            <w:tcW w:w="4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1,621.2 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Amortisation and depreciation</w:t>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1,638.0 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1,699.1 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1,638.0 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1,679.3 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operating expenses</w:t>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3,880.6</w:t>
            </w: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(1.9)</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3,878.7</w:t>
            </w:r>
            <w:r>
              <w:rPr>
                <w:color w:val="000000"/>
              </w:rPr>
              <w:t>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3,809.1</w:t>
            </w: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3,808.1</w:t>
            </w:r>
            <w:r>
              <w:rPr>
                <w:color w:val="000000"/>
              </w:rPr>
              <w:t>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Operating profit</w:t>
            </w:r>
          </w:p>
        </w:tc>
        <w:tc>
          <w:tcPr>
            <w:tcW w:w="96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118.4</w:t>
            </w:r>
            <w:r>
              <w:rPr>
                <w:color w:val="F85F00"/>
              </w:rPr>
              <w:t> </w:t>
            </w:r>
          </w:p>
        </w:tc>
        <w:tc>
          <w:tcPr>
            <w:tcW w:w="3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1.9</w:t>
            </w:r>
            <w:r>
              <w:rPr>
                <w:color w:val="F85F00"/>
              </w:rPr>
              <w:t> </w:t>
            </w:r>
          </w:p>
        </w:tc>
        <w:tc>
          <w:tcPr>
            <w:tcW w:w="41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120.3</w:t>
            </w:r>
            <w:r>
              <w:rPr>
                <w:color w:val="F85F00"/>
              </w:rPr>
              <w:t> </w:t>
            </w:r>
          </w:p>
        </w:tc>
        <w:tc>
          <w:tcPr>
            <w:tcW w:w="33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304.7</w:t>
            </w:r>
            <w:r>
              <w:rPr>
                <w:color w:val="F85F00"/>
              </w:rPr>
              <w:t> </w:t>
            </w:r>
          </w:p>
        </w:tc>
        <w:tc>
          <w:tcPr>
            <w:tcW w:w="3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1.0</w:t>
            </w:r>
            <w:r>
              <w:rPr>
                <w:color w:val="F85F00"/>
              </w:rPr>
              <w:t> </w:t>
            </w:r>
          </w:p>
        </w:tc>
        <w:tc>
          <w:tcPr>
            <w:tcW w:w="41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305.7</w:t>
            </w:r>
            <w:r>
              <w:rPr>
                <w:color w:val="F85F00"/>
              </w:rPr>
              <w:t> </w:t>
            </w:r>
          </w:p>
        </w:tc>
        <w:tc>
          <w:tcPr>
            <w:tcW w:w="33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Finance costs</w:t>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(1,173.4)</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(1,176.4)</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(1,166.3)</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(1,169.4)</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before tax</w:t>
            </w:r>
          </w:p>
        </w:tc>
        <w:tc>
          <w:tcPr>
            <w:tcW w:w="96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(411.9)</w:t>
            </w:r>
          </w:p>
        </w:tc>
        <w:tc>
          <w:tcPr>
            <w:tcW w:w="3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(1.1)</w:t>
            </w:r>
          </w:p>
        </w:tc>
        <w:tc>
          <w:tcPr>
            <w:tcW w:w="41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(413.0)</w:t>
            </w:r>
          </w:p>
        </w:tc>
        <w:tc>
          <w:tcPr>
            <w:tcW w:w="33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(362.7)</w:t>
            </w:r>
          </w:p>
        </w:tc>
        <w:tc>
          <w:tcPr>
            <w:tcW w:w="3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(2.1)</w:t>
            </w:r>
          </w:p>
        </w:tc>
        <w:tc>
          <w:tcPr>
            <w:tcW w:w="41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(364.8)</w:t>
            </w:r>
          </w:p>
        </w:tc>
        <w:tc>
          <w:tcPr>
            <w:tcW w:w="33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116.5 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(0.5)</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attributable to equity owners of the company</w:t>
            </w:r>
          </w:p>
        </w:tc>
        <w:tc>
          <w:tcPr>
            <w:tcW w:w="96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(295.2)</w:t>
            </w:r>
          </w:p>
        </w:tc>
        <w:tc>
          <w:tcPr>
            <w:tcW w:w="3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(1.3)</w:t>
            </w:r>
          </w:p>
        </w:tc>
        <w:tc>
          <w:tcPr>
            <w:tcW w:w="41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(296.5)</w:t>
            </w:r>
          </w:p>
        </w:tc>
        <w:tc>
          <w:tcPr>
            <w:tcW w:w="33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(241.9)</w:t>
            </w:r>
          </w:p>
        </w:tc>
        <w:tc>
          <w:tcPr>
            <w:tcW w:w="3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(2.6)</w:t>
            </w:r>
          </w:p>
        </w:tc>
        <w:tc>
          <w:tcPr>
            <w:tcW w:w="41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(244.5)</w:t>
            </w:r>
          </w:p>
        </w:tc>
        <w:tc>
          <w:tcPr>
            <w:tcW w:w="33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attributable to equity owners of the company</w:t>
            </w:r>
          </w:p>
        </w:tc>
        <w:tc>
          <w:tcPr>
            <w:tcW w:w="96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(295.2)</w:t>
            </w:r>
          </w:p>
        </w:tc>
        <w:tc>
          <w:tcPr>
            <w:tcW w:w="36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(1.3)</w:t>
            </w:r>
          </w:p>
        </w:tc>
        <w:tc>
          <w:tcPr>
            <w:tcW w:w="41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(296.5)</w:t>
            </w:r>
          </w:p>
        </w:tc>
        <w:tc>
          <w:tcPr>
            <w:tcW w:w="33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(241.9)</w:t>
            </w:r>
          </w:p>
        </w:tc>
        <w:tc>
          <w:tcPr>
            <w:tcW w:w="36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(2.6)</w:t>
            </w:r>
          </w:p>
        </w:tc>
        <w:tc>
          <w:tcPr>
            <w:tcW w:w="41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(244.5)</w:t>
            </w:r>
          </w:p>
        </w:tc>
        <w:tc>
          <w:tcPr>
            <w:tcW w:w="33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2400"/>
                <wp:effectExtent l="0" t="0" r="0" b="0"/>
                <wp:wrapNone/>
                <wp:docPr id="25" name="Frame16"/>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11</w:t>
                      </w:r>
                    </w:p>
                  </w:txbxContent>
                </v:textbox>
                <w10:wrap type="none"/>
              </v:rect>
            </w:pict>
          </mc:Fallback>
        </mc:AlternateContent>
      </w:r>
    </w:p>
    <w:tbl>
      <w:tblPr>
        <w:tblW w:w="13683" w:type="dxa"/>
        <w:jc w:val="left"/>
        <w:tblInd w:w="0" w:type="dxa"/>
        <w:tblLayout w:type="fixed"/>
        <w:tblCellMar>
          <w:top w:w="28" w:type="dxa"/>
          <w:left w:w="28" w:type="dxa"/>
          <w:bottom w:w="28" w:type="dxa"/>
          <w:right w:w="28" w:type="dxa"/>
        </w:tblCellMar>
      </w:tblPr>
      <w:tblGrid>
        <w:gridCol w:w="527"/>
        <w:gridCol w:w="464"/>
        <w:gridCol w:w="465"/>
        <w:gridCol w:w="706"/>
        <w:gridCol w:w="330"/>
        <w:gridCol w:w="331"/>
        <w:gridCol w:w="371"/>
        <w:gridCol w:w="350"/>
        <w:gridCol w:w="351"/>
        <w:gridCol w:w="518"/>
        <w:gridCol w:w="518"/>
        <w:gridCol w:w="293"/>
        <w:gridCol w:w="109"/>
        <w:gridCol w:w="109"/>
        <w:gridCol w:w="109"/>
        <w:gridCol w:w="706"/>
        <w:gridCol w:w="330"/>
        <w:gridCol w:w="331"/>
        <w:gridCol w:w="371"/>
        <w:gridCol w:w="350"/>
        <w:gridCol w:w="351"/>
        <w:gridCol w:w="518"/>
        <w:gridCol w:w="518"/>
        <w:gridCol w:w="293"/>
        <w:gridCol w:w="109"/>
        <w:gridCol w:w="109"/>
        <w:gridCol w:w="109"/>
        <w:gridCol w:w="706"/>
        <w:gridCol w:w="330"/>
        <w:gridCol w:w="331"/>
        <w:gridCol w:w="371"/>
        <w:gridCol w:w="350"/>
        <w:gridCol w:w="351"/>
        <w:gridCol w:w="518"/>
        <w:gridCol w:w="518"/>
        <w:gridCol w:w="29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financial position</w:t>
            </w:r>
          </w:p>
        </w:tc>
        <w:tc>
          <w:tcPr>
            <w:tcW w:w="376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beginning 1 January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376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In € millions</w:t>
            </w:r>
          </w:p>
        </w:tc>
        <w:tc>
          <w:tcPr>
            <w:tcW w:w="136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6"/>
              </w:rPr>
            </w:pPr>
            <w:r>
              <w:rPr>
                <w:rFonts w:ascii="sans-serif" w:hAnsi="sans-serif"/>
                <w:b w:val="false"/>
                <w:i/>
                <w:color w:val="000000"/>
                <w:sz w:val="16"/>
              </w:rPr>
              <w:t>Previously reported amount</w:t>
            </w:r>
          </w:p>
        </w:tc>
        <w:tc>
          <w:tcPr>
            <w:tcW w:w="107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6"/>
              </w:rPr>
            </w:pPr>
            <w:r>
              <w:rPr>
                <w:rFonts w:ascii="sans-serif" w:hAnsi="sans-serif"/>
                <w:b w:val="false"/>
                <w:i/>
                <w:color w:val="000000"/>
                <w:sz w:val="16"/>
              </w:rPr>
              <w:t>Accounting policy adjustment</w:t>
            </w:r>
          </w:p>
        </w:tc>
        <w:tc>
          <w:tcPr>
            <w:tcW w:w="1329"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6"/>
              </w:rPr>
            </w:pPr>
            <w:r>
              <w:rPr>
                <w:rFonts w:ascii="sans-serif" w:hAnsi="sans-serif"/>
                <w:b/>
                <w:i/>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6"/>
              </w:rPr>
            </w:pPr>
            <w:r>
              <w:rPr>
                <w:rFonts w:ascii="sans-serif" w:hAnsi="sans-serif"/>
                <w:b w:val="false"/>
                <w:i/>
                <w:color w:val="000000"/>
                <w:sz w:val="16"/>
              </w:rPr>
              <w:t>Previously reported amount</w:t>
            </w:r>
          </w:p>
        </w:tc>
        <w:tc>
          <w:tcPr>
            <w:tcW w:w="107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6"/>
              </w:rPr>
            </w:pPr>
            <w:r>
              <w:rPr>
                <w:rFonts w:ascii="sans-serif" w:hAnsi="sans-serif"/>
                <w:b w:val="false"/>
                <w:i/>
                <w:color w:val="000000"/>
                <w:sz w:val="16"/>
              </w:rPr>
              <w:t>Accounting policy adjustment</w:t>
            </w:r>
          </w:p>
        </w:tc>
        <w:tc>
          <w:tcPr>
            <w:tcW w:w="1329"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6"/>
              </w:rPr>
            </w:pPr>
            <w:r>
              <w:rPr>
                <w:rFonts w:ascii="sans-serif" w:hAnsi="sans-serif"/>
                <w:b/>
                <w:i/>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6"/>
              </w:rPr>
            </w:pPr>
            <w:r>
              <w:rPr>
                <w:rFonts w:ascii="sans-serif" w:hAnsi="sans-serif"/>
                <w:b w:val="false"/>
                <w:i/>
                <w:color w:val="000000"/>
                <w:sz w:val="16"/>
              </w:rPr>
              <w:t>Previously reported amount</w:t>
            </w:r>
          </w:p>
        </w:tc>
        <w:tc>
          <w:tcPr>
            <w:tcW w:w="107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6"/>
              </w:rPr>
            </w:pPr>
            <w:r>
              <w:rPr>
                <w:rFonts w:ascii="sans-serif" w:hAnsi="sans-serif"/>
                <w:b w:val="false"/>
                <w:i/>
                <w:color w:val="000000"/>
                <w:sz w:val="16"/>
              </w:rPr>
              <w:t>Accounting policy adjustment</w:t>
            </w:r>
          </w:p>
        </w:tc>
        <w:tc>
          <w:tcPr>
            <w:tcW w:w="133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6"/>
              </w:rPr>
            </w:pPr>
            <w:r>
              <w:rPr>
                <w:rFonts w:ascii="sans-serif" w:hAnsi="sans-serif"/>
                <w:b/>
                <w:i/>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Assets:</w:t>
            </w:r>
          </w:p>
        </w:tc>
        <w:tc>
          <w:tcPr>
            <w:tcW w:w="13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Intangible assets and goodwill</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10,416.9 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118.0 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10,534.9 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11,047.6 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150.7 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11,198.3 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11,632.0 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138.7 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11,770.7 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current assets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45.4 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(5.5)</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assets</w:t>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15,976.5</w:t>
            </w:r>
            <w:r>
              <w:rPr>
                <w:color w:val="000000"/>
              </w:rPr>
              <w:t> </w:t>
            </w:r>
          </w:p>
        </w:tc>
        <w:tc>
          <w:tcPr>
            <w:tcW w:w="33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113.6</w:t>
            </w:r>
            <w:r>
              <w:rPr>
                <w:color w:val="000000"/>
              </w:rPr>
              <w:t> </w:t>
            </w:r>
          </w:p>
        </w:tc>
        <w:tc>
          <w:tcPr>
            <w:tcW w:w="3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16,090.1</w:t>
            </w:r>
            <w:r>
              <w:rPr>
                <w:color w:val="000000"/>
              </w:rPr>
              <w:t> </w:t>
            </w:r>
          </w:p>
        </w:tc>
        <w:tc>
          <w:tcPr>
            <w:tcW w:w="293"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17,923.3</w:t>
            </w:r>
            <w:r>
              <w:rPr>
                <w:color w:val="000000"/>
              </w:rPr>
              <w:t> </w:t>
            </w:r>
          </w:p>
        </w:tc>
        <w:tc>
          <w:tcPr>
            <w:tcW w:w="33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143.2</w:t>
            </w:r>
            <w:r>
              <w:rPr>
                <w:color w:val="000000"/>
              </w:rPr>
              <w:t> </w:t>
            </w:r>
          </w:p>
        </w:tc>
        <w:tc>
          <w:tcPr>
            <w:tcW w:w="3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18,066.5</w:t>
            </w:r>
            <w:r>
              <w:rPr>
                <w:color w:val="000000"/>
              </w:rPr>
              <w:t> </w:t>
            </w:r>
          </w:p>
        </w:tc>
        <w:tc>
          <w:tcPr>
            <w:tcW w:w="293"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17,774.3</w:t>
            </w:r>
            <w:r>
              <w:rPr>
                <w:color w:val="000000"/>
              </w:rPr>
              <w:t> </w:t>
            </w:r>
          </w:p>
        </w:tc>
        <w:tc>
          <w:tcPr>
            <w:tcW w:w="33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133.2</w:t>
            </w:r>
            <w:r>
              <w:rPr>
                <w:color w:val="000000"/>
              </w:rPr>
              <w:t> </w:t>
            </w:r>
          </w:p>
        </w:tc>
        <w:tc>
          <w:tcPr>
            <w:tcW w:w="3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17,907.5</w:t>
            </w:r>
            <w:r>
              <w:rPr>
                <w:color w:val="000000"/>
              </w:rPr>
              <w:t> </w:t>
            </w:r>
          </w:p>
        </w:tc>
        <w:tc>
          <w:tcPr>
            <w:tcW w:w="299"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Liabilities:</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liabilities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47.5 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40.8 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88.3 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129.1 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182.0 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89.2 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141.9 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payables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724.3 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76.0 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800.3 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684.3 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16.2 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700.5 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751.2 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44.0 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795.2 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Deferred tax liabilities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600.2 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0.7 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600.9 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797.3 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0.5 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797.8 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1,022.4 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1,022.4 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liabilities</w:t>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14,851.4</w:t>
            </w:r>
            <w:r>
              <w:rPr>
                <w:color w:val="000000"/>
              </w:rPr>
              <w:t> </w:t>
            </w:r>
          </w:p>
        </w:tc>
        <w:tc>
          <w:tcPr>
            <w:tcW w:w="33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117.5</w:t>
            </w:r>
            <w:r>
              <w:rPr>
                <w:color w:val="000000"/>
              </w:rPr>
              <w:t> </w:t>
            </w:r>
          </w:p>
        </w:tc>
        <w:tc>
          <w:tcPr>
            <w:tcW w:w="3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14,968.9</w:t>
            </w:r>
            <w:r>
              <w:rPr>
                <w:color w:val="000000"/>
              </w:rPr>
              <w:t> </w:t>
            </w:r>
          </w:p>
        </w:tc>
        <w:tc>
          <w:tcPr>
            <w:tcW w:w="293"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16,380.2</w:t>
            </w:r>
            <w:r>
              <w:rPr>
                <w:color w:val="000000"/>
              </w:rPr>
              <w:t> </w:t>
            </w:r>
          </w:p>
        </w:tc>
        <w:tc>
          <w:tcPr>
            <w:tcW w:w="33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145.8</w:t>
            </w:r>
            <w:r>
              <w:rPr>
                <w:color w:val="000000"/>
              </w:rPr>
              <w:t> </w:t>
            </w:r>
          </w:p>
        </w:tc>
        <w:tc>
          <w:tcPr>
            <w:tcW w:w="3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16,526.0</w:t>
            </w:r>
            <w:r>
              <w:rPr>
                <w:color w:val="000000"/>
              </w:rPr>
              <w:t> </w:t>
            </w:r>
          </w:p>
        </w:tc>
        <w:tc>
          <w:tcPr>
            <w:tcW w:w="293"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15,864.3</w:t>
            </w:r>
            <w:r>
              <w:rPr>
                <w:color w:val="000000"/>
              </w:rPr>
              <w:t> </w:t>
            </w:r>
          </w:p>
        </w:tc>
        <w:tc>
          <w:tcPr>
            <w:tcW w:w="33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133.2</w:t>
            </w:r>
            <w:r>
              <w:rPr>
                <w:color w:val="000000"/>
              </w:rPr>
              <w:t> </w:t>
            </w:r>
          </w:p>
        </w:tc>
        <w:tc>
          <w:tcPr>
            <w:tcW w:w="3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15,997.5</w:t>
            </w:r>
            <w:r>
              <w:rPr>
                <w:color w:val="000000"/>
              </w:rPr>
              <w:t> </w:t>
            </w:r>
          </w:p>
        </w:tc>
        <w:tc>
          <w:tcPr>
            <w:tcW w:w="299"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Equity:</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Retained earnings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(1,966.1)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(1,970.0)</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(1,670.9)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(1,673.5)</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1,429.0 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1,429.0 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Equity</w:t>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1,125.1</w:t>
            </w:r>
            <w:r>
              <w:rPr>
                <w:color w:val="000000"/>
              </w:rPr>
              <w:t> </w:t>
            </w:r>
          </w:p>
        </w:tc>
        <w:tc>
          <w:tcPr>
            <w:tcW w:w="33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(3.9)</w:t>
            </w:r>
          </w:p>
        </w:tc>
        <w:tc>
          <w:tcPr>
            <w:tcW w:w="35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1,121.2</w:t>
            </w:r>
            <w:r>
              <w:rPr>
                <w:color w:val="000000"/>
              </w:rPr>
              <w:t> </w:t>
            </w:r>
          </w:p>
        </w:tc>
        <w:tc>
          <w:tcPr>
            <w:tcW w:w="29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1,543.1</w:t>
            </w:r>
            <w:r>
              <w:rPr>
                <w:color w:val="000000"/>
              </w:rPr>
              <w:t> </w:t>
            </w:r>
          </w:p>
        </w:tc>
        <w:tc>
          <w:tcPr>
            <w:tcW w:w="33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(2.6)</w:t>
            </w:r>
          </w:p>
        </w:tc>
        <w:tc>
          <w:tcPr>
            <w:tcW w:w="35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1,540.5</w:t>
            </w:r>
            <w:r>
              <w:rPr>
                <w:color w:val="000000"/>
              </w:rPr>
              <w:t> </w:t>
            </w:r>
          </w:p>
        </w:tc>
        <w:tc>
          <w:tcPr>
            <w:tcW w:w="29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1,910.0</w:t>
            </w:r>
            <w:r>
              <w:rPr>
                <w:color w:val="000000"/>
              </w:rPr>
              <w:t> </w:t>
            </w:r>
          </w:p>
        </w:tc>
        <w:tc>
          <w:tcPr>
            <w:tcW w:w="33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 </w:t>
            </w:r>
          </w:p>
        </w:tc>
        <w:tc>
          <w:tcPr>
            <w:tcW w:w="35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1,910.0</w:t>
            </w:r>
            <w:r>
              <w:rPr>
                <w:color w:val="000000"/>
              </w:rPr>
              <w:t> </w:t>
            </w:r>
          </w:p>
        </w:tc>
        <w:tc>
          <w:tcPr>
            <w:tcW w:w="29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1"/>
        <w:gridCol w:w="574"/>
        <w:gridCol w:w="575"/>
        <w:gridCol w:w="624"/>
        <w:gridCol w:w="391"/>
        <w:gridCol w:w="392"/>
        <w:gridCol w:w="439"/>
        <w:gridCol w:w="439"/>
        <w:gridCol w:w="440"/>
        <w:gridCol w:w="468"/>
        <w:gridCol w:w="469"/>
        <w:gridCol w:w="344"/>
        <w:gridCol w:w="109"/>
        <w:gridCol w:w="109"/>
        <w:gridCol w:w="109"/>
        <w:gridCol w:w="611"/>
        <w:gridCol w:w="391"/>
        <w:gridCol w:w="392"/>
        <w:gridCol w:w="439"/>
        <w:gridCol w:w="439"/>
        <w:gridCol w:w="440"/>
        <w:gridCol w:w="458"/>
        <w:gridCol w:w="458"/>
        <w:gridCol w:w="44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changes in equity</w:t>
            </w:r>
          </w:p>
        </w:tc>
        <w:tc>
          <w:tcPr>
            <w:tcW w:w="4006" w:type="dxa"/>
            <w:gridSpan w:val="9"/>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9"/>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 Equity</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40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reported amount</w:t>
            </w:r>
          </w:p>
        </w:tc>
        <w:tc>
          <w:tcPr>
            <w:tcW w:w="1318"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28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reported amount</w:t>
            </w:r>
          </w:p>
        </w:tc>
        <w:tc>
          <w:tcPr>
            <w:tcW w:w="1318"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360"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r>
      <w:tr>
        <w:trPr/>
        <w:tc>
          <w:tcPr>
            <w:tcW w:w="1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1 January 2024</w:t>
            </w:r>
          </w:p>
        </w:tc>
        <w:tc>
          <w:tcPr>
            <w:tcW w:w="101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(1,429.0)</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color w:val="000000"/>
              </w:rPr>
            </w:pPr>
            <w:r>
              <w:rPr>
                <w:color w:val="000000"/>
              </w:rPr>
              <w:t>— </w:t>
            </w:r>
          </w:p>
        </w:tc>
        <w:tc>
          <w:tcPr>
            <w:tcW w:w="4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(1,429.0)</w:t>
            </w:r>
          </w:p>
        </w:tc>
        <w:tc>
          <w:tcPr>
            <w:tcW w:w="3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1,910.0</w:t>
            </w:r>
            <w:r>
              <w:rPr>
                <w:color w:val="000000"/>
              </w:rPr>
              <w:t>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color w:val="000000"/>
              </w:rPr>
            </w:pPr>
            <w:r>
              <w:rPr>
                <w:color w:val="000000"/>
              </w:rPr>
              <w:t>— </w:t>
            </w:r>
          </w:p>
        </w:tc>
        <w:tc>
          <w:tcPr>
            <w:tcW w:w="4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1,910.0</w:t>
            </w:r>
            <w:r>
              <w:rPr>
                <w:color w:val="000000"/>
              </w:rPr>
              <w:t> </w:t>
            </w:r>
          </w:p>
        </w:tc>
        <w:tc>
          <w:tcPr>
            <w:tcW w:w="4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 for the period</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(241.9)</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(244.5)</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(241.9)</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(244.5)</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Balance at 31 December 2024</w:t>
            </w:r>
          </w:p>
        </w:tc>
        <w:tc>
          <w:tcPr>
            <w:tcW w:w="1015"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(1,670.9)</w:t>
            </w:r>
          </w:p>
        </w:tc>
        <w:tc>
          <w:tcPr>
            <w:tcW w:w="392"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(2.6)</w:t>
            </w:r>
          </w:p>
        </w:tc>
        <w:tc>
          <w:tcPr>
            <w:tcW w:w="44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(1,673.5)</w:t>
            </w:r>
          </w:p>
        </w:tc>
        <w:tc>
          <w:tcPr>
            <w:tcW w:w="34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1,543.1</w:t>
            </w:r>
            <w:r>
              <w:rPr>
                <w:color w:val="F85F00"/>
              </w:rPr>
              <w:t> </w:t>
            </w:r>
          </w:p>
        </w:tc>
        <w:tc>
          <w:tcPr>
            <w:tcW w:w="392"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(2.6)</w:t>
            </w:r>
          </w:p>
        </w:tc>
        <w:tc>
          <w:tcPr>
            <w:tcW w:w="44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1,540.5</w:t>
            </w:r>
            <w:r>
              <w:rPr>
                <w:color w:val="F85F00"/>
              </w:rPr>
              <w:t> </w:t>
            </w:r>
          </w:p>
        </w:tc>
        <w:tc>
          <w:tcPr>
            <w:tcW w:w="44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 for the period</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(295.2)</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(296.5)</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(295.2)</w:t>
            </w:r>
          </w:p>
        </w:tc>
        <w:tc>
          <w:tcPr>
            <w:tcW w:w="3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(296.5)</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31 December 2025</w:t>
            </w:r>
          </w:p>
        </w:tc>
        <w:tc>
          <w:tcPr>
            <w:tcW w:w="1015"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(1,966.1)</w:t>
            </w:r>
          </w:p>
        </w:tc>
        <w:tc>
          <w:tcPr>
            <w:tcW w:w="39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(3.9)</w:t>
            </w:r>
          </w:p>
        </w:tc>
        <w:tc>
          <w:tcPr>
            <w:tcW w:w="440"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(1,970.0)</w:t>
            </w:r>
          </w:p>
        </w:tc>
        <w:tc>
          <w:tcPr>
            <w:tcW w:w="34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1,125.1</w:t>
            </w:r>
            <w:r>
              <w:rPr>
                <w:color w:val="000000"/>
              </w:rPr>
              <w:t> </w:t>
            </w:r>
          </w:p>
        </w:tc>
        <w:tc>
          <w:tcPr>
            <w:tcW w:w="39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(3.9)</w:t>
            </w:r>
          </w:p>
        </w:tc>
        <w:tc>
          <w:tcPr>
            <w:tcW w:w="440"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1,121.2</w:t>
            </w:r>
            <w:r>
              <w:rPr>
                <w:color w:val="000000"/>
              </w:rPr>
              <w:t> </w:t>
            </w:r>
          </w:p>
        </w:tc>
        <w:tc>
          <w:tcPr>
            <w:tcW w:w="44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4"/>
        <w:gridCol w:w="602"/>
        <w:gridCol w:w="603"/>
        <w:gridCol w:w="601"/>
        <w:gridCol w:w="373"/>
        <w:gridCol w:w="374"/>
        <w:gridCol w:w="420"/>
        <w:gridCol w:w="420"/>
        <w:gridCol w:w="421"/>
        <w:gridCol w:w="503"/>
        <w:gridCol w:w="413"/>
        <w:gridCol w:w="335"/>
        <w:gridCol w:w="109"/>
        <w:gridCol w:w="109"/>
        <w:gridCol w:w="109"/>
        <w:gridCol w:w="601"/>
        <w:gridCol w:w="373"/>
        <w:gridCol w:w="374"/>
        <w:gridCol w:w="420"/>
        <w:gridCol w:w="420"/>
        <w:gridCol w:w="421"/>
        <w:gridCol w:w="503"/>
        <w:gridCol w:w="413"/>
        <w:gridCol w:w="335"/>
        <w:gridCol w:w="109"/>
        <w:gridCol w:w="160"/>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vMerge w:val="restart"/>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cash flows</w:t>
            </w:r>
          </w:p>
        </w:tc>
        <w:tc>
          <w:tcPr>
            <w:tcW w:w="3860"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vMerge w:val="continue"/>
            <w:tcBorders/>
            <w:tcMar>
              <w:top w:w="0" w:type="dxa"/>
              <w:left w:w="0" w:type="dxa"/>
              <w:bottom w:w="0" w:type="dxa"/>
              <w:right w:w="0" w:type="dxa"/>
            </w:tcMar>
            <w:vAlign w:val="center"/>
          </w:tcPr>
          <w:p>
            <w:pPr>
              <w:pStyle w:val="Normal"/>
              <w:bidi w:val="0"/>
              <w:jc w:val="left"/>
              <w:rPr/>
            </w:pPr>
            <w:r>
              <w:rPr/>
            </w:r>
          </w:p>
        </w:tc>
        <w:tc>
          <w:tcPr>
            <w:tcW w:w="3860"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348"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reported amount</w:t>
            </w:r>
          </w:p>
        </w:tc>
        <w:tc>
          <w:tcPr>
            <w:tcW w:w="126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25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reported amount</w:t>
            </w:r>
          </w:p>
        </w:tc>
        <w:tc>
          <w:tcPr>
            <w:tcW w:w="126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25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operating activities:</w:t>
            </w:r>
          </w:p>
        </w:tc>
        <w:tc>
          <w:tcPr>
            <w:tcW w:w="1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loss</w:t>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(295.2)</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(296.5)</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(241.9)</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(244.5)</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Adjustments to reconcile net loss to net cash generated from operating activities:</w:t>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 and amortisation</w:t>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1,638.0 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61.1 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1,699.1 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1,638.0 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41.3 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1,679.3 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finance costs</w:t>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530.3 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533.3 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667.4 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670.5 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(116.7)</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(116.5)</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(120.8)</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(120.3)</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(36.8)</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(63.0)</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(99.8)</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186.4 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(42.3)</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144.1 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generated from operating activities</w:t>
            </w:r>
          </w:p>
        </w:tc>
        <w:tc>
          <w:tcPr>
            <w:tcW w:w="974"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1,786.3</w:t>
            </w:r>
            <w:r>
              <w:rPr>
                <w:color w:val="000000"/>
              </w:rPr>
              <w:t> </w:t>
            </w:r>
          </w:p>
        </w:tc>
        <w:tc>
          <w:tcPr>
            <w:tcW w:w="37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 </w:t>
            </w:r>
          </w:p>
        </w:tc>
        <w:tc>
          <w:tcPr>
            <w:tcW w:w="42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1,786.3</w:t>
            </w:r>
            <w:r>
              <w:rPr>
                <w:color w:val="000000"/>
              </w:rPr>
              <w:t> </w:t>
            </w:r>
          </w:p>
        </w:tc>
        <w:tc>
          <w:tcPr>
            <w:tcW w:w="33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2,144.4</w:t>
            </w:r>
            <w:r>
              <w:rPr>
                <w:color w:val="000000"/>
              </w:rPr>
              <w:t> </w:t>
            </w:r>
          </w:p>
        </w:tc>
        <w:tc>
          <w:tcPr>
            <w:tcW w:w="37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 </w:t>
            </w:r>
          </w:p>
        </w:tc>
        <w:tc>
          <w:tcPr>
            <w:tcW w:w="42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2,144.4</w:t>
            </w:r>
            <w:r>
              <w:rPr>
                <w:color w:val="000000"/>
              </w:rPr>
              <w:t> </w:t>
            </w:r>
          </w:p>
        </w:tc>
        <w:tc>
          <w:tcPr>
            <w:tcW w:w="33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2400"/>
                <wp:effectExtent l="0" t="0" r="0" b="0"/>
                <wp:wrapNone/>
                <wp:docPr id="26" name="Frame17"/>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12</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24" w:name="id013e7d866f34da482765397d68393fb"/>
      <w:bookmarkEnd w:id="24"/>
      <w:r>
        <w:rPr>
          <w:rFonts w:ascii="sans-serif" w:hAnsi="sans-serif"/>
          <w:b/>
          <w:color w:val="000000"/>
          <w:sz w:val="24"/>
        </w:rPr>
        <w:t>4.    Revenue</w:t>
      </w:r>
    </w:p>
    <w:p>
      <w:pPr>
        <w:pStyle w:val="TextBody"/>
        <w:bidi w:val="0"/>
        <w:spacing w:lineRule="auto" w:line="288" w:before="0" w:after="240"/>
        <w:jc w:val="both"/>
        <w:rPr>
          <w:rFonts w:ascii="sans-serif" w:hAnsi="sans-serif"/>
          <w:b w:val="false"/>
          <w:color w:val="242424"/>
          <w:sz w:val="18"/>
        </w:rPr>
      </w:pPr>
      <w:r>
        <w:rPr>
          <w:rFonts w:ascii="sans-serif" w:hAnsi="sans-serif"/>
          <w:b w:val="false"/>
          <w:color w:val="242424"/>
          <w:sz w:val="18"/>
        </w:rPr>
        <w:t>We provide fixed, mobile and integrated communication and entertainment services to consumers and businesses in the Netherlands. Our revenue by major category is outlined below:</w:t>
      </w:r>
    </w:p>
    <w:tbl>
      <w:tblPr>
        <w:tblW w:w="5635" w:type="dxa"/>
        <w:jc w:val="left"/>
        <w:tblInd w:w="0" w:type="dxa"/>
        <w:tblLayout w:type="fixed"/>
        <w:tblCellMar>
          <w:top w:w="28" w:type="dxa"/>
          <w:left w:w="28" w:type="dxa"/>
          <w:bottom w:w="28" w:type="dxa"/>
          <w:right w:w="28" w:type="dxa"/>
        </w:tblCellMar>
      </w:tblPr>
      <w:tblGrid>
        <w:gridCol w:w="1210"/>
        <w:gridCol w:w="1065"/>
        <w:gridCol w:w="1069"/>
        <w:gridCol w:w="458"/>
        <w:gridCol w:w="458"/>
        <w:gridCol w:w="196"/>
        <w:gridCol w:w="458"/>
        <w:gridCol w:w="458"/>
        <w:gridCol w:w="263"/>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33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Consumer fixed revenue (a):</w:t>
            </w:r>
          </w:p>
        </w:tc>
        <w:tc>
          <w:tcPr>
            <w:tcW w:w="11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1,886.4 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1,968.0 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consumer fixed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1,893.1</w:t>
            </w:r>
            <w:r>
              <w:rPr>
                <w:color w:val="F85F00"/>
              </w:rPr>
              <w:t> </w:t>
            </w:r>
          </w:p>
        </w:tc>
        <w:tc>
          <w:tcPr>
            <w:tcW w:w="19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1,978.5</w:t>
            </w:r>
            <w:r>
              <w:rPr>
                <w:color w:val="F85F00"/>
              </w:rPr>
              <w:t> </w:t>
            </w:r>
          </w:p>
        </w:tc>
        <w:tc>
          <w:tcPr>
            <w:tcW w:w="26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Consumer mobile revenue (b):</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723.5 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254.2 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263.9 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consumer mobile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973.2</w:t>
            </w:r>
            <w:r>
              <w:rPr>
                <w:color w:val="F85F00"/>
              </w:rPr>
              <w:t> </w:t>
            </w:r>
          </w:p>
        </w:tc>
        <w:tc>
          <w:tcPr>
            <w:tcW w:w="19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987.4</w:t>
            </w:r>
            <w:r>
              <w:rPr>
                <w:color w:val="F85F00"/>
              </w:rPr>
              <w:t> </w:t>
            </w:r>
          </w:p>
        </w:tc>
        <w:tc>
          <w:tcPr>
            <w:tcW w:w="26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consumer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2,866.3</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2,965.9</w:t>
            </w: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B2B fixed revenue (c):</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572.7 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567.0 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B2B fixed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579.2</w:t>
            </w:r>
            <w:r>
              <w:rPr>
                <w:color w:val="F85F00"/>
              </w:rPr>
              <w:t> </w:t>
            </w:r>
          </w:p>
        </w:tc>
        <w:tc>
          <w:tcPr>
            <w:tcW w:w="19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574.8</w:t>
            </w:r>
            <w:r>
              <w:rPr>
                <w:color w:val="F85F00"/>
              </w:rPr>
              <w:t> </w:t>
            </w:r>
          </w:p>
        </w:tc>
        <w:tc>
          <w:tcPr>
            <w:tcW w:w="26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B2B mobile revenue (d):</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379.0 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410.6 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126.9 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128.1 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B2B mobile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505.9</w:t>
            </w:r>
            <w:r>
              <w:rPr>
                <w:color w:val="F85F00"/>
              </w:rPr>
              <w:t> </w:t>
            </w:r>
          </w:p>
        </w:tc>
        <w:tc>
          <w:tcPr>
            <w:tcW w:w="19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538.7</w:t>
            </w:r>
            <w:r>
              <w:rPr>
                <w:color w:val="F85F00"/>
              </w:rPr>
              <w:t> </w:t>
            </w:r>
          </w:p>
        </w:tc>
        <w:tc>
          <w:tcPr>
            <w:tcW w:w="26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B2B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1,085.1</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1,113.5</w:t>
            </w: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revenue (e)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3,999.0</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4,113.8</w:t>
            </w:r>
            <w:r>
              <w:rPr>
                <w:color w:val="000000"/>
              </w:rPr>
              <w:t> </w:t>
            </w:r>
          </w:p>
        </w:tc>
        <w:tc>
          <w:tcPr>
            <w:tcW w:w="26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Consumer fixed revenue is classified as either subscription revenue or non-subscription revenue. Consumer fixed subscription revenue includes revenue from subscribers for ongoing broadband internet, video, and fixed-line telephony services offered to residential customers and the amortisation of installation fees. Consumer fixed non-subscription revenue includes, among other items, interconnect, channel carriage fees, late fees and revenue from the sale of equipment.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lineRule="atLeast" w:line="180" w:before="0" w:after="0"/>
        <w:ind w:left="0" w:right="0" w:hanging="283"/>
        <w:jc w:val="left"/>
        <w:rPr/>
      </w:pPr>
      <w:r>
        <w:rPr>
          <w:rFonts w:ascii="sans-serif" w:hAnsi="sans-serif"/>
          <w:b w:val="false"/>
          <w:color w:val="000000"/>
          <w:sz w:val="14"/>
        </w:rPr>
        <w:t>(b)</w:t>
      </w:r>
      <w:r>
        <w:rPr>
          <w:rFonts w:ascii="sans-serif" w:hAnsi="sans-serif"/>
          <w:b w:val="false"/>
          <w:color w:val="000000"/>
          <w:sz w:val="16"/>
        </w:rPr>
        <w:t>Consumer mobile revenue is classified as either subscription revenue or non-subscription revenue. Consumer mobile subscription revenue includes revenue from ongoing mobile and data services offered under postpaid and prepaid arrangements to residential customers. Consumer mobile non-subscription revenue includes, among other items, interconnect revenue, mobile handset and accessories sales, and late fees.</w:t>
      </w:r>
    </w:p>
    <w:p>
      <w:pPr>
        <w:pStyle w:val="TextBody"/>
        <w:bidi w:val="0"/>
        <w:spacing w:lineRule="atLeast" w:line="180" w:before="0" w:after="0"/>
        <w:ind w:left="0" w:right="0" w:hanging="283"/>
        <w:jc w:val="left"/>
        <w:rPr/>
      </w:pPr>
      <w:r>
        <w:rPr>
          <w:rFonts w:ascii="sans-serif" w:hAnsi="sans-serif"/>
          <w:b w:val="false"/>
          <w:color w:val="000000"/>
          <w:sz w:val="14"/>
        </w:rPr>
        <w:t>(c)</w:t>
      </w:r>
      <w:r>
        <w:rPr>
          <w:rFonts w:ascii="sans-serif" w:hAnsi="sans-serif"/>
          <w:b w:val="false"/>
          <w:color w:val="000000"/>
          <w:sz w:val="16"/>
        </w:rPr>
        <w:t xml:space="preserve">B2B fixed revenue is classified as either subscription revenue or non-subscription revenue. B2B fixed subscription revenue includes revenue from business broadband internet, video, fixed-line telephony and data services, offered to Small or Home Office (SoHo) customers and small </w:t>
      </w:r>
    </w:p>
    <w:p>
      <w:pPr>
        <w:pStyle w:val="TextBody"/>
        <w:bidi w:val="0"/>
        <w:spacing w:lineRule="atLeast" w:line="180" w:before="0" w:after="0"/>
        <w:jc w:val="left"/>
        <w:rPr>
          <w:rFonts w:ascii="sans-serif" w:hAnsi="sans-serif"/>
          <w:b w:val="false"/>
          <w:color w:val="000000"/>
          <w:sz w:val="16"/>
        </w:rPr>
      </w:pPr>
      <w:r>
        <w:rPr>
          <w:rFonts w:ascii="sans-serif" w:hAnsi="sans-serif"/>
          <w:b w:val="false"/>
          <w:color w:val="000000"/>
          <w:sz w:val="16"/>
        </w:rPr>
        <w:t>and medium to large enterprises. B2B fixed non-subscription revenue includes, among other items, revenue from hosting services, installation fees, carriage fees and interconnect.</w:t>
      </w:r>
    </w:p>
    <w:p>
      <w:pPr>
        <w:pStyle w:val="TextBody"/>
        <w:bidi w:val="0"/>
        <w:spacing w:lineRule="atLeast" w:line="180" w:before="0" w:after="0"/>
        <w:ind w:left="0" w:right="0" w:hanging="283"/>
        <w:jc w:val="left"/>
        <w:rPr/>
      </w:pPr>
      <w:r>
        <w:rPr>
          <w:rFonts w:ascii="sans-serif" w:hAnsi="sans-serif"/>
          <w:b w:val="false"/>
          <w:color w:val="000000"/>
          <w:sz w:val="14"/>
        </w:rPr>
        <w:t>(d)</w:t>
      </w:r>
      <w:r>
        <w:rPr>
          <w:rFonts w:ascii="sans-serif" w:hAnsi="sans-serif"/>
          <w:b w:val="false"/>
          <w:color w:val="000000"/>
          <w:sz w:val="16"/>
        </w:rPr>
        <w:t xml:space="preserve">B2B mobile revenue is classified as either subscription revenue or non-subscription revenue. B2B mobile subscription revenue includes revenue from ongoing mobile and data services offered to SoHo, small and medium to large enterprise customers as well as wholesale customers. B2B mobile non-subscription revenue includes, among other items, interconnect (including visitor) revenue, mobile handset and accessories sales, site sharing revenue and late fees. </w:t>
      </w:r>
    </w:p>
    <w:p>
      <w:pPr>
        <w:pStyle w:val="TextBody"/>
        <w:bidi w:val="0"/>
        <w:spacing w:lineRule="atLeast" w:line="180" w:before="0" w:after="0"/>
        <w:ind w:left="0" w:right="0" w:hanging="283"/>
        <w:jc w:val="left"/>
        <w:rPr/>
      </w:pPr>
      <w:r>
        <w:rPr>
          <w:rFonts w:ascii="sans-serif" w:hAnsi="sans-serif"/>
          <w:b w:val="false"/>
          <w:color w:val="000000"/>
          <w:sz w:val="14"/>
        </w:rPr>
        <w:t>(e)</w:t>
      </w:r>
      <w:r>
        <w:rPr>
          <w:rFonts w:ascii="sans-serif" w:hAnsi="sans-serif"/>
          <w:b w:val="false"/>
          <w:color w:val="000000"/>
          <w:sz w:val="16"/>
        </w:rPr>
        <w:t xml:space="preserve">Other revenue includes, among other items, programming and advertising revenues. </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335"/>
        <w:gridCol w:w="3073"/>
        <w:gridCol w:w="308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Revenue recognition and related costs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100" w:after="200"/>
              <w:jc w:val="left"/>
              <w:rPr/>
            </w:pPr>
            <w:r>
              <w:rPr>
                <w:rFonts w:ascii="sans-serif" w:hAnsi="sans-serif"/>
                <w:b w:val="false"/>
                <w:i/>
                <w:color w:val="585857"/>
                <w:sz w:val="18"/>
              </w:rPr>
              <w:t>Gross versus net presentation.</w:t>
            </w:r>
            <w:r>
              <w:rPr>
                <w:color w:val="585857"/>
              </w:rPr>
              <w:t xml:space="preserve">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When we sell goods or services as a principal, income and payments to suppliers are reported on a gross basis in revenue and operating costs. If we sell goods or services as an agent, revenue and payments to suppliers are recorded in revenue on a net basis, representing the margin earned.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100" w:after="200"/>
              <w:jc w:val="left"/>
              <w:rPr>
                <w:rFonts w:ascii="sans-serif" w:hAnsi="sans-serif"/>
                <w:b w:val="false"/>
                <w:i/>
                <w:color w:val="585857"/>
                <w:sz w:val="18"/>
              </w:rPr>
            </w:pPr>
            <w:r>
              <w:rPr>
                <w:rFonts w:ascii="sans-serif" w:hAnsi="sans-serif"/>
                <w:b w:val="false"/>
                <w:i/>
                <w:color w:val="585857"/>
                <w:sz w:val="18"/>
              </w:rPr>
              <w:t xml:space="preserve">Service revenue — Fixed Network.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We recognise revenue from the provision of video, broadband internet and fixed-line telephony services over our fixed network to customers over time in the periods the related services are provided, with the exception of revenue recognised pursuant to certain contracts that contain promotional discounts, as described below. Installation fees related to services provided over our fixed network are generally deferred and recognised as revenue over the contractual period.</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pPr>
            <w:r>
              <w:rPr>
                <w:rFonts w:ascii="sans-serif" w:hAnsi="sans-serif"/>
                <w:b w:val="false"/>
                <w:i/>
                <w:color w:val="585857"/>
                <w:sz w:val="18"/>
              </w:rPr>
              <w:t>Sale of multiple products and services.</w:t>
            </w:r>
            <w:r>
              <w:rPr>
                <w:color w:val="585857"/>
              </w:rPr>
              <w:t xml:space="preserve">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We sell video, broadband internet, fixed-line telephony and mobile services and handsets to our 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pPr>
            <w:r>
              <w:rPr>
                <w:rFonts w:ascii="sans-serif" w:hAnsi="sans-serif"/>
                <w:b w:val="false"/>
                <w:i/>
                <w:color w:val="585857"/>
                <w:sz w:val="18"/>
              </w:rPr>
              <w:t>Mobile revenue — General.</w:t>
            </w:r>
            <w:r>
              <w:rPr>
                <w:color w:val="585857"/>
              </w:rPr>
              <w:t xml:space="preserve">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Consideration from mobile contracts is allocated to the airtime service component and the handset component based on the relative stand-alone selling prices of each component. Offers for handsets and airtime services in separate contracts entered into at the same time are accounted for as a single contract.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pPr>
            <w:r>
              <w:rPr>
                <w:rFonts w:ascii="sans-serif" w:hAnsi="sans-serif"/>
                <w:b w:val="false"/>
                <w:i/>
                <w:color w:val="585857"/>
                <w:sz w:val="18"/>
              </w:rPr>
              <w:t>Mobile revenue — Airtime Services.</w:t>
            </w:r>
            <w:r>
              <w:rPr>
                <w:color w:val="585857"/>
              </w:rPr>
              <w:t xml:space="preserve">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We recognise revenue from mobile services over time in the periods the related services are provided. Revenue from pre-pay customers is deferred prior to the commencement of services and recognised as the services are rendered or usage rights expire.</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pPr>
            <w:r>
              <w:rPr>
                <w:rFonts w:ascii="sans-serif" w:hAnsi="sans-serif"/>
                <w:b w:val="false"/>
                <w:i/>
                <w:color w:val="585857"/>
                <w:sz w:val="18"/>
              </w:rPr>
              <w:t>Mobile revenue — Handset revenue.</w:t>
            </w:r>
            <w:r>
              <w:rPr>
                <w:color w:val="585857"/>
              </w:rPr>
              <w:t xml:space="preserve">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Arrangement consideration allocated to handsets is recognised as revenue at the point in time in which the goods have been transferred to the customer. Mobile handset contracts that permit the customer to take control of the handset upfront and pay for the handset in instalments over a contractual period may contain a significant financing component. For contracts with terms of one year or more, we recognise the significant financing component as revenue over the contractual period using the effective interest method.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pPr>
            <w:r>
              <w:rPr>
                <w:rFonts w:ascii="sans-serif" w:hAnsi="sans-serif"/>
                <w:b w:val="false"/>
                <w:i/>
                <w:color w:val="585857"/>
                <w:sz w:val="18"/>
              </w:rPr>
              <w:t>B2B fixed revenue.</w:t>
            </w:r>
            <w:r>
              <w:rPr>
                <w:color w:val="585857"/>
              </w:rPr>
              <w:t xml:space="preserve">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We defer upfront installation and certain nonrecurring fees received on B2B contracts where we maintain ownership of the installed equipment. The deferred fees are amortised into revenue on a straight-line basis over the term of the arrangement for installation fees or over the expected period of performance for nonrecurring fees.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2400"/>
                <wp:effectExtent l="0" t="0" r="0" b="0"/>
                <wp:wrapNone/>
                <wp:docPr id="27" name="Frame18"/>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313"/>
        <w:gridCol w:w="3167"/>
        <w:gridCol w:w="3010"/>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pPr>
            <w:r>
              <w:rPr>
                <w:rFonts w:ascii="sans-serif" w:hAnsi="sans-serif"/>
                <w:b w:val="false"/>
                <w:i/>
                <w:color w:val="585857"/>
                <w:sz w:val="18"/>
              </w:rPr>
              <w:t>Contract costs.</w:t>
            </w:r>
            <w:r>
              <w:rPr>
                <w:color w:val="585857"/>
              </w:rPr>
              <w:t xml:space="preserve"> </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Incremental costs to obtain a contract with a customer, such as incremental sales commissions, are generally recognised as assets and amortised over the applicable period benefited, which generally is the contract life, to (i) cost of outsourced work and other external costs or (ii) in the case of commissions earned on devices sold through indirect channels, against service revenue. If, however, the amortisation period is less than one year, we expense such costs in the period incurred.</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Contract fulfilment costs are recognised as assets and amortised to cost of outsourced work and other external costs over the applicable period benefited, which is generally the substantive contract term for the related service contract. Installation activities are not considered to be contract fulfilment costs. </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0F0F0" w:val="clear"/>
            <w:tcMar>
              <w:top w:w="0" w:type="dxa"/>
              <w:left w:w="0" w:type="dxa"/>
              <w:bottom w:w="0" w:type="dxa"/>
              <w:right w:w="0" w:type="dxa"/>
            </w:tcMar>
            <w:vAlign w:val="center"/>
          </w:tcPr>
          <w:p>
            <w:pPr>
              <w:pStyle w:val="TableContents"/>
              <w:bidi w:val="0"/>
              <w:spacing w:lineRule="auto" w:line="288" w:before="0" w:after="180"/>
              <w:jc w:val="left"/>
              <w:rPr/>
            </w:pPr>
            <w:r>
              <w:rPr>
                <w:rFonts w:ascii="sans-serif" w:hAnsi="sans-serif"/>
                <w:b w:val="false"/>
                <w:i/>
                <w:color w:val="585857"/>
                <w:sz w:val="18"/>
              </w:rPr>
              <w:t>Promotional discounts.</w:t>
            </w:r>
            <w:r>
              <w:rPr>
                <w:color w:val="585857"/>
              </w:rPr>
              <w:t xml:space="preserve"> </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 subscriber promotions, such as discounted or free services during an introductory period, revenue is recognised uniformly over the contractual period if the contract has substantive termination penalties. For subscriber promotions offered for longer than an introductory period, we allocate discounts over the related performance obligations and the related period of delivery.</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pPr>
            <w:r>
              <w:rPr>
                <w:rFonts w:ascii="sans-serif" w:hAnsi="sans-serif"/>
                <w:b w:val="false"/>
                <w:i/>
                <w:color w:val="585857"/>
                <w:sz w:val="18"/>
              </w:rPr>
              <w:t>Subscriber Advance Payments and Deposits</w:t>
            </w:r>
            <w:r>
              <w:rPr>
                <w:rFonts w:ascii="sans-serif" w:hAnsi="sans-serif"/>
                <w:b w:val="false"/>
                <w:color w:val="585857"/>
                <w:sz w:val="18"/>
              </w:rPr>
              <w:t>.</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Payments received in advance for the services we provide are deferred and recognised as revenue when the associated services are provided.</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0F0F0" w:val="clear"/>
            <w:tcMar>
              <w:top w:w="0" w:type="dxa"/>
              <w:left w:w="0" w:type="dxa"/>
              <w:bottom w:w="0" w:type="dxa"/>
              <w:right w:w="0" w:type="dxa"/>
            </w:tcMar>
            <w:vAlign w:val="center"/>
          </w:tcPr>
          <w:p>
            <w:pPr>
              <w:pStyle w:val="TableContents"/>
              <w:bidi w:val="0"/>
              <w:spacing w:lineRule="atLeast" w:line="142" w:before="0" w:after="283"/>
              <w:jc w:val="left"/>
              <w:rPr>
                <w:rFonts w:ascii="sans-serif" w:hAnsi="sans-serif"/>
                <w:b/>
                <w:color w:val="585857"/>
                <w:sz w:val="18"/>
              </w:rPr>
            </w:pPr>
            <w:r>
              <w:rPr>
                <w:rFonts w:ascii="sans-serif" w:hAnsi="sans-serif"/>
                <w:b/>
                <w:color w:val="585857"/>
                <w:sz w:val="18"/>
              </w:rPr>
              <w:t>Contract balances</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If we transfer goods or services to a customer but do not have an unconditional right to payment, we record a contract asset. Contract assets typically arise from the delivery of a handset that is paid for over the duration of the contract period or the uniform recognition of introductory promotional discounts over the contract period.</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We record deferred revenue when we receive payment prior to transferring goods or services to a customer. We primarily defer revenue for (i) services that are invoiced prior to when services are provided and (ii) installation and other upfront services. </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The carrying value of the contract assets recorded at amortised cost is reduced by allowances for lifetime estimated credit losses. Estimated future credit losses are first recorded on the initial recognition of a receivable and are based on the ageing of the receivable balances, historical experience and forward-looking considerations. Individual balances are written off when management deems them not to be collectible.</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 information regarding our contract balances, see note 12.</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0F0F0" w:val="clear"/>
            <w:tcMar>
              <w:top w:w="0" w:type="dxa"/>
              <w:left w:w="0" w:type="dxa"/>
              <w:bottom w:w="0" w:type="dxa"/>
              <w:right w:w="0" w:type="dxa"/>
            </w:tcMar>
            <w:vAlign w:val="center"/>
          </w:tcPr>
          <w:p>
            <w:pPr>
              <w:pStyle w:val="TableContents"/>
              <w:bidi w:val="0"/>
              <w:spacing w:lineRule="atLeast" w:line="142" w:before="0" w:after="0"/>
              <w:jc w:val="left"/>
              <w:rPr>
                <w:rFonts w:ascii="sans-serif" w:hAnsi="sans-serif"/>
                <w:b/>
                <w:color w:val="585857"/>
                <w:sz w:val="18"/>
              </w:rPr>
            </w:pPr>
            <w:r>
              <w:rPr>
                <w:rFonts w:ascii="sans-serif" w:hAnsi="sans-serif"/>
                <w:b/>
                <w:color w:val="585857"/>
                <w:sz w:val="18"/>
              </w:rPr>
              <w:t>Unsatisfied performance obligations</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 large portion of our revenue is derived from customers whose initial contracts have been extended. A large portion of these customers have a one-month notice period. Revenue from customers who are subject to initial contracts will be recognised over the term of such contracts, which is generally 12-24 months for our consumer contracts and one to five years for our B2B service contracts.</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lineRule="auto" w:line="288" w:before="0" w:after="250"/>
        <w:ind w:left="0" w:right="0" w:hanging="340"/>
        <w:jc w:val="left"/>
        <w:rPr>
          <w:rFonts w:ascii="sans-serif" w:hAnsi="sans-serif"/>
          <w:b/>
          <w:color w:val="000000"/>
          <w:sz w:val="24"/>
        </w:rPr>
      </w:pPr>
      <w:bookmarkStart w:id="25" w:name="i550b1e99885540749d1bb2ab3319029a"/>
      <w:bookmarkEnd w:id="25"/>
      <w:r>
        <w:rPr>
          <w:rFonts w:ascii="sans-serif" w:hAnsi="sans-serif"/>
          <w:b/>
          <w:color w:val="000000"/>
          <w:sz w:val="24"/>
        </w:rPr>
        <w:t>5.    Cost of outsourced work and other external costs</w:t>
      </w:r>
    </w:p>
    <w:p>
      <w:pPr>
        <w:pStyle w:val="TextBody"/>
        <w:bidi w:val="0"/>
        <w:spacing w:lineRule="atLeast" w:line="240" w:before="0" w:after="210"/>
        <w:jc w:val="left"/>
        <w:rPr>
          <w:rFonts w:ascii="sans-serif" w:hAnsi="sans-serif"/>
          <w:b w:val="false"/>
          <w:color w:val="000000"/>
          <w:sz w:val="18"/>
        </w:rPr>
      </w:pPr>
      <w:r>
        <w:rPr>
          <w:rFonts w:ascii="sans-serif" w:hAnsi="sans-serif"/>
          <w:b w:val="false"/>
          <w:color w:val="000000"/>
          <w:sz w:val="18"/>
        </w:rPr>
        <w:t>The amounts in the table below include the following fees charged by KPMG Accountants N.V. to the Company, its subsidiaries and other consolidated companies.</w:t>
      </w:r>
    </w:p>
    <w:p>
      <w:pPr>
        <w:pStyle w:val="TextBody"/>
        <w:bidi w:val="0"/>
        <w:spacing w:lineRule="auto" w:line="324" w:before="120" w:after="283"/>
        <w:jc w:val="left"/>
        <w:rPr>
          <w:rFonts w:ascii="sans-serif" w:hAnsi="sans-serif"/>
          <w:b/>
          <w:color w:val="F85F00"/>
          <w:sz w:val="20"/>
        </w:rPr>
      </w:pPr>
      <w:bookmarkStart w:id="26" w:name="ic3bfdba6d96d4efd8f2199f65f31abf6"/>
      <w:bookmarkEnd w:id="26"/>
      <w:r>
        <w:rPr>
          <w:rFonts w:ascii="sans-serif" w:hAnsi="sans-serif"/>
          <w:b/>
          <w:color w:val="F85F00"/>
          <w:sz w:val="20"/>
        </w:rPr>
        <w:t xml:space="preserve">Auditor fees </w:t>
      </w:r>
    </w:p>
    <w:tbl>
      <w:tblPr>
        <w:tblW w:w="6280" w:type="dxa"/>
        <w:jc w:val="left"/>
        <w:tblInd w:w="0" w:type="dxa"/>
        <w:tblLayout w:type="fixed"/>
        <w:tblCellMar>
          <w:top w:w="28" w:type="dxa"/>
          <w:left w:w="28" w:type="dxa"/>
          <w:bottom w:w="28" w:type="dxa"/>
          <w:right w:w="28" w:type="dxa"/>
        </w:tblCellMar>
      </w:tblPr>
      <w:tblGrid>
        <w:gridCol w:w="1758"/>
        <w:gridCol w:w="1544"/>
        <w:gridCol w:w="1557"/>
        <w:gridCol w:w="240"/>
        <w:gridCol w:w="241"/>
        <w:gridCol w:w="196"/>
        <w:gridCol w:w="240"/>
        <w:gridCol w:w="241"/>
        <w:gridCol w:w="263"/>
      </w:tblGrid>
      <w:tr>
        <w:trPr/>
        <w:tc>
          <w:tcPr>
            <w:tcW w:w="175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74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4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KPMG Accountants N.V.:</w:t>
            </w:r>
          </w:p>
        </w:tc>
        <w:tc>
          <w:tcPr>
            <w:tcW w:w="6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Audit of the financial statements</w:t>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audit engagements and audit related services</w:t>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48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3.1</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3.2</w:t>
            </w:r>
            <w:r>
              <w:rPr>
                <w:color w:val="000000"/>
              </w:rPr>
              <w:t> </w:t>
            </w:r>
          </w:p>
        </w:tc>
        <w:tc>
          <w:tcPr>
            <w:tcW w:w="26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420"/>
        <w:jc w:val="left"/>
        <w:rPr>
          <w:rFonts w:ascii="sans-serif" w:hAnsi="sans-serif"/>
          <w:b w:val="false"/>
          <w:color w:val="000000"/>
          <w:sz w:val="18"/>
        </w:rPr>
      </w:pPr>
      <w:r>
        <w:rPr>
          <w:rFonts w:ascii="sans-serif" w:hAnsi="sans-serif"/>
          <w:b w:val="false"/>
          <w:color w:val="000000"/>
          <w:sz w:val="18"/>
        </w:rPr>
        <w:t>The fees in the table above include all activities relating to 2025 (2024) irrespective of whether the activities have been performed during the financial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30"/>
        <w:ind w:left="0" w:right="0" w:hanging="340"/>
        <w:jc w:val="left"/>
        <w:rPr>
          <w:rFonts w:ascii="sans-serif" w:hAnsi="sans-serif"/>
          <w:b/>
          <w:color w:val="000000"/>
          <w:sz w:val="24"/>
        </w:rPr>
      </w:pPr>
      <w:bookmarkStart w:id="27" w:name="i0ca81a348b114a4c97d6714915dd5069"/>
      <w:bookmarkEnd w:id="27"/>
      <w:r>
        <w:rPr>
          <w:rFonts w:ascii="sans-serif" w:hAnsi="sans-serif"/>
          <w:b/>
          <w:color w:val="000000"/>
          <w:sz w:val="24"/>
        </w:rPr>
        <w:t>6.    Personnel expenses</w:t>
      </w:r>
    </w:p>
    <w:tbl>
      <w:tblPr>
        <w:tblW w:w="4106" w:type="dxa"/>
        <w:jc w:val="left"/>
        <w:tblInd w:w="0" w:type="dxa"/>
        <w:tblLayout w:type="fixed"/>
        <w:tblCellMar>
          <w:top w:w="28" w:type="dxa"/>
          <w:left w:w="28" w:type="dxa"/>
          <w:bottom w:w="28" w:type="dxa"/>
          <w:right w:w="28" w:type="dxa"/>
        </w:tblCellMar>
      </w:tblPr>
      <w:tblGrid>
        <w:gridCol w:w="798"/>
        <w:gridCol w:w="702"/>
        <w:gridCol w:w="705"/>
        <w:gridCol w:w="360"/>
        <w:gridCol w:w="361"/>
        <w:gridCol w:w="196"/>
        <w:gridCol w:w="360"/>
        <w:gridCol w:w="361"/>
        <w:gridCol w:w="263"/>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2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Wages and salaries (a)</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367.8 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373.8 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Social security charges</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Pension charges (b)</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481.6</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492.3</w:t>
            </w:r>
            <w:r>
              <w:rPr>
                <w:color w:val="000000"/>
              </w:rPr>
              <w:t> </w:t>
            </w:r>
          </w:p>
        </w:tc>
        <w:tc>
          <w:tcPr>
            <w:tcW w:w="26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We capitalise internal labour costs directly associated with the development of internal-use software and construction of property and equipment. In 2025 and 2024, the amount of capitalised internal labour costs was €107.0 million and €110.4 million, respectively. In 2025 and 2024, we recognised €14.4 million and €16.3 million, respectively, in wages and salaries associated with external specialists.</w:t>
      </w:r>
    </w:p>
    <w:p>
      <w:pPr>
        <w:pStyle w:val="TextBody"/>
        <w:bidi w:val="0"/>
        <w:spacing w:lineRule="atLeast" w:line="180"/>
        <w:ind w:left="0" w:right="0" w:hanging="283"/>
        <w:jc w:val="left"/>
        <w:rPr/>
      </w:pPr>
      <w:r>
        <w:rPr>
          <w:rFonts w:ascii="sans-serif" w:hAnsi="sans-serif"/>
          <w:b w:val="false"/>
          <w:color w:val="000000"/>
          <w:sz w:val="14"/>
        </w:rPr>
        <w:t>(b)</w:t>
      </w:r>
      <w:r>
        <w:rPr>
          <w:rFonts w:ascii="sans-serif" w:hAnsi="sans-serif"/>
          <w:b w:val="false"/>
          <w:color w:val="000000"/>
          <w:sz w:val="16"/>
        </w:rPr>
        <w:t>We provide retirement benefits to our subsidiaries' employees via multiemployer benefit plans and a defined contribution plan. The aggregate expense of our matching contributions under the various multiemployer benefit plans was €23.5 million and €23.9 million during 2025 and 2024, respectively. The aggregate expense of our matching contributions under the defined contribution plan was €24.9 million and €24.5 million during 2025 and 2024, respectively.</w:t>
      </w:r>
    </w:p>
    <w:p>
      <w:pPr>
        <w:pStyle w:val="TextBody"/>
        <w:bidi w:val="0"/>
        <w:spacing w:before="0" w:after="24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2400"/>
                <wp:effectExtent l="0" t="0" r="0" b="0"/>
                <wp:wrapNone/>
                <wp:docPr id="28" name="Frame19"/>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14</w:t>
                      </w:r>
                    </w:p>
                  </w:txbxContent>
                </v:textbox>
                <w10:wrap type="none"/>
              </v:rect>
            </w:pict>
          </mc:Fallback>
        </mc:AlternateContent>
      </w:r>
    </w:p>
    <w:p>
      <w:pPr>
        <w:pStyle w:val="TextBody"/>
        <w:bidi w:val="0"/>
        <w:spacing w:lineRule="auto" w:line="324" w:before="40" w:after="283"/>
        <w:jc w:val="left"/>
        <w:rPr>
          <w:rFonts w:ascii="sans-serif" w:hAnsi="sans-serif"/>
          <w:b/>
          <w:color w:val="F85F00"/>
          <w:sz w:val="20"/>
        </w:rPr>
      </w:pPr>
      <w:bookmarkStart w:id="28" w:name="i648500fb88354ef7bb0dbca858e5ec97"/>
      <w:bookmarkEnd w:id="28"/>
      <w:r>
        <w:rPr>
          <w:rFonts w:ascii="sans-serif" w:hAnsi="sans-serif"/>
          <w:b/>
          <w:color w:val="F85F00"/>
          <w:sz w:val="20"/>
        </w:rPr>
        <w:t>Staffing level</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The average number of staff employed by the Group in 2025, converted into full-time equivalents (FTEs), amounted to 5,891, whom all work in the Netherlands. The average number of FTEs per business unit is:</w:t>
      </w:r>
    </w:p>
    <w:tbl>
      <w:tblPr>
        <w:tblW w:w="4241" w:type="dxa"/>
        <w:jc w:val="left"/>
        <w:tblInd w:w="0" w:type="dxa"/>
        <w:tblLayout w:type="fixed"/>
        <w:tblCellMar>
          <w:top w:w="28" w:type="dxa"/>
          <w:left w:w="28" w:type="dxa"/>
          <w:bottom w:w="28" w:type="dxa"/>
          <w:right w:w="28" w:type="dxa"/>
        </w:tblCellMar>
      </w:tblPr>
      <w:tblGrid>
        <w:gridCol w:w="857"/>
        <w:gridCol w:w="752"/>
        <w:gridCol w:w="761"/>
        <w:gridCol w:w="353"/>
        <w:gridCol w:w="353"/>
        <w:gridCol w:w="196"/>
        <w:gridCol w:w="353"/>
        <w:gridCol w:w="353"/>
        <w:gridCol w:w="263"/>
      </w:tblGrid>
      <w:tr>
        <w:trPr/>
        <w:tc>
          <w:tcPr>
            <w:tcW w:w="8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FTE</w:t>
            </w:r>
          </w:p>
        </w:tc>
        <w:tc>
          <w:tcPr>
            <w:tcW w:w="90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6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Customer Operations</w:t>
            </w:r>
          </w:p>
        </w:tc>
        <w:tc>
          <w:tcPr>
            <w:tcW w:w="70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1,975 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2,101 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Technology</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1,353 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1,331 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B2C</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1,105 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1,122 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B2B</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942 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960 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General &amp; Administrative</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516 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733 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average FTEs</w:t>
            </w:r>
          </w:p>
        </w:tc>
        <w:tc>
          <w:tcPr>
            <w:tcW w:w="902"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5,891</w:t>
            </w:r>
          </w:p>
        </w:tc>
        <w:tc>
          <w:tcPr>
            <w:tcW w:w="96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6,247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410"/>
        <w:gridCol w:w="3036"/>
        <w:gridCol w:w="304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Employee benefits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575756"/>
                <w:sz w:val="16"/>
              </w:rPr>
            </w:pPr>
            <w:r>
              <w:rPr>
                <w:rFonts w:ascii="sans-serif" w:hAnsi="sans-serif"/>
                <w:b/>
                <w:color w:val="575756"/>
                <w:sz w:val="16"/>
              </w:rPr>
              <w:t>Short-term employee benefits</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Short-term employee benefits are expensed as the related service is provided. A liability is recognised for the amount expected to be paid if we have a present legal or constructive obligation to pay this amount as a result of past service provided by the employee and the obligation can be estimated reliably.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575756"/>
                <w:sz w:val="16"/>
              </w:rPr>
            </w:pPr>
            <w:r>
              <w:rPr>
                <w:rFonts w:ascii="sans-serif" w:hAnsi="sans-serif"/>
                <w:b/>
                <w:color w:val="575756"/>
                <w:sz w:val="16"/>
              </w:rPr>
              <w:t xml:space="preserve">Defined contribution plans </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Obligations for contributions to defined contribution plans are expensed as the related service is provided. Prepaid contributions are recognised as an asset to the extent that a cash refund or a reduction in future payments is available.</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575756"/>
                <w:sz w:val="16"/>
              </w:rPr>
            </w:pPr>
            <w:r>
              <w:rPr>
                <w:rFonts w:ascii="sans-serif" w:hAnsi="sans-serif"/>
                <w:b/>
                <w:color w:val="575756"/>
                <w:sz w:val="16"/>
              </w:rPr>
              <w:t>Multi-employer plans</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We are part of a multi-employer plan which is administered by ABP. This pension scheme is a conditionally indexed average-salary scheme and is a defined benefit plan. We are not liable for deficits in the multi-employer plans but could be impacted by these deficits through an increase in the pension contribution rate. Our share to the total ABP pension plan is limited. The ABP plan is accounted for as if it were a defined contribution plan as insufficient information is available to use defined benefit accounting. The expected contribution to the plan for 2025 will be similar to 2024. The funding ratio (market value of the assets expressed as a percentage of the pension provision measured according to De Nederlandsche Bank’s principles) on 31 December 2025 was 123.5% (2024: 111.9%).</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575756"/>
                <w:sz w:val="16"/>
              </w:rPr>
            </w:pPr>
            <w:r>
              <w:rPr>
                <w:rFonts w:ascii="sans-serif" w:hAnsi="sans-serif"/>
                <w:b/>
                <w:color w:val="575756"/>
                <w:sz w:val="16"/>
              </w:rPr>
              <w:t xml:space="preserve">Other long-term employee benefits </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Our obligation in respect of long-term employee benefits is the amount of future benefit that employees have earned in return for their service in the current and prior periods. Long term benefits are expensed as the related service is provided. A liability is recognised for the amount expected to be paid if we have a present legal or constructive obligation to pay this amount as a result of past service provided by the employee and the obligation can be estimated reliably. Remeasurements are recognised in the period in which they arise.</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30"/>
        <w:ind w:left="0" w:right="0" w:hanging="340"/>
        <w:jc w:val="left"/>
        <w:rPr/>
      </w:pPr>
      <w:r>
        <w:rPr/>
      </w:r>
    </w:p>
    <w:p>
      <w:pPr>
        <w:pStyle w:val="TextBody"/>
        <w:bidi w:val="0"/>
        <w:spacing w:lineRule="auto" w:line="288" w:before="0" w:after="130"/>
        <w:ind w:left="0" w:right="0" w:hanging="340"/>
        <w:jc w:val="left"/>
        <w:rPr>
          <w:rFonts w:ascii="sans-serif" w:hAnsi="sans-serif"/>
          <w:b/>
          <w:color w:val="000000"/>
          <w:sz w:val="24"/>
        </w:rPr>
      </w:pPr>
      <w:bookmarkStart w:id="29" w:name="i3c88bb9539fb4f439080f2774f88266d"/>
      <w:bookmarkEnd w:id="29"/>
      <w:r>
        <w:rPr>
          <w:rFonts w:ascii="sans-serif" w:hAnsi="sans-serif"/>
          <w:b/>
          <w:color w:val="000000"/>
          <w:sz w:val="24"/>
        </w:rPr>
        <w:t>7.    Finance income and costs</w:t>
      </w:r>
    </w:p>
    <w:tbl>
      <w:tblPr>
        <w:tblW w:w="7276" w:type="dxa"/>
        <w:jc w:val="left"/>
        <w:tblInd w:w="0" w:type="dxa"/>
        <w:tblLayout w:type="fixed"/>
        <w:tblCellMar>
          <w:top w:w="28" w:type="dxa"/>
          <w:left w:w="28" w:type="dxa"/>
          <w:bottom w:w="28" w:type="dxa"/>
          <w:right w:w="28" w:type="dxa"/>
        </w:tblCellMar>
      </w:tblPr>
      <w:tblGrid>
        <w:gridCol w:w="1506"/>
        <w:gridCol w:w="1326"/>
        <w:gridCol w:w="1337"/>
        <w:gridCol w:w="503"/>
        <w:gridCol w:w="503"/>
        <w:gridCol w:w="481"/>
        <w:gridCol w:w="566"/>
        <w:gridCol w:w="439"/>
        <w:gridCol w:w="615"/>
      </w:tblGrid>
      <w:tr>
        <w:trPr/>
        <w:tc>
          <w:tcPr>
            <w:tcW w:w="15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2025</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Foreign-currency transaction gains</w:t>
            </w:r>
          </w:p>
        </w:tc>
        <w:tc>
          <w:tcPr>
            <w:tcW w:w="100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640.1 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61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income</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5.1 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realised and unrealised gains, net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492.4 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finance income</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finance income</w:t>
            </w:r>
          </w:p>
        </w:tc>
        <w:tc>
          <w:tcPr>
            <w:tcW w:w="100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643.1</w:t>
            </w:r>
            <w:r>
              <w:rPr>
                <w:color w:val="F85F00"/>
              </w:rPr>
              <w:t> </w:t>
            </w:r>
          </w:p>
        </w:tc>
        <w:tc>
          <w:tcPr>
            <w:tcW w:w="48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498.9</w:t>
            </w:r>
            <w:r>
              <w:rPr>
                <w:color w:val="F85F00"/>
              </w:rPr>
              <w:t> </w:t>
            </w:r>
          </w:p>
        </w:tc>
        <w:tc>
          <w:tcPr>
            <w:tcW w:w="61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expense - third-party</w:t>
            </w:r>
          </w:p>
        </w:tc>
        <w:tc>
          <w:tcPr>
            <w:tcW w:w="148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(567.6)</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(652.2)</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(15.7)</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(14.9)</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(6.7)</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expense on debt - related parties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(102.2)</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(102.5)</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realised and unrealised losses, net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(481.8)</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Foreign-currency transaction losses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(391.7)</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Losses on debt extinguishment, net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finance expense</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(0.9)</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(0.5)</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finance costs</w:t>
            </w:r>
          </w:p>
        </w:tc>
        <w:tc>
          <w:tcPr>
            <w:tcW w:w="100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(1,176.4)</w:t>
            </w:r>
          </w:p>
        </w:tc>
        <w:tc>
          <w:tcPr>
            <w:tcW w:w="48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(1,169.4)</w:t>
            </w:r>
          </w:p>
        </w:tc>
        <w:tc>
          <w:tcPr>
            <w:tcW w:w="61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Net finance costs</w:t>
            </w:r>
          </w:p>
        </w:tc>
        <w:tc>
          <w:tcPr>
            <w:tcW w:w="1006" w:type="dxa"/>
            <w:gridSpan w:val="2"/>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(533.3)</w:t>
            </w:r>
          </w:p>
        </w:tc>
        <w:tc>
          <w:tcPr>
            <w:tcW w:w="481" w:type="dxa"/>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(670.5)</w:t>
            </w:r>
          </w:p>
        </w:tc>
        <w:tc>
          <w:tcPr>
            <w:tcW w:w="615" w:type="dxa"/>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For both years ended 31 December 2025 and 2024, the interest capitalised amounted to nil.</w:t>
      </w:r>
    </w:p>
    <w:tbl>
      <w:tblPr>
        <w:tblW w:w="10205" w:type="dxa"/>
        <w:jc w:val="left"/>
        <w:tblInd w:w="0" w:type="dxa"/>
        <w:tblLayout w:type="fixed"/>
        <w:tblCellMar>
          <w:top w:w="28" w:type="dxa"/>
          <w:left w:w="28" w:type="dxa"/>
          <w:bottom w:w="28" w:type="dxa"/>
          <w:right w:w="28" w:type="dxa"/>
        </w:tblCellMar>
      </w:tblPr>
      <w:tblGrid>
        <w:gridCol w:w="124"/>
        <w:gridCol w:w="109"/>
        <w:gridCol w:w="109"/>
        <w:gridCol w:w="3312"/>
        <w:gridCol w:w="3086"/>
        <w:gridCol w:w="3092"/>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Finance income and costs</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Our finance income and finance costs includes interest income, interest expense, realised and unrealised gains or losses on derivative instruments, gains or losses on debt modification and extinguishment and foreign currency transaction gains or losses.</w:t>
            </w:r>
          </w:p>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 xml:space="preserve">Interest income and interest expenses are recognised in the statement of profit or loss on an accrual basis, using the effective interest rate method. </w:t>
            </w:r>
          </w:p>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Premiums, discounts and redemption premiums are recognised as finance costs in the period to which they belong. The amounts of premiums, discounts and deferred financing costs are recorded on the statement of financial position as an increase and decrease of debt, respectively, and are amortised over the life of the debt subsequently. Redemption premiums are directly recognised in the statement of profit or loss and arise for any differences between the redemption amount and the net carrying value of the debt at the moment of redemption.</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2400"/>
                <wp:effectExtent l="0" t="0" r="0" b="0"/>
                <wp:wrapNone/>
                <wp:docPr id="29" name="Frame20"/>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15</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30" w:name="i812e0843fcc34c40a5507013c37736bd"/>
      <w:bookmarkEnd w:id="30"/>
      <w:r>
        <w:rPr>
          <w:rFonts w:ascii="sans-serif" w:hAnsi="sans-serif"/>
          <w:b/>
          <w:color w:val="000000"/>
          <w:sz w:val="24"/>
        </w:rPr>
        <w:t>8.    Income taxes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Our consolidated financial statements include the income taxes of all entities wholly owned by VodafoneZiggo. All components of our loss before income taxes and current and deferred income tax benefit (expense) are generated in the Netherlands, our domestic jurisdiction. We have no earnings (loss) or income tax expense (benefit) from foreign sources for the periods presented. The VodafoneZiggo Fiscal Unity, established at the level of VodafoneZiggo, is one taxpayer for Dutch tax purposes. All material subsidiaries of VodafoneZiggo are part of the VodafoneZiggo Fiscal Unity.</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Components of income tax benefit consist of:</w:t>
      </w:r>
    </w:p>
    <w:tbl>
      <w:tblPr>
        <w:tblW w:w="7484" w:type="dxa"/>
        <w:jc w:val="left"/>
        <w:tblInd w:w="0" w:type="dxa"/>
        <w:tblLayout w:type="fixed"/>
        <w:tblCellMar>
          <w:top w:w="28" w:type="dxa"/>
          <w:left w:w="28" w:type="dxa"/>
          <w:bottom w:w="28" w:type="dxa"/>
          <w:right w:w="28" w:type="dxa"/>
        </w:tblCellMar>
      </w:tblPr>
      <w:tblGrid>
        <w:gridCol w:w="1649"/>
        <w:gridCol w:w="1454"/>
        <w:gridCol w:w="1457"/>
        <w:gridCol w:w="479"/>
        <w:gridCol w:w="479"/>
        <w:gridCol w:w="481"/>
        <w:gridCol w:w="435"/>
        <w:gridCol w:w="435"/>
        <w:gridCol w:w="615"/>
      </w:tblGrid>
      <w:tr>
        <w:trPr/>
        <w:tc>
          <w:tcPr>
            <w:tcW w:w="164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2025</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2024</w:t>
            </w:r>
          </w:p>
        </w:tc>
      </w:tr>
      <w:tr>
        <w:trPr/>
        <w:tc>
          <w:tcPr>
            <w:tcW w:w="4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Tax expense:</w:t>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income tax expense</w:t>
            </w:r>
          </w:p>
        </w:tc>
        <w:tc>
          <w:tcPr>
            <w:tcW w:w="95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(80.5)</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(104.3)</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Current tax expense</w:t>
            </w:r>
          </w:p>
        </w:tc>
        <w:tc>
          <w:tcPr>
            <w:tcW w:w="95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(80.5)</w:t>
            </w:r>
          </w:p>
        </w:tc>
        <w:tc>
          <w:tcPr>
            <w:tcW w:w="48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(104.3)</w:t>
            </w:r>
          </w:p>
        </w:tc>
        <w:tc>
          <w:tcPr>
            <w:tcW w:w="61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180"/>
              <w:jc w:val="left"/>
              <w:rPr>
                <w:rFonts w:ascii="sans-serif" w:hAnsi="sans-serif"/>
                <w:b w:val="false"/>
                <w:color w:val="000000"/>
                <w:sz w:val="18"/>
              </w:rPr>
            </w:pPr>
            <w:r>
              <w:rPr>
                <w:rFonts w:ascii="sans-serif" w:hAnsi="sans-serif"/>
                <w:b w:val="false"/>
                <w:color w:val="000000"/>
                <w:sz w:val="18"/>
              </w:rPr>
              <w:t>Origination and reversal of temporary differences</w:t>
            </w:r>
          </w:p>
        </w:tc>
        <w:tc>
          <w:tcPr>
            <w:tcW w:w="958" w:type="dxa"/>
            <w:gridSpan w:val="2"/>
            <w:tcBorders>
              <w:top w:val="single" w:sz="2" w:space="0" w:color="FFFFFF"/>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197.0 </w:t>
            </w:r>
          </w:p>
        </w:tc>
        <w:tc>
          <w:tcPr>
            <w:tcW w:w="481" w:type="dxa"/>
            <w:tcBorders>
              <w:top w:val="single" w:sz="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FFFFFF"/>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224.6 </w:t>
            </w:r>
          </w:p>
        </w:tc>
        <w:tc>
          <w:tcPr>
            <w:tcW w:w="615" w:type="dxa"/>
            <w:tcBorders>
              <w:top w:val="single" w:sz="2"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Deferred tax benefit</w:t>
            </w:r>
          </w:p>
        </w:tc>
        <w:tc>
          <w:tcPr>
            <w:tcW w:w="95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197.0</w:t>
            </w:r>
            <w:r>
              <w:rPr>
                <w:color w:val="F85F00"/>
              </w:rPr>
              <w:t> </w:t>
            </w:r>
          </w:p>
        </w:tc>
        <w:tc>
          <w:tcPr>
            <w:tcW w:w="48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224.6</w:t>
            </w:r>
            <w:r>
              <w:rPr>
                <w:color w:val="F85F00"/>
              </w:rPr>
              <w:t> </w:t>
            </w:r>
          </w:p>
        </w:tc>
        <w:tc>
          <w:tcPr>
            <w:tcW w:w="61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Income tax benefit</w:t>
            </w:r>
          </w:p>
        </w:tc>
        <w:tc>
          <w:tcPr>
            <w:tcW w:w="958" w:type="dxa"/>
            <w:gridSpan w:val="2"/>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116.5</w:t>
            </w:r>
            <w:r>
              <w:rPr>
                <w:color w:val="000000"/>
              </w:rPr>
              <w:t> </w:t>
            </w:r>
          </w:p>
        </w:tc>
        <w:tc>
          <w:tcPr>
            <w:tcW w:w="481" w:type="dxa"/>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120.3</w:t>
            </w:r>
            <w:r>
              <w:rPr>
                <w:color w:val="000000"/>
              </w:rPr>
              <w:t> </w:t>
            </w:r>
          </w:p>
        </w:tc>
        <w:tc>
          <w:tcPr>
            <w:tcW w:w="615" w:type="dxa"/>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The numerical reconciliation between the applicable and the effective tax rate is as follows:</w:t>
      </w:r>
    </w:p>
    <w:tbl>
      <w:tblPr>
        <w:tblW w:w="9683" w:type="dxa"/>
        <w:jc w:val="left"/>
        <w:tblInd w:w="0" w:type="dxa"/>
        <w:tblLayout w:type="fixed"/>
        <w:tblCellMar>
          <w:top w:w="28" w:type="dxa"/>
          <w:left w:w="28" w:type="dxa"/>
          <w:bottom w:w="28" w:type="dxa"/>
          <w:right w:w="28" w:type="dxa"/>
        </w:tblCellMar>
      </w:tblPr>
      <w:tblGrid>
        <w:gridCol w:w="2749"/>
        <w:gridCol w:w="2423"/>
        <w:gridCol w:w="2432"/>
        <w:gridCol w:w="405"/>
        <w:gridCol w:w="405"/>
        <w:gridCol w:w="196"/>
        <w:gridCol w:w="405"/>
        <w:gridCol w:w="405"/>
        <w:gridCol w:w="263"/>
      </w:tblGrid>
      <w:tr>
        <w:trPr/>
        <w:tc>
          <w:tcPr>
            <w:tcW w:w="2749"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76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Loss before tax</w:t>
            </w:r>
          </w:p>
        </w:tc>
        <w:tc>
          <w:tcPr>
            <w:tcW w:w="8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(413.0)</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(364.8)</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 using the applicable tax rate in the Netherlands of 25.8%</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106.6 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94.1 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Tax effect of:</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Tax benefit associated with Innovation Box Regime (a)</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Deductible temporary differences for which no deferred tax asset is recognised (b)</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Non-deductible expenses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net</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(0.3)</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Income tax benefit at the effective tax rate of 28.2% (2024: 33.0%)</w:t>
            </w:r>
          </w:p>
        </w:tc>
        <w:tc>
          <w:tcPr>
            <w:tcW w:w="81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116.5</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120.3</w:t>
            </w:r>
            <w:r>
              <w:rPr>
                <w:color w:val="000000"/>
              </w:rPr>
              <w:t> </w:t>
            </w:r>
          </w:p>
        </w:tc>
        <w:tc>
          <w:tcPr>
            <w:tcW w:w="26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0"/>
        <w:ind w:left="0" w:right="0" w:hanging="283"/>
        <w:jc w:val="left"/>
        <w:rPr/>
      </w:pPr>
      <w:r>
        <w:rPr>
          <w:rFonts w:ascii="sans-serif" w:hAnsi="sans-serif"/>
          <w:b w:val="false"/>
          <w:color w:val="000000"/>
          <w:sz w:val="14"/>
        </w:rPr>
        <w:t>(a)</w:t>
      </w:r>
      <w:r>
        <w:rPr>
          <w:rFonts w:ascii="sans-serif" w:hAnsi="sans-serif"/>
          <w:b w:val="false"/>
          <w:color w:val="000000"/>
          <w:sz w:val="16"/>
        </w:rPr>
        <w:t xml:space="preserve">To stimulate innovation in the Netherlands, Dutch income tax law includes a facility under which profits attributable to qualifying innovative activities are taxed at a reduced tax rate of 9.0% (the Innovation Box Regime). VodafoneZiggo has an agreement with the Dutch tax authorities with respect to the applicability of the Innovation Box Regime for the period from 2019 to 2028. </w:t>
      </w:r>
    </w:p>
    <w:p>
      <w:pPr>
        <w:pStyle w:val="TextBody"/>
        <w:bidi w:val="0"/>
        <w:spacing w:lineRule="auto" w:line="336" w:before="0" w:after="0"/>
        <w:ind w:left="0" w:right="0" w:hanging="283"/>
        <w:jc w:val="left"/>
        <w:rPr/>
      </w:pPr>
      <w:r>
        <w:rPr>
          <w:rFonts w:ascii="sans-serif" w:hAnsi="sans-serif"/>
          <w:b w:val="false"/>
          <w:color w:val="000000"/>
          <w:sz w:val="14"/>
        </w:rPr>
        <w:t>(b)</w:t>
      </w:r>
      <w:r>
        <w:rPr>
          <w:rFonts w:ascii="sans-serif" w:hAnsi="sans-serif"/>
          <w:b w:val="false"/>
          <w:color w:val="000000"/>
          <w:sz w:val="16"/>
        </w:rPr>
        <w:t>As of January 1, 2025, the interest deduction limitation increased from 20.0% to 24.5% of fiscal EBITDA, increasing our interest deductibility for the financial year. The increase in the ability to deduct interest throughout the year does not have an impact on the analysis to recover any non-deductible interest as well as results on debt extinguishment; therefore, we have not recognised deferred tax assets in respect of these items.</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The tax effects of temporary differences that give rise to significant portions of the deferred tax assets and deferred tax liabilities are presented below:</w:t>
      </w:r>
    </w:p>
    <w:tbl>
      <w:tblPr>
        <w:tblW w:w="10205" w:type="dxa"/>
        <w:jc w:val="left"/>
        <w:tblInd w:w="0" w:type="dxa"/>
        <w:tblLayout w:type="fixed"/>
        <w:tblCellMar>
          <w:top w:w="28" w:type="dxa"/>
          <w:left w:w="28" w:type="dxa"/>
          <w:bottom w:w="28" w:type="dxa"/>
          <w:right w:w="28" w:type="dxa"/>
        </w:tblCellMar>
      </w:tblPr>
      <w:tblGrid>
        <w:gridCol w:w="898"/>
        <w:gridCol w:w="629"/>
        <w:gridCol w:w="631"/>
        <w:gridCol w:w="687"/>
        <w:gridCol w:w="435"/>
        <w:gridCol w:w="436"/>
        <w:gridCol w:w="680"/>
        <w:gridCol w:w="680"/>
        <w:gridCol w:w="682"/>
        <w:gridCol w:w="525"/>
        <w:gridCol w:w="525"/>
        <w:gridCol w:w="527"/>
        <w:gridCol w:w="486"/>
        <w:gridCol w:w="447"/>
        <w:gridCol w:w="448"/>
        <w:gridCol w:w="488"/>
        <w:gridCol w:w="409"/>
        <w:gridCol w:w="592"/>
      </w:tblGrid>
      <w:tr>
        <w:trPr/>
        <w:tc>
          <w:tcPr>
            <w:tcW w:w="89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15"/>
            <w:tcBorders/>
            <w:shd w:fill="FFFFFF"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2025</w:t>
            </w:r>
          </w:p>
        </w:tc>
      </w:tr>
      <w:tr>
        <w:trPr/>
        <w:tc>
          <w:tcPr>
            <w:tcW w:w="215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Net balance at 1 January</w:t>
            </w:r>
          </w:p>
        </w:tc>
        <w:tc>
          <w:tcPr>
            <w:tcW w:w="20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Recognition in statement of profit or loss </w:t>
            </w:r>
          </w:p>
        </w:tc>
        <w:tc>
          <w:tcPr>
            <w:tcW w:w="15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Net balance at 31 December</w:t>
            </w:r>
          </w:p>
        </w:tc>
        <w:tc>
          <w:tcPr>
            <w:tcW w:w="1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Deferred tax assets (a)</w:t>
            </w:r>
          </w:p>
        </w:tc>
        <w:tc>
          <w:tcPr>
            <w:tcW w:w="1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Deferred tax liabilities</w:t>
            </w:r>
          </w:p>
        </w:tc>
      </w:tr>
      <w:tr>
        <w:trPr/>
        <w:tc>
          <w:tcPr>
            <w:tcW w:w="21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Intangible assets</w:t>
            </w:r>
          </w:p>
        </w:tc>
        <w:tc>
          <w:tcPr>
            <w:tcW w:w="11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(644.9)</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138.8 </w:t>
            </w:r>
          </w:p>
        </w:tc>
        <w:tc>
          <w:tcPr>
            <w:tcW w:w="6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(506.1)</w:t>
            </w:r>
          </w:p>
        </w:tc>
        <w:tc>
          <w:tcPr>
            <w:tcW w:w="5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(506.1)</w:t>
            </w:r>
          </w:p>
        </w:tc>
        <w:tc>
          <w:tcPr>
            <w:tcW w:w="5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(175.7)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176.9 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Property and equipment, net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(124.3)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28.0 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(96.3)</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(96.3)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Unrealized foreign exchange result on debt and interest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122.1 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(153.2)</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(31.1)</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future deductible or taxable amounts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31.4 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Net deferred tax liabilities </w:t>
            </w:r>
          </w:p>
        </w:tc>
        <w:tc>
          <w:tcPr>
            <w:tcW w:w="112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(797.8)</w:t>
            </w:r>
          </w:p>
        </w:tc>
        <w:tc>
          <w:tcPr>
            <w:tcW w:w="436"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196.9</w:t>
            </w:r>
            <w:r>
              <w:rPr>
                <w:color w:val="000000"/>
              </w:rPr>
              <w:t> </w:t>
            </w:r>
          </w:p>
        </w:tc>
        <w:tc>
          <w:tcPr>
            <w:tcW w:w="682"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(600.9)</w:t>
            </w:r>
          </w:p>
        </w:tc>
        <w:tc>
          <w:tcPr>
            <w:tcW w:w="527"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84.0</w:t>
            </w:r>
            <w:r>
              <w:rPr>
                <w:color w:val="000000"/>
              </w:rPr>
              <w:t> </w:t>
            </w:r>
          </w:p>
        </w:tc>
        <w:tc>
          <w:tcPr>
            <w:tcW w:w="448"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(633.5)</w:t>
            </w:r>
          </w:p>
        </w:tc>
        <w:tc>
          <w:tcPr>
            <w:tcW w:w="592"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15"/>
            <w:tcBorders/>
            <w:shd w:fill="FFFFFF"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2024</w:t>
            </w:r>
          </w:p>
        </w:tc>
      </w:tr>
      <w:tr>
        <w:trPr/>
        <w:tc>
          <w:tcPr>
            <w:tcW w:w="215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Net balance at 1 January</w:t>
            </w:r>
          </w:p>
        </w:tc>
        <w:tc>
          <w:tcPr>
            <w:tcW w:w="20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Recognition in statement of profit or loss</w:t>
            </w:r>
          </w:p>
        </w:tc>
        <w:tc>
          <w:tcPr>
            <w:tcW w:w="15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Net balance at 31 December</w:t>
            </w:r>
          </w:p>
        </w:tc>
        <w:tc>
          <w:tcPr>
            <w:tcW w:w="1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Deferred tax assets (a)</w:t>
            </w:r>
          </w:p>
        </w:tc>
        <w:tc>
          <w:tcPr>
            <w:tcW w:w="1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Deferred tax liabilities</w:t>
            </w:r>
          </w:p>
        </w:tc>
      </w:tr>
      <w:tr>
        <w:trPr/>
        <w:tc>
          <w:tcPr>
            <w:tcW w:w="21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Intangible assets</w:t>
            </w:r>
          </w:p>
        </w:tc>
        <w:tc>
          <w:tcPr>
            <w:tcW w:w="11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(777.3)</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132.4 </w:t>
            </w:r>
          </w:p>
        </w:tc>
        <w:tc>
          <w:tcPr>
            <w:tcW w:w="6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(644.9)</w:t>
            </w:r>
          </w:p>
        </w:tc>
        <w:tc>
          <w:tcPr>
            <w:tcW w:w="5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(644.9)</w:t>
            </w:r>
          </w:p>
        </w:tc>
        <w:tc>
          <w:tcPr>
            <w:tcW w:w="5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(124.8)</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(50.9)</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(175.7)</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(175.7)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Property and equipment, net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(163.6)</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39.3 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(124.3)</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(124.3)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Unrealized foreign exchange result on debt and interest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99.8 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122.1 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123.1 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future deductible or taxable amounts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4.0 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25.0 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Net deferred tax liabilities </w:t>
            </w:r>
          </w:p>
        </w:tc>
        <w:tc>
          <w:tcPr>
            <w:tcW w:w="112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(1,022.4)</w:t>
            </w:r>
          </w:p>
        </w:tc>
        <w:tc>
          <w:tcPr>
            <w:tcW w:w="43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224.6</w:t>
            </w:r>
            <w:r>
              <w:rPr>
                <w:color w:val="000000"/>
              </w:rPr>
              <w:t> </w:t>
            </w:r>
          </w:p>
        </w:tc>
        <w:tc>
          <w:tcPr>
            <w:tcW w:w="68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(797.8)</w:t>
            </w:r>
          </w:p>
        </w:tc>
        <w:tc>
          <w:tcPr>
            <w:tcW w:w="52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152.2</w:t>
            </w:r>
            <w:r>
              <w:rPr>
                <w:color w:val="000000"/>
              </w:rPr>
              <w:t> </w:t>
            </w:r>
          </w:p>
        </w:tc>
        <w:tc>
          <w:tcPr>
            <w:tcW w:w="44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(950.0)</w:t>
            </w:r>
          </w:p>
        </w:tc>
        <w:tc>
          <w:tcPr>
            <w:tcW w:w="59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240"/>
        <w:ind w:left="0" w:right="0" w:hanging="283"/>
        <w:jc w:val="left"/>
        <w:rPr/>
      </w:pPr>
      <w:r>
        <w:rPr>
          <w:rFonts w:ascii="sans-serif" w:hAnsi="sans-serif"/>
          <w:b w:val="false"/>
          <w:color w:val="000000"/>
          <w:sz w:val="14"/>
        </w:rPr>
        <w:t>(a)</w:t>
      </w:r>
      <w:r>
        <w:rPr>
          <w:rFonts w:ascii="sans-serif" w:hAnsi="sans-serif"/>
          <w:b w:val="false"/>
          <w:color w:val="000000"/>
          <w:sz w:val="16"/>
        </w:rPr>
        <w:t>Based on management’s best estimates, we</w:t>
      </w:r>
      <w:r>
        <w:rPr>
          <w:color w:val="000000"/>
          <w:shd w:fill="FFFFFF" w:val="clear"/>
        </w:rPr>
        <w:t xml:space="preserve"> </w:t>
      </w:r>
      <w:r>
        <w:rPr>
          <w:rFonts w:ascii="sans-serif" w:hAnsi="sans-serif"/>
          <w:b w:val="false"/>
          <w:color w:val="000000"/>
          <w:sz w:val="16"/>
          <w:shd w:fill="FFFFFF" w:val="clear"/>
        </w:rPr>
        <w:t>believe that it is probable that sufficient future taxable profits will be generated to support the recognised deferred tax asset. As at 31 December 2025, we have unrecognised deferred tax assets of €190.1 million (2024: €185.2 million), reflecting the limitation to recover non-deductible interest as well as losses on debt extinguishment, as a result of the interest deduction limitation. These unrecognised deferred tax assets do not have any expiration date.</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In December 2021, the Organisation for Economic Co-Operation and Development (OECD)/G20 Inclusive Framework on Base Erosion and Profit Shifting (BEPS) released Model Global Anti-Base Erosion (GLoBE) rules under Pillar Two. These rules provide for the taxation of certain large multinational corporations at a minimum rate of 15%, calculated on a jurisdictional basis. The Netherlands has enacted legislation to implement many aspects of the Pillar Two rules beginning on 1 January 2024, with certain remaining impacts effective from 1 January 2025. The Pillar Two rules did not have an impact on our consolidated financial statements for the year ended 31 December 2025, and we do not currently anticipate that they will have a material impact on our </w:t>
      </w:r>
    </w:p>
    <w:p>
      <w:pPr>
        <w:pStyle w:val="TextBody"/>
        <w:bidi w:val="0"/>
        <w:spacing w:before="0" w:after="24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2400"/>
                <wp:effectExtent l="0" t="0" r="0" b="0"/>
                <wp:wrapNone/>
                <wp:docPr id="30" name="Frame21"/>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16</w:t>
                      </w:r>
                    </w:p>
                  </w:txbxContent>
                </v:textbox>
                <w10:wrap type="none"/>
              </v:rect>
            </w:pict>
          </mc:Fallback>
        </mc:AlternateConten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consolidated financial statements in the future. Income taxes paid, net of refunds received, totaled €109.4 million and €120.8 million for the years ended 31 December 2025 and 2024, respectively.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We have applied a temporary mandatory relief from deferred tax accounting for the impacts of the top-up tax and accounts for it as a current tax when it is incurred.</w:t>
      </w:r>
    </w:p>
    <w:p>
      <w:pPr>
        <w:pStyle w:val="TextBody"/>
        <w:bidi w:val="0"/>
        <w:spacing w:lineRule="atLeast" w:line="240" w:before="0" w:after="240"/>
        <w:jc w:val="both"/>
        <w:rPr>
          <w:rFonts w:ascii="sans-serif" w:hAnsi="sans-serif"/>
          <w:b w:val="false"/>
          <w:color w:val="000000"/>
          <w:sz w:val="18"/>
        </w:rPr>
      </w:pPr>
      <w:r>
        <w:rPr>
          <w:rFonts w:ascii="sans-serif" w:hAnsi="sans-serif"/>
          <w:b w:val="false"/>
          <w:color w:val="000000"/>
          <w:sz w:val="18"/>
        </w:rPr>
        <w:t xml:space="preserve">In the normal course of business, our income tax filings are subject to review by the Dutch tax authority. In connection with such review, disputes could arise with the tax authority over the interpretation or application of certain income tax rules related to our business. Such disputes may result in future tax and interest and penalty assessments by the tax authority. The ultimate resolution of tax contingencies will take place upon the earlier of (i) the settlement date with the tax authority in either cash or agreement of income tax positions or (ii) the date when the tax authority is statutorily prohibited from adjusting the company’s tax computations. In general, tax filings prior to 2020 are no longer subject to examination. We are currently involved in an income tax examination with the Dutch tax authority. While we do not expect adjustments from this examination to have a material impact on our consolidated statement of financial position and consolidated statement of cash flows, no assurance can be given that this will be the case given the amounts involved and the complex nature of the underlying issues.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63"/>
        <w:gridCol w:w="3109"/>
        <w:gridCol w:w="311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Income taxes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Income tax comprises the current and deferred income tax payable or receivable for the reporting period. Income tax is recognised in the statement of profit or loss except to the extent that it relates to items recognised directly to equity, in which case it is recognised in equity, or to business combinations.</w:t>
            </w:r>
          </w:p>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 xml:space="preserve">Current tax comprises the expected tax payable or receivable on the taxable profit or loss for the financial year, calculated using tax rates enacted or substantively enacted at the reporting date, and any adjustments to tax payable in respect of previous years. </w:t>
            </w:r>
          </w:p>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 xml:space="preserve">Temporary differences arise when the carrying amount of assets and liabilities for financial reporting purposes differ from their values for tax purposes (tax base). For taxable temporary differences, deferred tax liabilities are recognised. For deductible temporary differences, available tax losses and unused tax credits, a deferred tax asset is recognised, but only to the extent that it is probable that future taxable profits will be available for set-off or compensation. Deferred tax assets are reviewed at each reporting date and reduced to the extent that it is no longer probable that the related tax benefit will be realised. </w:t>
            </w:r>
          </w:p>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Deferred tax assets and deferred tax liabilities are offset in the statement of financial position if we have a legally enforceable right to offset current tax assets against current tax liabilities, insofar as they relate to the same financial year and deferred tax assets relate to income taxes levied by the same tax authority on the same taxable group, or the same fiscal unity.</w:t>
            </w:r>
          </w:p>
          <w:p>
            <w:pPr>
              <w:pStyle w:val="TableContents"/>
              <w:bidi w:val="0"/>
              <w:spacing w:lineRule="auto" w:line="288" w:before="0" w:after="160"/>
              <w:jc w:val="left"/>
              <w:rPr>
                <w:rFonts w:ascii="sans-serif" w:hAnsi="sans-serif"/>
                <w:b w:val="false"/>
                <w:color w:val="000000"/>
                <w:sz w:val="18"/>
              </w:rPr>
            </w:pPr>
            <w:r>
              <w:rPr>
                <w:rFonts w:ascii="sans-serif" w:hAnsi="sans-serif"/>
                <w:b w:val="false"/>
                <w:color w:val="000000"/>
                <w:sz w:val="18"/>
              </w:rPr>
              <w:t>The measurement of deferred tax liabilities and deferred tax assets is based on the tax consequences following from the way we expect, at the reporting date, to recover or settle the carrying amounts of its assets and liabilities.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lineRule="auto" w:line="288" w:before="0" w:after="250"/>
        <w:ind w:left="0" w:right="0" w:hanging="340"/>
        <w:jc w:val="left"/>
        <w:rPr>
          <w:rFonts w:ascii="sans-serif" w:hAnsi="sans-serif"/>
          <w:b/>
          <w:color w:val="000000"/>
          <w:sz w:val="24"/>
        </w:rPr>
      </w:pPr>
      <w:bookmarkStart w:id="31" w:name="i572193e505a1421dbdc3db03f567ba82"/>
      <w:bookmarkEnd w:id="31"/>
      <w:r>
        <w:rPr>
          <w:rFonts w:ascii="sans-serif" w:hAnsi="sans-serif"/>
          <w:b/>
          <w:color w:val="000000"/>
          <w:sz w:val="24"/>
        </w:rPr>
        <w:t>9.    Intangible assets and goodwill</w:t>
      </w:r>
    </w:p>
    <w:p>
      <w:pPr>
        <w:pStyle w:val="TextBody"/>
        <w:bidi w:val="0"/>
        <w:spacing w:lineRule="atLeast" w:line="240" w:before="0" w:after="0"/>
        <w:jc w:val="left"/>
        <w:rPr>
          <w:rFonts w:ascii="sans-serif" w:hAnsi="sans-serif"/>
          <w:b w:val="false"/>
          <w:color w:val="000000"/>
          <w:sz w:val="18"/>
        </w:rPr>
      </w:pPr>
      <w:r>
        <w:rPr>
          <w:rFonts w:ascii="sans-serif" w:hAnsi="sans-serif"/>
          <w:b w:val="false"/>
          <w:color w:val="000000"/>
          <w:sz w:val="18"/>
        </w:rPr>
        <w:t>Movements in intangible assets and goodwill were as follows:</w:t>
      </w:r>
    </w:p>
    <w:tbl>
      <w:tblPr>
        <w:tblW w:w="11011" w:type="dxa"/>
        <w:jc w:val="left"/>
        <w:tblInd w:w="0" w:type="dxa"/>
        <w:tblLayout w:type="fixed"/>
        <w:tblCellMar>
          <w:top w:w="28" w:type="dxa"/>
          <w:left w:w="28" w:type="dxa"/>
          <w:bottom w:w="28" w:type="dxa"/>
          <w:right w:w="28" w:type="dxa"/>
        </w:tblCellMar>
      </w:tblPr>
      <w:tblGrid>
        <w:gridCol w:w="842"/>
        <w:gridCol w:w="291"/>
        <w:gridCol w:w="293"/>
        <w:gridCol w:w="443"/>
        <w:gridCol w:w="443"/>
        <w:gridCol w:w="311"/>
        <w:gridCol w:w="445"/>
        <w:gridCol w:w="445"/>
        <w:gridCol w:w="446"/>
        <w:gridCol w:w="436"/>
        <w:gridCol w:w="330"/>
        <w:gridCol w:w="331"/>
        <w:gridCol w:w="352"/>
        <w:gridCol w:w="354"/>
        <w:gridCol w:w="311"/>
        <w:gridCol w:w="394"/>
        <w:gridCol w:w="312"/>
        <w:gridCol w:w="211"/>
        <w:gridCol w:w="435"/>
        <w:gridCol w:w="435"/>
        <w:gridCol w:w="436"/>
        <w:gridCol w:w="445"/>
        <w:gridCol w:w="445"/>
        <w:gridCol w:w="446"/>
        <w:gridCol w:w="502"/>
        <w:gridCol w:w="504"/>
        <w:gridCol w:w="373"/>
      </w:tblGrid>
      <w:tr>
        <w:trPr/>
        <w:tc>
          <w:tcPr>
            <w:tcW w:w="8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In € millions</w:t>
            </w:r>
          </w:p>
        </w:tc>
        <w:tc>
          <w:tcPr>
            <w:tcW w:w="119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Goodwill</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Customer relationships</w:t>
            </w:r>
          </w:p>
        </w:tc>
        <w:tc>
          <w:tcPr>
            <w:tcW w:w="109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Spectrum licenses</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Software</w:t>
            </w:r>
          </w:p>
        </w:tc>
        <w:tc>
          <w:tcPr>
            <w:tcW w:w="917" w:type="dxa"/>
            <w:gridSpan w:val="3"/>
            <w:tcBorders/>
            <w:tcMar>
              <w:top w:w="0" w:type="dxa"/>
              <w:left w:w="0" w:type="dxa"/>
              <w:bottom w:w="0" w:type="dxa"/>
              <w:right w:w="0" w:type="dxa"/>
            </w:tcMar>
            <w:vAlign w:val="center"/>
          </w:tcPr>
          <w:p>
            <w:pPr>
              <w:pStyle w:val="TableContents"/>
              <w:bidi w:val="0"/>
              <w:spacing w:lineRule="auto" w:line="288" w:before="130" w:after="40"/>
              <w:jc w:val="right"/>
              <w:rPr>
                <w:rFonts w:ascii="sans-serif" w:hAnsi="sans-serif"/>
                <w:b/>
                <w:color w:val="000000"/>
                <w:sz w:val="16"/>
              </w:rPr>
            </w:pPr>
            <w:r>
              <w:rPr>
                <w:rFonts w:ascii="sans-serif" w:hAnsi="sans-serif"/>
                <w:b/>
                <w:color w:val="000000"/>
                <w:sz w:val="16"/>
              </w:rPr>
              <w:t>Trade name</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Software under</w:t>
            </w:r>
          </w:p>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construction</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Broadcasting Rights</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6"/>
              </w:rPr>
              <w:t>Restated</w:t>
            </w:r>
            <w:r>
              <w:rPr>
                <w:color w:val="000000"/>
              </w:rPr>
              <w:t xml:space="preserve"> </w:t>
            </w:r>
            <w:r>
              <w:rPr>
                <w:rFonts w:ascii="sans-serif" w:hAnsi="sans-serif"/>
                <w:b/>
                <w:color w:val="000000"/>
                <w:sz w:val="16"/>
              </w:rPr>
              <w:t>Total</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8388" w:type="dxa"/>
            <w:gridSpan w:val="21"/>
            <w:tcBorders/>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Balance as at 1 January 2024:</w:t>
            </w:r>
          </w:p>
        </w:tc>
        <w:tc>
          <w:tcPr>
            <w:tcW w:w="1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Cost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7,369.0 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6,360.0 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1,470.9 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505.0 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110.5 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138.7 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16,224.1 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and impairment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(3,541.7)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(631.9)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(204.2)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(4,453.4)</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6"/>
              </w:rPr>
            </w:pPr>
            <w:r>
              <w:rPr>
                <w:rFonts w:ascii="sans-serif" w:hAnsi="sans-serif"/>
                <w:b/>
                <w:color w:val="F85F00"/>
                <w:sz w:val="16"/>
              </w:rPr>
              <w:t>Carrying amount</w:t>
            </w:r>
          </w:p>
        </w:tc>
        <w:tc>
          <w:tcPr>
            <w:tcW w:w="88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7,369.0</w:t>
            </w:r>
            <w:r>
              <w:rPr>
                <w:color w:val="F85F00"/>
              </w:rPr>
              <w:t> </w:t>
            </w:r>
          </w:p>
        </w:tc>
        <w:tc>
          <w:tcPr>
            <w:tcW w:w="3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2,818.3</w:t>
            </w:r>
            <w:r>
              <w:rPr>
                <w:color w:val="F85F00"/>
              </w:rPr>
              <w:t> </w:t>
            </w:r>
          </w:p>
        </w:tc>
        <w:tc>
          <w:tcPr>
            <w:tcW w:w="44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839.0</w:t>
            </w:r>
            <w:r>
              <w:rPr>
                <w:color w:val="F85F00"/>
              </w:rPr>
              <w:t> </w:t>
            </w:r>
          </w:p>
        </w:tc>
        <w:tc>
          <w:tcPr>
            <w:tcW w:w="33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300.8</w:t>
            </w:r>
            <w:r>
              <w:rPr>
                <w:color w:val="F85F00"/>
              </w:rPr>
              <w:t> </w:t>
            </w:r>
          </w:p>
        </w:tc>
        <w:tc>
          <w:tcPr>
            <w:tcW w:w="3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194.4</w:t>
            </w:r>
            <w:r>
              <w:rPr>
                <w:color w:val="F85F00"/>
              </w:rPr>
              <w:t> </w:t>
            </w:r>
          </w:p>
        </w:tc>
        <w:tc>
          <w:tcPr>
            <w:tcW w:w="2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110.5</w:t>
            </w:r>
            <w:r>
              <w:rPr>
                <w:color w:val="F85F00"/>
              </w:rPr>
              <w:t> </w:t>
            </w:r>
          </w:p>
        </w:tc>
        <w:tc>
          <w:tcPr>
            <w:tcW w:w="43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138.7</w:t>
            </w:r>
            <w:r>
              <w:rPr>
                <w:color w:val="F85F00"/>
              </w:rPr>
              <w:t> </w:t>
            </w:r>
          </w:p>
        </w:tc>
        <w:tc>
          <w:tcPr>
            <w:tcW w:w="44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11,770.7</w:t>
            </w:r>
            <w:r>
              <w:rPr>
                <w:color w:val="F85F00"/>
              </w:rPr>
              <w:t> </w:t>
            </w:r>
          </w:p>
        </w:tc>
        <w:tc>
          <w:tcPr>
            <w:tcW w:w="373"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Changes in carrying amount:</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Additions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57.6 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132.7 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53.3 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243.6 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Reclassification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200.4 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(200.4)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Amortisation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(504.5)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(153.9)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(813.5)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(133.6)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(133.6)</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of 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133.6 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Other,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6"/>
              </w:rPr>
            </w:pPr>
            <w:r>
              <w:rPr>
                <w:rFonts w:ascii="sans-serif" w:hAnsi="sans-serif"/>
                <w:b/>
                <w:color w:val="000000"/>
                <w:sz w:val="16"/>
              </w:rPr>
              <w:t>Total changes in carrying amount</w:t>
            </w:r>
          </w:p>
        </w:tc>
        <w:tc>
          <w:tcPr>
            <w:tcW w:w="88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w:t>
            </w:r>
            <w:r>
              <w:rPr>
                <w:color w:val="000000"/>
              </w:rPr>
              <w:t> </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(504.5)</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(45.4)</w:t>
            </w:r>
          </w:p>
        </w:tc>
        <w:tc>
          <w:tcPr>
            <w:tcW w:w="3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47.5</w:t>
            </w:r>
            <w:r>
              <w:rPr>
                <w:color w:val="000000"/>
              </w:rPr>
              <w:t> </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(10.8)</w:t>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(71.2)</w:t>
            </w:r>
          </w:p>
        </w:tc>
        <w:tc>
          <w:tcPr>
            <w:tcW w:w="4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12.0</w:t>
            </w:r>
            <w:r>
              <w:rPr>
                <w:color w:val="000000"/>
              </w:rPr>
              <w:t> </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(572.4)</w:t>
            </w:r>
          </w:p>
        </w:tc>
        <w:tc>
          <w:tcPr>
            <w:tcW w:w="37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31 December 2024:</w:t>
            </w:r>
          </w:p>
        </w:tc>
        <w:tc>
          <w:tcPr>
            <w:tcW w:w="119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Cost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7,369.0 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6,360.0 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1,528.5 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572.8 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39.3 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192.0 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16,331.6 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and impairment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(4,046.2)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(734.9)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(224.5)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(5,133.3)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6"/>
              </w:rPr>
            </w:pPr>
            <w:r>
              <w:rPr>
                <w:rFonts w:ascii="sans-serif" w:hAnsi="sans-serif"/>
                <w:b/>
                <w:color w:val="F85F00"/>
                <w:sz w:val="16"/>
              </w:rPr>
              <w:t>Carrying amount</w:t>
            </w:r>
          </w:p>
        </w:tc>
        <w:tc>
          <w:tcPr>
            <w:tcW w:w="88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7,369.0</w:t>
            </w:r>
            <w:r>
              <w:rPr>
                <w:color w:val="F85F00"/>
              </w:rPr>
              <w:t> </w:t>
            </w:r>
          </w:p>
        </w:tc>
        <w:tc>
          <w:tcPr>
            <w:tcW w:w="3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2,313.8</w:t>
            </w:r>
            <w:r>
              <w:rPr>
                <w:color w:val="F85F00"/>
              </w:rPr>
              <w:t> </w:t>
            </w:r>
          </w:p>
        </w:tc>
        <w:tc>
          <w:tcPr>
            <w:tcW w:w="44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793.6</w:t>
            </w:r>
            <w:r>
              <w:rPr>
                <w:color w:val="F85F00"/>
              </w:rPr>
              <w:t> </w:t>
            </w:r>
          </w:p>
        </w:tc>
        <w:tc>
          <w:tcPr>
            <w:tcW w:w="33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348.3</w:t>
            </w:r>
            <w:r>
              <w:rPr>
                <w:color w:val="F85F00"/>
              </w:rPr>
              <w:t> </w:t>
            </w:r>
          </w:p>
        </w:tc>
        <w:tc>
          <w:tcPr>
            <w:tcW w:w="3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183.6</w:t>
            </w:r>
            <w:r>
              <w:rPr>
                <w:color w:val="F85F00"/>
              </w:rPr>
              <w:t> </w:t>
            </w:r>
          </w:p>
        </w:tc>
        <w:tc>
          <w:tcPr>
            <w:tcW w:w="2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39.3</w:t>
            </w:r>
            <w:r>
              <w:rPr>
                <w:color w:val="F85F00"/>
              </w:rPr>
              <w:t> </w:t>
            </w:r>
          </w:p>
        </w:tc>
        <w:tc>
          <w:tcPr>
            <w:tcW w:w="43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150.7</w:t>
            </w:r>
            <w:r>
              <w:rPr>
                <w:color w:val="F85F00"/>
              </w:rPr>
              <w:t> </w:t>
            </w:r>
          </w:p>
        </w:tc>
        <w:tc>
          <w:tcPr>
            <w:tcW w:w="44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11,198.3</w:t>
            </w:r>
            <w:r>
              <w:rPr>
                <w:color w:val="F85F00"/>
              </w:rPr>
              <w:t> </w:t>
            </w:r>
          </w:p>
        </w:tc>
        <w:tc>
          <w:tcPr>
            <w:tcW w:w="373"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Changes in carrying amount:</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Additions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28.4 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158.4 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Reclassification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(74.4)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Amortisation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(528.4)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(61.1)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(838.3)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(2,910.0)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(71.8)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(2,981.8)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of 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2,910.0 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72.7 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2,982.7 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Other,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12.1 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6"/>
              </w:rPr>
            </w:pPr>
            <w:r>
              <w:rPr>
                <w:rFonts w:ascii="sans-serif" w:hAnsi="sans-serif"/>
                <w:b/>
                <w:color w:val="000000"/>
                <w:sz w:val="16"/>
              </w:rPr>
              <w:t>Total changes in carrying amount</w:t>
            </w:r>
          </w:p>
        </w:tc>
        <w:tc>
          <w:tcPr>
            <w:tcW w:w="88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w:t>
            </w:r>
            <w:r>
              <w:rPr>
                <w:color w:val="000000"/>
              </w:rPr>
              <w:t> </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(528.4)</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(104.8)</w:t>
            </w:r>
          </w:p>
        </w:tc>
        <w:tc>
          <w:tcPr>
            <w:tcW w:w="3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(54.4)</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(10.8)</w:t>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67.7</w:t>
            </w:r>
            <w:r>
              <w:rPr>
                <w:color w:val="000000"/>
              </w:rPr>
              <w:t> </w:t>
            </w:r>
          </w:p>
        </w:tc>
        <w:tc>
          <w:tcPr>
            <w:tcW w:w="4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(32.7)</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(663.4)</w:t>
            </w:r>
          </w:p>
        </w:tc>
        <w:tc>
          <w:tcPr>
            <w:tcW w:w="37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31 December 2025:</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Cost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7,369.0 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3,450.0 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1,528.5 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566.9 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107.0 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220.4 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13,511.8 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and impairment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(1,664.6)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(839.7)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(2,976.9)</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6"/>
              </w:rPr>
            </w:pPr>
            <w:r>
              <w:rPr>
                <w:rFonts w:ascii="sans-serif" w:hAnsi="sans-serif"/>
                <w:b/>
                <w:color w:val="000000"/>
                <w:sz w:val="16"/>
              </w:rPr>
              <w:t>Carrying amount</w:t>
            </w:r>
          </w:p>
        </w:tc>
        <w:tc>
          <w:tcPr>
            <w:tcW w:w="88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7,369.0</w:t>
            </w:r>
            <w:r>
              <w:rPr>
                <w:color w:val="000000"/>
              </w:rPr>
              <w:t> </w:t>
            </w:r>
          </w:p>
        </w:tc>
        <w:tc>
          <w:tcPr>
            <w:tcW w:w="31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1,785.4</w:t>
            </w:r>
            <w:r>
              <w:rPr>
                <w:color w:val="000000"/>
              </w:rPr>
              <w:t> </w:t>
            </w:r>
          </w:p>
        </w:tc>
        <w:tc>
          <w:tcPr>
            <w:tcW w:w="446"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688.8</w:t>
            </w:r>
            <w:r>
              <w:rPr>
                <w:color w:val="000000"/>
              </w:rPr>
              <w:t> </w:t>
            </w:r>
          </w:p>
        </w:tc>
        <w:tc>
          <w:tcPr>
            <w:tcW w:w="33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293.9</w:t>
            </w:r>
            <w:r>
              <w:rPr>
                <w:color w:val="000000"/>
              </w:rPr>
              <w:t> </w:t>
            </w:r>
          </w:p>
        </w:tc>
        <w:tc>
          <w:tcPr>
            <w:tcW w:w="31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172.8</w:t>
            </w:r>
            <w:r>
              <w:rPr>
                <w:color w:val="000000"/>
              </w:rPr>
              <w:t> </w:t>
            </w:r>
          </w:p>
        </w:tc>
        <w:tc>
          <w:tcPr>
            <w:tcW w:w="21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107.0</w:t>
            </w:r>
            <w:r>
              <w:rPr>
                <w:color w:val="000000"/>
              </w:rPr>
              <w:t> </w:t>
            </w:r>
          </w:p>
        </w:tc>
        <w:tc>
          <w:tcPr>
            <w:tcW w:w="436"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118.0</w:t>
            </w:r>
            <w:r>
              <w:rPr>
                <w:color w:val="000000"/>
              </w:rPr>
              <w:t> </w:t>
            </w:r>
          </w:p>
        </w:tc>
        <w:tc>
          <w:tcPr>
            <w:tcW w:w="446"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10,534.9</w:t>
            </w:r>
            <w:r>
              <w:rPr>
                <w:color w:val="000000"/>
              </w:rPr>
              <w:t> </w:t>
            </w:r>
          </w:p>
        </w:tc>
        <w:tc>
          <w:tcPr>
            <w:tcW w:w="373"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2400"/>
                <wp:effectExtent l="0" t="0" r="0" b="0"/>
                <wp:wrapNone/>
                <wp:docPr id="31" name="Frame22"/>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17</w:t>
                      </w:r>
                    </w:p>
                  </w:txbxContent>
                </v:textbox>
                <w10:wrap type="none"/>
              </v:rect>
            </w:pict>
          </mc:Fallback>
        </mc:AlternateContent>
      </w:r>
    </w:p>
    <w:p>
      <w:pPr>
        <w:pStyle w:val="TextBody"/>
        <w:bidi w:val="0"/>
        <w:spacing w:lineRule="auto" w:line="324" w:before="120" w:after="283"/>
        <w:jc w:val="left"/>
        <w:rPr>
          <w:rFonts w:ascii="sans-serif" w:hAnsi="sans-serif"/>
          <w:b/>
          <w:color w:val="F85F00"/>
          <w:sz w:val="20"/>
        </w:rPr>
      </w:pPr>
      <w:bookmarkStart w:id="32" w:name="i0c6fe7228496424d95e1f39082c57432"/>
      <w:bookmarkEnd w:id="32"/>
      <w:r>
        <w:rPr>
          <w:rFonts w:ascii="sans-serif" w:hAnsi="sans-serif"/>
          <w:b/>
          <w:color w:val="F85F00"/>
          <w:sz w:val="20"/>
        </w:rPr>
        <w:t>Goodwill</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Goodwill represents the fair value of the combined business of VodafoneZiggo in excess of the fair value of the identifiable assets and liabilities assumed upon closing of the JV transaction. We have one cash-generating unit.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annual impairment tests in 2025 and 2024 did not indicate that our carrying value is not recoverable. The recoverable amount is estimated based on value in use. The test was carried out by discounting future cash flows to be generated from the continuing use of our cash-generating unit and are based on past experience and our long-range plan as at 1 October. Projected cash flows for the first 5.25 years are based on the long-range plan as approved by management. Key assumptions used in the calculation of the recoverable amount are the EBITDA AL (EBITDA after Leases) margin, pre-tax weighted average cost of capital and the terminal value growth rate.</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following rates were applied in performing the impairment test:</w:t>
      </w:r>
    </w:p>
    <w:tbl>
      <w:tblPr>
        <w:tblW w:w="5894" w:type="dxa"/>
        <w:jc w:val="left"/>
        <w:tblInd w:w="0" w:type="dxa"/>
        <w:tblLayout w:type="fixed"/>
        <w:tblCellMar>
          <w:top w:w="28" w:type="dxa"/>
          <w:left w:w="28" w:type="dxa"/>
          <w:bottom w:w="28" w:type="dxa"/>
          <w:right w:w="28" w:type="dxa"/>
        </w:tblCellMar>
      </w:tblPr>
      <w:tblGrid>
        <w:gridCol w:w="998"/>
        <w:gridCol w:w="877"/>
        <w:gridCol w:w="884"/>
        <w:gridCol w:w="344"/>
        <w:gridCol w:w="344"/>
        <w:gridCol w:w="857"/>
        <w:gridCol w:w="323"/>
        <w:gridCol w:w="323"/>
        <w:gridCol w:w="944"/>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 October 2025</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 October 2024</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Goodwill carrying amount</w:t>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7,369.0</w:t>
            </w:r>
          </w:p>
        </w:tc>
        <w:tc>
          <w:tcPr>
            <w:tcW w:w="1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7,369.0</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EBITDA AL margin</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43-44%</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45%-46%</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Pre-tax discount rate (WACC)</w:t>
            </w:r>
          </w:p>
        </w:tc>
        <w:tc>
          <w:tcPr>
            <w:tcW w:w="68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8.0 </w:t>
            </w:r>
          </w:p>
        </w:tc>
        <w:tc>
          <w:tcPr>
            <w:tcW w:w="857"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7.4 </w:t>
            </w:r>
          </w:p>
        </w:tc>
        <w:tc>
          <w:tcPr>
            <w:tcW w:w="944"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27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Terminal value growth rate</w:t>
            </w:r>
          </w:p>
        </w:tc>
        <w:tc>
          <w:tcPr>
            <w:tcW w:w="6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1.1 </w:t>
            </w:r>
          </w:p>
        </w:tc>
        <w:tc>
          <w:tcPr>
            <w:tcW w:w="85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6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1.0 </w:t>
            </w:r>
          </w:p>
        </w:tc>
        <w:tc>
          <w:tcPr>
            <w:tcW w:w="944"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tLeast" w:line="240" w:before="0" w:after="224"/>
        <w:jc w:val="left"/>
        <w:rPr>
          <w:rFonts w:ascii="sans-serif" w:hAnsi="sans-serif"/>
          <w:b w:val="false"/>
          <w:color w:val="000000"/>
          <w:sz w:val="18"/>
        </w:rPr>
      </w:pPr>
      <w:r>
        <w:rPr>
          <w:rFonts w:ascii="sans-serif" w:hAnsi="sans-serif"/>
          <w:b w:val="false"/>
          <w:color w:val="000000"/>
          <w:sz w:val="18"/>
        </w:rPr>
        <w:t>The recoverable amount exceeds the carrying value by €1.1 billion. If the pre-tax discount rate increases by 0.6% or if the terminal value growth rate decreases by 0.8%, without taking into consideration any potential offsetting impacts, the recoverable amount of our cash-generating unit would be in line with its carrying amount. Further, we are experiencing significant competition in both our fixed-line and mobile operations. If the adverse impacts of economic, competitive, regulatory or other factors were to cause significant deterioration of the results of our operations or cash flows, we could conclude in future periods that our goodwill and/or other long-lived assets is required.</w:t>
      </w:r>
    </w:p>
    <w:p>
      <w:pPr>
        <w:pStyle w:val="TextBody"/>
        <w:bidi w:val="0"/>
        <w:spacing w:lineRule="auto" w:line="324" w:before="120" w:after="283"/>
        <w:jc w:val="left"/>
        <w:rPr>
          <w:rFonts w:ascii="sans-serif" w:hAnsi="sans-serif"/>
          <w:b/>
          <w:color w:val="F85F00"/>
          <w:sz w:val="20"/>
        </w:rPr>
      </w:pPr>
      <w:bookmarkStart w:id="33" w:name="i0c21fab5f38143c08b523ed08e725e95"/>
      <w:bookmarkEnd w:id="33"/>
      <w:r>
        <w:rPr>
          <w:rFonts w:ascii="sans-serif" w:hAnsi="sans-serif"/>
          <w:b/>
          <w:color w:val="F85F00"/>
          <w:sz w:val="20"/>
        </w:rPr>
        <w:t>Customer relationships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majority of the customer relationships are related to Fixed-Mobile-Convergence (FMC). This comprises the customer relationships to which converged services are offered, resulting in (i) higher rates of customer retention and (ii) a longer period over which the related future economic benefits will be received. </w:t>
      </w:r>
    </w:p>
    <w:p>
      <w:pPr>
        <w:pStyle w:val="TextBody"/>
        <w:bidi w:val="0"/>
        <w:spacing w:lineRule="atLeast" w:line="240" w:before="0" w:after="192"/>
        <w:jc w:val="left"/>
        <w:rPr>
          <w:rFonts w:ascii="sans-serif" w:hAnsi="sans-serif"/>
          <w:b w:val="false"/>
          <w:color w:val="000000"/>
          <w:sz w:val="18"/>
        </w:rPr>
      </w:pPr>
      <w:r>
        <w:rPr>
          <w:rFonts w:ascii="sans-serif" w:hAnsi="sans-serif"/>
          <w:b w:val="false"/>
          <w:color w:val="000000"/>
          <w:sz w:val="18"/>
        </w:rPr>
        <w:t>At 31 December 2025, the remaining amortisation period for customer relationships is between one and eleven years.</w:t>
      </w:r>
    </w:p>
    <w:p>
      <w:pPr>
        <w:pStyle w:val="TextBody"/>
        <w:bidi w:val="0"/>
        <w:spacing w:lineRule="auto" w:line="324" w:before="120" w:after="283"/>
        <w:jc w:val="left"/>
        <w:rPr>
          <w:rFonts w:ascii="sans-serif" w:hAnsi="sans-serif"/>
          <w:b/>
          <w:color w:val="F85F00"/>
          <w:sz w:val="20"/>
        </w:rPr>
      </w:pPr>
      <w:bookmarkStart w:id="34" w:name="i76444aa204bb48c7b52a3f78e9951b43"/>
      <w:bookmarkEnd w:id="34"/>
      <w:r>
        <w:rPr>
          <w:rFonts w:ascii="sans-serif" w:hAnsi="sans-serif"/>
          <w:b/>
          <w:color w:val="F85F00"/>
          <w:sz w:val="20"/>
        </w:rPr>
        <w:t>Spectrum licenses</w:t>
      </w:r>
    </w:p>
    <w:p>
      <w:pPr>
        <w:pStyle w:val="TextBody"/>
        <w:bidi w:val="0"/>
        <w:spacing w:lineRule="atLeast" w:line="240" w:before="0" w:after="230"/>
        <w:jc w:val="left"/>
        <w:rPr>
          <w:rFonts w:ascii="sans-serif" w:hAnsi="sans-serif"/>
          <w:b w:val="false"/>
          <w:color w:val="000000"/>
          <w:sz w:val="18"/>
        </w:rPr>
      </w:pPr>
      <w:r>
        <w:rPr>
          <w:rFonts w:ascii="sans-serif" w:hAnsi="sans-serif"/>
          <w:b w:val="false"/>
          <w:color w:val="000000"/>
          <w:sz w:val="18"/>
        </w:rPr>
        <w:t>Represents primarily mobile spectrum licenses associated with our mobile operations. Spectrum licenses have a remaining useful life (license terms) of five to sixteen years.</w:t>
      </w:r>
    </w:p>
    <w:p>
      <w:pPr>
        <w:pStyle w:val="TextBody"/>
        <w:bidi w:val="0"/>
        <w:spacing w:lineRule="auto" w:line="324" w:before="120" w:after="283"/>
        <w:jc w:val="left"/>
        <w:rPr>
          <w:rFonts w:ascii="sans-serif" w:hAnsi="sans-serif"/>
          <w:b/>
          <w:color w:val="F85F00"/>
          <w:sz w:val="20"/>
        </w:rPr>
      </w:pPr>
      <w:bookmarkStart w:id="35" w:name="i1fe931655afe4dd596397f27817cd314"/>
      <w:bookmarkEnd w:id="35"/>
      <w:r>
        <w:rPr>
          <w:rFonts w:ascii="sans-serif" w:hAnsi="sans-serif"/>
          <w:b/>
          <w:color w:val="F85F00"/>
          <w:sz w:val="20"/>
        </w:rPr>
        <w:t>Software</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Software comprises the costs of purchasing and developing computer software. These capitalised amounts generally have estimated useful lives of three to five years, except for billing system software, that has an estimated useful life of ten years.</w:t>
      </w:r>
    </w:p>
    <w:p>
      <w:pPr>
        <w:pStyle w:val="TextBody"/>
        <w:bidi w:val="0"/>
        <w:spacing w:lineRule="auto" w:line="324" w:before="120" w:after="283"/>
        <w:jc w:val="left"/>
        <w:rPr>
          <w:rFonts w:ascii="sans-serif" w:hAnsi="sans-serif"/>
          <w:b/>
          <w:color w:val="F85F00"/>
          <w:sz w:val="20"/>
        </w:rPr>
      </w:pPr>
      <w:bookmarkStart w:id="36" w:name="i65fa3119b03f429c88b710b26c83ed9a"/>
      <w:bookmarkEnd w:id="36"/>
      <w:r>
        <w:rPr>
          <w:rFonts w:ascii="sans-serif" w:hAnsi="sans-serif"/>
          <w:b/>
          <w:color w:val="F85F00"/>
          <w:sz w:val="20"/>
        </w:rPr>
        <w:t>Trade name</w:t>
      </w:r>
    </w:p>
    <w:p>
      <w:pPr>
        <w:pStyle w:val="TextBody"/>
        <w:bidi w:val="0"/>
        <w:spacing w:lineRule="atLeast" w:line="240" w:before="0" w:after="120"/>
        <w:jc w:val="left"/>
        <w:rPr>
          <w:rFonts w:ascii="sans-serif" w:hAnsi="sans-serif"/>
          <w:b w:val="false"/>
          <w:color w:val="000000"/>
          <w:sz w:val="18"/>
        </w:rPr>
      </w:pPr>
      <w:r>
        <w:rPr>
          <w:rFonts w:ascii="sans-serif" w:hAnsi="sans-serif"/>
          <w:b w:val="false"/>
          <w:color w:val="000000"/>
          <w:sz w:val="18"/>
        </w:rPr>
        <w:t>Trade name represents the future economic benefits arising from the Ziggo trade name. The remaining amortisation period for the trade name is sixteen years.</w:t>
      </w:r>
    </w:p>
    <w:p>
      <w:pPr>
        <w:pStyle w:val="TextBody"/>
        <w:bidi w:val="0"/>
        <w:spacing w:lineRule="auto" w:line="324" w:before="120" w:after="120"/>
        <w:jc w:val="left"/>
        <w:rPr>
          <w:rFonts w:ascii="sans-serif" w:hAnsi="sans-serif"/>
          <w:b/>
          <w:color w:val="F85F00"/>
          <w:sz w:val="20"/>
        </w:rPr>
      </w:pPr>
      <w:bookmarkStart w:id="37" w:name="i8ae28a33ce634621b67f94c522652583"/>
      <w:bookmarkEnd w:id="37"/>
      <w:r>
        <w:rPr>
          <w:rFonts w:ascii="sans-serif" w:hAnsi="sans-serif"/>
          <w:b/>
          <w:color w:val="F85F00"/>
          <w:sz w:val="20"/>
        </w:rPr>
        <w:t>Broadcasting Rights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Broadcasting rights represent exclusive contractual rights to broadcast sports content. The sports broadcasting rights are amortised over the applicable sport season(s) covered by the contractual right. Refer to note 3 where the change in accounting policy impact is presented.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4"/>
        <w:gridCol w:w="1040"/>
        <w:gridCol w:w="1040"/>
        <w:gridCol w:w="1040"/>
        <w:gridCol w:w="1040"/>
        <w:gridCol w:w="1040"/>
        <w:gridCol w:w="1040"/>
        <w:gridCol w:w="1040"/>
        <w:gridCol w:w="1071"/>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9"/>
            <w:tcBorders/>
            <w:shd w:fill="E9E9E9" w:val="clear"/>
            <w:tcMar>
              <w:top w:w="0" w:type="dxa"/>
              <w:left w:w="0" w:type="dxa"/>
              <w:bottom w:w="0" w:type="dxa"/>
              <w:right w:w="0" w:type="dxa"/>
            </w:tcMar>
            <w:vAlign w:val="center"/>
          </w:tcPr>
          <w:p>
            <w:pPr>
              <w:pStyle w:val="TableContents"/>
              <w:bidi w:val="0"/>
              <w:spacing w:lineRule="atLeast" w:line="142" w:before="0" w:after="283"/>
              <w:jc w:val="both"/>
              <w:rPr>
                <w:rFonts w:ascii="sans-serif" w:hAnsi="sans-serif"/>
                <w:b/>
                <w:color w:val="000000"/>
                <w:sz w:val="18"/>
              </w:rPr>
            </w:pPr>
            <w:r>
              <w:rPr>
                <w:rFonts w:ascii="sans-serif" w:hAnsi="sans-serif"/>
                <w:b/>
                <w:color w:val="000000"/>
                <w:sz w:val="18"/>
              </w:rPr>
              <w:t>Accounting policy - Intangible assets and goodwill</w:t>
            </w:r>
          </w:p>
        </w:tc>
        <w:tc>
          <w:tcPr>
            <w:tcW w:w="378"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Customer relationships are initially recorded at their fair values in connection with business combinations and subsequently at cost less accumulated amortisation and impairments, if any. Upon closing the JV Transaction, our mobile spectrum licenses were recorded at their fair value and subsequent to the closing of the JV Transaction, we record licenses at costs less accumulated amortisation and impairments, if any.</w:t>
            </w:r>
          </w:p>
        </w:tc>
        <w:tc>
          <w:tcPr>
            <w:tcW w:w="378"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Costs that are directly associated with the production of identifiable and unique software products controlled by the company, and that are expected to generate economic benefits beyond one year, are recognised as intangible assets and are amortised over their estimated useful life on a straight-line basis over a period of three to five years. Capitalised internal use software costs include only external direct costs of materials and services consumed in developing or obtaining the software and payroll and payroll-related costs for employees who are directly associated with the project. Capitalisation of these costs ceases no later than the point at which the project is substantially complete and ready for its intended purpose. Costs associated with maintaining computer software are recognised as an expense as incurred.</w:t>
            </w:r>
          </w:p>
        </w:tc>
        <w:tc>
          <w:tcPr>
            <w:tcW w:w="378"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The trade name was initially recorded in connection with the JV transaction at fair value and is amortised over its estimated useful life on a straight-line basis. </w:t>
            </w:r>
          </w:p>
        </w:tc>
        <w:tc>
          <w:tcPr>
            <w:tcW w:w="378"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Goodwill is not amortised, but instead is tested for impairment at least annually. Intangible assets with finite lives are amortised on a straight-line basis over their respective estimated useful lives to their estimated residual values and reviewed for impairment. Useful lives used to amortise our intangible assets are assessed periodically and are adjusted when warranted.</w:t>
            </w:r>
          </w:p>
        </w:tc>
        <w:tc>
          <w:tcPr>
            <w:tcW w:w="378"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Broadcast rights are capitalised as an intangible asset upon execution of the underlying sports broadcasting agreement. The sports broadcasting rights are amortised over the applicable sport season(s) covered by the contract.</w:t>
            </w:r>
          </w:p>
        </w:tc>
        <w:tc>
          <w:tcPr>
            <w:tcW w:w="378"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2400"/>
                <wp:effectExtent l="0" t="0" r="0" b="0"/>
                <wp:wrapNone/>
                <wp:docPr id="32" name="Frame23"/>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214"/>
        <w:gridCol w:w="926"/>
        <w:gridCol w:w="727"/>
        <w:gridCol w:w="1769"/>
        <w:gridCol w:w="1392"/>
        <w:gridCol w:w="1282"/>
        <w:gridCol w:w="724"/>
        <w:gridCol w:w="724"/>
        <w:gridCol w:w="72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E9E9E9" w:val="clear"/>
            <w:tcMar>
              <w:top w:w="0" w:type="dxa"/>
              <w:left w:w="0" w:type="dxa"/>
              <w:bottom w:w="0" w:type="dxa"/>
              <w:right w:w="0" w:type="dxa"/>
            </w:tcMar>
            <w:vAlign w:val="center"/>
          </w:tcPr>
          <w:p>
            <w:pPr>
              <w:pStyle w:val="TableContents"/>
              <w:bidi w:val="0"/>
              <w:spacing w:lineRule="atLeast" w:line="142" w:before="0" w:after="283"/>
              <w:jc w:val="both"/>
              <w:rPr>
                <w:rFonts w:ascii="sans-serif" w:hAnsi="sans-serif"/>
                <w:b/>
                <w:color w:val="000000"/>
                <w:sz w:val="18"/>
              </w:rPr>
            </w:pPr>
            <w:r>
              <w:rPr>
                <w:rFonts w:ascii="sans-serif" w:hAnsi="sans-serif"/>
                <w:b/>
                <w:color w:val="000000"/>
                <w:sz w:val="18"/>
              </w:rPr>
              <w:t>Accounting policy - Intangible assets and goodwill - Continued</w:t>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The estimated useful lives of our intangible assets are as follows:</w:t>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op w:val="single" w:sz="4" w:space="0" w:color="000000"/>
            </w:tcBorders>
            <w:shd w:fill="E9E9E9"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Customer relationships</w:t>
            </w:r>
          </w:p>
        </w:tc>
        <w:tc>
          <w:tcPr>
            <w:tcW w:w="4443" w:type="dxa"/>
            <w:gridSpan w:val="3"/>
            <w:tcBorders>
              <w:top w:val="single" w:sz="4" w:space="0" w:color="000000"/>
            </w:tcBorders>
            <w:shd w:fill="E9E9E9"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9-20 years</w:t>
            </w:r>
          </w:p>
        </w:tc>
        <w:tc>
          <w:tcPr>
            <w:tcW w:w="21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Spectrum licenses</w:t>
            </w:r>
          </w:p>
        </w:tc>
        <w:tc>
          <w:tcPr>
            <w:tcW w:w="4443"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17-20 years</w:t>
            </w:r>
          </w:p>
        </w:tc>
        <w:tc>
          <w:tcPr>
            <w:tcW w:w="21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Software</w:t>
            </w:r>
          </w:p>
        </w:tc>
        <w:tc>
          <w:tcPr>
            <w:tcW w:w="4443"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3-10 years</w:t>
            </w:r>
          </w:p>
        </w:tc>
        <w:tc>
          <w:tcPr>
            <w:tcW w:w="21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name</w:t>
            </w:r>
          </w:p>
        </w:tc>
        <w:tc>
          <w:tcPr>
            <w:tcW w:w="4443"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 years</w:t>
            </w:r>
          </w:p>
        </w:tc>
        <w:tc>
          <w:tcPr>
            <w:tcW w:w="21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Broadcast rights</w:t>
            </w:r>
          </w:p>
        </w:tc>
        <w:tc>
          <w:tcPr>
            <w:tcW w:w="4443"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Sport season(s) covered by contractual right</w:t>
            </w:r>
          </w:p>
        </w:tc>
        <w:tc>
          <w:tcPr>
            <w:tcW w:w="21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op w:val="single" w:sz="4" w:space="0" w:color="000000"/>
            </w:tcBorders>
            <w:shd w:fill="E9E9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3"/>
            <w:tcBorders>
              <w:top w:val="single" w:sz="4" w:space="0" w:color="000000"/>
            </w:tcBorders>
            <w:shd w:fill="E9E9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Intangible assets are assessed at each reporting date to determine if any indication of an impairment exists. If any such indication exists, the recoverable amount of the asset is estimated, which is the higher of value in use and fair value less costs of disposal. When the carrying amount exceeds its recoverable amount, an impairment loss is recognised for the difference between those amounts. Impairments other than on goodwill are reversed if and to the extent that the impairment no longer exists.</w:t>
            </w:r>
          </w:p>
        </w:tc>
        <w:tc>
          <w:tcPr>
            <w:tcW w:w="37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70"/>
        <w:ind w:left="0" w:right="0" w:hanging="340"/>
        <w:jc w:val="left"/>
        <w:rPr>
          <w:rFonts w:ascii="sans-serif" w:hAnsi="sans-serif"/>
          <w:b/>
          <w:color w:val="000000"/>
          <w:sz w:val="24"/>
        </w:rPr>
      </w:pPr>
      <w:bookmarkStart w:id="38" w:name="ic1be90cb4d284b51b4aa8f50cee1418d"/>
      <w:bookmarkEnd w:id="38"/>
      <w:r>
        <w:rPr>
          <w:rFonts w:ascii="sans-serif" w:hAnsi="sans-serif"/>
          <w:b/>
          <w:color w:val="000000"/>
          <w:sz w:val="24"/>
        </w:rPr>
        <w:t>10.    Property and equipment</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Movements in property and equipment were as follows:</w:t>
      </w:r>
    </w:p>
    <w:tbl>
      <w:tblPr>
        <w:tblW w:w="10205" w:type="dxa"/>
        <w:jc w:val="left"/>
        <w:tblInd w:w="0" w:type="dxa"/>
        <w:tblLayout w:type="fixed"/>
        <w:tblCellMar>
          <w:top w:w="28" w:type="dxa"/>
          <w:left w:w="28" w:type="dxa"/>
          <w:bottom w:w="28" w:type="dxa"/>
          <w:right w:w="28" w:type="dxa"/>
        </w:tblCellMar>
      </w:tblPr>
      <w:tblGrid>
        <w:gridCol w:w="1150"/>
        <w:gridCol w:w="583"/>
        <w:gridCol w:w="585"/>
        <w:gridCol w:w="527"/>
        <w:gridCol w:w="506"/>
        <w:gridCol w:w="508"/>
        <w:gridCol w:w="550"/>
        <w:gridCol w:w="550"/>
        <w:gridCol w:w="551"/>
        <w:gridCol w:w="596"/>
        <w:gridCol w:w="596"/>
        <w:gridCol w:w="597"/>
        <w:gridCol w:w="565"/>
        <w:gridCol w:w="565"/>
        <w:gridCol w:w="566"/>
        <w:gridCol w:w="469"/>
        <w:gridCol w:w="458"/>
        <w:gridCol w:w="283"/>
      </w:tblGrid>
      <w:tr>
        <w:trPr/>
        <w:tc>
          <w:tcPr>
            <w:tcW w:w="115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541"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Distribution systems</w:t>
            </w:r>
          </w:p>
        </w:tc>
        <w:tc>
          <w:tcPr>
            <w:tcW w:w="1651"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Customer premises equipment</w:t>
            </w:r>
          </w:p>
        </w:tc>
        <w:tc>
          <w:tcPr>
            <w:tcW w:w="1789"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Support equipment and buildings (a)</w:t>
            </w:r>
          </w:p>
        </w:tc>
        <w:tc>
          <w:tcPr>
            <w:tcW w:w="169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 xml:space="preserve">Assets under construction </w:t>
            </w:r>
          </w:p>
        </w:tc>
        <w:tc>
          <w:tcPr>
            <w:tcW w:w="121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Total</w:t>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6346" w:type="dxa"/>
            <w:gridSpan w:val="12"/>
            <w:tcBorders/>
          </w:tcPr>
          <w:p>
            <w:pPr>
              <w:pStyle w:val="TableContents"/>
              <w:bidi w:val="0"/>
              <w:spacing w:before="0" w:after="283"/>
              <w:jc w:val="left"/>
              <w:rPr>
                <w:sz w:val="4"/>
                <w:szCs w:val="4"/>
              </w:rPr>
            </w:pPr>
            <w:r>
              <w:rPr>
                <w:sz w:val="4"/>
                <w:szCs w:val="4"/>
              </w:rPr>
            </w:r>
          </w:p>
        </w:tc>
      </w:tr>
      <w:tr>
        <w:trPr/>
        <w:tc>
          <w:tcPr>
            <w:tcW w:w="2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Balance as at 1 January 2024:</w:t>
            </w:r>
          </w:p>
        </w:tc>
        <w:tc>
          <w:tcPr>
            <w:tcW w:w="1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5,953.9 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999.8 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350.7 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281.3 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7,585.7 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Accumulated depreciation and impairment</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(2,742.1)</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(471.0)</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(48.2)</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(3,261.3)</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Carrying amount</w:t>
            </w:r>
          </w:p>
        </w:tc>
        <w:tc>
          <w:tcPr>
            <w:tcW w:w="1033"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3,211.8</w:t>
            </w:r>
            <w:r>
              <w:rPr>
                <w:color w:val="F85F00"/>
              </w:rPr>
              <w:t> </w:t>
            </w:r>
          </w:p>
        </w:tc>
        <w:tc>
          <w:tcPr>
            <w:tcW w:w="50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528.8</w:t>
            </w:r>
            <w:r>
              <w:rPr>
                <w:color w:val="F85F00"/>
              </w:rPr>
              <w:t> </w:t>
            </w:r>
          </w:p>
        </w:tc>
        <w:tc>
          <w:tcPr>
            <w:tcW w:w="55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302.5</w:t>
            </w:r>
            <w:r>
              <w:rPr>
                <w:color w:val="F85F00"/>
              </w:rPr>
              <w:t> </w:t>
            </w:r>
          </w:p>
        </w:tc>
        <w:tc>
          <w:tcPr>
            <w:tcW w:w="59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281.3</w:t>
            </w:r>
            <w:r>
              <w:rPr>
                <w:color w:val="F85F00"/>
              </w:rPr>
              <w:t> </w:t>
            </w:r>
          </w:p>
        </w:tc>
        <w:tc>
          <w:tcPr>
            <w:tcW w:w="56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4,324.4</w:t>
            </w:r>
            <w:r>
              <w:rPr>
                <w:color w:val="F85F00"/>
              </w:rPr>
              <w:t> </w:t>
            </w:r>
          </w:p>
        </w:tc>
        <w:tc>
          <w:tcPr>
            <w:tcW w:w="28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Changes in carrying amount:</w:t>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Investments</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718.0 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718.0 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Reclassifications</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532.9 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179.3 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34.3 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(746.5)</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(561.8)</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(197.8)</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(22.4)</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(782.0)</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Impairment</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(6.9)</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(6.9)</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Disposals</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(325.1)</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(204.3)</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(31.5)</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(560.9)</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Accumulated depreciation and impairment of disposals</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325.1 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204.3 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30.7 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560.1 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585857"/>
                <w:sz w:val="18"/>
              </w:rPr>
            </w:pPr>
            <w:r>
              <w:rPr>
                <w:rFonts w:ascii="sans-serif" w:hAnsi="sans-serif"/>
                <w:b w:val="false"/>
                <w:color w:val="585857"/>
                <w:sz w:val="18"/>
              </w:rPr>
              <w:t>Other, net</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10.3 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585857"/>
                <w:sz w:val="18"/>
              </w:rPr>
            </w:pPr>
            <w:r>
              <w:rPr>
                <w:rFonts w:ascii="sans-serif" w:hAnsi="sans-serif"/>
                <w:b w:val="false"/>
                <w:color w:val="585857"/>
                <w:sz w:val="18"/>
              </w:rPr>
              <w:t>13.9 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changes in carrying amount</w:t>
            </w:r>
          </w:p>
        </w:tc>
        <w:tc>
          <w:tcPr>
            <w:tcW w:w="103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(28.9)</w:t>
            </w:r>
          </w:p>
        </w:tc>
        <w:tc>
          <w:tcPr>
            <w:tcW w:w="50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(18.5)</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14.7</w:t>
            </w:r>
            <w:r>
              <w:rPr>
                <w:color w:val="000000"/>
              </w:rPr>
              <w:t> </w:t>
            </w:r>
          </w:p>
        </w:tc>
        <w:tc>
          <w:tcPr>
            <w:tcW w:w="59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(25.1)</w:t>
            </w:r>
          </w:p>
        </w:tc>
        <w:tc>
          <w:tcPr>
            <w:tcW w:w="5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(57.8)</w:t>
            </w:r>
          </w:p>
        </w:tc>
        <w:tc>
          <w:tcPr>
            <w:tcW w:w="2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Balance as at 31 December 2024:</w:t>
            </w:r>
          </w:p>
        </w:tc>
        <w:tc>
          <w:tcPr>
            <w:tcW w:w="154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6,161.7 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974.8 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357.1 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256.2 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7,749.8 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Accumulated depreciation and impairment</w:t>
            </w:r>
          </w:p>
        </w:tc>
        <w:tc>
          <w:tcPr>
            <w:tcW w:w="103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(2,978.8)</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(464.5)</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(39.9)</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(3,483.2)</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Carrying amount</w:t>
            </w:r>
          </w:p>
        </w:tc>
        <w:tc>
          <w:tcPr>
            <w:tcW w:w="1033"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3,182.9</w:t>
            </w:r>
            <w:r>
              <w:rPr>
                <w:color w:val="000000"/>
              </w:rPr>
              <w:t> </w:t>
            </w:r>
          </w:p>
        </w:tc>
        <w:tc>
          <w:tcPr>
            <w:tcW w:w="50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510.3</w:t>
            </w:r>
            <w:r>
              <w:rPr>
                <w:color w:val="000000"/>
              </w:rPr>
              <w:t> </w:t>
            </w:r>
          </w:p>
        </w:tc>
        <w:tc>
          <w:tcPr>
            <w:tcW w:w="55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317.2</w:t>
            </w:r>
            <w:r>
              <w:rPr>
                <w:color w:val="000000"/>
              </w:rPr>
              <w:t> </w:t>
            </w:r>
          </w:p>
        </w:tc>
        <w:tc>
          <w:tcPr>
            <w:tcW w:w="59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256.2</w:t>
            </w:r>
            <w:r>
              <w:rPr>
                <w:color w:val="000000"/>
              </w:rPr>
              <w:t> </w:t>
            </w:r>
          </w:p>
        </w:tc>
        <w:tc>
          <w:tcPr>
            <w:tcW w:w="56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4,266.6</w:t>
            </w:r>
            <w:r>
              <w:rPr>
                <w:color w:val="000000"/>
              </w:rPr>
              <w:t> </w:t>
            </w:r>
          </w:p>
        </w:tc>
        <w:tc>
          <w:tcPr>
            <w:tcW w:w="28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5"/>
        <w:gridCol w:w="577"/>
        <w:gridCol w:w="579"/>
        <w:gridCol w:w="526"/>
        <w:gridCol w:w="505"/>
        <w:gridCol w:w="506"/>
        <w:gridCol w:w="599"/>
        <w:gridCol w:w="547"/>
        <w:gridCol w:w="548"/>
        <w:gridCol w:w="591"/>
        <w:gridCol w:w="591"/>
        <w:gridCol w:w="593"/>
        <w:gridCol w:w="562"/>
        <w:gridCol w:w="562"/>
        <w:gridCol w:w="563"/>
        <w:gridCol w:w="469"/>
        <w:gridCol w:w="458"/>
        <w:gridCol w:w="284"/>
      </w:tblGrid>
      <w:tr>
        <w:trPr/>
        <w:tc>
          <w:tcPr>
            <w:tcW w:w="114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537"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Distribution systems</w:t>
            </w:r>
          </w:p>
        </w:tc>
        <w:tc>
          <w:tcPr>
            <w:tcW w:w="1694"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Customer premises equipment</w:t>
            </w:r>
          </w:p>
        </w:tc>
        <w:tc>
          <w:tcPr>
            <w:tcW w:w="177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Support equipment and buildings (a)</w:t>
            </w:r>
          </w:p>
        </w:tc>
        <w:tc>
          <w:tcPr>
            <w:tcW w:w="1687"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 xml:space="preserve">Assets under construction </w:t>
            </w:r>
          </w:p>
        </w:tc>
        <w:tc>
          <w:tcPr>
            <w:tcW w:w="1211"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sans-serif" w:hAnsi="sans-serif"/>
                <w:b/>
                <w:color w:val="000000"/>
                <w:sz w:val="18"/>
              </w:rPr>
            </w:pPr>
            <w:r>
              <w:rPr>
                <w:rFonts w:ascii="sans-serif" w:hAnsi="sans-serif"/>
                <w:b/>
                <w:color w:val="000000"/>
                <w:sz w:val="18"/>
              </w:rPr>
              <w:t>Total</w:t>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6367" w:type="dxa"/>
            <w:gridSpan w:val="12"/>
            <w:tcBorders/>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Balance as at 1 January 2025:</w:t>
            </w:r>
          </w:p>
        </w:tc>
        <w:tc>
          <w:tcPr>
            <w:tcW w:w="1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6,161.7 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974.8 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357.1 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256.2 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7,749.8 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Accumulated depreciation and impairment</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(2,978.8)</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(464.5)</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(39.9)</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(3,483.2)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Carrying amount</w:t>
            </w:r>
          </w:p>
        </w:tc>
        <w:tc>
          <w:tcPr>
            <w:tcW w:w="1031"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3,182.9</w:t>
            </w:r>
            <w:r>
              <w:rPr>
                <w:color w:val="F85F00"/>
              </w:rPr>
              <w:t> </w:t>
            </w:r>
          </w:p>
        </w:tc>
        <w:tc>
          <w:tcPr>
            <w:tcW w:w="50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510.3</w:t>
            </w:r>
            <w:r>
              <w:rPr>
                <w:color w:val="F85F00"/>
              </w:rPr>
              <w:t> </w:t>
            </w:r>
          </w:p>
        </w:tc>
        <w:tc>
          <w:tcPr>
            <w:tcW w:w="54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317.2</w:t>
            </w:r>
            <w:r>
              <w:rPr>
                <w:color w:val="F85F00"/>
              </w:rPr>
              <w:t> </w:t>
            </w:r>
          </w:p>
        </w:tc>
        <w:tc>
          <w:tcPr>
            <w:tcW w:w="59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256.2</w:t>
            </w:r>
            <w:r>
              <w:rPr>
                <w:color w:val="F85F00"/>
              </w:rPr>
              <w:t> </w:t>
            </w:r>
          </w:p>
        </w:tc>
        <w:tc>
          <w:tcPr>
            <w:tcW w:w="56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4,266.6</w:t>
            </w:r>
            <w:r>
              <w:rPr>
                <w:color w:val="F85F00"/>
              </w:rPr>
              <w:t> </w:t>
            </w:r>
          </w:p>
        </w:tc>
        <w:tc>
          <w:tcPr>
            <w:tcW w:w="28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Changes in carrying amount:</w:t>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Investments</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717.5 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717.5 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Reclassifications</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498.1 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179.8 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22.1 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(700.0)</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(539.4)</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(195.7)</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(41.3)</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(776.4)</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Impairment</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Disposals</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(762.2)</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(148.2)</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(25.5)</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(935.9)</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Accumulated depreciation and impairment of disposals</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760.2 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148.2 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25.5 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933.9 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net</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(7.8)</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(10.5)</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changes in carrying amount</w:t>
            </w:r>
          </w:p>
        </w:tc>
        <w:tc>
          <w:tcPr>
            <w:tcW w:w="103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(51.1)</w:t>
            </w:r>
          </w:p>
        </w:tc>
        <w:tc>
          <w:tcPr>
            <w:tcW w:w="5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(15.9)</w:t>
            </w:r>
          </w:p>
        </w:tc>
        <w:tc>
          <w:tcPr>
            <w:tcW w:w="54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(29.7)</w:t>
            </w:r>
          </w:p>
        </w:tc>
        <w:tc>
          <w:tcPr>
            <w:tcW w:w="5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21.9</w:t>
            </w:r>
            <w:r>
              <w:rPr>
                <w:color w:val="000000"/>
              </w:rPr>
              <w:t> </w:t>
            </w:r>
          </w:p>
        </w:tc>
        <w:tc>
          <w:tcPr>
            <w:tcW w:w="5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(74.8)</w:t>
            </w:r>
          </w:p>
        </w:tc>
        <w:tc>
          <w:tcPr>
            <w:tcW w:w="28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Balance as at 31 December 2025:</w:t>
            </w:r>
          </w:p>
        </w:tc>
        <w:tc>
          <w:tcPr>
            <w:tcW w:w="153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5,889.8 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1,006.4 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353.7 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278.1 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7,528.0 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Accumulated depreciation and impairment</w:t>
            </w:r>
          </w:p>
        </w:tc>
        <w:tc>
          <w:tcPr>
            <w:tcW w:w="103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(2,758.0)</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(512.0)</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(66.2)</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(3,336.2)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Carrying amount</w:t>
            </w:r>
          </w:p>
        </w:tc>
        <w:tc>
          <w:tcPr>
            <w:tcW w:w="103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3,131.8</w:t>
            </w:r>
            <w:r>
              <w:rPr>
                <w:color w:val="000000"/>
              </w:rPr>
              <w:t> </w:t>
            </w:r>
          </w:p>
        </w:tc>
        <w:tc>
          <w:tcPr>
            <w:tcW w:w="50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494.4</w:t>
            </w:r>
            <w:r>
              <w:rPr>
                <w:color w:val="000000"/>
              </w:rPr>
              <w:t> </w:t>
            </w:r>
          </w:p>
        </w:tc>
        <w:tc>
          <w:tcPr>
            <w:tcW w:w="54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287.5</w:t>
            </w:r>
            <w:r>
              <w:rPr>
                <w:color w:val="000000"/>
              </w:rPr>
              <w:t> </w:t>
            </w:r>
          </w:p>
        </w:tc>
        <w:tc>
          <w:tcPr>
            <w:tcW w:w="59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278.1</w:t>
            </w:r>
            <w:r>
              <w:rPr>
                <w:color w:val="000000"/>
              </w:rPr>
              <w:t> </w:t>
            </w:r>
          </w:p>
        </w:tc>
        <w:tc>
          <w:tcPr>
            <w:tcW w:w="56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4,191.8</w:t>
            </w:r>
            <w:r>
              <w:rPr>
                <w:color w:val="000000"/>
              </w:rPr>
              <w:t> </w:t>
            </w:r>
          </w:p>
        </w:tc>
        <w:tc>
          <w:tcPr>
            <w:tcW w:w="28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ind w:left="0" w:right="0" w:hanging="283"/>
        <w:jc w:val="both"/>
        <w:rPr/>
      </w:pPr>
      <w:r>
        <w:rPr>
          <w:rFonts w:ascii="sans-serif" w:hAnsi="sans-serif"/>
          <w:b w:val="false"/>
          <w:color w:val="000000"/>
          <w:sz w:val="14"/>
        </w:rPr>
        <w:t>(a)</w:t>
      </w:r>
      <w:r>
        <w:rPr>
          <w:rFonts w:ascii="sans-serif" w:hAnsi="sans-serif"/>
          <w:b w:val="false"/>
          <w:color w:val="000000"/>
          <w:sz w:val="16"/>
        </w:rPr>
        <w:t>Certain of our property and equipment is subject to a security right granted under our various debt instruments. For additional information, see note 16.</w:t>
      </w:r>
    </w:p>
    <w:p>
      <w:pPr>
        <w:pStyle w:val="TextBody"/>
        <w:bidi w:val="0"/>
        <w:spacing w:before="0" w:after="24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2400"/>
                <wp:effectExtent l="0" t="0" r="0" b="0"/>
                <wp:wrapNone/>
                <wp:docPr id="33" name="Frame2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639"/>
        <w:gridCol w:w="961"/>
        <w:gridCol w:w="961"/>
        <w:gridCol w:w="1114"/>
        <w:gridCol w:w="961"/>
        <w:gridCol w:w="961"/>
        <w:gridCol w:w="961"/>
        <w:gridCol w:w="961"/>
        <w:gridCol w:w="968"/>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Property and equipment</w:t>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Property and equipment are stated at cost less accumulated depreciation. We capitalise costs associated with the construction of new, or upgrades to existing, fixed and mobile transmission and distribution facilities and the installation of new fixed-line services. Capitalised construction and installation costs include materials, labour, and other directly attributable costs. Installation activities that are capitalised include (i) the initial connection (or drop) from our fixed-line system to a customer location, (ii) the replacement of a drop, and (iii) the installation of equipment for new, or upgrades to existing fixed-line services. Subsequent expenditure is capitalised only when it is probable that the future economic benefits associated with the expenditure will flow to us. The costs of other customer-facing activities, such as reconnecting and disconnecting customer locations and repairing or maintaining drops, are expensed as incurred. Interest capitalised with respect to construction activities was immaterial during the periods presented.</w:t>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Depreciation is computed using the straight-line method over the estimated useful life of the underlying asset. Property and equipment are depreciated over their estimated useful lives to their estimated residual values and reviewed for impairment. Depreciation starts as soon as the asset is available for its intended use, and ends at decommissioning or divestment. Useful lives used to depreciate our property and equipment are assessed periodically and are adjusted when warranted. </w:t>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F0F0F0"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The estimated useful lives, per asset category, are as follows:</w:t>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3"/>
            <w:tcBorders>
              <w:top w:val="single" w:sz="4" w:space="0" w:color="000000"/>
            </w:tcBorders>
            <w:shd w:fill="F0F0F0"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Distribution systems</w:t>
            </w:r>
          </w:p>
        </w:tc>
        <w:tc>
          <w:tcPr>
            <w:tcW w:w="3036" w:type="dxa"/>
            <w:gridSpan w:val="3"/>
            <w:tcBorders>
              <w:top w:val="single" w:sz="4" w:space="0" w:color="000000"/>
            </w:tcBorders>
            <w:shd w:fill="F0F0F0"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4-30 years</w:t>
            </w:r>
          </w:p>
        </w:tc>
        <w:tc>
          <w:tcPr>
            <w:tcW w:w="2890"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Customer premises equipment</w:t>
            </w:r>
          </w:p>
        </w:tc>
        <w:tc>
          <w:tcPr>
            <w:tcW w:w="3036"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 years</w:t>
            </w:r>
          </w:p>
        </w:tc>
        <w:tc>
          <w:tcPr>
            <w:tcW w:w="2890"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Support equipment and buildings</w:t>
            </w:r>
          </w:p>
        </w:tc>
        <w:tc>
          <w:tcPr>
            <w:tcW w:w="3036"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3-40 years</w:t>
            </w:r>
          </w:p>
        </w:tc>
        <w:tc>
          <w:tcPr>
            <w:tcW w:w="2890"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3"/>
            <w:tcBorders>
              <w:top w:val="single" w:sz="8" w:space="0" w:color="000000"/>
            </w:tcBorders>
            <w:shd w:fill="F0F0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top w:val="single" w:sz="8" w:space="0" w:color="000000"/>
            </w:tcBorders>
            <w:shd w:fill="F0F0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Additions, replacements, and improvements that extend the asset life are capitalised. Repairs and maintenance are charged to operations. We recognise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w:t>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9"/>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Property and equipment are assessed at each reporting date to determine if any indication of an impairment exists. If any such indication exists, the recoverable amount of the asset is estimated, which is the higher of value in use and fair value less costs of disposal. When the carrying amount exceeds its recoverable amount, an impairment loss is recognised for the difference between those amounts. Impairment losses are reversed to the extent that the impairment no longer exist.</w:t>
            </w:r>
          </w:p>
        </w:tc>
        <w:tc>
          <w:tcPr>
            <w:tcW w:w="376"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561" w:type="dxa"/>
            <w:gridSpan w:val="3"/>
            <w:tcBorders/>
            <w:vAlign w:val="center"/>
          </w:tcPr>
          <w:p>
            <w:pPr>
              <w:pStyle w:val="TableContents"/>
              <w:bidi w:val="0"/>
              <w:spacing w:before="0" w:after="283"/>
              <w:jc w:val="left"/>
              <w:rPr>
                <w:sz w:val="4"/>
                <w:szCs w:val="4"/>
              </w:rPr>
            </w:pPr>
            <w:r>
              <w:rPr>
                <w:sz w:val="4"/>
                <w:szCs w:val="4"/>
              </w:rPr>
            </w:r>
          </w:p>
        </w:tc>
        <w:tc>
          <w:tcPr>
            <w:tcW w:w="3036" w:type="dxa"/>
            <w:gridSpan w:val="3"/>
            <w:tcBorders/>
            <w:vAlign w:val="center"/>
          </w:tcPr>
          <w:p>
            <w:pPr>
              <w:pStyle w:val="TableContents"/>
              <w:bidi w:val="0"/>
              <w:spacing w:before="0" w:after="283"/>
              <w:jc w:val="left"/>
              <w:rPr>
                <w:sz w:val="4"/>
                <w:szCs w:val="4"/>
              </w:rPr>
            </w:pPr>
            <w:r>
              <w:rPr>
                <w:sz w:val="4"/>
                <w:szCs w:val="4"/>
              </w:rPr>
            </w:r>
          </w:p>
        </w:tc>
        <w:tc>
          <w:tcPr>
            <w:tcW w:w="289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39" w:name="i573e2d72d3eb413cbe6101481181cbd3"/>
      <w:bookmarkEnd w:id="39"/>
      <w:r>
        <w:rPr>
          <w:rFonts w:ascii="sans-serif" w:hAnsi="sans-serif"/>
          <w:b/>
          <w:color w:val="000000"/>
          <w:sz w:val="24"/>
        </w:rPr>
        <w:t>11.    Leases</w:t>
      </w:r>
    </w:p>
    <w:p>
      <w:pPr>
        <w:pStyle w:val="TextBody"/>
        <w:bidi w:val="0"/>
        <w:spacing w:lineRule="atLeast" w:line="240" w:before="0" w:after="210"/>
        <w:jc w:val="left"/>
        <w:rPr>
          <w:rFonts w:ascii="sans-serif" w:hAnsi="sans-serif"/>
          <w:b w:val="false"/>
          <w:color w:val="000000"/>
          <w:sz w:val="18"/>
        </w:rPr>
      </w:pPr>
      <w:r>
        <w:rPr>
          <w:rFonts w:ascii="sans-serif" w:hAnsi="sans-serif"/>
          <w:b w:val="false"/>
          <w:color w:val="000000"/>
          <w:sz w:val="18"/>
        </w:rPr>
        <w:t>We enter into leases for network equipment, real estate, mobile site sharing and vehicles. We provide residual value guarantees on certain of our vehicle leases, which are included in our measurement of the lease obligation.</w:t>
      </w:r>
    </w:p>
    <w:p>
      <w:pPr>
        <w:pStyle w:val="TextBody"/>
        <w:bidi w:val="0"/>
        <w:spacing w:lineRule="auto" w:line="324" w:before="120" w:after="283"/>
        <w:jc w:val="left"/>
        <w:rPr>
          <w:rFonts w:ascii="sans-serif" w:hAnsi="sans-serif"/>
          <w:b/>
          <w:color w:val="F85F00"/>
          <w:sz w:val="20"/>
        </w:rPr>
      </w:pPr>
      <w:bookmarkStart w:id="40" w:name="i7fa60196ee104fe6a4fac6fbc5ba40f0"/>
      <w:bookmarkEnd w:id="40"/>
      <w:r>
        <w:rPr>
          <w:rFonts w:ascii="sans-serif" w:hAnsi="sans-serif"/>
          <w:b/>
          <w:color w:val="F85F00"/>
          <w:sz w:val="20"/>
        </w:rPr>
        <w:t>Right-of-use assets</w:t>
      </w:r>
    </w:p>
    <w:p>
      <w:pPr>
        <w:pStyle w:val="TextBody"/>
        <w:bidi w:val="0"/>
        <w:spacing w:lineRule="atLeast" w:line="240" w:before="0" w:after="120"/>
        <w:jc w:val="left"/>
        <w:rPr>
          <w:rFonts w:ascii="sans-serif" w:hAnsi="sans-serif"/>
          <w:b w:val="false"/>
          <w:color w:val="000000"/>
          <w:sz w:val="18"/>
        </w:rPr>
      </w:pPr>
      <w:r>
        <w:rPr>
          <w:rFonts w:ascii="sans-serif" w:hAnsi="sans-serif"/>
          <w:b w:val="false"/>
          <w:color w:val="000000"/>
          <w:sz w:val="18"/>
        </w:rPr>
        <w:t>The right-of-use assets (ROU assets) are separately presented on our consolidated statement of financial position. A summary of the carrying value of the underlying classes of assets is outlined below:</w:t>
      </w:r>
    </w:p>
    <w:tbl>
      <w:tblPr>
        <w:tblW w:w="5256" w:type="dxa"/>
        <w:jc w:val="left"/>
        <w:tblInd w:w="0" w:type="dxa"/>
        <w:tblLayout w:type="fixed"/>
        <w:tblCellMar>
          <w:top w:w="28" w:type="dxa"/>
          <w:left w:w="28" w:type="dxa"/>
          <w:bottom w:w="28" w:type="dxa"/>
          <w:right w:w="28" w:type="dxa"/>
        </w:tblCellMar>
      </w:tblPr>
      <w:tblGrid>
        <w:gridCol w:w="1122"/>
        <w:gridCol w:w="989"/>
        <w:gridCol w:w="993"/>
        <w:gridCol w:w="383"/>
        <w:gridCol w:w="338"/>
        <w:gridCol w:w="221"/>
        <w:gridCol w:w="388"/>
        <w:gridCol w:w="333"/>
        <w:gridCol w:w="226"/>
        <w:gridCol w:w="109"/>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9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Distribution systems</w:t>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278.0 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260.8 </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Support equipment and building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carrying amount</w:t>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355.3</w:t>
            </w:r>
            <w:r>
              <w:rPr>
                <w:color w:val="000000"/>
              </w:rPr>
              <w:t> </w:t>
            </w:r>
          </w:p>
        </w:tc>
        <w:tc>
          <w:tcPr>
            <w:tcW w:w="22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332.8</w:t>
            </w:r>
            <w:r>
              <w:rPr>
                <w:color w:val="000000"/>
              </w:rPr>
              <w:t> </w:t>
            </w:r>
          </w:p>
        </w:tc>
        <w:tc>
          <w:tcPr>
            <w:tcW w:w="22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left"/>
        <w:rPr/>
      </w:pPr>
      <w:r>
        <w:rPr>
          <w:rFonts w:ascii="sans-serif" w:hAnsi="sans-serif"/>
          <w:b w:val="false"/>
          <w:color w:val="000000"/>
          <w:sz w:val="18"/>
        </w:rPr>
        <w:t>During the year, we recorded</w:t>
      </w:r>
      <w:r>
        <w:rPr>
          <w:color w:val="000000"/>
          <w:shd w:fill="FFFFFF" w:val="clear"/>
        </w:rPr>
        <w:t xml:space="preserve"> </w:t>
      </w:r>
      <w:r>
        <w:rPr>
          <w:rFonts w:ascii="sans-serif" w:hAnsi="sans-serif"/>
          <w:b w:val="false"/>
          <w:color w:val="000000"/>
          <w:sz w:val="18"/>
          <w:shd w:fill="FFFFFF" w:val="clear"/>
        </w:rPr>
        <w:t>non-cash additions to our ROU assets of</w:t>
      </w:r>
      <w:r>
        <w:rPr>
          <w:color w:val="000000"/>
        </w:rPr>
        <w:t xml:space="preserve"> €</w:t>
      </w:r>
      <w:r>
        <w:rPr>
          <w:rFonts w:ascii="sans-serif" w:hAnsi="sans-serif"/>
          <w:b w:val="false"/>
          <w:color w:val="000000"/>
          <w:sz w:val="18"/>
        </w:rPr>
        <w:t>115.9 million (2024: €80.4 million). In 2025, we realised €6.1</w:t>
      </w:r>
      <w:r>
        <w:rPr>
          <w:color w:val="000000"/>
          <w:shd w:fill="FFFFFF" w:val="clear"/>
        </w:rPr>
        <w:t> </w:t>
      </w:r>
      <w:r>
        <w:rPr>
          <w:rFonts w:ascii="sans-serif" w:hAnsi="sans-serif"/>
          <w:b w:val="false"/>
          <w:color w:val="000000"/>
          <w:sz w:val="18"/>
          <w:shd w:fill="FFFFFF" w:val="clear"/>
        </w:rPr>
        <w:t>milli</w:t>
      </w:r>
      <w:r>
        <w:rPr>
          <w:rFonts w:ascii="sans-serif" w:hAnsi="sans-serif"/>
          <w:b w:val="false"/>
          <w:color w:val="000000"/>
          <w:sz w:val="18"/>
        </w:rPr>
        <w:t>on (2024: €6.2 million) of income from sublease of miscellaneous sites, which is presented in revenue.</w:t>
      </w:r>
    </w:p>
    <w:p>
      <w:pPr>
        <w:pStyle w:val="TextBody"/>
        <w:bidi w:val="0"/>
        <w:spacing w:lineRule="auto" w:line="324" w:before="120" w:after="283"/>
        <w:jc w:val="left"/>
        <w:rPr>
          <w:rFonts w:ascii="sans-serif" w:hAnsi="sans-serif"/>
          <w:b/>
          <w:color w:val="F85F00"/>
          <w:sz w:val="20"/>
        </w:rPr>
      </w:pPr>
      <w:bookmarkStart w:id="41" w:name="i184defe44c1c48359a317f0abfe7f138"/>
      <w:bookmarkEnd w:id="41"/>
      <w:r>
        <w:rPr>
          <w:rFonts w:ascii="sans-serif" w:hAnsi="sans-serif"/>
          <w:b/>
          <w:color w:val="F85F00"/>
          <w:sz w:val="20"/>
        </w:rPr>
        <w:t>Lease expenses</w:t>
      </w:r>
    </w:p>
    <w:p>
      <w:pPr>
        <w:pStyle w:val="TextBody"/>
        <w:bidi w:val="0"/>
        <w:spacing w:lineRule="auto" w:line="288" w:before="0" w:after="120"/>
        <w:jc w:val="left"/>
        <w:rPr>
          <w:rFonts w:ascii="sans-serif" w:hAnsi="sans-serif"/>
          <w:b w:val="false"/>
          <w:color w:val="000000"/>
          <w:sz w:val="18"/>
        </w:rPr>
      </w:pPr>
      <w:r>
        <w:rPr>
          <w:rFonts w:ascii="sans-serif" w:hAnsi="sans-serif"/>
          <w:b w:val="false"/>
          <w:color w:val="000000"/>
          <w:sz w:val="18"/>
        </w:rPr>
        <w:t>A summary of our aggregate lease expense is outlined below:</w:t>
      </w:r>
    </w:p>
    <w:tbl>
      <w:tblPr>
        <w:tblW w:w="4647" w:type="dxa"/>
        <w:jc w:val="left"/>
        <w:tblInd w:w="0" w:type="dxa"/>
        <w:tblLayout w:type="fixed"/>
        <w:tblCellMar>
          <w:top w:w="28" w:type="dxa"/>
          <w:left w:w="28" w:type="dxa"/>
          <w:bottom w:w="28" w:type="dxa"/>
          <w:right w:w="28" w:type="dxa"/>
        </w:tblCellMar>
      </w:tblPr>
      <w:tblGrid>
        <w:gridCol w:w="792"/>
        <w:gridCol w:w="696"/>
        <w:gridCol w:w="701"/>
        <w:gridCol w:w="382"/>
        <w:gridCol w:w="382"/>
        <w:gridCol w:w="382"/>
        <w:gridCol w:w="382"/>
        <w:gridCol w:w="382"/>
        <w:gridCol w:w="548"/>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3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21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 (a)</w:t>
            </w:r>
          </w:p>
        </w:tc>
        <w:tc>
          <w:tcPr>
            <w:tcW w:w="7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84.4 </w:t>
            </w:r>
          </w:p>
        </w:tc>
        <w:tc>
          <w:tcPr>
            <w:tcW w:w="3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83.8 </w:t>
            </w:r>
          </w:p>
        </w:tc>
        <w:tc>
          <w:tcPr>
            <w:tcW w:w="5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expense (a)</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14.9 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Total lease expense </w:t>
            </w:r>
          </w:p>
        </w:tc>
        <w:tc>
          <w:tcPr>
            <w:tcW w:w="76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100.1</w:t>
            </w:r>
            <w:r>
              <w:rPr>
                <w:color w:val="000000"/>
              </w:rPr>
              <w:t> </w:t>
            </w:r>
          </w:p>
        </w:tc>
        <w:tc>
          <w:tcPr>
            <w:tcW w:w="38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98.7</w:t>
            </w:r>
            <w:r>
              <w:rPr>
                <w:color w:val="000000"/>
              </w:rPr>
              <w:t> </w:t>
            </w:r>
          </w:p>
        </w:tc>
        <w:tc>
          <w:tcPr>
            <w:tcW w:w="54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ind w:left="0" w:right="0" w:hanging="283"/>
        <w:jc w:val="left"/>
        <w:rPr/>
      </w:pPr>
      <w:r>
        <w:rPr>
          <w:rFonts w:ascii="sans-serif" w:hAnsi="sans-serif"/>
          <w:b w:val="false"/>
          <w:color w:val="000000"/>
          <w:sz w:val="14"/>
        </w:rPr>
        <w:t>(a)</w:t>
      </w:r>
      <w:r>
        <w:rPr>
          <w:rFonts w:ascii="sans-serif" w:hAnsi="sans-serif"/>
          <w:b w:val="false"/>
          <w:color w:val="000000"/>
          <w:sz w:val="16"/>
        </w:rPr>
        <w:t>Our depreciation charge is related to asset classes (i) Distribution systems for €59.4 million (2024: €58.5 million), and (ii) Support, equipment and building for €25.0 million (2024: €25.3 million). Depreciation and interest expenses are included in our consolidated statement of profit or loss and other comprehensive income and are presented as amortisation and depreciation, and finance costs, respectively.</w:t>
      </w:r>
    </w:p>
    <w:p>
      <w:pPr>
        <w:pStyle w:val="TextBody"/>
        <w:bidi w:val="0"/>
        <w:spacing w:before="0" w:after="24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2400"/>
                <wp:effectExtent l="0" t="0" r="0" b="0"/>
                <wp:wrapNone/>
                <wp:docPr id="34" name="Frame25"/>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20</w:t>
                      </w:r>
                    </w:p>
                  </w:txbxContent>
                </v:textbox>
                <w10:wrap type="none"/>
              </v:rect>
            </w:pict>
          </mc:Fallback>
        </mc:AlternateContent>
      </w:r>
    </w:p>
    <w:p>
      <w:pPr>
        <w:pStyle w:val="TextBody"/>
        <w:bidi w:val="0"/>
        <w:spacing w:lineRule="auto" w:line="324" w:before="120" w:after="283"/>
        <w:jc w:val="left"/>
        <w:rPr>
          <w:rFonts w:ascii="sans-serif" w:hAnsi="sans-serif"/>
          <w:b/>
          <w:color w:val="F85F00"/>
          <w:sz w:val="20"/>
        </w:rPr>
      </w:pPr>
      <w:bookmarkStart w:id="42" w:name="if548bd6ce985482b80e527e8ac4459d9"/>
      <w:bookmarkEnd w:id="42"/>
      <w:r>
        <w:rPr>
          <w:rFonts w:ascii="sans-serif" w:hAnsi="sans-serif"/>
          <w:b/>
          <w:color w:val="F85F00"/>
          <w:sz w:val="20"/>
        </w:rPr>
        <w:t>Cash flow implications</w:t>
      </w:r>
    </w:p>
    <w:p>
      <w:pPr>
        <w:pStyle w:val="TextBody"/>
        <w:bidi w:val="0"/>
        <w:spacing w:lineRule="auto" w:line="288" w:before="0" w:after="120"/>
        <w:jc w:val="left"/>
        <w:rPr>
          <w:rFonts w:ascii="sans-serif" w:hAnsi="sans-serif"/>
          <w:b w:val="false"/>
          <w:color w:val="000000"/>
          <w:sz w:val="18"/>
        </w:rPr>
      </w:pPr>
      <w:r>
        <w:rPr>
          <w:rFonts w:ascii="sans-serif" w:hAnsi="sans-serif"/>
          <w:b w:val="false"/>
          <w:color w:val="000000"/>
          <w:sz w:val="18"/>
        </w:rPr>
        <w:t>A summary of our cash outflows relating to our leases are outlined below:</w:t>
      </w:r>
    </w:p>
    <w:tbl>
      <w:tblPr>
        <w:tblW w:w="6012" w:type="dxa"/>
        <w:jc w:val="left"/>
        <w:tblInd w:w="0" w:type="dxa"/>
        <w:tblLayout w:type="fixed"/>
        <w:tblCellMar>
          <w:top w:w="28" w:type="dxa"/>
          <w:left w:w="28" w:type="dxa"/>
          <w:bottom w:w="28" w:type="dxa"/>
          <w:right w:w="28" w:type="dxa"/>
        </w:tblCellMar>
      </w:tblPr>
      <w:tblGrid>
        <w:gridCol w:w="1285"/>
        <w:gridCol w:w="1133"/>
        <w:gridCol w:w="1136"/>
        <w:gridCol w:w="382"/>
        <w:gridCol w:w="382"/>
        <w:gridCol w:w="382"/>
        <w:gridCol w:w="382"/>
        <w:gridCol w:w="382"/>
        <w:gridCol w:w="548"/>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3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outflow from operating activities</w:t>
            </w:r>
          </w:p>
        </w:tc>
        <w:tc>
          <w:tcPr>
            <w:tcW w:w="7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15.7 </w:t>
            </w:r>
          </w:p>
        </w:tc>
        <w:tc>
          <w:tcPr>
            <w:tcW w:w="3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14.9 </w:t>
            </w:r>
          </w:p>
        </w:tc>
        <w:tc>
          <w:tcPr>
            <w:tcW w:w="5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outflow from financing activities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84.6 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cash outflows from leases</w:t>
            </w:r>
          </w:p>
        </w:tc>
        <w:tc>
          <w:tcPr>
            <w:tcW w:w="76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99.8</w:t>
            </w:r>
            <w:r>
              <w:rPr>
                <w:color w:val="000000"/>
              </w:rPr>
              <w:t> </w:t>
            </w:r>
          </w:p>
        </w:tc>
        <w:tc>
          <w:tcPr>
            <w:tcW w:w="38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99.5</w:t>
            </w:r>
            <w:r>
              <w:rPr>
                <w:color w:val="000000"/>
              </w:rPr>
              <w:t> </w:t>
            </w:r>
          </w:p>
        </w:tc>
        <w:tc>
          <w:tcPr>
            <w:tcW w:w="54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120" w:after="283"/>
        <w:jc w:val="left"/>
        <w:rPr>
          <w:rFonts w:ascii="sans-serif" w:hAnsi="sans-serif"/>
          <w:b/>
          <w:color w:val="F85F00"/>
          <w:sz w:val="20"/>
        </w:rPr>
      </w:pPr>
      <w:bookmarkStart w:id="43" w:name="i35d3c858d26d40bfb6869c30eadeaa19"/>
      <w:bookmarkEnd w:id="43"/>
      <w:r>
        <w:rPr>
          <w:rFonts w:ascii="sans-serif" w:hAnsi="sans-serif"/>
          <w:b/>
          <w:color w:val="F85F00"/>
          <w:sz w:val="20"/>
        </w:rPr>
        <w:t>Maturities of lease obligations</w:t>
      </w:r>
    </w:p>
    <w:p>
      <w:pPr>
        <w:pStyle w:val="TextBody"/>
        <w:bidi w:val="0"/>
        <w:spacing w:lineRule="atLeast" w:line="240" w:before="0" w:after="120"/>
        <w:jc w:val="left"/>
        <w:rPr>
          <w:rFonts w:ascii="sans-serif" w:hAnsi="sans-serif"/>
          <w:b w:val="false"/>
          <w:color w:val="000000"/>
          <w:sz w:val="18"/>
        </w:rPr>
      </w:pPr>
      <w:r>
        <w:rPr>
          <w:rFonts w:ascii="sans-serif" w:hAnsi="sans-serif"/>
          <w:b w:val="false"/>
          <w:color w:val="000000"/>
          <w:sz w:val="18"/>
        </w:rPr>
        <w:t xml:space="preserve">The maturities of our lease obligations as at 31 December 2025 are presented below. Amounts presented below represent euro equivalents based on 31 December 2025 exchange rates: </w:t>
      </w:r>
    </w:p>
    <w:tbl>
      <w:tblPr>
        <w:tblW w:w="6135" w:type="dxa"/>
        <w:jc w:val="left"/>
        <w:tblInd w:w="0" w:type="dxa"/>
        <w:tblLayout w:type="fixed"/>
        <w:tblCellMar>
          <w:top w:w="28" w:type="dxa"/>
          <w:left w:w="28" w:type="dxa"/>
          <w:bottom w:w="28" w:type="dxa"/>
          <w:right w:w="28" w:type="dxa"/>
        </w:tblCellMar>
      </w:tblPr>
      <w:tblGrid>
        <w:gridCol w:w="1772"/>
        <w:gridCol w:w="1554"/>
        <w:gridCol w:w="1564"/>
        <w:gridCol w:w="364"/>
        <w:gridCol w:w="364"/>
        <w:gridCol w:w="517"/>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In € millions</w:t>
            </w:r>
          </w:p>
        </w:tc>
      </w:tr>
      <w:tr>
        <w:trPr/>
        <w:tc>
          <w:tcPr>
            <w:tcW w:w="48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Year ending 31 December:</w:t>
            </w:r>
          </w:p>
        </w:tc>
        <w:tc>
          <w:tcPr>
            <w:tcW w:w="12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2026</w:t>
            </w:r>
          </w:p>
        </w:tc>
        <w:tc>
          <w:tcPr>
            <w:tcW w:w="7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98.3 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2027</w:t>
            </w:r>
          </w:p>
        </w:tc>
        <w:tc>
          <w:tcPr>
            <w:tcW w:w="7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83.4 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2028</w:t>
            </w:r>
          </w:p>
        </w:tc>
        <w:tc>
          <w:tcPr>
            <w:tcW w:w="7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65.4 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2029</w:t>
            </w:r>
          </w:p>
        </w:tc>
        <w:tc>
          <w:tcPr>
            <w:tcW w:w="7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52.8 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2030</w:t>
            </w:r>
          </w:p>
        </w:tc>
        <w:tc>
          <w:tcPr>
            <w:tcW w:w="7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38.8 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2031 and thereafter</w:t>
            </w:r>
          </w:p>
        </w:tc>
        <w:tc>
          <w:tcPr>
            <w:tcW w:w="7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73.4 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principal and interest payments</w:t>
            </w:r>
          </w:p>
        </w:tc>
        <w:tc>
          <w:tcPr>
            <w:tcW w:w="72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412.1</w:t>
            </w:r>
            <w:r>
              <w:rPr>
                <w:color w:val="F85F00"/>
              </w:rPr>
              <w:t> </w:t>
            </w:r>
          </w:p>
        </w:tc>
        <w:tc>
          <w:tcPr>
            <w:tcW w:w="51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Less: present value discount</w:t>
            </w:r>
          </w:p>
        </w:tc>
        <w:tc>
          <w:tcPr>
            <w:tcW w:w="7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(46.2)</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Present value of net minimum lease payments</w:t>
            </w:r>
          </w:p>
        </w:tc>
        <w:tc>
          <w:tcPr>
            <w:tcW w:w="728"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365.9</w:t>
            </w:r>
            <w:r>
              <w:rPr>
                <w:color w:val="000000"/>
              </w:rPr>
              <w:t> </w:t>
            </w:r>
          </w:p>
        </w:tc>
        <w:tc>
          <w:tcPr>
            <w:tcW w:w="517"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portion</w:t>
            </w:r>
          </w:p>
        </w:tc>
        <w:tc>
          <w:tcPr>
            <w:tcW w:w="72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85.1 </w:t>
            </w:r>
          </w:p>
        </w:tc>
        <w:tc>
          <w:tcPr>
            <w:tcW w:w="51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Non-current portion</w:t>
            </w:r>
          </w:p>
        </w:tc>
        <w:tc>
          <w:tcPr>
            <w:tcW w:w="72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280.8 </w:t>
            </w:r>
          </w:p>
        </w:tc>
        <w:tc>
          <w:tcPr>
            <w:tcW w:w="51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354"/>
        <w:gridCol w:w="3064"/>
        <w:gridCol w:w="307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Leases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When we lease an asset, a right-of-use asset is recognised for the leased item and a lease liability is recognised for any lease payments to be paid over the lease term at the lease commencement date. The right-of-use asset is initially measured at cost, being the present value of the lease payments paid or payable, plus any initial direct costs incurred in entering the lease and less any lease incentives received.</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Right-of-use assets are depreciated on a straight-line basis from the commencement date to the earlier of the end of the asset’s useful life or the end of the lease term. The lease term is determined as the non-cancellable term of a contract together with any periods covered by an option to extend the lease if we are reasonably certain to exercise this option or any periods covered by an option to terminate the lease if it is reasonably certain not to be exercised. If right-of-use assets are considered to be impaired, the carrying value is reduced accordingly.</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 liabilities are initially measured at the discounted value of the lease payments over the lease term that are not paid at the commencement date. As the implicit discount rates on our leases are not readily available, we apply the incremental borrowing rate applicable at commencement date of a lease to determine the discounted value. The incremental borrowing rate is determined using a risk-free rate combined with a spread reflecting our credit risk.</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After initial recognition, the lease liability is recorded at amortised cost using the effective interest method. It is remeasured when there is a change in future lease payments arising from a change in an index or rate (e.g. an inflation related increase) or if our assessment of the lease term changes.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Purchase options are considered when we are reasonably certain to execute these options. Penalties for early termination of a lease are not included when we are reasonably certain that the related early termination will not take place.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The lease liability that is expected to be due within one year is presented in current liabilities, the long-term portion is included in non-current liabilities.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We apply the practical expedient not to separate non-lease components from lease components for certain lease-categories. We do not apply the practical expedients for low-value leases and short-term leases.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2400"/>
                <wp:effectExtent l="0" t="0" r="0" b="0"/>
                <wp:wrapNone/>
                <wp:docPr id="35" name="Frame26"/>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21</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44" w:name="i4068cde4b9b54d1fb1e066eb5199f36d"/>
      <w:bookmarkEnd w:id="44"/>
      <w:r>
        <w:rPr>
          <w:rFonts w:ascii="sans-serif" w:hAnsi="sans-serif"/>
          <w:b/>
          <w:color w:val="000000"/>
          <w:sz w:val="24"/>
        </w:rPr>
        <w:t xml:space="preserve">12.    Contract assets and contract costs </w:t>
      </w:r>
    </w:p>
    <w:tbl>
      <w:tblPr>
        <w:tblW w:w="7641" w:type="dxa"/>
        <w:jc w:val="left"/>
        <w:tblInd w:w="0" w:type="dxa"/>
        <w:tblLayout w:type="fixed"/>
        <w:tblCellMar>
          <w:top w:w="28" w:type="dxa"/>
          <w:left w:w="28" w:type="dxa"/>
          <w:bottom w:w="28" w:type="dxa"/>
          <w:right w:w="28" w:type="dxa"/>
        </w:tblCellMar>
      </w:tblPr>
      <w:tblGrid>
        <w:gridCol w:w="1986"/>
        <w:gridCol w:w="1749"/>
        <w:gridCol w:w="1754"/>
        <w:gridCol w:w="381"/>
        <w:gridCol w:w="340"/>
        <w:gridCol w:w="221"/>
        <w:gridCol w:w="387"/>
        <w:gridCol w:w="334"/>
        <w:gridCol w:w="226"/>
        <w:gridCol w:w="109"/>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In € millions</w:t>
            </w:r>
          </w:p>
        </w:tc>
        <w:tc>
          <w:tcPr>
            <w:tcW w:w="9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Contract assets (a)</w:t>
            </w:r>
          </w:p>
        </w:tc>
        <w:tc>
          <w:tcPr>
            <w:tcW w:w="72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42.4 </w:t>
            </w:r>
          </w:p>
        </w:tc>
        <w:tc>
          <w:tcPr>
            <w:tcW w:w="22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34.3 </w:t>
            </w:r>
          </w:p>
        </w:tc>
        <w:tc>
          <w:tcPr>
            <w:tcW w:w="22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Costs to obtain a contract</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Costs to fulfil a contract</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48C00"/>
                <w:sz w:val="18"/>
              </w:rPr>
            </w:pPr>
            <w:r>
              <w:rPr>
                <w:rFonts w:ascii="sans-serif" w:hAnsi="sans-serif"/>
                <w:b/>
                <w:color w:val="F48C00"/>
                <w:sz w:val="18"/>
              </w:rPr>
              <w:t>Total non-current contract assets and contract costs</w:t>
            </w:r>
          </w:p>
        </w:tc>
        <w:tc>
          <w:tcPr>
            <w:tcW w:w="721"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48C00"/>
                <w:sz w:val="18"/>
              </w:rPr>
              <w:t>74.9</w:t>
            </w:r>
            <w:r>
              <w:rPr>
                <w:color w:val="F48C00"/>
              </w:rPr>
              <w:t> </w:t>
            </w:r>
          </w:p>
        </w:tc>
        <w:tc>
          <w:tcPr>
            <w:tcW w:w="221"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48C00"/>
                <w:sz w:val="18"/>
              </w:rPr>
              <w:t>61.5</w:t>
            </w:r>
            <w:r>
              <w:rPr>
                <w:color w:val="F48C00"/>
              </w:rPr>
              <w:t> </w:t>
            </w:r>
          </w:p>
        </w:tc>
        <w:tc>
          <w:tcPr>
            <w:tcW w:w="226"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Contract assets (a)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103.6 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Costs to obtain a contract</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63.9 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Costs to fulfil a contract</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48C00"/>
                <w:sz w:val="18"/>
              </w:rPr>
            </w:pPr>
            <w:r>
              <w:rPr>
                <w:rFonts w:ascii="sans-serif" w:hAnsi="sans-serif"/>
                <w:b/>
                <w:color w:val="F48C00"/>
                <w:sz w:val="18"/>
              </w:rPr>
              <w:t>Total current contract assets and contract costs</w:t>
            </w:r>
          </w:p>
        </w:tc>
        <w:tc>
          <w:tcPr>
            <w:tcW w:w="721"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48C00"/>
                <w:sz w:val="18"/>
              </w:rPr>
              <w:t>191.4</w:t>
            </w:r>
            <w:r>
              <w:rPr>
                <w:color w:val="F48C00"/>
              </w:rPr>
              <w:t> </w:t>
            </w:r>
          </w:p>
        </w:tc>
        <w:tc>
          <w:tcPr>
            <w:tcW w:w="221"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48C00"/>
                <w:sz w:val="18"/>
              </w:rPr>
              <w:t>171.5</w:t>
            </w:r>
            <w:r>
              <w:rPr>
                <w:color w:val="F48C00"/>
              </w:rPr>
              <w:t> </w:t>
            </w:r>
          </w:p>
        </w:tc>
        <w:tc>
          <w:tcPr>
            <w:tcW w:w="226"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contract assets and contract costs</w:t>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266.3</w:t>
            </w:r>
            <w:r>
              <w:rPr>
                <w:color w:val="000000"/>
              </w:rPr>
              <w:t> </w:t>
            </w:r>
          </w:p>
        </w:tc>
        <w:tc>
          <w:tcPr>
            <w:tcW w:w="22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233.0</w:t>
            </w:r>
            <w:r>
              <w:rPr>
                <w:color w:val="000000"/>
              </w:rPr>
              <w:t> </w:t>
            </w:r>
          </w:p>
        </w:tc>
        <w:tc>
          <w:tcPr>
            <w:tcW w:w="22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Our contract assets are reported net of an allowance for doubtful accounts. Such allowance aggregated €6.4 million and €3.3 million at 31 December 2025 and 2024, respectively.</w:t>
      </w:r>
    </w:p>
    <w:p>
      <w:pPr>
        <w:pStyle w:val="TextBody"/>
        <w:bidi w:val="0"/>
        <w:spacing w:lineRule="auto" w:line="324" w:before="180" w:after="283"/>
        <w:jc w:val="left"/>
        <w:rPr>
          <w:rFonts w:ascii="sans-serif" w:hAnsi="sans-serif"/>
          <w:b/>
          <w:color w:val="F85F00"/>
          <w:sz w:val="20"/>
        </w:rPr>
      </w:pPr>
      <w:bookmarkStart w:id="45" w:name="i410505676c3e497da313585892b8dd3a"/>
      <w:bookmarkEnd w:id="45"/>
      <w:r>
        <w:rPr>
          <w:rFonts w:ascii="sans-serif" w:hAnsi="sans-serif"/>
          <w:b/>
          <w:color w:val="F85F00"/>
          <w:sz w:val="20"/>
        </w:rPr>
        <w:t>Contract costs</w:t>
      </w:r>
    </w:p>
    <w:p>
      <w:pPr>
        <w:pStyle w:val="TextBody"/>
        <w:bidi w:val="0"/>
        <w:spacing w:lineRule="atLeast" w:line="240" w:before="0" w:after="240"/>
        <w:jc w:val="left"/>
        <w:rPr/>
      </w:pPr>
      <w:r>
        <w:rPr>
          <w:rFonts w:ascii="sans-serif" w:hAnsi="sans-serif"/>
          <w:b w:val="false"/>
          <w:color w:val="000000"/>
          <w:sz w:val="18"/>
        </w:rPr>
        <w:t>During 2025 and 2024, we am</w:t>
      </w:r>
      <w:r>
        <w:rPr>
          <w:rFonts w:ascii="sans-serif" w:hAnsi="sans-serif"/>
          <w:b w:val="false"/>
          <w:color w:val="000000"/>
          <w:sz w:val="18"/>
          <w:shd w:fill="FFFFFF" w:val="clear"/>
        </w:rPr>
        <w:t>ortised €99.9 m</w:t>
      </w:r>
      <w:r>
        <w:rPr>
          <w:rFonts w:ascii="sans-serif" w:hAnsi="sans-serif"/>
          <w:b w:val="false"/>
          <w:color w:val="000000"/>
          <w:sz w:val="18"/>
        </w:rPr>
        <w:t>illion and €101.1 million, respectively, to cost of outsourced work and other external costs.</w:t>
      </w:r>
    </w:p>
    <w:p>
      <w:pPr>
        <w:pStyle w:val="TextBody"/>
        <w:bidi w:val="0"/>
        <w:spacing w:lineRule="auto" w:line="324" w:before="120" w:after="283"/>
        <w:jc w:val="left"/>
        <w:rPr>
          <w:rFonts w:ascii="sans-serif" w:hAnsi="sans-serif"/>
          <w:b/>
          <w:color w:val="F85F00"/>
          <w:sz w:val="20"/>
        </w:rPr>
      </w:pPr>
      <w:bookmarkStart w:id="46" w:name="i21b855d83253457e9ac1bdbd19d837e5"/>
      <w:bookmarkEnd w:id="46"/>
      <w:r>
        <w:rPr>
          <w:rFonts w:ascii="sans-serif" w:hAnsi="sans-serif"/>
          <w:b/>
          <w:color w:val="F85F00"/>
          <w:sz w:val="20"/>
        </w:rPr>
        <w:t>Sale of handset receivables</w:t>
      </w:r>
    </w:p>
    <w:p>
      <w:pPr>
        <w:pStyle w:val="TextBody"/>
        <w:bidi w:val="0"/>
        <w:spacing w:lineRule="auto" w:line="288" w:before="0" w:after="240"/>
        <w:jc w:val="both"/>
        <w:rPr/>
      </w:pPr>
      <w:r>
        <w:rPr>
          <w:rFonts w:ascii="sans-serif" w:hAnsi="sans-serif"/>
          <w:b w:val="false"/>
          <w:color w:val="000000"/>
          <w:sz w:val="18"/>
        </w:rPr>
        <w:t>In December 2024, VodafoneZiggo entered into a securitisation agreement for certain of its handset receivables. The securitisation agreement has a three-year term, during which VodafoneZiggo may, at its discretion, assign handset receivables to VZ Financing Receivables B.V., an unconsolidated special purpose financing entity (SPE). In December 2024, VodafoneZiggo received proceeds of €147.8 million associated with the sale of certain handset receivables under this securitisation agreement. We recognised €7.4 million of expenses, net, associated with the initial sale of these handset receivables, which are included in cost of outsourced work and other external costs in our consolidated statement of profit or loss and other comprehensive income</w:t>
      </w:r>
      <w:r>
        <w:rPr>
          <w:rFonts w:ascii="sans-serif" w:hAnsi="sans-serif"/>
          <w:b w:val="false"/>
          <w:color w:val="000000"/>
          <w:sz w:val="18"/>
          <w:shd w:fill="FFFFFF" w:val="clear"/>
        </w:rPr>
        <w:t>.</w:t>
      </w:r>
    </w:p>
    <w:p>
      <w:pPr>
        <w:pStyle w:val="TextBody"/>
        <w:bidi w:val="0"/>
        <w:spacing w:lineRule="auto" w:line="288" w:before="0" w:after="240"/>
        <w:jc w:val="both"/>
        <w:rPr>
          <w:rFonts w:ascii="sans-serif" w:hAnsi="sans-serif"/>
          <w:b w:val="false"/>
          <w:color w:val="000000"/>
          <w:sz w:val="18"/>
          <w:shd w:fill="FFFFFF" w:val="clear"/>
        </w:rPr>
      </w:pPr>
      <w:r>
        <w:rPr>
          <w:rFonts w:ascii="sans-serif" w:hAnsi="sans-serif"/>
          <w:b w:val="false"/>
          <w:color w:val="000000"/>
          <w:sz w:val="18"/>
          <w:shd w:fill="FFFFFF" w:val="clear"/>
        </w:rPr>
        <w:t>During 2025, we continued to sell and assign mobile handset loan receivables to the SPE under this securitization facility. We received proceeds associated with these sales at a discount, resulting in the recognition of €12.5 million of expenses associated with the recurring sale and assignment of mobile handset loan receivables. These expenses are included in costs of outsourced work and external costs in our consolidated statement of profit or loss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30"/>
        <w:ind w:left="0" w:right="0" w:hanging="340"/>
        <w:jc w:val="left"/>
        <w:rPr>
          <w:rFonts w:ascii="sans-serif" w:hAnsi="sans-serif"/>
          <w:b/>
          <w:color w:val="000000"/>
          <w:sz w:val="24"/>
        </w:rPr>
      </w:pPr>
      <w:bookmarkStart w:id="47" w:name="ia81f2bb0f53343acbfe7bcb15f70c1ce"/>
      <w:bookmarkEnd w:id="47"/>
      <w:r>
        <w:rPr>
          <w:rFonts w:ascii="sans-serif" w:hAnsi="sans-serif"/>
          <w:b/>
          <w:color w:val="000000"/>
          <w:sz w:val="24"/>
        </w:rPr>
        <w:t xml:space="preserve">13.    Trade and other receivables </w:t>
      </w:r>
    </w:p>
    <w:tbl>
      <w:tblPr>
        <w:tblW w:w="4881" w:type="dxa"/>
        <w:jc w:val="left"/>
        <w:tblInd w:w="0" w:type="dxa"/>
        <w:tblLayout w:type="fixed"/>
        <w:tblCellMar>
          <w:top w:w="28" w:type="dxa"/>
          <w:left w:w="28" w:type="dxa"/>
          <w:bottom w:w="28" w:type="dxa"/>
          <w:right w:w="28" w:type="dxa"/>
        </w:tblCellMar>
      </w:tblPr>
      <w:tblGrid>
        <w:gridCol w:w="987"/>
        <w:gridCol w:w="870"/>
        <w:gridCol w:w="872"/>
        <w:gridCol w:w="383"/>
        <w:gridCol w:w="338"/>
        <w:gridCol w:w="221"/>
        <w:gridCol w:w="388"/>
        <w:gridCol w:w="333"/>
        <w:gridCol w:w="226"/>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9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receivables (a)</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152.6 </w:t>
            </w:r>
          </w:p>
        </w:tc>
        <w:tc>
          <w:tcPr>
            <w:tcW w:w="2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121.6 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Related-party receivables (b)</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receivables</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Carrying amount</w:t>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192.4</w:t>
            </w:r>
            <w:r>
              <w:rPr>
                <w:color w:val="000000"/>
              </w:rPr>
              <w:t> </w:t>
            </w:r>
          </w:p>
        </w:tc>
        <w:tc>
          <w:tcPr>
            <w:tcW w:w="22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187.7</w:t>
            </w:r>
            <w:r>
              <w:rPr>
                <w:color w:val="000000"/>
              </w:rPr>
              <w:t> </w:t>
            </w:r>
          </w:p>
        </w:tc>
        <w:tc>
          <w:tcPr>
            <w:tcW w:w="22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All receivables have an estimated maturity shorter than one year, and no interest is charged on receivables.</w:t>
      </w:r>
    </w:p>
    <w:p>
      <w:pPr>
        <w:pStyle w:val="TextBody"/>
        <w:bidi w:val="0"/>
        <w:spacing w:lineRule="atLeast" w:line="180" w:before="0" w:after="60"/>
        <w:ind w:left="0" w:right="0" w:hanging="283"/>
        <w:jc w:val="left"/>
        <w:rPr/>
      </w:pPr>
      <w:r>
        <w:rPr>
          <w:rFonts w:ascii="sans-serif" w:hAnsi="sans-serif"/>
          <w:b w:val="false"/>
          <w:color w:val="000000"/>
          <w:sz w:val="14"/>
        </w:rPr>
        <w:t>(b)</w:t>
      </w:r>
      <w:r>
        <w:rPr>
          <w:rFonts w:ascii="sans-serif" w:hAnsi="sans-serif"/>
          <w:b w:val="false"/>
          <w:color w:val="000000"/>
          <w:sz w:val="16"/>
        </w:rPr>
        <w:t>Related-party receivables represent non-interest bearing receivables from certain Liberty Global and Vodafone Group subsidiaries.</w:t>
      </w:r>
    </w:p>
    <w:p>
      <w:pPr>
        <w:pStyle w:val="TextBody"/>
        <w:bidi w:val="0"/>
        <w:spacing w:lineRule="atLeast" w:line="250" w:before="120" w:after="283"/>
        <w:jc w:val="left"/>
        <w:rPr>
          <w:rFonts w:ascii="sans-serif" w:hAnsi="sans-serif"/>
          <w:b/>
          <w:color w:val="F85F00"/>
          <w:sz w:val="20"/>
        </w:rPr>
      </w:pPr>
      <w:bookmarkStart w:id="48" w:name="id1e5e6efc199489a97005dd1264ebf3a"/>
      <w:bookmarkEnd w:id="48"/>
      <w:r>
        <w:rPr>
          <w:rFonts w:ascii="sans-serif" w:hAnsi="sans-serif"/>
          <w:b/>
          <w:color w:val="F85F00"/>
          <w:sz w:val="20"/>
        </w:rPr>
        <w:t>Trade receivables</w:t>
      </w:r>
    </w:p>
    <w:tbl>
      <w:tblPr>
        <w:tblW w:w="9112" w:type="dxa"/>
        <w:jc w:val="left"/>
        <w:tblInd w:w="0" w:type="dxa"/>
        <w:tblLayout w:type="fixed"/>
        <w:tblCellMar>
          <w:top w:w="28" w:type="dxa"/>
          <w:left w:w="28" w:type="dxa"/>
          <w:bottom w:w="28" w:type="dxa"/>
          <w:right w:w="28" w:type="dxa"/>
        </w:tblCellMar>
      </w:tblPr>
      <w:tblGrid>
        <w:gridCol w:w="2516"/>
        <w:gridCol w:w="2219"/>
        <w:gridCol w:w="2225"/>
        <w:gridCol w:w="383"/>
        <w:gridCol w:w="338"/>
        <w:gridCol w:w="221"/>
        <w:gridCol w:w="387"/>
        <w:gridCol w:w="334"/>
        <w:gridCol w:w="226"/>
        <w:gridCol w:w="109"/>
        <w:gridCol w:w="154"/>
      </w:tblGrid>
      <w:tr>
        <w:trPr/>
        <w:tc>
          <w:tcPr>
            <w:tcW w:w="251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9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accounts receivable</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109.6 </w:t>
            </w:r>
          </w:p>
        </w:tc>
        <w:tc>
          <w:tcPr>
            <w:tcW w:w="2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95.5 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Unbilled revenue</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58.8 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Less: Loss allowance for trade accounts receivable and unbilled revenue (a)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Carrying amount</w:t>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152.6</w:t>
            </w:r>
            <w:r>
              <w:rPr>
                <w:color w:val="000000"/>
              </w:rPr>
              <w:t> </w:t>
            </w:r>
          </w:p>
        </w:tc>
        <w:tc>
          <w:tcPr>
            <w:tcW w:w="22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121.6</w:t>
            </w:r>
            <w:r>
              <w:rPr>
                <w:color w:val="000000"/>
              </w:rPr>
              <w:t> </w:t>
            </w:r>
          </w:p>
        </w:tc>
        <w:tc>
          <w:tcPr>
            <w:tcW w:w="22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210"/>
        <w:ind w:left="0" w:right="0" w:hanging="283"/>
        <w:jc w:val="left"/>
        <w:rPr/>
      </w:pPr>
      <w:r>
        <w:rPr>
          <w:rFonts w:ascii="sans-serif" w:hAnsi="sans-serif"/>
          <w:b w:val="false"/>
          <w:color w:val="000000"/>
          <w:sz w:val="14"/>
        </w:rPr>
        <w:t>(a)</w:t>
      </w:r>
      <w:r>
        <w:rPr>
          <w:rFonts w:ascii="sans-serif" w:hAnsi="sans-serif"/>
          <w:b w:val="false"/>
          <w:color w:val="000000"/>
          <w:sz w:val="16"/>
        </w:rPr>
        <w:t>The loss allowance for trade accounts receivable and unbilled revenue is measured based on expected credit losses (ECL). We use a number of factors in determining the allowance, including, among other things, collection trends, prevailing and anticipated economic conditions and specific customer credit risks. The allowance is maintained until either receipt of payment or the likelihood of collection is considered to be remote.</w:t>
      </w:r>
    </w:p>
    <w:p>
      <w:pPr>
        <w:pStyle w:val="TextBody"/>
        <w:bidi w:val="0"/>
        <w:spacing w:lineRule="auto" w:line="288" w:before="0" w:after="240"/>
        <w:jc w:val="left"/>
        <w:rPr>
          <w:rFonts w:ascii="sans-serif" w:hAnsi="sans-serif"/>
          <w:b w:val="false"/>
          <w:color w:val="000000"/>
          <w:sz w:val="18"/>
        </w:rPr>
      </w:pPr>
      <w:r>
        <w:rPr>
          <w:rFonts w:ascii="sans-serif" w:hAnsi="sans-serif"/>
          <w:b w:val="false"/>
          <w:color w:val="000000"/>
          <w:sz w:val="18"/>
        </w:rPr>
        <w:t>The ageing of the gross trade accounts receivable and unbilled revenue, as well as the associated allowance for credit losses, are outlined below:</w:t>
      </w:r>
    </w:p>
    <w:tbl>
      <w:tblPr>
        <w:tblW w:w="10205" w:type="dxa"/>
        <w:jc w:val="left"/>
        <w:tblInd w:w="0" w:type="dxa"/>
        <w:tblLayout w:type="fixed"/>
        <w:tblCellMar>
          <w:top w:w="28" w:type="dxa"/>
          <w:left w:w="28" w:type="dxa"/>
          <w:bottom w:w="28" w:type="dxa"/>
          <w:right w:w="28" w:type="dxa"/>
        </w:tblCellMar>
      </w:tblPr>
      <w:tblGrid>
        <w:gridCol w:w="382"/>
        <w:gridCol w:w="336"/>
        <w:gridCol w:w="337"/>
        <w:gridCol w:w="548"/>
        <w:gridCol w:w="548"/>
        <w:gridCol w:w="549"/>
        <w:gridCol w:w="551"/>
        <w:gridCol w:w="543"/>
        <w:gridCol w:w="325"/>
        <w:gridCol w:w="501"/>
        <w:gridCol w:w="407"/>
        <w:gridCol w:w="199"/>
        <w:gridCol w:w="545"/>
        <w:gridCol w:w="545"/>
        <w:gridCol w:w="546"/>
        <w:gridCol w:w="551"/>
        <w:gridCol w:w="543"/>
        <w:gridCol w:w="325"/>
        <w:gridCol w:w="501"/>
        <w:gridCol w:w="407"/>
        <w:gridCol w:w="199"/>
        <w:gridCol w:w="109"/>
        <w:gridCol w:w="109"/>
        <w:gridCol w:w="109"/>
        <w:gridCol w:w="109"/>
        <w:gridCol w:w="109"/>
        <w:gridCol w:w="109"/>
        <w:gridCol w:w="163"/>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 2025</w:t>
            </w:r>
          </w:p>
        </w:tc>
        <w:tc>
          <w:tcPr>
            <w:tcW w:w="4162" w:type="dxa"/>
            <w:gridSpan w:val="9"/>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Trade accounts</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receivable and unbilled revenue, gross </w:t>
            </w:r>
          </w:p>
        </w:tc>
        <w:tc>
          <w:tcPr>
            <w:tcW w:w="2526"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Allowance for credit losses:</w:t>
            </w:r>
          </w:p>
        </w:tc>
        <w:tc>
          <w:tcPr>
            <w:tcW w:w="1636"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Trade accounts</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receivable and unbilled revenue, gross</w:t>
            </w:r>
          </w:p>
        </w:tc>
        <w:tc>
          <w:tcPr>
            <w:tcW w:w="2526"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645"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14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Trade accounts receivable</w:t>
            </w:r>
          </w:p>
        </w:tc>
        <w:tc>
          <w:tcPr>
            <w:tcW w:w="11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Unbilled revenue</w:t>
            </w:r>
          </w:p>
        </w:tc>
        <w:tc>
          <w:tcPr>
            <w:tcW w:w="1636"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14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Trade accounts receivable</w:t>
            </w:r>
          </w:p>
        </w:tc>
        <w:tc>
          <w:tcPr>
            <w:tcW w:w="11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Unbilled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w:t>
            </w:r>
          </w:p>
        </w:tc>
        <w:tc>
          <w:tcPr>
            <w:tcW w:w="10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119.3 </w:t>
            </w:r>
          </w:p>
        </w:tc>
        <w:tc>
          <w:tcPr>
            <w:tcW w:w="5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w:t>
            </w:r>
          </w:p>
        </w:tc>
        <w:tc>
          <w:tcPr>
            <w:tcW w:w="3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(0.3)</w:t>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102.4 </w:t>
            </w:r>
          </w:p>
        </w:tc>
        <w:tc>
          <w:tcPr>
            <w:tcW w:w="5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(0.6)</w:t>
            </w:r>
          </w:p>
        </w:tc>
        <w:tc>
          <w:tcPr>
            <w:tcW w:w="3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w:t>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30 days or less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19.5 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15.7 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31-60 days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61-180 days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12.7 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(10.4)</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Over 180 days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9.8 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9.1 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109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168.4</w:t>
            </w:r>
            <w:r>
              <w:rPr>
                <w:color w:val="000000"/>
              </w:rPr>
              <w:t> </w:t>
            </w:r>
          </w:p>
        </w:tc>
        <w:tc>
          <w:tcPr>
            <w:tcW w:w="54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(15.5)</w:t>
            </w:r>
          </w:p>
        </w:tc>
        <w:tc>
          <w:tcPr>
            <w:tcW w:w="32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(0.3)</w:t>
            </w:r>
          </w:p>
        </w:tc>
        <w:tc>
          <w:tcPr>
            <w:tcW w:w="19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147.1</w:t>
            </w:r>
            <w:r>
              <w:rPr>
                <w:color w:val="000000"/>
              </w:rPr>
              <w:t> </w:t>
            </w:r>
          </w:p>
        </w:tc>
        <w:tc>
          <w:tcPr>
            <w:tcW w:w="54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(24.3)</w:t>
            </w:r>
          </w:p>
        </w:tc>
        <w:tc>
          <w:tcPr>
            <w:tcW w:w="32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w:t>
            </w:r>
          </w:p>
        </w:tc>
        <w:tc>
          <w:tcPr>
            <w:tcW w:w="19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2400"/>
                <wp:effectExtent l="0" t="0" r="0" b="0"/>
                <wp:wrapNone/>
                <wp:docPr id="36" name="Frame27"/>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22</w:t>
                      </w:r>
                    </w:p>
                  </w:txbxContent>
                </v:textbox>
                <w10:wrap type="none"/>
              </v:rect>
            </w:pict>
          </mc:Fallback>
        </mc:AlternateContent>
      </w:r>
    </w:p>
    <w:p>
      <w:pPr>
        <w:pStyle w:val="TextBody"/>
        <w:bidi w:val="0"/>
        <w:spacing w:lineRule="auto" w:line="288" w:before="0" w:after="60"/>
        <w:jc w:val="both"/>
        <w:rPr>
          <w:rFonts w:ascii="sans-serif" w:hAnsi="sans-serif"/>
          <w:b w:val="false"/>
          <w:color w:val="000000"/>
          <w:sz w:val="18"/>
        </w:rPr>
      </w:pPr>
      <w:r>
        <w:rPr>
          <w:rFonts w:ascii="sans-serif" w:hAnsi="sans-serif"/>
          <w:b w:val="false"/>
          <w:color w:val="000000"/>
          <w:sz w:val="18"/>
        </w:rPr>
        <w:t>The table below shows the movement of the allowance for impairment of trade accounts receivable and unbilled revenue:</w:t>
      </w:r>
    </w:p>
    <w:tbl>
      <w:tblPr>
        <w:tblW w:w="8755" w:type="dxa"/>
        <w:jc w:val="left"/>
        <w:tblInd w:w="0" w:type="dxa"/>
        <w:tblLayout w:type="fixed"/>
        <w:tblCellMar>
          <w:top w:w="28" w:type="dxa"/>
          <w:left w:w="28" w:type="dxa"/>
          <w:bottom w:w="28" w:type="dxa"/>
          <w:right w:w="28" w:type="dxa"/>
        </w:tblCellMar>
      </w:tblPr>
      <w:tblGrid>
        <w:gridCol w:w="2539"/>
        <w:gridCol w:w="2237"/>
        <w:gridCol w:w="2244"/>
        <w:gridCol w:w="337"/>
        <w:gridCol w:w="338"/>
        <w:gridCol w:w="196"/>
        <w:gridCol w:w="300"/>
        <w:gridCol w:w="301"/>
        <w:gridCol w:w="263"/>
      </w:tblGrid>
      <w:tr>
        <w:trPr/>
        <w:tc>
          <w:tcPr>
            <w:tcW w:w="253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86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Allowance at 1 January</w:t>
            </w:r>
          </w:p>
        </w:tc>
        <w:tc>
          <w:tcPr>
            <w:tcW w:w="6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25.5 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26.6 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Provisions for impairment of trade accounts receivable and unbilled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Write-off of receivables and other movements</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Allowance at 31 December</w:t>
            </w:r>
          </w:p>
        </w:tc>
        <w:tc>
          <w:tcPr>
            <w:tcW w:w="675"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15.5</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25.5</w:t>
            </w:r>
            <w:r>
              <w:rPr>
                <w:color w:val="000000"/>
              </w:rPr>
              <w:t> </w:t>
            </w:r>
          </w:p>
        </w:tc>
        <w:tc>
          <w:tcPr>
            <w:tcW w:w="263"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Trade and other receivables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val="false"/>
                <w:color w:val="000000"/>
                <w:sz w:val="18"/>
              </w:rPr>
            </w:pPr>
            <w:r>
              <w:rPr>
                <w:rFonts w:ascii="sans-serif" w:hAnsi="sans-serif"/>
                <w:b w:val="false"/>
                <w:color w:val="000000"/>
                <w:sz w:val="18"/>
              </w:rPr>
              <w:t>Trade and other receivables are carried at amortised cost on the basis of the effective interest method, less impairment losses, unless it is a trade receivable without a significant financing component. The effective interest and impairment losses, if any, are directly recognised in the statement of profit or loss. Purchases and sales of financial assets that belong to the category trade and other receivables are accounted for at the transaction date.</w:t>
            </w:r>
          </w:p>
          <w:p>
            <w:pPr>
              <w:pStyle w:val="TableContents"/>
              <w:bidi w:val="0"/>
              <w:spacing w:lineRule="auto" w:line="288" w:before="0" w:after="180"/>
              <w:jc w:val="left"/>
              <w:rPr>
                <w:rFonts w:ascii="sans-serif" w:hAnsi="sans-serif"/>
                <w:b w:val="false"/>
                <w:color w:val="000000"/>
                <w:sz w:val="18"/>
              </w:rPr>
            </w:pPr>
            <w:r>
              <w:rPr>
                <w:rFonts w:ascii="sans-serif" w:hAnsi="sans-serif"/>
                <w:b w:val="false"/>
                <w:color w:val="000000"/>
                <w:sz w:val="18"/>
              </w:rPr>
              <w:t xml:space="preserve">For more general information related to the accounting policies of financial instruments, see note 19.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40"/>
        <w:jc w:val="left"/>
        <w:rPr>
          <w:rFonts w:ascii="sans-serif" w:hAnsi="sans-serif"/>
          <w:b/>
          <w:color w:val="000000"/>
          <w:sz w:val="24"/>
        </w:rPr>
      </w:pPr>
      <w:bookmarkStart w:id="49" w:name="i4e71d9528fc44f738d97b5c5d9eaaae9"/>
      <w:bookmarkEnd w:id="49"/>
      <w:r>
        <w:rPr>
          <w:rFonts w:ascii="sans-serif" w:hAnsi="sans-serif"/>
          <w:b/>
          <w:color w:val="000000"/>
          <w:sz w:val="24"/>
        </w:rPr>
        <w:t>14.    Cash and cash equivalents</w:t>
      </w:r>
    </w:p>
    <w:tbl>
      <w:tblPr>
        <w:tblW w:w="4446" w:type="dxa"/>
        <w:jc w:val="left"/>
        <w:tblInd w:w="0" w:type="dxa"/>
        <w:tblLayout w:type="fixed"/>
        <w:tblCellMar>
          <w:top w:w="28" w:type="dxa"/>
          <w:left w:w="28" w:type="dxa"/>
          <w:bottom w:w="28" w:type="dxa"/>
          <w:right w:w="28" w:type="dxa"/>
        </w:tblCellMar>
      </w:tblPr>
      <w:tblGrid>
        <w:gridCol w:w="829"/>
        <w:gridCol w:w="730"/>
        <w:gridCol w:w="735"/>
        <w:gridCol w:w="383"/>
        <w:gridCol w:w="338"/>
        <w:gridCol w:w="221"/>
        <w:gridCol w:w="388"/>
        <w:gridCol w:w="333"/>
        <w:gridCol w:w="226"/>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Money-market funds (a)</w:t>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136.5 </w:t>
            </w:r>
          </w:p>
        </w:tc>
        <w:tc>
          <w:tcPr>
            <w:tcW w:w="2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711.8 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Restricted cash</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Carrying amount</w:t>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178.9</w:t>
            </w:r>
            <w:r>
              <w:rPr>
                <w:color w:val="000000"/>
              </w:rPr>
              <w:t> </w:t>
            </w:r>
          </w:p>
        </w:tc>
        <w:tc>
          <w:tcPr>
            <w:tcW w:w="22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745.2</w:t>
            </w:r>
            <w:r>
              <w:rPr>
                <w:color w:val="000000"/>
              </w:rPr>
              <w:t> </w:t>
            </w:r>
          </w:p>
        </w:tc>
        <w:tc>
          <w:tcPr>
            <w:tcW w:w="22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210"/>
        <w:ind w:left="0" w:right="0" w:hanging="283"/>
        <w:jc w:val="left"/>
        <w:rPr/>
      </w:pPr>
      <w:r>
        <w:rPr>
          <w:rFonts w:ascii="sans-serif" w:hAnsi="sans-serif"/>
          <w:b w:val="false"/>
          <w:color w:val="000000"/>
          <w:sz w:val="14"/>
        </w:rPr>
        <w:t>(a)</w:t>
      </w:r>
      <w:r>
        <w:rPr>
          <w:rFonts w:ascii="sans-serif" w:hAnsi="sans-serif"/>
          <w:b w:val="false"/>
          <w:color w:val="000000"/>
          <w:sz w:val="16"/>
        </w:rPr>
        <w:t>During October 2024, we issued the 2032 Euro Senior Notes and the proceeds were invested in money-market funds. In January 2025, the proceeds were used to redeem the 2027 Senior Notes. See note 16 for further information.</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All cash and cash equivalents are available on demand, with the exception of the restricted cash balances.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Cash and cash equivalents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180"/>
              <w:jc w:val="left"/>
              <w:rPr>
                <w:rFonts w:ascii="sans-serif" w:hAnsi="sans-serif"/>
                <w:b w:val="false"/>
                <w:color w:val="000000"/>
                <w:sz w:val="18"/>
              </w:rPr>
            </w:pPr>
            <w:r>
              <w:rPr>
                <w:rFonts w:ascii="sans-serif" w:hAnsi="sans-serif"/>
                <w:b w:val="false"/>
                <w:color w:val="000000"/>
                <w:sz w:val="18"/>
              </w:rPr>
              <w:t>Cash and cash equivalents are held at amortised cost and consist of money market funds and other investments that are readily convertible into cash and have maturities of three months or less at the time of acquisition.</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17"/>
        <w:ind w:left="0" w:right="0" w:hanging="340"/>
        <w:jc w:val="left"/>
        <w:rPr>
          <w:rFonts w:ascii="sans-serif" w:hAnsi="sans-serif"/>
          <w:b/>
          <w:color w:val="000000"/>
          <w:sz w:val="24"/>
        </w:rPr>
      </w:pPr>
      <w:bookmarkStart w:id="50" w:name="i7171ec1ac87e4e6eaf2b773e485f2501"/>
      <w:bookmarkEnd w:id="50"/>
      <w:r>
        <w:rPr>
          <w:rFonts w:ascii="sans-serif" w:hAnsi="sans-serif"/>
          <w:b/>
          <w:color w:val="000000"/>
          <w:sz w:val="24"/>
        </w:rPr>
        <w:t>15.    Group equity</w:t>
      </w:r>
    </w:p>
    <w:p>
      <w:pPr>
        <w:pStyle w:val="TextBody"/>
        <w:bidi w:val="0"/>
        <w:spacing w:lineRule="auto" w:line="324" w:before="120" w:after="283"/>
        <w:jc w:val="left"/>
        <w:rPr>
          <w:rFonts w:ascii="sans-serif" w:hAnsi="sans-serif"/>
          <w:b/>
          <w:color w:val="F85F00"/>
          <w:sz w:val="20"/>
        </w:rPr>
      </w:pPr>
      <w:bookmarkStart w:id="51" w:name="i2aefbcc9c0db497e8a2d25bc223f7062"/>
      <w:bookmarkEnd w:id="51"/>
      <w:r>
        <w:rPr>
          <w:rFonts w:ascii="sans-serif" w:hAnsi="sans-serif"/>
          <w:b/>
          <w:color w:val="F85F00"/>
          <w:sz w:val="20"/>
        </w:rPr>
        <w:t>Share capital</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Company’s authorised capital is not limited. On 31 December 2025 and 2024, there were 104 ordinary shares of €1.00 each issued and fully paid.</w:t>
      </w:r>
    </w:p>
    <w:p>
      <w:pPr>
        <w:pStyle w:val="TextBody"/>
        <w:bidi w:val="0"/>
        <w:spacing w:lineRule="auto" w:line="324" w:before="120" w:after="283"/>
        <w:jc w:val="left"/>
        <w:rPr>
          <w:rFonts w:ascii="sans-serif" w:hAnsi="sans-serif"/>
          <w:b/>
          <w:color w:val="F85F00"/>
          <w:sz w:val="20"/>
        </w:rPr>
      </w:pPr>
      <w:bookmarkStart w:id="52" w:name="i0359f4450dde42b18506e4b7614d1c4a"/>
      <w:bookmarkEnd w:id="52"/>
      <w:r>
        <w:rPr>
          <w:rFonts w:ascii="sans-serif" w:hAnsi="sans-serif"/>
          <w:b/>
          <w:color w:val="F85F00"/>
          <w:sz w:val="20"/>
        </w:rPr>
        <w:t xml:space="preserve">Share premium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Amounts contributed by the shareholders of the Company in excess of the nominal share capital, are accounted for as share premium. This also includes additional capital contributions by existing shareholders without the issue of shares or issue of rights to acquire shares of the Company. </w:t>
      </w:r>
    </w:p>
    <w:p>
      <w:pPr>
        <w:pStyle w:val="TextBody"/>
        <w:bidi w:val="0"/>
        <w:spacing w:lineRule="atLeast" w:line="240" w:before="0" w:after="240"/>
        <w:jc w:val="left"/>
        <w:rPr/>
      </w:pPr>
      <w:r>
        <w:rPr>
          <w:rFonts w:ascii="sans-serif" w:hAnsi="sans-serif"/>
          <w:b w:val="false"/>
          <w:color w:val="000000"/>
          <w:sz w:val="18"/>
        </w:rPr>
        <w:t>The equity distributions to shareholders, declared and paid in 2025 and amounting</w:t>
      </w:r>
      <w:r>
        <w:rPr>
          <w:color w:val="000000"/>
          <w:shd w:fill="FFFFFF" w:val="clear"/>
        </w:rPr>
        <w:t xml:space="preserve"> </w:t>
      </w:r>
      <w:r>
        <w:rPr>
          <w:rFonts w:ascii="sans-serif" w:hAnsi="sans-serif"/>
          <w:b w:val="false"/>
          <w:color w:val="000000"/>
          <w:sz w:val="18"/>
          <w:shd w:fill="FFFFFF" w:val="clear"/>
        </w:rPr>
        <w:t xml:space="preserve">to €123.0 </w:t>
      </w:r>
      <w:r>
        <w:rPr>
          <w:rFonts w:ascii="sans-serif" w:hAnsi="sans-serif"/>
          <w:b w:val="false"/>
          <w:color w:val="000000"/>
          <w:sz w:val="18"/>
        </w:rPr>
        <w:t>million (2024: €125.0 million), have been deducted from the share premium.</w:t>
      </w:r>
    </w:p>
    <w:p>
      <w:pPr>
        <w:pStyle w:val="TextBody"/>
        <w:bidi w:val="0"/>
        <w:spacing w:lineRule="atLeast" w:line="240" w:before="0" w:after="210"/>
        <w:jc w:val="left"/>
        <w:rPr>
          <w:rFonts w:ascii="sans-serif" w:hAnsi="sans-serif"/>
          <w:b w:val="false"/>
          <w:color w:val="000000"/>
          <w:sz w:val="18"/>
        </w:rPr>
      </w:pPr>
      <w:r>
        <w:rPr>
          <w:rFonts w:ascii="sans-serif" w:hAnsi="sans-serif"/>
          <w:b w:val="false"/>
          <w:color w:val="000000"/>
          <w:sz w:val="18"/>
        </w:rPr>
        <w:t>The share premium is freely distributable, subject to covenant testing as required by our third-party debt agreements and the equity distribution test as per Dutch law.</w:t>
      </w:r>
    </w:p>
    <w:p>
      <w:pPr>
        <w:pStyle w:val="TextBody"/>
        <w:bidi w:val="0"/>
        <w:spacing w:lineRule="auto" w:line="324" w:before="120" w:after="283"/>
        <w:jc w:val="left"/>
        <w:rPr>
          <w:rFonts w:ascii="sans-serif" w:hAnsi="sans-serif"/>
          <w:b/>
          <w:color w:val="F85F00"/>
          <w:sz w:val="20"/>
        </w:rPr>
      </w:pPr>
      <w:bookmarkStart w:id="53" w:name="ic0c256b7692548348d062859b6449427"/>
      <w:bookmarkEnd w:id="53"/>
      <w:r>
        <w:rPr>
          <w:rFonts w:ascii="sans-serif" w:hAnsi="sans-serif"/>
          <w:b/>
          <w:color w:val="F85F00"/>
          <w:sz w:val="20"/>
        </w:rPr>
        <w:t>Retained earnings</w:t>
      </w:r>
    </w:p>
    <w:p>
      <w:pPr>
        <w:pStyle w:val="TextBody"/>
        <w:bidi w:val="0"/>
        <w:spacing w:lineRule="atLeast" w:line="240" w:before="0" w:after="410"/>
        <w:jc w:val="left"/>
        <w:rPr>
          <w:rFonts w:ascii="sans-serif" w:hAnsi="sans-serif"/>
          <w:b w:val="false"/>
          <w:color w:val="000000"/>
          <w:sz w:val="18"/>
        </w:rPr>
      </w:pPr>
      <w:r>
        <w:rPr>
          <w:rFonts w:ascii="sans-serif" w:hAnsi="sans-serif"/>
          <w:b w:val="false"/>
          <w:color w:val="000000"/>
          <w:sz w:val="18"/>
        </w:rPr>
        <w:t>The Management Board proposed, with the consent of the Supervisory Board, to the General Meeting to appropriate the result after tax for 2025 to retained earnings. Additionally the result after tax impact due to the change in accounting policy as also been appropriated to the retained earnings of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
        <w:ind w:left="0" w:right="0" w:hanging="340"/>
        <w:jc w:val="left"/>
        <w:rPr>
          <w:rFonts w:ascii="sans-serif" w:hAnsi="sans-serif"/>
          <w:b/>
          <w:color w:val="000000"/>
          <w:sz w:val="24"/>
        </w:rPr>
      </w:pPr>
      <w:bookmarkStart w:id="54" w:name="i0392f2cb35cf40b9b886dfb362517ae5"/>
      <w:bookmarkEnd w:id="54"/>
      <w:r>
        <w:rPr>
          <w:rFonts w:ascii="sans-serif" w:hAnsi="sans-serif"/>
          <w:b/>
          <w:color w:val="000000"/>
          <w:sz w:val="24"/>
        </w:rPr>
        <w:t>16.    Debt</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The euro-equivalents of the components of our third-party and related-party debt are as follows:</w:t>
      </w:r>
    </w:p>
    <w:tbl>
      <w:tblPr>
        <w:tblW w:w="10205" w:type="dxa"/>
        <w:jc w:val="left"/>
        <w:tblInd w:w="0" w:type="dxa"/>
        <w:tblLayout w:type="fixed"/>
        <w:tblCellMar>
          <w:top w:w="28" w:type="dxa"/>
          <w:left w:w="28" w:type="dxa"/>
          <w:bottom w:w="28" w:type="dxa"/>
          <w:right w:w="28" w:type="dxa"/>
        </w:tblCellMar>
      </w:tblPr>
      <w:tblGrid>
        <w:gridCol w:w="913"/>
        <w:gridCol w:w="593"/>
        <w:gridCol w:w="594"/>
        <w:gridCol w:w="527"/>
        <w:gridCol w:w="449"/>
        <w:gridCol w:w="1180"/>
        <w:gridCol w:w="539"/>
        <w:gridCol w:w="513"/>
        <w:gridCol w:w="411"/>
        <w:gridCol w:w="518"/>
        <w:gridCol w:w="518"/>
        <w:gridCol w:w="283"/>
        <w:gridCol w:w="109"/>
        <w:gridCol w:w="109"/>
        <w:gridCol w:w="109"/>
        <w:gridCol w:w="539"/>
        <w:gridCol w:w="513"/>
        <w:gridCol w:w="411"/>
        <w:gridCol w:w="643"/>
        <w:gridCol w:w="393"/>
        <w:gridCol w:w="341"/>
      </w:tblGrid>
      <w:tr>
        <w:trPr/>
        <w:tc>
          <w:tcPr>
            <w:tcW w:w="9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 2024</w:t>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Weighted average interest rate (a)</w:t>
            </w:r>
          </w:p>
        </w:tc>
        <w:tc>
          <w:tcPr>
            <w:tcW w:w="14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Value</w:t>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Value</w:t>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Fair Value</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Senior and Senior Secured Notes</w:t>
            </w:r>
          </w:p>
        </w:tc>
        <w:tc>
          <w:tcPr>
            <w:tcW w:w="976"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4.94 </w:t>
            </w:r>
          </w:p>
        </w:tc>
        <w:tc>
          <w:tcPr>
            <w:tcW w:w="1180" w:type="dxa"/>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6,906.3 </w:t>
            </w:r>
          </w:p>
        </w:tc>
        <w:tc>
          <w:tcPr>
            <w:tcW w:w="41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6,513.4 </w:t>
            </w:r>
          </w:p>
        </w:tc>
        <w:tc>
          <w:tcPr>
            <w:tcW w:w="283"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6,226.3 </w:t>
            </w:r>
          </w:p>
        </w:tc>
        <w:tc>
          <w:tcPr>
            <w:tcW w:w="41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5,794.5 </w:t>
            </w:r>
          </w:p>
        </w:tc>
        <w:tc>
          <w:tcPr>
            <w:tcW w:w="34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Credit Facilities (b) (c)</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5.26 </w:t>
            </w:r>
          </w:p>
        </w:tc>
        <w:tc>
          <w:tcPr>
            <w:tcW w:w="1180"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2,664.9 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2,671.3 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4,682.6 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4,673.2 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Vendor Financing (d)</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3.36 </w:t>
            </w:r>
          </w:p>
        </w:tc>
        <w:tc>
          <w:tcPr>
            <w:tcW w:w="1180"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2156"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third-party debt (e)</w:t>
            </w:r>
          </w:p>
        </w:tc>
        <w:tc>
          <w:tcPr>
            <w:tcW w:w="97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4.87</w:t>
            </w:r>
            <w:r>
              <w:rPr>
                <w:color w:val="000000"/>
              </w:rPr>
              <w:t> </w:t>
            </w:r>
          </w:p>
        </w:tc>
        <w:tc>
          <w:tcPr>
            <w:tcW w:w="1180" w:type="dxa"/>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w:t>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10,570.8</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10,184.3</w:t>
            </w:r>
            <w:r>
              <w:rPr>
                <w:color w:val="000000"/>
              </w:rPr>
              <w:t> </w:t>
            </w:r>
          </w:p>
        </w:tc>
        <w:tc>
          <w:tcPr>
            <w:tcW w:w="283"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11,908.5</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11,467.3</w:t>
            </w:r>
            <w:r>
              <w:rPr>
                <w:color w:val="000000"/>
              </w:rPr>
              <w:t> </w:t>
            </w:r>
          </w:p>
        </w:tc>
        <w:tc>
          <w:tcPr>
            <w:tcW w:w="34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Related-party Debt</w:t>
            </w:r>
          </w:p>
        </w:tc>
        <w:tc>
          <w:tcPr>
            <w:tcW w:w="9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5.55 </w:t>
            </w:r>
          </w:p>
        </w:tc>
        <w:tc>
          <w:tcPr>
            <w:tcW w:w="1180"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2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debt</w:t>
            </w:r>
          </w:p>
        </w:tc>
        <w:tc>
          <w:tcPr>
            <w:tcW w:w="976"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4.97</w:t>
            </w:r>
            <w:r>
              <w:rPr>
                <w:color w:val="F85F00"/>
              </w:rPr>
              <w:t> </w:t>
            </w:r>
          </w:p>
        </w:tc>
        <w:tc>
          <w:tcPr>
            <w:tcW w:w="1180" w:type="dxa"/>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w:t>
            </w:r>
          </w:p>
        </w:tc>
        <w:tc>
          <w:tcPr>
            <w:tcW w:w="1052"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12,386.6</w:t>
            </w:r>
            <w:r>
              <w:rPr>
                <w:color w:val="F85F00"/>
              </w:rPr>
              <w:t> </w:t>
            </w:r>
          </w:p>
        </w:tc>
        <w:tc>
          <w:tcPr>
            <w:tcW w:w="411"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12,000.1</w:t>
            </w:r>
            <w:r>
              <w:rPr>
                <w:color w:val="F85F00"/>
              </w:rPr>
              <w:t> </w:t>
            </w:r>
          </w:p>
        </w:tc>
        <w:tc>
          <w:tcPr>
            <w:tcW w:w="283"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85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13,724.3</w:t>
            </w:r>
            <w:r>
              <w:rPr>
                <w:color w:val="F85F00"/>
              </w:rPr>
              <w:t> </w:t>
            </w:r>
          </w:p>
        </w:tc>
        <w:tc>
          <w:tcPr>
            <w:tcW w:w="411"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13,283.1</w:t>
            </w:r>
            <w:r>
              <w:rPr>
                <w:color w:val="F85F00"/>
              </w:rPr>
              <w:t> </w:t>
            </w:r>
          </w:p>
        </w:tc>
        <w:tc>
          <w:tcPr>
            <w:tcW w:w="341"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Current maturities of debt</w:t>
            </w:r>
          </w:p>
        </w:tc>
        <w:tc>
          <w:tcPr>
            <w:tcW w:w="215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999.6</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999.7</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Non-current maturities of debt</w:t>
            </w:r>
          </w:p>
        </w:tc>
        <w:tc>
          <w:tcPr>
            <w:tcW w:w="2156"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11,387.0</w:t>
            </w:r>
            <w:r>
              <w:rPr>
                <w:color w:val="000000"/>
              </w:rPr>
              <w:t> </w:t>
            </w:r>
          </w:p>
        </w:tc>
        <w:tc>
          <w:tcPr>
            <w:tcW w:w="41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12,724.6</w:t>
            </w:r>
            <w:r>
              <w:rPr>
                <w:color w:val="000000"/>
              </w:rPr>
              <w:t> </w:t>
            </w:r>
          </w:p>
        </w:tc>
        <w:tc>
          <w:tcPr>
            <w:tcW w:w="41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2400"/>
                <wp:effectExtent l="0" t="0" r="0" b="0"/>
                <wp:wrapNone/>
                <wp:docPr id="37" name="Frame28"/>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23</w:t>
                      </w:r>
                    </w:p>
                  </w:txbxContent>
                </v:textbox>
                <w10:wrap type="none"/>
              </v:rect>
            </w:pict>
          </mc:Fallback>
        </mc:AlternateContent>
      </w:r>
    </w:p>
    <w:p>
      <w:pPr>
        <w:pStyle w:val="TextBody"/>
        <w:bidi w:val="0"/>
        <w:spacing w:lineRule="auto" w:line="336" w:before="0" w:after="0"/>
        <w:ind w:left="0" w:right="0" w:hanging="283"/>
        <w:jc w:val="left"/>
        <w:rPr/>
      </w:pPr>
      <w:r>
        <w:rPr>
          <w:rFonts w:ascii="sans-serif" w:hAnsi="sans-serif"/>
          <w:b w:val="false"/>
          <w:color w:val="000000"/>
          <w:sz w:val="14"/>
        </w:rPr>
        <w:t>(a)</w:t>
      </w:r>
      <w:r>
        <w:rPr>
          <w:rFonts w:ascii="sans-serif" w:hAnsi="sans-serif"/>
          <w:b w:val="false"/>
          <w:color w:val="000000"/>
          <w:sz w:val="16"/>
        </w:rPr>
        <w:t>Represents the weighted average interest rate in effect at 31 December 2025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the weighted average interest rate on our aggregate third-party variable- and fixed-rate indebtedness was 4.18% at 31 December 2025. The weighted average interest rate calculation includes principal amounts outstanding associated with all of our secured and unsecured borrowings. For information regarding our derivative instruments, see note 20.</w:t>
      </w:r>
    </w:p>
    <w:p>
      <w:pPr>
        <w:pStyle w:val="TextBody"/>
        <w:bidi w:val="0"/>
        <w:spacing w:lineRule="auto" w:line="336" w:before="0" w:after="0"/>
        <w:ind w:left="0" w:right="0" w:hanging="283"/>
        <w:jc w:val="left"/>
        <w:rPr/>
      </w:pPr>
      <w:r>
        <w:rPr>
          <w:rFonts w:ascii="sans-serif" w:hAnsi="sans-serif"/>
          <w:b w:val="false"/>
          <w:color w:val="000000"/>
          <w:sz w:val="14"/>
        </w:rPr>
        <w:t>(b)</w:t>
      </w:r>
      <w:r>
        <w:rPr>
          <w:rFonts w:ascii="sans-serif" w:hAnsi="sans-serif"/>
          <w:b w:val="false"/>
          <w:color w:val="000000"/>
          <w:sz w:val="16"/>
        </w:rPr>
        <w:t>The Credit Facilities include a revolving facility (Revolving Facility G2) with a maximum borrowing capacity of €800.0 million, which was undrawn at 31 December 2025. Unused borrowing capacity represents the maximum availability under the Credit Facilities at 31 December 2025 without regard to covenant compliance calculations or other conditions precedent to borrowing. At 31 December 2025, based on the most restrictive applicable leverage covenants and leverage-based restricted payment tests, the full €800.0 million of unused borrowing capacity was available to be borrowed and there were no additional restrictions on our ability to make loans or distributions from this availability. Upon completion of the relevant 31 December 2025 compliance reporting requirements and based on the most restrictive applicable leverage covenants and leverage-based restricted payment tests, we expect that the full amount of unused borrowing capacity will continue to be available to be borrowed and that there will be no additional restrictions with respect to loans or distributions from this availability. Our above expectations do not consider any actual or potential changes in our borrowing levels or any amounts loaned or distributed subsequent to 31 December 2025, or the impact of additional amounts that may be available to borrow, loan or distribute under certain defined baskets under the Credit Facilities.</w:t>
      </w:r>
    </w:p>
    <w:p>
      <w:pPr>
        <w:pStyle w:val="TextBody"/>
        <w:bidi w:val="0"/>
        <w:spacing w:lineRule="auto" w:line="336" w:before="0" w:after="0"/>
        <w:ind w:left="0" w:right="0" w:hanging="283"/>
        <w:jc w:val="left"/>
        <w:rPr/>
      </w:pPr>
      <w:r>
        <w:rPr>
          <w:rFonts w:ascii="sans-serif" w:hAnsi="sans-serif"/>
          <w:b w:val="false"/>
          <w:color w:val="000000"/>
          <w:sz w:val="14"/>
        </w:rPr>
        <w:t>(c)</w:t>
      </w:r>
      <w:r>
        <w:rPr>
          <w:rFonts w:ascii="sans-serif" w:hAnsi="sans-serif"/>
          <w:b w:val="false"/>
          <w:color w:val="000000"/>
          <w:sz w:val="16"/>
        </w:rPr>
        <w:t xml:space="preserve">Principal amounts include €2.3 million and €2.4 million at 31 December 2025 and 2024, respectively, of borrowings pursuant to an excess cash facility (Financing Facility) under the Credit Facilities. These borrowings are owed to a non-consolidated special purpose financing entity that has issued notes to finance the purchase of receivables due from our company to certain other third parties for amounts that we and our subsidiaries have vendor financed. To the extent that the proceeds from these notes exceed the amount of vendor financed receivables available to be purchased, the excess proceeds are used to fund this excess cash facility. </w:t>
      </w:r>
    </w:p>
    <w:p>
      <w:pPr>
        <w:pStyle w:val="TextBody"/>
        <w:bidi w:val="0"/>
        <w:spacing w:lineRule="auto" w:line="336" w:before="0" w:after="0"/>
        <w:ind w:left="0" w:right="0" w:hanging="283"/>
        <w:jc w:val="left"/>
        <w:rPr/>
      </w:pPr>
      <w:r>
        <w:rPr>
          <w:rFonts w:ascii="sans-serif" w:hAnsi="sans-serif"/>
          <w:b w:val="false"/>
          <w:color w:val="000000"/>
          <w:sz w:val="14"/>
        </w:rPr>
        <w:t>(d)</w:t>
      </w:r>
      <w:r>
        <w:rPr>
          <w:rFonts w:ascii="sans-serif" w:hAnsi="sans-serif"/>
          <w:b w:val="false"/>
          <w:color w:val="000000"/>
          <w:sz w:val="16"/>
        </w:rPr>
        <w:t>Represents amounts owed to various creditors pursuant to interest-bearing vendor financing arrangements that are used to finance certain of our property and equipment additions, software additions and operating expenses. These arrangements extend our repayment terms beyond a vendor’s original due dates (e.g. extension beyond a vendor’s customary payment terms, which are generally 90 days or less) and as such are classified outside of accounts payable as debt on our consolidated statement of financial position. These obligations are generally due within one year and include VAT that was also financed under these arrangements. For purposes of our consolidated statement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2025 and 2024, the constructive cash outflow included in cash flows from operating activities and the corresponding constructive cash inflow included in cash flows from financing activities related to these operating expenses was €766.2 million and €709.3 million, respectively. Repayments of vendor financing obligations at the time we pay the financing intermediary are included in repayments of third-party debt and lease obligations in our consolidated statement of cash flows.</w:t>
      </w:r>
    </w:p>
    <w:p>
      <w:pPr>
        <w:pStyle w:val="TextBody"/>
        <w:bidi w:val="0"/>
        <w:spacing w:lineRule="auto" w:line="336" w:before="0" w:after="0"/>
        <w:ind w:left="0" w:right="0" w:hanging="283"/>
        <w:jc w:val="left"/>
        <w:rPr/>
      </w:pPr>
      <w:r>
        <w:rPr>
          <w:rFonts w:ascii="sans-serif" w:hAnsi="sans-serif"/>
          <w:b w:val="false"/>
          <w:color w:val="000000"/>
          <w:sz w:val="14"/>
        </w:rPr>
        <w:t>(e)</w:t>
      </w:r>
      <w:r>
        <w:rPr>
          <w:rFonts w:ascii="sans-serif" w:hAnsi="sans-serif"/>
          <w:b w:val="false"/>
          <w:color w:val="000000"/>
          <w:sz w:val="16"/>
        </w:rPr>
        <w:t>We anticipate that, based on current forward-looking expectations, the company will likely exceed the covenant leverage ratio range of 4.5 and 5.0 times Covenant EBITDA during the upcoming fiscal year; however, management is closely monitoring the situation and assessing any potential consequences and mitigating actions for deleveraging. In the event that we exceed 4.0x net senior and 5.0x net total Covenant EBITDA, we would be subject to certain restrictions when making certain restricted payments, including distributions and loans to our shareholders and issuing incremental debt. The ability to draw on the RCF is not restricted by breach, however a springing maintenance test becomes effective once 40% has been drawn, and accordingly is not expected to cast significant doubt on our ability to continue as a going concern.</w:t>
      </w:r>
    </w:p>
    <w:p>
      <w:pPr>
        <w:pStyle w:val="TextBody"/>
        <w:bidi w:val="0"/>
        <w:spacing w:lineRule="auto" w:line="324" w:before="240" w:after="283"/>
        <w:jc w:val="left"/>
        <w:rPr>
          <w:rFonts w:ascii="sans-serif" w:hAnsi="sans-serif"/>
          <w:b/>
          <w:color w:val="F85F00"/>
          <w:sz w:val="20"/>
        </w:rPr>
      </w:pPr>
      <w:bookmarkStart w:id="55" w:name="ia06486b0fedf4ab88b3c4c1f510ae2e5"/>
      <w:bookmarkEnd w:id="55"/>
      <w:r>
        <w:rPr>
          <w:rFonts w:ascii="sans-serif" w:hAnsi="sans-serif"/>
          <w:b/>
          <w:color w:val="F85F00"/>
          <w:sz w:val="20"/>
        </w:rPr>
        <w:t xml:space="preserve">Senior and Senior Secured Notes </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The details of the outstanding Senior and Senior Secured Notes as at 31 December 2025 are summarised in the following table:</w:t>
      </w:r>
    </w:p>
    <w:tbl>
      <w:tblPr>
        <w:tblW w:w="10205" w:type="dxa"/>
        <w:jc w:val="left"/>
        <w:tblInd w:w="0" w:type="dxa"/>
        <w:tblLayout w:type="fixed"/>
        <w:tblCellMar>
          <w:top w:w="28" w:type="dxa"/>
          <w:left w:w="28" w:type="dxa"/>
          <w:bottom w:w="28" w:type="dxa"/>
          <w:right w:w="28" w:type="dxa"/>
        </w:tblCellMar>
      </w:tblPr>
      <w:tblGrid>
        <w:gridCol w:w="1049"/>
        <w:gridCol w:w="915"/>
        <w:gridCol w:w="920"/>
        <w:gridCol w:w="592"/>
        <w:gridCol w:w="586"/>
        <w:gridCol w:w="588"/>
        <w:gridCol w:w="353"/>
        <w:gridCol w:w="353"/>
        <w:gridCol w:w="508"/>
        <w:gridCol w:w="254"/>
        <w:gridCol w:w="999"/>
        <w:gridCol w:w="122"/>
        <w:gridCol w:w="300"/>
        <w:gridCol w:w="1218"/>
        <w:gridCol w:w="144"/>
        <w:gridCol w:w="226"/>
        <w:gridCol w:w="916"/>
        <w:gridCol w:w="162"/>
      </w:tblGrid>
      <w:tr>
        <w:trPr/>
        <w:tc>
          <w:tcPr>
            <w:tcW w:w="104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Outstanding principal amount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millions</w:t>
            </w:r>
          </w:p>
        </w:tc>
        <w:tc>
          <w:tcPr>
            <w:tcW w:w="176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Maturity</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rate</w:t>
            </w:r>
          </w:p>
        </w:tc>
        <w:tc>
          <w:tcPr>
            <w:tcW w:w="1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Borrowing</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currency</w:t>
            </w:r>
          </w:p>
        </w:tc>
        <w:tc>
          <w:tcPr>
            <w:tcW w:w="16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Euro equivalent</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88" w:before="0" w:after="40"/>
              <w:ind w:left="0" w:right="0" w:hanging="180"/>
              <w:jc w:val="right"/>
              <w:rPr>
                <w:rFonts w:ascii="sans-serif" w:hAnsi="sans-serif"/>
                <w:b/>
                <w:color w:val="000000"/>
                <w:sz w:val="18"/>
              </w:rPr>
            </w:pPr>
            <w:r>
              <w:rPr>
                <w:rFonts w:ascii="sans-serif" w:hAnsi="sans-serif"/>
                <w:b/>
                <w:color w:val="000000"/>
                <w:sz w:val="18"/>
              </w:rPr>
              <w:t>value (a)</w:t>
            </w:r>
          </w:p>
        </w:tc>
      </w:tr>
      <w:tr>
        <w:trPr/>
        <w:tc>
          <w:tcPr>
            <w:tcW w:w="2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2030 Dollar Senior Secured Notes</w:t>
            </w:r>
          </w:p>
        </w:tc>
        <w:tc>
          <w:tcPr>
            <w:tcW w:w="1766"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2030</w:t>
            </w:r>
          </w:p>
        </w:tc>
        <w:tc>
          <w:tcPr>
            <w:tcW w:w="706"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4.875 </w:t>
            </w:r>
          </w:p>
        </w:tc>
        <w:tc>
          <w:tcPr>
            <w:tcW w:w="508" w:type="dxa"/>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99" w:type="dxa"/>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991.0 </w:t>
            </w:r>
          </w:p>
        </w:tc>
        <w:tc>
          <w:tcPr>
            <w:tcW w:w="122"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844.4 </w:t>
            </w:r>
          </w:p>
        </w:tc>
        <w:tc>
          <w:tcPr>
            <w:tcW w:w="144" w:type="dxa"/>
            <w:tcBorders>
              <w:top w:val="single" w:sz="4" w:space="0" w:color="57575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848.6 </w:t>
            </w:r>
          </w:p>
        </w:tc>
        <w:tc>
          <w:tcPr>
            <w:tcW w:w="162" w:type="dxa"/>
            <w:tcBorders>
              <w:top w:val="single" w:sz="4" w:space="0" w:color="575756"/>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2030 Euro Senior Secured Notes</w:t>
            </w:r>
          </w:p>
        </w:tc>
        <w:tc>
          <w:tcPr>
            <w:tcW w:w="176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2030</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2.875 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501.9 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2030 Euro Senior Notes</w:t>
            </w:r>
          </w:p>
        </w:tc>
        <w:tc>
          <w:tcPr>
            <w:tcW w:w="176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 February 2030</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3.375 </w:t>
            </w:r>
          </w:p>
        </w:tc>
        <w:tc>
          <w:tcPr>
            <w:tcW w:w="508"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999"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900.0 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897.5 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2030 Dollar Senior Notes</w:t>
            </w:r>
          </w:p>
        </w:tc>
        <w:tc>
          <w:tcPr>
            <w:tcW w:w="176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 February 2030</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5.125 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424.2 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2032 Dollar Senior Secured Notes</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2032</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1,299.5 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1,294.0 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2032 Euro Senior Secured Notes</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2032</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3.500 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999"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746.9 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2032 Euro Senior Notes</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November 2032</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6.125 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999"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571.5 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2033 Dollar Senior Secured Notes</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2033</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7.500 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979.9 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977.6 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2033 Euro Senior Secured Notes</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2033</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5.250 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999"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644.1 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1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300"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1218"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6,927.3</w:t>
            </w:r>
            <w:r>
              <w:rPr>
                <w:color w:val="000000"/>
              </w:rPr>
              <w:t> </w:t>
            </w:r>
          </w:p>
        </w:tc>
        <w:tc>
          <w:tcPr>
            <w:tcW w:w="144"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916"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6,906.3</w:t>
            </w:r>
            <w:r>
              <w:rPr>
                <w:color w:val="000000"/>
              </w:rPr>
              <w:t> </w:t>
            </w:r>
          </w:p>
        </w:tc>
        <w:tc>
          <w:tcPr>
            <w:tcW w:w="162"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0"/>
        <w:ind w:left="0" w:right="0" w:hanging="283"/>
        <w:jc w:val="left"/>
        <w:rPr/>
      </w:pPr>
      <w:r>
        <w:rPr>
          <w:rFonts w:ascii="sans-serif" w:hAnsi="sans-serif"/>
          <w:b w:val="false"/>
          <w:color w:val="000000"/>
          <w:sz w:val="14"/>
        </w:rPr>
        <w:t>(a)</w:t>
      </w:r>
      <w:r>
        <w:rPr>
          <w:rFonts w:ascii="sans-serif" w:hAnsi="sans-serif"/>
          <w:b w:val="false"/>
          <w:color w:val="000000"/>
          <w:sz w:val="16"/>
        </w:rPr>
        <w:t>Amounts are net of unamortised premiums, discounts and deferred financing costs, as applicable.</w:t>
      </w:r>
    </w:p>
    <w:p>
      <w:pPr>
        <w:pStyle w:val="TextBody"/>
        <w:bidi w:val="0"/>
        <w:spacing w:before="0" w:after="0"/>
        <w:jc w:val="left"/>
        <w:rPr/>
      </w:pPr>
      <w:r>
        <w:rPr/>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Ziggo B.V., Ziggo Bond Company B.V. and VZ Secured Financing B.V. have issued certain Senior and Senior Secured Notes, respectively. In general, our Senior and Senior Secured Notes are senior obligations of the issuer of such notes that rank equally with all of the existing and future senior debt of such issuer and are senior to all existing and future subordinated debt of such issuer. Our Senior Secured Notes (i) contain certain guarantees from other subsidiaries of VodafoneZiggo (as specified in the applicable indenture), and (ii) are secured by certain pledges or liens over certain assets and/or shares of certain subsidiaries of VodafoneZiggo. In addition, the indentures governing our Senior and Senior Secured Notes contain certain covenants, the more notable of which are as follows:</w:t>
      </w:r>
    </w:p>
    <w:p>
      <w:pPr>
        <w:pStyle w:val="TextBody"/>
        <w:bidi w:val="0"/>
        <w:spacing w:lineRule="atLeast" w:line="240" w:before="0" w:after="0"/>
        <w:ind w:left="0" w:right="0" w:hanging="283"/>
        <w:jc w:val="left"/>
        <w:rPr/>
      </w:pPr>
      <w:r>
        <w:rPr>
          <w:color w:val="000000"/>
        </w:rPr>
        <w:t>•</w:t>
      </w:r>
      <w:r>
        <w:rPr>
          <w:rFonts w:ascii="sans-serif" w:hAnsi="sans-serif"/>
          <w:b w:val="false"/>
          <w:color w:val="000000"/>
          <w:sz w:val="18"/>
        </w:rPr>
        <w:t>Subject to certain materiality qualifications and other customary and agreed exceptions, our notes contain (i) certain customary incurrence-based covenants and (ii) certain restrictions that, among other things, restrict the ability of certain of our subsidiaries to (a) incur or guarantee certain financial indebtedness, (b) make certain disposals and acquisitions, (c) create certain security interests over their assets, and (d) make certain restricted payments to their direct and/or indirect parent companies through dividends, loans or other distributions;</w:t>
      </w:r>
    </w:p>
    <w:p>
      <w:pPr>
        <w:pStyle w:val="TextBody"/>
        <w:bidi w:val="0"/>
        <w:spacing w:lineRule="atLeast" w:line="240" w:before="0" w:after="0"/>
        <w:ind w:left="0" w:right="0" w:hanging="283"/>
        <w:jc w:val="left"/>
        <w:rPr/>
      </w:pPr>
      <w:r>
        <w:rPr>
          <w:color w:val="000000"/>
        </w:rPr>
        <w:t>•</w:t>
      </w:r>
      <w:r>
        <w:rPr>
          <w:rFonts w:ascii="sans-serif" w:hAnsi="sans-serif"/>
          <w:b w:val="false"/>
          <w:color w:val="000000"/>
          <w:sz w:val="18"/>
        </w:rPr>
        <w:t>Our notes provide that any failure to pay principal at its stated maturity (after the expiration of any applicable grace period) of, or any acceleration with respect to, other indebtedness of the issuer or certain of our subsidiaries over agreed minimum thresholds (as specified under the applicable indenture), is an event of default under the respective notes;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If the relevant issuer or certain of its subsidiaries (as specified in the applicable indenture) sell certain assets, such issuer must, subject to certain materiality qualifications and other customary and agreed exceptions, offer to repurchase the applicable notes at par, or if a change of control (as specified in the applicable indenture) occurs, such issuer must offer to repurchase all of the relevant notes at a redemption price of 101%; and</w:t>
      </w:r>
    </w:p>
    <w:p>
      <w:pPr>
        <w:pStyle w:val="TextBody"/>
        <w:bidi w:val="0"/>
        <w:spacing w:before="0" w:after="24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52400"/>
                <wp:effectExtent l="0" t="0" r="0" b="0"/>
                <wp:wrapNone/>
                <wp:docPr id="38" name="Frame29"/>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24</w:t>
                      </w:r>
                    </w:p>
                  </w:txbxContent>
                </v:textbox>
                <w10:wrap type="none"/>
              </v:rect>
            </w:pict>
          </mc:Fallback>
        </mc:AlternateContent>
      </w:r>
    </w:p>
    <w:p>
      <w:pPr>
        <w:pStyle w:val="TextBody"/>
        <w:bidi w:val="0"/>
        <w:spacing w:lineRule="atLeast" w:line="240" w:before="0" w:after="180"/>
        <w:ind w:left="0" w:right="0" w:hanging="283"/>
        <w:jc w:val="left"/>
        <w:rPr/>
      </w:pPr>
      <w:r>
        <w:rPr>
          <w:color w:val="000000"/>
        </w:rPr>
        <w:t>•</w:t>
      </w:r>
      <w:r>
        <w:rPr>
          <w:rFonts w:ascii="sans-serif" w:hAnsi="sans-serif"/>
          <w:b w:val="false"/>
          <w:color w:val="000000"/>
          <w:sz w:val="18"/>
        </w:rPr>
        <w:t>Our Senior Secured Notes contain certain early redemption provisions including the ability to, during each 12-month period commencing on the issue date for such notes until the applicable call date, redeem up to 10% of the original principal amount of the notes at a redemption price equal to 103% of the principal amount of the notes to be redeemed plus accrued and unpaid interest.</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All our notes are non-callable prior to the applicable Call Date presented in the table below. At any time prior to the applicable Call Date, we may redeem some or all of the applicable notes by paying a “make-whole” premium, which is the present value of all remaining scheduled interest payments to the applicable Call Date using the discount rate as at the redemption date plus a premium (each as specified in the applicable indenture).</w:t>
      </w:r>
    </w:p>
    <w:tbl>
      <w:tblPr>
        <w:tblW w:w="5489" w:type="dxa"/>
        <w:jc w:val="left"/>
        <w:tblInd w:w="0" w:type="dxa"/>
        <w:tblLayout w:type="fixed"/>
        <w:tblCellMar>
          <w:top w:w="28" w:type="dxa"/>
          <w:left w:w="28" w:type="dxa"/>
          <w:bottom w:w="28" w:type="dxa"/>
          <w:right w:w="28" w:type="dxa"/>
        </w:tblCellMar>
      </w:tblPr>
      <w:tblGrid>
        <w:gridCol w:w="1265"/>
        <w:gridCol w:w="1113"/>
        <w:gridCol w:w="1116"/>
        <w:gridCol w:w="581"/>
        <w:gridCol w:w="581"/>
        <w:gridCol w:w="833"/>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59" w:before="0" w:after="40"/>
              <w:jc w:val="left"/>
              <w:rPr>
                <w:rFonts w:ascii="sans-serif" w:hAnsi="sans-serif"/>
                <w:b/>
                <w:color w:val="000000"/>
                <w:sz w:val="18"/>
              </w:rPr>
            </w:pPr>
            <w:r>
              <w:rPr>
                <w:rFonts w:ascii="sans-serif" w:hAnsi="sans-serif"/>
                <w:b/>
                <w:color w:val="000000"/>
                <w:sz w:val="18"/>
              </w:rPr>
              <w:t>Senior and Senior Secured Notes</w:t>
            </w:r>
          </w:p>
        </w:tc>
        <w:tc>
          <w:tcPr>
            <w:tcW w:w="1995" w:type="dxa"/>
            <w:gridSpan w:val="3"/>
            <w:tcBorders/>
            <w:tcMar>
              <w:top w:w="0" w:type="dxa"/>
              <w:left w:w="0" w:type="dxa"/>
              <w:bottom w:w="0" w:type="dxa"/>
              <w:right w:w="0" w:type="dxa"/>
            </w:tcMar>
            <w:vAlign w:val="center"/>
          </w:tcPr>
          <w:p>
            <w:pPr>
              <w:pStyle w:val="TableContents"/>
              <w:bidi w:val="0"/>
              <w:spacing w:lineRule="auto" w:line="259" w:before="0" w:after="40"/>
              <w:jc w:val="right"/>
              <w:rPr>
                <w:rFonts w:ascii="sans-serif" w:hAnsi="sans-serif"/>
                <w:b/>
                <w:color w:val="000000"/>
                <w:sz w:val="18"/>
              </w:rPr>
            </w:pPr>
            <w:r>
              <w:rPr>
                <w:rFonts w:ascii="sans-serif" w:hAnsi="sans-serif"/>
                <w:b/>
                <w:color w:val="000000"/>
                <w:sz w:val="18"/>
              </w:rPr>
              <w:t>Call Date</w:t>
            </w:r>
          </w:p>
        </w:tc>
      </w:tr>
      <w:tr>
        <w:trPr/>
        <w:tc>
          <w:tcPr>
            <w:tcW w:w="3494"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2030 Dollar Senior Secured Notes</w:t>
            </w:r>
          </w:p>
        </w:tc>
        <w:tc>
          <w:tcPr>
            <w:tcW w:w="199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October 2024</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2030 Euro Senior Secured Notes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October 2024</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2030 Euro Senior Notes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February 2025</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2030 Dollar Senior Notes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February 2025</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2032 Dollar Senior Secured Notes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2027</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2032 Euro Senior Secured Notes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2027</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2032 Euro Senior Notes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15 November 2027</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2033 Dollar Senior Secured Notes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bookmarkStart w:id="56" w:name="iccf7532ad1aa470a81d927ad628fd9c7_8-1-1-"/>
            <w:bookmarkEnd w:id="56"/>
            <w:r>
              <w:rPr>
                <w:rFonts w:ascii="sans-serif" w:hAnsi="sans-serif"/>
                <w:b w:val="false"/>
                <w:color w:val="000000"/>
                <w:sz w:val="18"/>
              </w:rPr>
              <w:t>15 October 2028</w:t>
            </w:r>
          </w:p>
        </w:tc>
      </w:tr>
      <w:tr>
        <w:trPr/>
        <w:tc>
          <w:tcPr>
            <w:tcW w:w="349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2033 Euro Senior Secured Notes</w:t>
            </w:r>
          </w:p>
        </w:tc>
        <w:tc>
          <w:tcPr>
            <w:tcW w:w="199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September 2028</w:t>
            </w:r>
          </w:p>
        </w:tc>
      </w:tr>
    </w:tbl>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On or after the applicable Call Date, we may redeem some or all of these notes at the following redemption prices (expressed as a percentage of the principal amount) plus accrued and unpaid interest and additional amounts (as specified in the applicable indenture), if any, to the applicable redemption date, as outlined below:</w:t>
      </w:r>
    </w:p>
    <w:tbl>
      <w:tblPr>
        <w:tblW w:w="13122" w:type="dxa"/>
        <w:jc w:val="left"/>
        <w:tblInd w:w="0" w:type="dxa"/>
        <w:tblLayout w:type="fixed"/>
        <w:tblCellMar>
          <w:top w:w="28" w:type="dxa"/>
          <w:left w:w="28" w:type="dxa"/>
          <w:bottom w:w="28" w:type="dxa"/>
          <w:right w:w="28" w:type="dxa"/>
        </w:tblCellMar>
      </w:tblPr>
      <w:tblGrid>
        <w:gridCol w:w="242"/>
        <w:gridCol w:w="212"/>
        <w:gridCol w:w="212"/>
        <w:gridCol w:w="212"/>
        <w:gridCol w:w="212"/>
        <w:gridCol w:w="216"/>
        <w:gridCol w:w="571"/>
        <w:gridCol w:w="375"/>
        <w:gridCol w:w="383"/>
        <w:gridCol w:w="548"/>
        <w:gridCol w:w="398"/>
        <w:gridCol w:w="383"/>
        <w:gridCol w:w="642"/>
        <w:gridCol w:w="304"/>
        <w:gridCol w:w="317"/>
        <w:gridCol w:w="679"/>
        <w:gridCol w:w="267"/>
        <w:gridCol w:w="317"/>
        <w:gridCol w:w="628"/>
        <w:gridCol w:w="318"/>
        <w:gridCol w:w="383"/>
        <w:gridCol w:w="605"/>
        <w:gridCol w:w="341"/>
        <w:gridCol w:w="383"/>
        <w:gridCol w:w="535"/>
        <w:gridCol w:w="411"/>
        <w:gridCol w:w="317"/>
        <w:gridCol w:w="581"/>
        <w:gridCol w:w="365"/>
        <w:gridCol w:w="383"/>
        <w:gridCol w:w="519"/>
        <w:gridCol w:w="427"/>
        <w:gridCol w:w="436"/>
      </w:tblGrid>
      <w:tr>
        <w:trPr/>
        <w:tc>
          <w:tcPr>
            <w:tcW w:w="2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306" w:type="dxa"/>
            <w:gridSpan w:val="6"/>
            <w:tcBorders>
              <w:bottom w:val="single" w:sz="4" w:space="0" w:color="57575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2030 Dollar Senior Secured Notes</w:t>
            </w:r>
          </w:p>
        </w:tc>
        <w:tc>
          <w:tcPr>
            <w:tcW w:w="132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2030 Euro Senior Secured Notes</w:t>
            </w:r>
          </w:p>
        </w:tc>
        <w:tc>
          <w:tcPr>
            <w:tcW w:w="126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2030 Euro Senior Notes</w:t>
            </w:r>
          </w:p>
        </w:tc>
        <w:tc>
          <w:tcPr>
            <w:tcW w:w="126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2030 Dollar Senior Notes</w:t>
            </w:r>
          </w:p>
        </w:tc>
        <w:tc>
          <w:tcPr>
            <w:tcW w:w="132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2032 Dollar Senior Secured Notes (a)</w:t>
            </w:r>
          </w:p>
        </w:tc>
        <w:tc>
          <w:tcPr>
            <w:tcW w:w="132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2032 Euro Senior Secured Notes (a)</w:t>
            </w:r>
          </w:p>
        </w:tc>
        <w:tc>
          <w:tcPr>
            <w:tcW w:w="12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2032 Euro Senior Notes</w:t>
            </w:r>
          </w:p>
        </w:tc>
        <w:tc>
          <w:tcPr>
            <w:tcW w:w="132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 xml:space="preserve">2033 Dollar Senior Secured Notes </w:t>
            </w:r>
          </w:p>
        </w:tc>
        <w:tc>
          <w:tcPr>
            <w:tcW w:w="138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6D6D6D"/>
                <w:sz w:val="14"/>
              </w:rPr>
            </w:pPr>
            <w:r>
              <w:rPr>
                <w:rFonts w:ascii="sans-serif" w:hAnsi="sans-serif"/>
                <w:b/>
                <w:color w:val="6D6D6D"/>
                <w:sz w:val="14"/>
              </w:rPr>
              <w:t xml:space="preserve">2033 Euro Senior Secured Notes </w:t>
            </w:r>
          </w:p>
        </w:tc>
      </w:tr>
      <w:tr>
        <w:trPr/>
        <w:tc>
          <w:tcPr>
            <w:tcW w:w="1306" w:type="dxa"/>
            <w:gridSpan w:val="6"/>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12-month period commencing</w:t>
            </w:r>
          </w:p>
        </w:tc>
        <w:tc>
          <w:tcPr>
            <w:tcW w:w="1329"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xml:space="preserve">15 October </w:t>
            </w:r>
          </w:p>
        </w:tc>
        <w:tc>
          <w:tcPr>
            <w:tcW w:w="1329"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October</w:t>
            </w:r>
          </w:p>
        </w:tc>
        <w:tc>
          <w:tcPr>
            <w:tcW w:w="1263"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xml:space="preserve">15 February </w:t>
            </w:r>
          </w:p>
        </w:tc>
        <w:tc>
          <w:tcPr>
            <w:tcW w:w="1263"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February</w:t>
            </w:r>
          </w:p>
        </w:tc>
        <w:tc>
          <w:tcPr>
            <w:tcW w:w="1329"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w:t>
            </w:r>
          </w:p>
        </w:tc>
        <w:tc>
          <w:tcPr>
            <w:tcW w:w="1329"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w:t>
            </w:r>
          </w:p>
        </w:tc>
        <w:tc>
          <w:tcPr>
            <w:tcW w:w="1263"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November</w:t>
            </w:r>
          </w:p>
        </w:tc>
        <w:tc>
          <w:tcPr>
            <w:tcW w:w="1329"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October</w:t>
            </w:r>
          </w:p>
        </w:tc>
        <w:tc>
          <w:tcPr>
            <w:tcW w:w="1382"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September</w:t>
            </w:r>
          </w:p>
        </w:tc>
      </w:tr>
      <w:tr>
        <w:trPr/>
        <w:tc>
          <w:tcPr>
            <w:tcW w:w="666"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tcPr>
          <w:p>
            <w:pPr>
              <w:pStyle w:val="TableContents"/>
              <w:bidi w:val="0"/>
              <w:spacing w:before="0" w:after="283"/>
              <w:jc w:val="left"/>
              <w:rPr>
                <w:sz w:val="4"/>
                <w:szCs w:val="4"/>
              </w:rPr>
            </w:pPr>
            <w:r>
              <w:rPr>
                <w:sz w:val="4"/>
                <w:szCs w:val="4"/>
              </w:rPr>
            </w:r>
          </w:p>
        </w:tc>
      </w:tr>
      <w:tr>
        <w:trPr/>
        <w:tc>
          <w:tcPr>
            <w:tcW w:w="666"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tcPr>
          <w:p>
            <w:pPr>
              <w:pStyle w:val="TableContents"/>
              <w:bidi w:val="0"/>
              <w:spacing w:before="0" w:after="283"/>
              <w:jc w:val="left"/>
              <w:rPr>
                <w:sz w:val="4"/>
                <w:szCs w:val="4"/>
              </w:rPr>
            </w:pPr>
            <w:r>
              <w:rPr>
                <w:sz w:val="4"/>
                <w:szCs w:val="4"/>
              </w:rPr>
            </w:r>
          </w:p>
        </w:tc>
      </w:tr>
      <w:tr>
        <w:trPr/>
        <w:tc>
          <w:tcPr>
            <w:tcW w:w="1306" w:type="dxa"/>
            <w:gridSpan w:val="6"/>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2026</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100.609 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100.359 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100.844 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101.281 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N.A.</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N.A.</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N.A.</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N.A.</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N.A.</w:t>
            </w:r>
          </w:p>
        </w:tc>
      </w:tr>
      <w:tr>
        <w:trPr/>
        <w:tc>
          <w:tcPr>
            <w:tcW w:w="1306"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2027</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100.422 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100.641 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102.500 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101.750 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103.063 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N.A.</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N.A.</w:t>
            </w:r>
          </w:p>
        </w:tc>
      </w:tr>
      <w:tr>
        <w:trPr/>
        <w:tc>
          <w:tcPr>
            <w:tcW w:w="1306"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2028</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101.250 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100.875 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101.531 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103.750 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102.625 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1306"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2029</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100.625 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100.438 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101.875 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101.313 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1306"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2030</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1306" w:type="dxa"/>
            <w:gridSpan w:val="6"/>
            <w:tcBorders>
              <w:bottom w:val="single" w:sz="8" w:space="0" w:color="575756"/>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2031 and thereafter</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17"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383"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946" w:type="dxa"/>
            <w:gridSpan w:val="2"/>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100.000 </w:t>
            </w:r>
          </w:p>
        </w:tc>
        <w:tc>
          <w:tcPr>
            <w:tcW w:w="436" w:type="dxa"/>
            <w:tcBorders>
              <w:bottom w:val="single" w:sz="8" w:space="0" w:color="575756"/>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tLeast" w:line="180" w:before="0" w:after="240"/>
        <w:ind w:left="0" w:right="0" w:hanging="283"/>
        <w:jc w:val="left"/>
        <w:rPr/>
      </w:pPr>
      <w:r>
        <w:rPr>
          <w:rFonts w:ascii="sans-serif" w:hAnsi="sans-serif"/>
          <w:b w:val="false"/>
          <w:color w:val="000000"/>
          <w:sz w:val="14"/>
        </w:rPr>
        <w:t>(a)</w:t>
      </w:r>
      <w:r>
        <w:rPr>
          <w:rFonts w:ascii="sans-serif" w:hAnsi="sans-serif"/>
          <w:b w:val="false"/>
          <w:color w:val="000000"/>
          <w:sz w:val="16"/>
        </w:rPr>
        <w:t>The redemption prices applicable to the 2032 Dollar Senior Secured Notes and 2032 Euro Senior Secured Notes shall, subject to certain limitations, increase or decrease by a maximum of 0.125% per annum depending on if we achieve certain sustainability performance targets.</w:t>
      </w:r>
    </w:p>
    <w:p>
      <w:pPr>
        <w:pStyle w:val="TextBody"/>
        <w:bidi w:val="0"/>
        <w:spacing w:lineRule="auto" w:line="324" w:before="120" w:after="283"/>
        <w:jc w:val="left"/>
        <w:rPr>
          <w:rFonts w:ascii="sans-serif" w:hAnsi="sans-serif"/>
          <w:b/>
          <w:color w:val="F85F00"/>
          <w:sz w:val="20"/>
        </w:rPr>
      </w:pPr>
      <w:bookmarkStart w:id="57" w:name="i492a83505c66461e86e049553662b55b"/>
      <w:bookmarkEnd w:id="57"/>
      <w:r>
        <w:rPr>
          <w:rFonts w:ascii="sans-serif" w:hAnsi="sans-serif"/>
          <w:b/>
          <w:color w:val="F85F00"/>
          <w:sz w:val="20"/>
        </w:rPr>
        <w:t xml:space="preserve">Credit Facilities </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The Credit Facilities are the Senior and Senior Secured Credit Facilities of certain subsidiaries of the Company. The details of our borrowings under the Credit Facilities as at 31 December 2025 are summarised in the following table:</w:t>
      </w:r>
    </w:p>
    <w:tbl>
      <w:tblPr>
        <w:tblW w:w="10205" w:type="dxa"/>
        <w:jc w:val="left"/>
        <w:tblInd w:w="0" w:type="dxa"/>
        <w:tblLayout w:type="fixed"/>
        <w:tblCellMar>
          <w:top w:w="28" w:type="dxa"/>
          <w:left w:w="28" w:type="dxa"/>
          <w:bottom w:w="28" w:type="dxa"/>
          <w:right w:w="28" w:type="dxa"/>
        </w:tblCellMar>
      </w:tblPr>
      <w:tblGrid>
        <w:gridCol w:w="572"/>
        <w:gridCol w:w="502"/>
        <w:gridCol w:w="509"/>
        <w:gridCol w:w="516"/>
        <w:gridCol w:w="436"/>
        <w:gridCol w:w="437"/>
        <w:gridCol w:w="393"/>
        <w:gridCol w:w="339"/>
        <w:gridCol w:w="666"/>
        <w:gridCol w:w="254"/>
        <w:gridCol w:w="1000"/>
        <w:gridCol w:w="122"/>
        <w:gridCol w:w="360"/>
        <w:gridCol w:w="1464"/>
        <w:gridCol w:w="174"/>
        <w:gridCol w:w="247"/>
        <w:gridCol w:w="789"/>
        <w:gridCol w:w="120"/>
        <w:gridCol w:w="226"/>
        <w:gridCol w:w="916"/>
        <w:gridCol w:w="163"/>
      </w:tblGrid>
      <w:tr>
        <w:trPr/>
        <w:tc>
          <w:tcPr>
            <w:tcW w:w="57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millions</w:t>
            </w:r>
          </w:p>
        </w:tc>
        <w:tc>
          <w:tcPr>
            <w:tcW w:w="138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Maturity</w:t>
            </w:r>
          </w:p>
        </w:tc>
        <w:tc>
          <w:tcPr>
            <w:tcW w:w="1398"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 rate</w:t>
            </w:r>
          </w:p>
        </w:tc>
        <w:tc>
          <w:tcPr>
            <w:tcW w:w="137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Facility amount</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 borrowing</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currency) (a)</w:t>
            </w:r>
          </w:p>
        </w:tc>
        <w:tc>
          <w:tcPr>
            <w:tcW w:w="1998"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Outstanding principal amount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Unused</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borrowing</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capacity</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value (b)</w:t>
            </w:r>
          </w:p>
        </w:tc>
      </w:tr>
      <w:tr>
        <w:trPr/>
        <w:tc>
          <w:tcPr>
            <w:tcW w:w="15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Senior Secured Facilities:</w:t>
            </w:r>
          </w:p>
        </w:tc>
        <w:tc>
          <w:tcPr>
            <w:tcW w:w="1389"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Facility H (c)</w:t>
            </w:r>
          </w:p>
        </w:tc>
        <w:tc>
          <w:tcPr>
            <w:tcW w:w="138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January 2029</w:t>
            </w:r>
          </w:p>
        </w:tc>
        <w:tc>
          <w:tcPr>
            <w:tcW w:w="1398"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EURIBOR + 3.00%</w:t>
            </w:r>
          </w:p>
        </w:tc>
        <w:tc>
          <w:tcPr>
            <w:tcW w:w="254"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000"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464"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2,250.0 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789"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916"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2,245.3 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Facility N (c)</w:t>
            </w:r>
          </w:p>
        </w:tc>
        <w:tc>
          <w:tcPr>
            <w:tcW w:w="138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2033</w:t>
            </w:r>
          </w:p>
        </w:tc>
        <w:tc>
          <w:tcPr>
            <w:tcW w:w="1398"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SOFR + 3.25%</w:t>
            </w:r>
          </w:p>
        </w:tc>
        <w:tc>
          <w:tcPr>
            <w:tcW w:w="254"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00"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426.0 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417.3 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bottom w:val="single" w:sz="4" w:space="0" w:color="F85F00"/>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Revolving Facility G2 (d)</w:t>
            </w:r>
          </w:p>
        </w:tc>
        <w:tc>
          <w:tcPr>
            <w:tcW w:w="1389" w:type="dxa"/>
            <w:gridSpan w:val="3"/>
            <w:tcBorders>
              <w:bottom w:val="single" w:sz="4" w:space="0" w:color="F85F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September 2029</w:t>
            </w:r>
          </w:p>
        </w:tc>
        <w:tc>
          <w:tcPr>
            <w:tcW w:w="1398" w:type="dxa"/>
            <w:gridSpan w:val="3"/>
            <w:tcBorders>
              <w:bottom w:val="single" w:sz="4" w:space="0" w:color="F85F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(d)</w:t>
            </w:r>
          </w:p>
        </w:tc>
        <w:tc>
          <w:tcPr>
            <w:tcW w:w="254" w:type="dxa"/>
            <w:tcBorders>
              <w:bottom w:val="single" w:sz="4" w:space="0" w:color="F85F00"/>
            </w:tcBorders>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1000" w:type="dxa"/>
            <w:tcBorders>
              <w:bottom w:val="single" w:sz="4" w:space="0" w:color="F85F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800.0 </w:t>
            </w:r>
          </w:p>
        </w:tc>
        <w:tc>
          <w:tcPr>
            <w:tcW w:w="122" w:type="dxa"/>
            <w:tcBorders>
              <w:bottom w:val="single" w:sz="4" w:space="0" w:color="F85F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6" w:type="dxa"/>
            <w:gridSpan w:val="12"/>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Senior Secured Facilities</w:t>
            </w:r>
          </w:p>
        </w:tc>
        <w:tc>
          <w:tcPr>
            <w:tcW w:w="1824"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2,676.0</w:t>
            </w:r>
            <w:r>
              <w:rPr>
                <w:color w:val="F85F00"/>
              </w:rPr>
              <w:t> </w:t>
            </w:r>
          </w:p>
        </w:tc>
        <w:tc>
          <w:tcPr>
            <w:tcW w:w="17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800.0</w:t>
            </w:r>
            <w:r>
              <w:rPr>
                <w:color w:val="F85F00"/>
              </w:rPr>
              <w:t> </w:t>
            </w:r>
          </w:p>
        </w:tc>
        <w:tc>
          <w:tcPr>
            <w:tcW w:w="12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2,662.6</w:t>
            </w:r>
            <w:r>
              <w:rPr>
                <w:color w:val="F85F00"/>
              </w:rPr>
              <w:t> </w:t>
            </w:r>
          </w:p>
        </w:tc>
        <w:tc>
          <w:tcPr>
            <w:tcW w:w="16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Senior Facilities:</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Financing Facility (e)</w:t>
            </w:r>
          </w:p>
        </w:tc>
        <w:tc>
          <w:tcPr>
            <w:tcW w:w="138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January 2029</w:t>
            </w:r>
          </w:p>
        </w:tc>
        <w:tc>
          <w:tcPr>
            <w:tcW w:w="73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2.875 </w:t>
            </w:r>
          </w:p>
        </w:tc>
        <w:tc>
          <w:tcPr>
            <w:tcW w:w="666"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6" w:type="dxa"/>
            <w:gridSpan w:val="1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360"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1464"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2,678.3</w:t>
            </w:r>
            <w:r>
              <w:rPr>
                <w:color w:val="000000"/>
              </w:rPr>
              <w:t> </w:t>
            </w:r>
          </w:p>
        </w:tc>
        <w:tc>
          <w:tcPr>
            <w:tcW w:w="174"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789"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800.0</w:t>
            </w:r>
            <w:r>
              <w:rPr>
                <w:color w:val="000000"/>
              </w:rPr>
              <w:t> </w:t>
            </w:r>
          </w:p>
        </w:tc>
        <w:tc>
          <w:tcPr>
            <w:tcW w:w="120"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916" w:type="dxa"/>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2,664.9</w:t>
            </w:r>
            <w:r>
              <w:rPr>
                <w:color w:val="000000"/>
              </w:rPr>
              <w:t> </w:t>
            </w:r>
          </w:p>
        </w:tc>
        <w:tc>
          <w:tcPr>
            <w:tcW w:w="163"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 xml:space="preserve">Amounts represent total third-party facility amounts as at 31 December 2025. </w:t>
      </w:r>
    </w:p>
    <w:p>
      <w:pPr>
        <w:pStyle w:val="TextBody"/>
        <w:bidi w:val="0"/>
        <w:spacing w:lineRule="atLeast" w:line="180" w:before="0" w:after="0"/>
        <w:ind w:left="0" w:right="0" w:hanging="283"/>
        <w:jc w:val="left"/>
        <w:rPr/>
      </w:pPr>
      <w:r>
        <w:rPr>
          <w:rFonts w:ascii="sans-serif" w:hAnsi="sans-serif"/>
          <w:b w:val="false"/>
          <w:color w:val="000000"/>
          <w:sz w:val="14"/>
        </w:rPr>
        <w:t>(b)</w:t>
      </w:r>
      <w:r>
        <w:rPr>
          <w:rFonts w:ascii="sans-serif" w:hAnsi="sans-serif"/>
          <w:b w:val="false"/>
          <w:color w:val="000000"/>
          <w:sz w:val="16"/>
        </w:rPr>
        <w:t xml:space="preserve">Amounts are net of unamortised premiums, discounts, and deferred financing costs, as applicable. </w:t>
      </w:r>
    </w:p>
    <w:p>
      <w:pPr>
        <w:pStyle w:val="TextBody"/>
        <w:bidi w:val="0"/>
        <w:spacing w:lineRule="atLeast" w:line="180" w:before="0" w:after="0"/>
        <w:ind w:left="0" w:right="0" w:hanging="283"/>
        <w:jc w:val="left"/>
        <w:rPr/>
      </w:pPr>
      <w:r>
        <w:rPr>
          <w:rFonts w:ascii="sans-serif" w:hAnsi="sans-serif"/>
          <w:b w:val="false"/>
          <w:color w:val="000000"/>
          <w:sz w:val="14"/>
        </w:rPr>
        <w:t>(c)</w:t>
      </w:r>
      <w:r>
        <w:rPr>
          <w:rFonts w:ascii="sans-serif" w:hAnsi="sans-serif"/>
          <w:b w:val="false"/>
          <w:color w:val="000000"/>
          <w:sz w:val="16"/>
        </w:rPr>
        <w:t xml:space="preserve">Facility H has a EURIBOR floor of 0.0% and Facility N has a USD denominated floor of 0.0%. </w:t>
      </w:r>
    </w:p>
    <w:p>
      <w:pPr>
        <w:pStyle w:val="TextBody"/>
        <w:bidi w:val="0"/>
        <w:spacing w:lineRule="atLeast" w:line="180" w:before="0" w:after="0"/>
        <w:ind w:left="0" w:right="0" w:hanging="283"/>
        <w:jc w:val="left"/>
        <w:rPr/>
      </w:pPr>
      <w:r>
        <w:rPr>
          <w:rFonts w:ascii="sans-serif" w:hAnsi="sans-serif"/>
          <w:b w:val="false"/>
          <w:color w:val="000000"/>
          <w:sz w:val="14"/>
        </w:rPr>
        <w:t>(d)</w:t>
      </w:r>
      <w:r>
        <w:rPr>
          <w:rFonts w:ascii="sans-serif" w:hAnsi="sans-serif"/>
          <w:b w:val="false"/>
          <w:color w:val="000000"/>
          <w:sz w:val="16"/>
        </w:rPr>
        <w:t>The Revolving Facility G2 bears interest at EURIBOR plus 2.75% (subject to a leveraged margin ratchet) and has a fee on unused commitments of 40% of such margin per year. This facility incorporates an Environmental, Social and Governance (ESG)-linked margin ratchet, which may result in an interest rate adjustment based on the achievement or otherwise of certain ESG metrics.</w:t>
      </w:r>
    </w:p>
    <w:p>
      <w:pPr>
        <w:pStyle w:val="TextBody"/>
        <w:bidi w:val="0"/>
        <w:spacing w:lineRule="atLeast" w:line="180" w:before="0" w:after="300"/>
        <w:ind w:left="0" w:right="0" w:hanging="283"/>
        <w:jc w:val="left"/>
        <w:rPr/>
      </w:pPr>
      <w:r>
        <w:rPr>
          <w:rFonts w:ascii="sans-serif" w:hAnsi="sans-serif"/>
          <w:b w:val="false"/>
          <w:color w:val="000000"/>
          <w:sz w:val="14"/>
        </w:rPr>
        <w:t>(e)</w:t>
      </w:r>
      <w:r>
        <w:rPr>
          <w:rFonts w:ascii="sans-serif" w:hAnsi="sans-serif"/>
          <w:b w:val="false"/>
          <w:color w:val="000000"/>
          <w:sz w:val="16"/>
        </w:rPr>
        <w:t>Amounts represent borrowings that are owed to a non-consolidated special purpose financing entity that has issued notes to finance the purchase of receivables due from our company to certain other third parties for amounts that we and our subsidiaries have vendor financed. To the extent that the proceeds from these notes exceed the amount of vendor financed receivables available to be purchased, the excess proceeds are used to fund this excess cash facility.</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We have entered into a Senior Secured Credit Facility agreement with certain financial institutions and a Senior Credit Facility agreement with a non-consolidated special purpose financing entity (the Credit Facilities). Our Credit Facilities contain certain covenants, the more notable of which are as follows: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Our Credit Facilities contain certain consolidated net leverage ratios, as specified in the relevant Credit Facility, which are required to be complied with (i) on an incurrence basis and/or (ii) in respect of our Senior Secured Credit Facilities, when the associated Revolving Credit Facilities has been drawn beyond a specified percentage of the total available revolving credit commitments on a maintenance basis;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Subject to certain customary and agreed exceptions, our Credit Facilities contain certain restrictions which, among other things, restrict the ability of certain of our subsidiaries to (i) incur or guarantee certain financial indebtedness, (ii) make certain disposals and acquisitions, (iii) create certain security interests over their assets, and (iv) make certain restricted payments to their direct and/or indirect parent companies through dividends, loans or other distributions;</w:t>
      </w:r>
    </w:p>
    <w:p>
      <w:pPr>
        <w:pStyle w:val="TextBody"/>
        <w:bidi w:val="0"/>
        <w:spacing w:before="0" w:after="24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52400"/>
                <wp:effectExtent l="0" t="0" r="0" b="0"/>
                <wp:wrapNone/>
                <wp:docPr id="39" name="Frame30"/>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25</w:t>
                      </w:r>
                    </w:p>
                  </w:txbxContent>
                </v:textbox>
                <w10:wrap type="none"/>
              </v:rect>
            </w:pict>
          </mc:Fallback>
        </mc:AlternateConten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Our Credit Facilities require that certain of our subsidiaries (i) guarantee the payment of all sums payable under the relevant Credit Facility and (ii) in respect of our Senior Secured Credit Facilities, grant first-ranking security over substantially all of their assets to secure the payment of all sums payable thereunder;</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In addition to certain mandatory prepayment events, the instructing group of lenders under our Senior Secured Credit Facilities, under certain circumstances, may cancel the commitments thereunder and declare the loans thereunder due and payable at par after the notice period following the occurrence of a change of control (as specified in our Senior Secured Credit Facilities);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 xml:space="preserve">In addition to certain mandatory prepayment events, the individual lender under our Senior Credit Facilities, under certain circumstances, may cancel its commitments thereunder and declare the loans thereunder due and payable at a price of 101% after the notice period following the occurrence of a change of control (as specified in our Senior Credit Facilities); </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 xml:space="preserve">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 </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 xml:space="preserve">Our Credit Facilities require that we observe certain affirmative and negative undertakings and covenants, which are subject to certain materiality qualifications and other customary and agreed exceptions; </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In addition to customary default provisions, our Senior Secured Credit Facilities include cross-default provisions with respect to our other indebtedness, subject to agreed minimum thresholds and other customary and agreed exceptions; and</w:t>
      </w:r>
    </w:p>
    <w:p>
      <w:pPr>
        <w:pStyle w:val="TextBody"/>
        <w:bidi w:val="0"/>
        <w:spacing w:lineRule="atLeast" w:line="240" w:before="0" w:after="330"/>
        <w:ind w:left="0" w:right="0" w:hanging="283"/>
        <w:jc w:val="left"/>
        <w:rPr/>
      </w:pPr>
      <w:r>
        <w:rPr>
          <w:color w:val="000000"/>
        </w:rPr>
        <w:t>•</w:t>
      </w:r>
      <w:r>
        <w:rPr>
          <w:rFonts w:ascii="sans-serif" w:hAnsi="sans-serif"/>
          <w:b w:val="false"/>
          <w:color w:val="000000"/>
          <w:sz w:val="18"/>
        </w:rPr>
        <w:t>Our Senior Credit Facilities provide that any failure to pay principal at its stated maturity (after the expiration of any applicable grace period) of, or any acceleration with respect to, other indebtedness of the borrower or certain of our subsidiaries over agreed minimum thresholds (as specified under the Senior Credit Facilities), is an event of default under the Senior Credit Facilities.</w:t>
      </w:r>
    </w:p>
    <w:p>
      <w:pPr>
        <w:pStyle w:val="TextBody"/>
        <w:bidi w:val="0"/>
        <w:spacing w:lineRule="auto" w:line="324" w:before="120" w:after="283"/>
        <w:jc w:val="left"/>
        <w:rPr>
          <w:rFonts w:ascii="sans-serif" w:hAnsi="sans-serif"/>
          <w:b/>
          <w:color w:val="F85F00"/>
          <w:sz w:val="20"/>
        </w:rPr>
      </w:pPr>
      <w:bookmarkStart w:id="58" w:name="i525de27865bf4084822564efdf6059ff"/>
      <w:bookmarkEnd w:id="58"/>
      <w:r>
        <w:rPr>
          <w:rFonts w:ascii="sans-serif" w:hAnsi="sans-serif"/>
          <w:b/>
          <w:color w:val="F85F00"/>
          <w:sz w:val="20"/>
        </w:rPr>
        <w:t>Vendor Financing</w:t>
      </w:r>
    </w:p>
    <w:p>
      <w:pPr>
        <w:pStyle w:val="TextBody"/>
        <w:bidi w:val="0"/>
        <w:spacing w:lineRule="auto" w:line="288" w:before="0" w:after="180"/>
        <w:jc w:val="left"/>
        <w:rPr>
          <w:rFonts w:ascii="sans-serif" w:hAnsi="sans-serif"/>
          <w:b w:val="false"/>
          <w:color w:val="000000"/>
          <w:sz w:val="18"/>
        </w:rPr>
      </w:pPr>
      <w:r>
        <w:rPr>
          <w:rFonts w:ascii="sans-serif" w:hAnsi="sans-serif"/>
          <w:b w:val="false"/>
          <w:color w:val="000000"/>
          <w:sz w:val="18"/>
        </w:rPr>
        <w:t>The maturities of our vendor financing obligations as at 31 December 2025 are presented below (in millions):</w:t>
      </w:r>
    </w:p>
    <w:tbl>
      <w:tblPr>
        <w:tblW w:w="4429" w:type="dxa"/>
        <w:jc w:val="left"/>
        <w:tblInd w:w="0" w:type="dxa"/>
        <w:tblLayout w:type="fixed"/>
        <w:tblCellMar>
          <w:top w:w="28" w:type="dxa"/>
          <w:left w:w="28" w:type="dxa"/>
          <w:bottom w:w="28" w:type="dxa"/>
          <w:right w:w="28" w:type="dxa"/>
        </w:tblCellMar>
      </w:tblPr>
      <w:tblGrid>
        <w:gridCol w:w="1289"/>
        <w:gridCol w:w="1129"/>
        <w:gridCol w:w="1136"/>
        <w:gridCol w:w="360"/>
        <w:gridCol w:w="361"/>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Year ending 31 December:</w:t>
            </w:r>
          </w:p>
        </w:tc>
        <w:tc>
          <w:tcPr>
            <w:tcW w:w="8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2026</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vendor financing maturities</w:t>
            </w:r>
          </w:p>
        </w:tc>
        <w:tc>
          <w:tcPr>
            <w:tcW w:w="721"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999.6</w:t>
            </w:r>
            <w:r>
              <w:rPr>
                <w:color w:val="F85F00"/>
              </w:rPr>
              <w:t> </w:t>
            </w:r>
          </w:p>
        </w:tc>
        <w:tc>
          <w:tcPr>
            <w:tcW w:w="154"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portion</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Non-current portion</w:t>
            </w:r>
          </w:p>
        </w:tc>
        <w:tc>
          <w:tcPr>
            <w:tcW w:w="721"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154"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Our vendor financing arrangement allows our vendors to receive payment via a financier within their normal payment terms. Our payment terms to the financier are up to 360 days. The vendor financing obligations do not impact our covenants. The details on the vendor financing arrangement are presented below:</w:t>
      </w:r>
    </w:p>
    <w:tbl>
      <w:tblPr>
        <w:tblW w:w="10205" w:type="dxa"/>
        <w:jc w:val="left"/>
        <w:tblInd w:w="0" w:type="dxa"/>
        <w:tblLayout w:type="fixed"/>
        <w:tblCellMar>
          <w:top w:w="28" w:type="dxa"/>
          <w:left w:w="28" w:type="dxa"/>
          <w:bottom w:w="28" w:type="dxa"/>
          <w:right w:w="28" w:type="dxa"/>
        </w:tblCellMar>
      </w:tblPr>
      <w:tblGrid>
        <w:gridCol w:w="2791"/>
        <w:gridCol w:w="2451"/>
        <w:gridCol w:w="2456"/>
        <w:gridCol w:w="483"/>
        <w:gridCol w:w="462"/>
        <w:gridCol w:w="284"/>
        <w:gridCol w:w="488"/>
        <w:gridCol w:w="402"/>
        <w:gridCol w:w="388"/>
      </w:tblGrid>
      <w:tr>
        <w:trPr/>
        <w:tc>
          <w:tcPr>
            <w:tcW w:w="279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Vendor financing arrangement</w:t>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27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7698"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center"/>
              <w:rPr>
                <w:rFonts w:ascii="sans-serif" w:hAnsi="sans-serif"/>
                <w:b w:val="false"/>
                <w:color w:val="000000"/>
                <w:sz w:val="18"/>
              </w:rPr>
            </w:pPr>
            <w:r>
              <w:rPr>
                <w:rFonts w:ascii="sans-serif" w:hAnsi="sans-serif"/>
                <w:b w:val="false"/>
                <w:color w:val="000000"/>
                <w:sz w:val="18"/>
              </w:rPr>
              <w:t>In € millions</w:t>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Carrying amount of liabilities that are part of vendor financing arrangement</w:t>
            </w:r>
          </w:p>
        </w:tc>
        <w:tc>
          <w:tcPr>
            <w:tcW w:w="1229"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Presented in debt</w:t>
            </w:r>
          </w:p>
        </w:tc>
        <w:tc>
          <w:tcPr>
            <w:tcW w:w="94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Of which vendors have been paid by the finance provider</w:t>
            </w:r>
          </w:p>
        </w:tc>
        <w:tc>
          <w:tcPr>
            <w:tcW w:w="94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Range of payment dates: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Liabilities that are part of the arrangement</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30 - 90 days</w:t>
            </w:r>
          </w:p>
        </w:tc>
        <w:tc>
          <w:tcPr>
            <w:tcW w:w="1278"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30 - 90 days</w:t>
            </w:r>
          </w:p>
        </w:tc>
      </w:tr>
      <w:tr>
        <w:trPr/>
        <w:tc>
          <w:tcPr>
            <w:tcW w:w="7698" w:type="dxa"/>
            <w:gridSpan w:val="3"/>
            <w:tcBorders>
              <w:bottom w:val="single" w:sz="8" w:space="0" w:color="575756"/>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Comparable trade payables that are not part of the arrangement</w:t>
            </w:r>
          </w:p>
        </w:tc>
        <w:tc>
          <w:tcPr>
            <w:tcW w:w="1229" w:type="dxa"/>
            <w:gridSpan w:val="3"/>
            <w:tcBorders>
              <w:bottom w:val="single" w:sz="8" w:space="0" w:color="575756"/>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30 - 90 days</w:t>
            </w:r>
          </w:p>
        </w:tc>
        <w:tc>
          <w:tcPr>
            <w:tcW w:w="1278" w:type="dxa"/>
            <w:gridSpan w:val="3"/>
            <w:tcBorders>
              <w:bottom w:val="single" w:sz="8" w:space="0" w:color="575756"/>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30 - 90 days</w:t>
            </w:r>
          </w:p>
        </w:tc>
      </w:tr>
    </w:tbl>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VZ Vendor Financing II B.V. (VZ Vendor Financing II), a third-party special purpose financing entity that is not consolidated by VodafoneZiggo, has issued an aggregate €700.0 million in notes maturing in January 2029 (the Vendor Financing II Notes). The net proceeds from the Vendor Financing II Notes are used by VZ Vendor Financing II to purchase from various third parties certain vendor-financed receivables owed by the Group. To the extent that the proceeds from the Vendor Financing II Notes exceed the amount of vendor-financed receivables available to be purchased, the excess proceeds are used to fund the Financing Facility. As additional vendor-financed receivables become available for purchase, VZ Vendor Financing II can request that we repay any amounts made available under the Financing Facility.</w:t>
      </w:r>
    </w:p>
    <w:p>
      <w:pPr>
        <w:pStyle w:val="TextBody"/>
        <w:bidi w:val="0"/>
        <w:spacing w:lineRule="auto" w:line="324" w:before="120" w:after="283"/>
        <w:jc w:val="left"/>
        <w:rPr>
          <w:rFonts w:ascii="sans-serif" w:hAnsi="sans-serif"/>
          <w:b/>
          <w:color w:val="F85F00"/>
          <w:sz w:val="20"/>
        </w:rPr>
      </w:pPr>
      <w:bookmarkStart w:id="59" w:name="i8b44876b9e9544a893ed168a7325cbf8"/>
      <w:bookmarkEnd w:id="59"/>
      <w:r>
        <w:rPr>
          <w:rFonts w:ascii="sans-serif" w:hAnsi="sans-serif"/>
          <w:b/>
          <w:color w:val="F85F00"/>
          <w:sz w:val="20"/>
        </w:rPr>
        <w:t>Financing transactions</w:t>
      </w:r>
    </w:p>
    <w:p>
      <w:pPr>
        <w:pStyle w:val="TextBody"/>
        <w:bidi w:val="0"/>
        <w:spacing w:lineRule="atLeast" w:line="240" w:before="0" w:after="200"/>
        <w:jc w:val="both"/>
        <w:rPr/>
      </w:pPr>
      <w:r>
        <w:rPr>
          <w:rFonts w:ascii="sans-serif" w:hAnsi="sans-serif"/>
          <w:b w:val="false"/>
          <w:i/>
          <w:color w:val="000000"/>
          <w:sz w:val="18"/>
        </w:rPr>
        <w:t xml:space="preserve">2025 Financing Transactions. </w:t>
      </w:r>
      <w:r>
        <w:rPr>
          <w:rFonts w:ascii="sans-serif" w:hAnsi="sans-serif"/>
          <w:b w:val="false"/>
          <w:color w:val="000000"/>
          <w:sz w:val="18"/>
        </w:rPr>
        <w:t>In October 2025, we reduced the borrowing capacity of Revolving Facility G1 by €25.0 million and increased the borrowing capacity of Revolving Facility G2 by €25.0 million. The total commitments under our revolving credit facilities remained at €800.0 million, but there is no longer any borrowing capacity under Revolving Facility G1.</w:t>
      </w:r>
    </w:p>
    <w:p>
      <w:pPr>
        <w:pStyle w:val="TextBody"/>
        <w:bidi w:val="0"/>
        <w:spacing w:lineRule="atLeast" w:line="240" w:before="0" w:after="200"/>
        <w:jc w:val="both"/>
        <w:rPr>
          <w:rFonts w:ascii="sans-serif" w:hAnsi="sans-serif"/>
          <w:b w:val="false"/>
          <w:color w:val="000000"/>
          <w:sz w:val="18"/>
        </w:rPr>
      </w:pPr>
      <w:r>
        <w:rPr>
          <w:rFonts w:ascii="sans-serif" w:hAnsi="sans-serif"/>
          <w:b w:val="false"/>
          <w:color w:val="000000"/>
          <w:sz w:val="18"/>
        </w:rPr>
        <w:t>In January 2025, we redeemed in full the outstanding principal amount of our 2027 Senior Notes of $625.0 million at par value. In connection with this transaction, we recognised a net loss on debt extinguishment of €4.4 million related to the write-off of unamortised deferred financing costs.</w:t>
      </w:r>
    </w:p>
    <w:p>
      <w:pPr>
        <w:pStyle w:val="TextBody"/>
        <w:bidi w:val="0"/>
        <w:spacing w:lineRule="atLeast" w:line="240" w:before="0" w:after="200"/>
        <w:jc w:val="both"/>
        <w:rPr>
          <w:rFonts w:ascii="sans-serif" w:hAnsi="sans-serif"/>
          <w:b w:val="false"/>
          <w:color w:val="000000"/>
          <w:sz w:val="18"/>
        </w:rPr>
      </w:pPr>
      <w:r>
        <w:rPr>
          <w:rFonts w:ascii="sans-serif" w:hAnsi="sans-serif"/>
          <w:b w:val="false"/>
          <w:color w:val="000000"/>
          <w:sz w:val="18"/>
        </w:rPr>
        <w:t>In September 2025, we issued €650.0 million principal amount of euro-denominated senior secured notes (the 2033 Euro Senior Secured Notes). The 2033 Euro Senior Secured Notes were issued at par, mature on 15 January 2033 and bear interest at a rate of 5.25%.</w:t>
      </w:r>
    </w:p>
    <w:p>
      <w:pPr>
        <w:pStyle w:val="TextBody"/>
        <w:bidi w:val="0"/>
        <w:spacing w:lineRule="atLeast" w:line="240" w:before="0" w:after="200"/>
        <w:jc w:val="both"/>
        <w:rPr>
          <w:rFonts w:ascii="sans-serif" w:hAnsi="sans-serif"/>
          <w:b w:val="false"/>
          <w:color w:val="000000"/>
          <w:sz w:val="18"/>
        </w:rPr>
      </w:pPr>
      <w:r>
        <w:rPr>
          <w:rFonts w:ascii="sans-serif" w:hAnsi="sans-serif"/>
          <w:b w:val="false"/>
          <w:color w:val="000000"/>
          <w:sz w:val="18"/>
        </w:rPr>
        <w:t>In October 2025 we (i) issued $600.0 million principal amount of U.S. dollar-denominated senior secured notes (the 2033 Dollar Senior Secured Notes) and (ii) entered into a $500.0 million term loan facility (Facility N). The 2033 Dollar Senior Secured Notes were issued at par, mature on 15 January 2033 and bear interest at a rate of 7.50%. Facility N was issued at 98% of par, matures on 15 January 2033 and bears interest at a rate of Term SOFR + 3.25% (subject to an ESG-based margin ratchet).</w:t>
      </w:r>
    </w:p>
    <w:p>
      <w:pPr>
        <w:pStyle w:val="TextBody"/>
        <w:bidi w:val="0"/>
        <w:spacing w:lineRule="atLeast" w:line="240" w:before="0" w:after="200"/>
        <w:jc w:val="both"/>
        <w:rPr>
          <w:rFonts w:ascii="sans-serif" w:hAnsi="sans-serif"/>
          <w:b w:val="false"/>
          <w:color w:val="000000"/>
          <w:sz w:val="18"/>
        </w:rPr>
      </w:pPr>
      <w:r>
        <w:rPr>
          <w:rFonts w:ascii="sans-serif" w:hAnsi="sans-serif"/>
          <w:b w:val="false"/>
          <w:color w:val="000000"/>
          <w:sz w:val="18"/>
        </w:rPr>
        <w:t>In December 2025, we issued an additional $550.0 million principal amount on the existing 2033 Dollar Senior Secured Notes. The additional 2033 Dollar Senior Secured Notes were issued at 100.25% of par.</w:t>
      </w:r>
    </w:p>
    <w:p>
      <w:pPr>
        <w:pStyle w:val="TextBody"/>
        <w:bidi w:val="0"/>
        <w:spacing w:before="0" w:after="24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52400"/>
                <wp:effectExtent l="0" t="0" r="0" b="0"/>
                <wp:wrapNone/>
                <wp:docPr id="40" name="Frame31"/>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26</w:t>
                      </w:r>
                    </w:p>
                  </w:txbxContent>
                </v:textbox>
                <w10:wrap type="none"/>
              </v:rect>
            </w:pict>
          </mc:Fallback>
        </mc:AlternateContent>
      </w:r>
    </w:p>
    <w:p>
      <w:pPr>
        <w:pStyle w:val="TextBody"/>
        <w:bidi w:val="0"/>
        <w:spacing w:lineRule="atLeast" w:line="240" w:before="0" w:after="200"/>
        <w:jc w:val="both"/>
        <w:rPr>
          <w:rFonts w:ascii="sans-serif" w:hAnsi="sans-serif"/>
          <w:b w:val="false"/>
          <w:color w:val="000000"/>
          <w:sz w:val="18"/>
        </w:rPr>
      </w:pPr>
      <w:r>
        <w:rPr>
          <w:rFonts w:ascii="sans-serif" w:hAnsi="sans-serif"/>
          <w:b w:val="false"/>
          <w:color w:val="000000"/>
          <w:sz w:val="18"/>
        </w:rPr>
        <w:t>The net proceeds from the issuance of the 2033 Euro Senior Secured Notes, 2033 Dollar Senior Secured Notes and Credit Facility N, as well as from the partial unwind of certain associated cross currency swaps, were used to fully redeem the outstanding principal amount of Credit Facility I of €2,525.0 million. In connection with these transactions, we recognised a net gain on debt extinguishment of €2.9 million comprised of (i) €5.4 million of settlement discounts received and (ii) the write-off of €2.5 million of unamortised deferred financing costs.</w:t>
      </w:r>
    </w:p>
    <w:p>
      <w:pPr>
        <w:pStyle w:val="TextBody"/>
        <w:bidi w:val="0"/>
        <w:spacing w:lineRule="atLeast" w:line="240" w:before="0" w:after="240"/>
        <w:jc w:val="both"/>
        <w:rPr/>
      </w:pPr>
      <w:r>
        <w:rPr>
          <w:rFonts w:ascii="sans-serif" w:hAnsi="sans-serif"/>
          <w:b w:val="false"/>
          <w:i/>
          <w:color w:val="000000"/>
          <w:sz w:val="18"/>
        </w:rPr>
        <w:t>2024 Financing transactions</w:t>
      </w:r>
      <w:r>
        <w:rPr>
          <w:rFonts w:ascii="sans-serif" w:hAnsi="sans-serif"/>
          <w:b w:val="false"/>
          <w:color w:val="000000"/>
          <w:sz w:val="18"/>
        </w:rPr>
        <w:t>. During 2024, we reduced the borrowing capacity of Revolving Facility G1 by €100.0 million and increased the borrowing capacity of Revolving Facility G2 by €50.0 million. This brought the total commitments under these revolving facilities to €800.0 million, including €25.0 million under Revolving Facility G1 and €775.0 million under Revolving Facility G2.</w:t>
      </w:r>
    </w:p>
    <w:p>
      <w:pPr>
        <w:pStyle w:val="TextBody"/>
        <w:bidi w:val="0"/>
        <w:spacing w:lineRule="atLeast" w:line="240" w:before="0" w:after="200"/>
        <w:jc w:val="both"/>
        <w:rPr>
          <w:rFonts w:ascii="sans-serif" w:hAnsi="sans-serif"/>
          <w:b w:val="false"/>
          <w:color w:val="000000"/>
          <w:sz w:val="18"/>
        </w:rPr>
      </w:pPr>
      <w:r>
        <w:rPr>
          <w:rFonts w:ascii="sans-serif" w:hAnsi="sans-serif"/>
          <w:b w:val="false"/>
          <w:color w:val="000000"/>
          <w:sz w:val="18"/>
        </w:rPr>
        <w:t>In October 2024, we issued €575.0 million principal amount of euro-denominated senior notes (the 2032 Euro Senior Notes). The 2032 Euro Senior Notes were issued at par, mature on 15 November 2032 and bear interest at a rate of 6.125%. These notes were issued in accordance with our Green Finance Framework (GFF), a component of our broader Sustainable Finance Framework. Our GFF enables us to issue green and sustainable financing and aligns our capital structure with our Corporate Social Responsibility strategy. The net proceeds from the issuance of the 2032 Euro Senior Notes were used to redeem in full the outstanding principal amount of our 2027 Senior Notes ($625.0 million) at par value in January 2025.</w:t>
      </w:r>
    </w:p>
    <w:p>
      <w:pPr>
        <w:pStyle w:val="TextBody"/>
        <w:bidi w:val="0"/>
        <w:spacing w:lineRule="atLeast" w:line="240" w:before="0" w:after="200"/>
        <w:jc w:val="both"/>
        <w:rPr/>
      </w:pPr>
      <w:r>
        <w:rPr>
          <w:rFonts w:ascii="sans-serif" w:hAnsi="sans-serif"/>
          <w:b w:val="false"/>
          <w:i/>
          <w:color w:val="000000"/>
          <w:sz w:val="18"/>
        </w:rPr>
        <w:t xml:space="preserve">2026 Financing transactions. </w:t>
      </w:r>
      <w:r>
        <w:rPr>
          <w:rFonts w:ascii="sans-serif" w:hAnsi="sans-serif"/>
          <w:b w:val="false"/>
          <w:color w:val="000000"/>
          <w:sz w:val="18"/>
        </w:rPr>
        <w:t>During May 2026 we entered into a €1,125.0 million term loan facility (Facility P), Facility P was issued at 99.5% of par, matures on 31 May 2033 and bears interest at a rate of EURIBOR + 3.75%. Financing costs of €6.8 million were incurred and deferred over the term of Facility P. The net proceeds from the issuance of Facility P were used to partially redeem Facility H. This financing transaction included an aggregate €1,125.0 million of non-cash borrowings and repayments.</w:t>
      </w:r>
    </w:p>
    <w:p>
      <w:pPr>
        <w:pStyle w:val="TextBody"/>
        <w:bidi w:val="0"/>
        <w:spacing w:lineRule="auto" w:line="324" w:before="120" w:after="283"/>
        <w:jc w:val="left"/>
        <w:rPr>
          <w:rFonts w:ascii="sans-serif" w:hAnsi="sans-serif"/>
          <w:b/>
          <w:color w:val="F85F00"/>
          <w:sz w:val="20"/>
        </w:rPr>
      </w:pPr>
      <w:bookmarkStart w:id="60" w:name="i9e66d620e197483c918f36adcbb70e57"/>
      <w:bookmarkEnd w:id="60"/>
      <w:r>
        <w:rPr>
          <w:rFonts w:ascii="sans-serif" w:hAnsi="sans-serif"/>
          <w:b/>
          <w:color w:val="F85F00"/>
          <w:sz w:val="20"/>
        </w:rPr>
        <w:t>Maturities of Debt</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The euro equivalents of the maturities of our debt as at 31 December 2025 are presented below:</w:t>
      </w:r>
    </w:p>
    <w:tbl>
      <w:tblPr>
        <w:tblW w:w="9389" w:type="dxa"/>
        <w:jc w:val="left"/>
        <w:tblInd w:w="0" w:type="dxa"/>
        <w:tblLayout w:type="fixed"/>
        <w:tblCellMar>
          <w:top w:w="28" w:type="dxa"/>
          <w:left w:w="28" w:type="dxa"/>
          <w:bottom w:w="28" w:type="dxa"/>
          <w:right w:w="28" w:type="dxa"/>
        </w:tblCellMar>
      </w:tblPr>
      <w:tblGrid>
        <w:gridCol w:w="1844"/>
        <w:gridCol w:w="1626"/>
        <w:gridCol w:w="1630"/>
        <w:gridCol w:w="518"/>
        <w:gridCol w:w="518"/>
        <w:gridCol w:w="426"/>
        <w:gridCol w:w="505"/>
        <w:gridCol w:w="505"/>
        <w:gridCol w:w="506"/>
        <w:gridCol w:w="518"/>
        <w:gridCol w:w="518"/>
        <w:gridCol w:w="275"/>
      </w:tblGrid>
      <w:tr>
        <w:trPr/>
        <w:tc>
          <w:tcPr>
            <w:tcW w:w="18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462"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Third-party</w:t>
            </w:r>
          </w:p>
        </w:tc>
        <w:tc>
          <w:tcPr>
            <w:tcW w:w="151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Related-party</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5100"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Year ending 31 December:</w:t>
            </w:r>
          </w:p>
        </w:tc>
        <w:tc>
          <w:tcPr>
            <w:tcW w:w="1462"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2026</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2027</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2028</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2029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2,252.3 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2,252.3 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2030</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2,672.9 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4,488.7 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Thereafter</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4,680.4 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4,680.4 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debt maturities</w:t>
            </w:r>
          </w:p>
        </w:tc>
        <w:tc>
          <w:tcPr>
            <w:tcW w:w="1036"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10,605.2</w:t>
            </w:r>
            <w:r>
              <w:rPr>
                <w:color w:val="F85F00"/>
              </w:rPr>
              <w:t> </w:t>
            </w:r>
          </w:p>
        </w:tc>
        <w:tc>
          <w:tcPr>
            <w:tcW w:w="426"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1,815.8</w:t>
            </w:r>
            <w:r>
              <w:rPr>
                <w:color w:val="F85F00"/>
              </w:rPr>
              <w:t> </w:t>
            </w:r>
          </w:p>
        </w:tc>
        <w:tc>
          <w:tcPr>
            <w:tcW w:w="506"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12,421.0</w:t>
            </w:r>
            <w:r>
              <w:rPr>
                <w:color w:val="F85F00"/>
              </w:rPr>
              <w:t> </w:t>
            </w:r>
          </w:p>
        </w:tc>
        <w:tc>
          <w:tcPr>
            <w:tcW w:w="275"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Premiums, discounts and deferred financing costs, net</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(34.4)</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(34.4)</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debt</w:t>
            </w:r>
          </w:p>
        </w:tc>
        <w:tc>
          <w:tcPr>
            <w:tcW w:w="1036"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10,570.8</w:t>
            </w:r>
            <w:r>
              <w:rPr>
                <w:color w:val="F85F00"/>
              </w:rPr>
              <w:t> </w:t>
            </w:r>
          </w:p>
        </w:tc>
        <w:tc>
          <w:tcPr>
            <w:tcW w:w="426"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1,815.8</w:t>
            </w:r>
            <w:r>
              <w:rPr>
                <w:color w:val="F85F00"/>
              </w:rPr>
              <w:t> </w:t>
            </w:r>
          </w:p>
        </w:tc>
        <w:tc>
          <w:tcPr>
            <w:tcW w:w="506"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F48C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12,386.6</w:t>
            </w:r>
            <w:r>
              <w:rPr>
                <w:color w:val="F85F00"/>
              </w:rPr>
              <w:t> </w:t>
            </w:r>
          </w:p>
        </w:tc>
        <w:tc>
          <w:tcPr>
            <w:tcW w:w="275" w:type="dxa"/>
            <w:tcBorders>
              <w:top w:val="single" w:sz="8" w:space="0" w:color="F48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portion</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Non-current portion</w:t>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9,571.2</w:t>
            </w:r>
            <w:r>
              <w:rPr>
                <w:color w:val="000000"/>
              </w:rPr>
              <w:t> </w:t>
            </w:r>
          </w:p>
        </w:tc>
        <w:tc>
          <w:tcPr>
            <w:tcW w:w="42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1,815.8</w:t>
            </w:r>
            <w:r>
              <w:rPr>
                <w:color w:val="000000"/>
              </w:rPr>
              <w:t> </w:t>
            </w:r>
          </w:p>
        </w:tc>
        <w:tc>
          <w:tcPr>
            <w:tcW w:w="50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11,387.0</w:t>
            </w:r>
            <w:r>
              <w:rPr>
                <w:color w:val="000000"/>
              </w:rPr>
              <w:t> </w:t>
            </w:r>
          </w:p>
        </w:tc>
        <w:tc>
          <w:tcPr>
            <w:tcW w:w="27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52400"/>
                <wp:effectExtent l="0" t="0" r="0" b="0"/>
                <wp:wrapNone/>
                <wp:docPr id="41" name="Frame32"/>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27</w:t>
                      </w:r>
                    </w:p>
                  </w:txbxContent>
                </v:textbox>
                <w10:wrap type="none"/>
              </v:rect>
            </w:pict>
          </mc:Fallback>
        </mc:AlternateContent>
      </w:r>
    </w:p>
    <w:p>
      <w:pPr>
        <w:pStyle w:val="TextBody"/>
        <w:bidi w:val="0"/>
        <w:spacing w:lineRule="auto" w:line="324" w:before="120" w:after="283"/>
        <w:jc w:val="left"/>
        <w:rPr>
          <w:rFonts w:ascii="sans-serif" w:hAnsi="sans-serif"/>
          <w:b/>
          <w:color w:val="F85F00"/>
          <w:sz w:val="20"/>
        </w:rPr>
      </w:pPr>
      <w:bookmarkStart w:id="61" w:name="if678ded87fcd4ef099042d6f54eeb781"/>
      <w:bookmarkEnd w:id="61"/>
      <w:r>
        <w:rPr>
          <w:rFonts w:ascii="sans-serif" w:hAnsi="sans-serif"/>
          <w:b/>
          <w:color w:val="F85F00"/>
          <w:sz w:val="20"/>
        </w:rPr>
        <w:t>Cash flow implications</w:t>
      </w:r>
    </w:p>
    <w:p>
      <w:pPr>
        <w:pStyle w:val="TextBody"/>
        <w:bidi w:val="0"/>
        <w:spacing w:lineRule="atLeast" w:line="240" w:before="0" w:after="60"/>
        <w:jc w:val="left"/>
        <w:rPr>
          <w:rFonts w:ascii="sans-serif" w:hAnsi="sans-serif"/>
          <w:b w:val="false"/>
          <w:color w:val="000000"/>
          <w:sz w:val="18"/>
        </w:rPr>
      </w:pPr>
      <w:r>
        <w:rPr>
          <w:rFonts w:ascii="sans-serif" w:hAnsi="sans-serif"/>
          <w:b w:val="false"/>
          <w:color w:val="000000"/>
          <w:sz w:val="18"/>
        </w:rPr>
        <w:t>The reconciliation of changes in debt, net derivative position and lease liabilities to cash flows from financing activities is as follows:</w:t>
      </w:r>
    </w:p>
    <w:tbl>
      <w:tblPr>
        <w:tblW w:w="10205" w:type="dxa"/>
        <w:jc w:val="left"/>
        <w:tblInd w:w="0" w:type="dxa"/>
        <w:tblLayout w:type="fixed"/>
        <w:tblCellMar>
          <w:top w:w="28" w:type="dxa"/>
          <w:left w:w="28" w:type="dxa"/>
          <w:bottom w:w="28" w:type="dxa"/>
          <w:right w:w="28" w:type="dxa"/>
        </w:tblCellMar>
      </w:tblPr>
      <w:tblGrid>
        <w:gridCol w:w="1735"/>
        <w:gridCol w:w="1376"/>
        <w:gridCol w:w="1381"/>
        <w:gridCol w:w="553"/>
        <w:gridCol w:w="554"/>
        <w:gridCol w:w="223"/>
        <w:gridCol w:w="486"/>
        <w:gridCol w:w="486"/>
        <w:gridCol w:w="487"/>
        <w:gridCol w:w="519"/>
        <w:gridCol w:w="508"/>
        <w:gridCol w:w="510"/>
        <w:gridCol w:w="553"/>
        <w:gridCol w:w="554"/>
        <w:gridCol w:w="280"/>
      </w:tblGrid>
      <w:tr>
        <w:trPr/>
        <w:tc>
          <w:tcPr>
            <w:tcW w:w="173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33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Debt*</w:t>
            </w:r>
          </w:p>
        </w:tc>
        <w:tc>
          <w:tcPr>
            <w:tcW w:w="145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Net derivative</w:t>
              <w:br/>
              <w:t>position</w:t>
            </w:r>
          </w:p>
        </w:tc>
        <w:tc>
          <w:tcPr>
            <w:tcW w:w="153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Lease liabilities</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1 January 2024</w:t>
            </w:r>
          </w:p>
        </w:tc>
        <w:tc>
          <w:tcPr>
            <w:tcW w:w="11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(12,940.4)</w:t>
            </w:r>
          </w:p>
        </w:tc>
        <w:tc>
          <w:tcPr>
            <w:tcW w:w="2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608.3</w:t>
            </w:r>
            <w:r>
              <w:rPr>
                <w:color w:val="000000"/>
              </w:rPr>
              <w:t> </w:t>
            </w:r>
          </w:p>
        </w:tc>
        <w:tc>
          <w:tcPr>
            <w:tcW w:w="4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(357.8)</w:t>
            </w:r>
          </w:p>
        </w:tc>
        <w:tc>
          <w:tcPr>
            <w:tcW w:w="5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(12,689.9)</w:t>
            </w:r>
          </w:p>
        </w:tc>
        <w:tc>
          <w:tcPr>
            <w:tcW w:w="2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flows from financing activities:</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Borrowings of third-party debt</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(1,361.0)</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(1,361.0)</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Operating-related vendor financing additions</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(709.3)</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(709.3)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Repayments of third-party debt and lease obligations:</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 (excluding vendor financing)</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963.2 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963.2 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operating-related vendor financing</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728.6 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728.6 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capital-related vendor financing</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482.3 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482.3 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Payments on lease obligations</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84.6 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financing activities, net</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cash flows from financing activities</w:t>
            </w:r>
          </w:p>
        </w:tc>
        <w:tc>
          <w:tcPr>
            <w:tcW w:w="1107"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103.9</w:t>
            </w:r>
            <w:r>
              <w:rPr>
                <w:color w:val="000000"/>
              </w:rPr>
              <w:t> </w:t>
            </w:r>
          </w:p>
        </w:tc>
        <w:tc>
          <w:tcPr>
            <w:tcW w:w="223"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(1.9)</w:t>
            </w:r>
          </w:p>
        </w:tc>
        <w:tc>
          <w:tcPr>
            <w:tcW w:w="487"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84.6</w:t>
            </w:r>
            <w:r>
              <w:rPr>
                <w:color w:val="000000"/>
              </w:rPr>
              <w:t> </w:t>
            </w:r>
          </w:p>
        </w:tc>
        <w:tc>
          <w:tcPr>
            <w:tcW w:w="510"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186.6</w:t>
            </w:r>
            <w:r>
              <w:rPr>
                <w:color w:val="000000"/>
              </w:rPr>
              <w:t> </w:t>
            </w:r>
          </w:p>
        </w:tc>
        <w:tc>
          <w:tcPr>
            <w:tcW w:w="280"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realised and unrealised gains, net</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492.4 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492.4 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 currency translation losses</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(384.5)</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(384.5)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liability-related changes</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(503.3)</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(269.8)</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(72.3)</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(845.4)</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31 December 2024</w:t>
            </w:r>
          </w:p>
        </w:tc>
        <w:tc>
          <w:tcPr>
            <w:tcW w:w="110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(13,724.3)</w:t>
            </w:r>
          </w:p>
        </w:tc>
        <w:tc>
          <w:tcPr>
            <w:tcW w:w="223"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829.0</w:t>
            </w:r>
            <w:r>
              <w:rPr>
                <w:color w:val="F85F00"/>
              </w:rPr>
              <w:t> </w:t>
            </w:r>
          </w:p>
        </w:tc>
        <w:tc>
          <w:tcPr>
            <w:tcW w:w="48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(345.5)</w:t>
            </w:r>
          </w:p>
        </w:tc>
        <w:tc>
          <w:tcPr>
            <w:tcW w:w="51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(13,240.8)</w:t>
            </w:r>
          </w:p>
        </w:tc>
        <w:tc>
          <w:tcPr>
            <w:tcW w:w="28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flows from financing activities:</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Borrowings of third-party debt</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(2,111.9)</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(2,111.9)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Operating-related vendor financing additions</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(766.2)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(766.2)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Repayments of third-party debt and lease obligations:</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 (excluding vendor financing)</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2,816.4 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2,816.4 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operating-related vendor financing</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720.1 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720.1 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capital-related vendor financing</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504.8 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504.8 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Payments on lease obligations</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84.1 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84.1 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 of financing costs and debt premiums</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cash received related to derivative instruments</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(143.2)</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(143.2)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financing activities, net</w:t>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cash flows from financing activities</w:t>
            </w:r>
          </w:p>
        </w:tc>
        <w:tc>
          <w:tcPr>
            <w:tcW w:w="1107"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1,151.7</w:t>
            </w:r>
            <w:r>
              <w:rPr>
                <w:color w:val="000000"/>
              </w:rPr>
              <w:t> </w:t>
            </w:r>
          </w:p>
        </w:tc>
        <w:tc>
          <w:tcPr>
            <w:tcW w:w="223"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(143.2)</w:t>
            </w:r>
          </w:p>
        </w:tc>
        <w:tc>
          <w:tcPr>
            <w:tcW w:w="487"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84.1</w:t>
            </w:r>
            <w:r>
              <w:rPr>
                <w:color w:val="000000"/>
              </w:rPr>
              <w:t> </w:t>
            </w:r>
          </w:p>
        </w:tc>
        <w:tc>
          <w:tcPr>
            <w:tcW w:w="510"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1,092.6</w:t>
            </w:r>
            <w:r>
              <w:rPr>
                <w:color w:val="000000"/>
              </w:rPr>
              <w:t> </w:t>
            </w:r>
          </w:p>
        </w:tc>
        <w:tc>
          <w:tcPr>
            <w:tcW w:w="280"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64" w:type="dxa"/>
        <w:jc w:val="left"/>
        <w:tblInd w:w="0" w:type="dxa"/>
        <w:tblLayout w:type="fixed"/>
        <w:tblCellMar>
          <w:top w:w="28" w:type="dxa"/>
          <w:left w:w="28" w:type="dxa"/>
          <w:bottom w:w="28" w:type="dxa"/>
          <w:right w:w="28" w:type="dxa"/>
        </w:tblCellMar>
      </w:tblPr>
      <w:tblGrid>
        <w:gridCol w:w="1508"/>
        <w:gridCol w:w="1329"/>
        <w:gridCol w:w="1333"/>
        <w:gridCol w:w="561"/>
        <w:gridCol w:w="564"/>
        <w:gridCol w:w="231"/>
        <w:gridCol w:w="519"/>
        <w:gridCol w:w="519"/>
        <w:gridCol w:w="521"/>
        <w:gridCol w:w="559"/>
        <w:gridCol w:w="559"/>
        <w:gridCol w:w="561"/>
        <w:gridCol w:w="561"/>
        <w:gridCol w:w="564"/>
        <w:gridCol w:w="275"/>
      </w:tblGrid>
      <w:tr>
        <w:trPr/>
        <w:tc>
          <w:tcPr>
            <w:tcW w:w="150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Debt*</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Net derivative</w:t>
              <w:br/>
              <w:t>position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Lease liabilities</w:t>
            </w:r>
          </w:p>
        </w:tc>
        <w:tc>
          <w:tcPr>
            <w:tcW w:w="140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realised and unrealised losses, net</w:t>
            </w:r>
          </w:p>
        </w:tc>
        <w:tc>
          <w:tcPr>
            <w:tcW w:w="112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(481.8)</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(481.8)</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 currency translation gains</w:t>
            </w:r>
          </w:p>
        </w:tc>
        <w:tc>
          <w:tcPr>
            <w:tcW w:w="112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624.9 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624.9 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liability-related changes</w:t>
            </w:r>
          </w:p>
        </w:tc>
        <w:tc>
          <w:tcPr>
            <w:tcW w:w="112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(438.9)</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(119.0)</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(104.5)</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(662.4)</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31 December 2025</w:t>
            </w:r>
          </w:p>
        </w:tc>
        <w:tc>
          <w:tcPr>
            <w:tcW w:w="1125"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(12,386.6)</w:t>
            </w:r>
          </w:p>
        </w:tc>
        <w:tc>
          <w:tcPr>
            <w:tcW w:w="23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85.0</w:t>
            </w:r>
            <w:r>
              <w:rPr>
                <w:color w:val="000000"/>
              </w:rPr>
              <w:t> </w:t>
            </w:r>
          </w:p>
        </w:tc>
        <w:tc>
          <w:tcPr>
            <w:tcW w:w="52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(365.9)</w:t>
            </w:r>
          </w:p>
        </w:tc>
        <w:tc>
          <w:tcPr>
            <w:tcW w:w="56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(12,667.5)</w:t>
            </w:r>
          </w:p>
        </w:tc>
        <w:tc>
          <w:tcPr>
            <w:tcW w:w="275"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Debt</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Debt is measured at amortised cost, using the effective interest rate method. The effective interest is directly recorded in the statement of profit or loss. </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For more information related to the accounting policies of financial instruments, see note 19. </w:t>
            </w:r>
          </w:p>
        </w:tc>
        <w:tc>
          <w:tcPr>
            <w:tcW w:w="373"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
        <w:ind w:left="0" w:right="0" w:hanging="340"/>
        <w:jc w:val="left"/>
        <w:rPr>
          <w:rFonts w:ascii="sans-serif" w:hAnsi="sans-serif"/>
          <w:b/>
          <w:color w:val="000000"/>
          <w:sz w:val="24"/>
        </w:rPr>
      </w:pPr>
      <w:bookmarkStart w:id="62" w:name="i0583314f7c0f47e9b4e0f98dfb3cee1f"/>
      <w:bookmarkEnd w:id="62"/>
      <w:r>
        <w:rPr>
          <w:rFonts w:ascii="sans-serif" w:hAnsi="sans-serif"/>
          <w:b/>
          <w:color w:val="000000"/>
          <w:sz w:val="24"/>
        </w:rPr>
        <w:t>17.    Trade and other payables</w:t>
      </w:r>
    </w:p>
    <w:tbl>
      <w:tblPr>
        <w:tblW w:w="6696" w:type="dxa"/>
        <w:jc w:val="left"/>
        <w:tblInd w:w="0" w:type="dxa"/>
        <w:tblLayout w:type="fixed"/>
        <w:tblCellMar>
          <w:top w:w="28" w:type="dxa"/>
          <w:left w:w="28" w:type="dxa"/>
          <w:bottom w:w="28" w:type="dxa"/>
          <w:right w:w="28" w:type="dxa"/>
        </w:tblCellMar>
      </w:tblPr>
      <w:tblGrid>
        <w:gridCol w:w="1287"/>
        <w:gridCol w:w="1133"/>
        <w:gridCol w:w="1135"/>
        <w:gridCol w:w="479"/>
        <w:gridCol w:w="479"/>
        <w:gridCol w:w="481"/>
        <w:gridCol w:w="476"/>
        <w:gridCol w:w="476"/>
        <w:gridCol w:w="487"/>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439"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2025</w:t>
            </w:r>
          </w:p>
        </w:tc>
        <w:tc>
          <w:tcPr>
            <w:tcW w:w="1439"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payables</w:t>
            </w:r>
          </w:p>
        </w:tc>
        <w:tc>
          <w:tcPr>
            <w:tcW w:w="958"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573.1 </w:t>
            </w:r>
          </w:p>
        </w:tc>
        <w:tc>
          <w:tcPr>
            <w:tcW w:w="48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528.9 </w:t>
            </w:r>
          </w:p>
        </w:tc>
        <w:tc>
          <w:tcPr>
            <w:tcW w:w="487"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Value-added tax (VAT) payable</w:t>
            </w:r>
          </w:p>
        </w:tc>
        <w:tc>
          <w:tcPr>
            <w:tcW w:w="95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128.3 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135.5 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Broadcasting rights payable</w:t>
            </w:r>
          </w:p>
        </w:tc>
        <w:tc>
          <w:tcPr>
            <w:tcW w:w="95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Payroll tax and social security payable</w:t>
            </w:r>
          </w:p>
        </w:tc>
        <w:tc>
          <w:tcPr>
            <w:tcW w:w="95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20.1 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16.7 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w:t>
            </w:r>
          </w:p>
        </w:tc>
        <w:tc>
          <w:tcPr>
            <w:tcW w:w="95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958"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800.3</w:t>
            </w:r>
            <w:r>
              <w:rPr>
                <w:color w:val="000000"/>
              </w:rPr>
              <w:t> </w:t>
            </w:r>
          </w:p>
        </w:tc>
        <w:tc>
          <w:tcPr>
            <w:tcW w:w="48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700.5</w:t>
            </w:r>
            <w:r>
              <w:rPr>
                <w:color w:val="000000"/>
              </w:rPr>
              <w:t> </w:t>
            </w:r>
          </w:p>
        </w:tc>
        <w:tc>
          <w:tcPr>
            <w:tcW w:w="487"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sans-serif" w:hAnsi="sans-serif"/>
          <w:b w:val="false"/>
          <w:color w:val="000000"/>
          <w:sz w:val="18"/>
        </w:rPr>
      </w:pPr>
      <w:r>
        <w:rPr>
          <w:rFonts w:ascii="sans-serif" w:hAnsi="sans-serif"/>
          <w:b w:val="false"/>
          <w:color w:val="000000"/>
          <w:sz w:val="18"/>
        </w:rPr>
        <w:t>All current liabilities have an estimated maturity shorter than one year, no interest is charged on trade and other payables.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Trade and other payables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Trade and other payables (excluding VAT, payroll tax and social security payable) are measured at amortised cost using the effective interest method. For more information related to the accounting policies of financial instruments, see note 19.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52400"/>
                <wp:effectExtent l="0" t="0" r="0" b="0"/>
                <wp:wrapNone/>
                <wp:docPr id="42" name="Frame33"/>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28</w:t>
                      </w:r>
                    </w:p>
                  </w:txbxContent>
                </v:textbox>
                <w10:wrap type="none"/>
              </v:rect>
            </w:pict>
          </mc:Fallback>
        </mc:AlternateContent>
      </w:r>
    </w:p>
    <w:p>
      <w:pPr>
        <w:pStyle w:val="TextBody"/>
        <w:bidi w:val="0"/>
        <w:spacing w:lineRule="auto" w:line="288" w:before="0" w:after="0"/>
        <w:ind w:left="0" w:right="0" w:hanging="340"/>
        <w:jc w:val="left"/>
        <w:rPr>
          <w:rFonts w:ascii="sans-serif" w:hAnsi="sans-serif"/>
          <w:b/>
          <w:color w:val="000000"/>
          <w:sz w:val="24"/>
        </w:rPr>
      </w:pPr>
      <w:bookmarkStart w:id="63" w:name="i3b368d49bc1d446cafb457ba834113ac"/>
      <w:bookmarkEnd w:id="63"/>
      <w:r>
        <w:rPr>
          <w:rFonts w:ascii="sans-serif" w:hAnsi="sans-serif"/>
          <w:b/>
          <w:color w:val="000000"/>
          <w:sz w:val="24"/>
        </w:rPr>
        <w:t>18.    Accruals and deferred income</w:t>
      </w:r>
    </w:p>
    <w:tbl>
      <w:tblPr>
        <w:tblW w:w="6081" w:type="dxa"/>
        <w:jc w:val="left"/>
        <w:tblInd w:w="0" w:type="dxa"/>
        <w:tblLayout w:type="fixed"/>
        <w:tblCellMar>
          <w:top w:w="28" w:type="dxa"/>
          <w:left w:w="28" w:type="dxa"/>
          <w:bottom w:w="28" w:type="dxa"/>
          <w:right w:w="28" w:type="dxa"/>
        </w:tblCellMar>
      </w:tblPr>
      <w:tblGrid>
        <w:gridCol w:w="1421"/>
        <w:gridCol w:w="1252"/>
        <w:gridCol w:w="1256"/>
        <w:gridCol w:w="383"/>
        <w:gridCol w:w="338"/>
        <w:gridCol w:w="221"/>
        <w:gridCol w:w="388"/>
        <w:gridCol w:w="333"/>
        <w:gridCol w:w="226"/>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942"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47"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Deferred revenue</w:t>
            </w:r>
          </w:p>
        </w:tc>
        <w:tc>
          <w:tcPr>
            <w:tcW w:w="721"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183.7 </w:t>
            </w:r>
          </w:p>
        </w:tc>
        <w:tc>
          <w:tcPr>
            <w:tcW w:w="22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186.7 </w:t>
            </w:r>
          </w:p>
        </w:tc>
        <w:tc>
          <w:tcPr>
            <w:tcW w:w="226"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Accrued interest payable</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144.7 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Accrued compensation and benefits</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Accrued programming and copyright fees</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59.3 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Subscriber deposits</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Accrued capital expenditure</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721"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487.5</w:t>
            </w:r>
            <w:r>
              <w:rPr>
                <w:color w:val="000000"/>
              </w:rPr>
              <w:t> </w:t>
            </w:r>
          </w:p>
        </w:tc>
        <w:tc>
          <w:tcPr>
            <w:tcW w:w="22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493.4</w:t>
            </w:r>
            <w:r>
              <w:rPr>
                <w:color w:val="000000"/>
              </w:rPr>
              <w:t> </w:t>
            </w:r>
          </w:p>
        </w:tc>
        <w:tc>
          <w:tcPr>
            <w:tcW w:w="22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40"/>
        <w:jc w:val="left"/>
        <w:rPr>
          <w:rFonts w:ascii="sans-serif" w:hAnsi="sans-serif"/>
          <w:b/>
          <w:color w:val="000000"/>
          <w:sz w:val="24"/>
        </w:rPr>
      </w:pPr>
      <w:bookmarkStart w:id="64" w:name="i65c85c11e98e473e9d36bfc3fea8f0b2"/>
      <w:bookmarkEnd w:id="64"/>
      <w:r>
        <w:rPr>
          <w:rFonts w:ascii="sans-serif" w:hAnsi="sans-serif"/>
          <w:b/>
          <w:color w:val="000000"/>
          <w:sz w:val="24"/>
        </w:rPr>
        <w:t>19.    Financial instruments - Fair value and risk management</w:t>
      </w:r>
    </w:p>
    <w:p>
      <w:pPr>
        <w:pStyle w:val="TextBody"/>
        <w:bidi w:val="0"/>
        <w:spacing w:lineRule="auto" w:line="324" w:before="120" w:after="283"/>
        <w:jc w:val="left"/>
        <w:rPr>
          <w:rFonts w:ascii="sans-serif" w:hAnsi="sans-serif"/>
          <w:b/>
          <w:color w:val="F85F00"/>
          <w:sz w:val="20"/>
        </w:rPr>
      </w:pPr>
      <w:bookmarkStart w:id="65" w:name="ifd30e095855c4af089925301dfac9ccb"/>
      <w:bookmarkEnd w:id="65"/>
      <w:r>
        <w:rPr>
          <w:rFonts w:ascii="sans-serif" w:hAnsi="sans-serif"/>
          <w:b/>
          <w:color w:val="F85F00"/>
          <w:sz w:val="20"/>
        </w:rPr>
        <w:t>19.1 Fair value</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The below table shows a summary of financial assets and liabilities at carrying amount and fair value, classified per category:</w:t>
      </w:r>
    </w:p>
    <w:tbl>
      <w:tblPr>
        <w:tblW w:w="10205" w:type="dxa"/>
        <w:jc w:val="left"/>
        <w:tblInd w:w="0" w:type="dxa"/>
        <w:tblLayout w:type="fixed"/>
        <w:tblCellMar>
          <w:top w:w="28" w:type="dxa"/>
          <w:left w:w="28" w:type="dxa"/>
          <w:bottom w:w="28" w:type="dxa"/>
          <w:right w:w="28" w:type="dxa"/>
        </w:tblCellMar>
      </w:tblPr>
      <w:tblGrid>
        <w:gridCol w:w="1180"/>
        <w:gridCol w:w="1006"/>
        <w:gridCol w:w="1009"/>
        <w:gridCol w:w="615"/>
        <w:gridCol w:w="593"/>
        <w:gridCol w:w="565"/>
        <w:gridCol w:w="632"/>
        <w:gridCol w:w="447"/>
        <w:gridCol w:w="430"/>
        <w:gridCol w:w="109"/>
        <w:gridCol w:w="109"/>
        <w:gridCol w:w="109"/>
        <w:gridCol w:w="615"/>
        <w:gridCol w:w="593"/>
        <w:gridCol w:w="564"/>
        <w:gridCol w:w="620"/>
        <w:gridCol w:w="429"/>
        <w:gridCol w:w="580"/>
      </w:tblGrid>
      <w:tr>
        <w:trPr/>
        <w:tc>
          <w:tcPr>
            <w:tcW w:w="118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val="false"/>
                <w:color w:val="000000"/>
                <w:sz w:val="18"/>
              </w:rPr>
              <w:t>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Restated</w:t>
            </w:r>
            <w:r>
              <w:rPr>
                <w:color w:val="000000"/>
              </w:rPr>
              <w:t xml:space="preserve"> </w:t>
            </w:r>
            <w:r>
              <w:rPr>
                <w:rFonts w:ascii="sans-serif" w:hAnsi="sans-serif"/>
                <w:b w:val="false"/>
                <w:color w:val="000000"/>
                <w:sz w:val="18"/>
              </w:rPr>
              <w:t>31 December 2024</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773"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amount</w:t>
            </w:r>
          </w:p>
        </w:tc>
        <w:tc>
          <w:tcPr>
            <w:tcW w:w="1509"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amount</w:t>
            </w:r>
          </w:p>
        </w:tc>
        <w:tc>
          <w:tcPr>
            <w:tcW w:w="1629"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Fair value </w:t>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5237" w:type="dxa"/>
            <w:gridSpan w:val="12"/>
            <w:tcBorders/>
          </w:tcPr>
          <w:p>
            <w:pPr>
              <w:pStyle w:val="TableContents"/>
              <w:bidi w:val="0"/>
              <w:spacing w:before="0" w:after="283"/>
              <w:jc w:val="left"/>
              <w:rPr>
                <w:sz w:val="4"/>
                <w:szCs w:val="4"/>
              </w:rPr>
            </w:pPr>
            <w:r>
              <w:rPr>
                <w:sz w:val="4"/>
                <w:szCs w:val="4"/>
              </w:rPr>
            </w:r>
          </w:p>
        </w:tc>
      </w:tr>
      <w:tr>
        <w:trPr/>
        <w:tc>
          <w:tcPr>
            <w:tcW w:w="319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Financial assets at FVTPL:</w:t>
            </w:r>
          </w:p>
        </w:tc>
        <w:tc>
          <w:tcPr>
            <w:tcW w:w="1773"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Derivatives</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281.5 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281.5 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1,029.0 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1,029.0 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Financial assets at amortised cost:</w:t>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Trade and other receivables </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192.4 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192.4 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187.7 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187.7 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Cash and cash equivalents </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745.2 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745.2 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assets (a)</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financial assets</w:t>
            </w:r>
          </w:p>
        </w:tc>
        <w:tc>
          <w:tcPr>
            <w:tcW w:w="1208"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660.4</w:t>
            </w:r>
            <w:r>
              <w:rPr>
                <w:color w:val="000000"/>
              </w:rPr>
              <w:t> </w:t>
            </w:r>
          </w:p>
        </w:tc>
        <w:tc>
          <w:tcPr>
            <w:tcW w:w="565"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660.4</w:t>
            </w:r>
            <w:r>
              <w:rPr>
                <w:color w:val="000000"/>
              </w:rPr>
              <w:t> </w:t>
            </w:r>
          </w:p>
        </w:tc>
        <w:tc>
          <w:tcPr>
            <w:tcW w:w="43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1,970.4</w:t>
            </w:r>
            <w:r>
              <w:rPr>
                <w:color w:val="000000"/>
              </w:rPr>
              <w:t> </w:t>
            </w:r>
          </w:p>
        </w:tc>
        <w:tc>
          <w:tcPr>
            <w:tcW w:w="564"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1,970.4</w:t>
            </w:r>
            <w:r>
              <w:rPr>
                <w:color w:val="000000"/>
              </w:rPr>
              <w:t> </w:t>
            </w:r>
          </w:p>
        </w:tc>
        <w:tc>
          <w:tcPr>
            <w:tcW w:w="58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Financial liabilities at FVTPL:</w:t>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Derivatives</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196.5 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196.5 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200.0 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200.0 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Financial liabilities at amortised cost:</w:t>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12,386.6 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12,000.1 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13,724.3 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13,283.1 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Broadcasting rights payable (b)</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85.2 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85.2 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Trade and other payables (c) </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651.9 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651.9 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548.3 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548.3 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Accruals and deferred income (d)</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303.8 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303.8 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306.7 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306.7 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Total financial liabilities </w:t>
            </w:r>
          </w:p>
        </w:tc>
        <w:tc>
          <w:tcPr>
            <w:tcW w:w="1208"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13,596.3</w:t>
            </w:r>
            <w:r>
              <w:rPr>
                <w:color w:val="000000"/>
              </w:rPr>
              <w:t> </w:t>
            </w:r>
          </w:p>
        </w:tc>
        <w:tc>
          <w:tcPr>
            <w:tcW w:w="565"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13,209.8</w:t>
            </w:r>
            <w:r>
              <w:rPr>
                <w:color w:val="000000"/>
              </w:rPr>
              <w:t> </w:t>
            </w:r>
          </w:p>
        </w:tc>
        <w:tc>
          <w:tcPr>
            <w:tcW w:w="430"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575756"/>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14,864.5</w:t>
            </w:r>
            <w:r>
              <w:rPr>
                <w:color w:val="000000"/>
              </w:rPr>
              <w:t> </w:t>
            </w:r>
          </w:p>
        </w:tc>
        <w:tc>
          <w:tcPr>
            <w:tcW w:w="564"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14,423.3</w:t>
            </w:r>
            <w:r>
              <w:rPr>
                <w:color w:val="000000"/>
              </w:rPr>
              <w:t> </w:t>
            </w:r>
          </w:p>
        </w:tc>
        <w:tc>
          <w:tcPr>
            <w:tcW w:w="580"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This amount includes the current and noncurrent portion of other assets.</w:t>
      </w:r>
    </w:p>
    <w:p>
      <w:pPr>
        <w:pStyle w:val="TextBody"/>
        <w:bidi w:val="0"/>
        <w:spacing w:lineRule="atLeast" w:line="180" w:before="0" w:after="0"/>
        <w:ind w:left="0" w:right="0" w:hanging="283"/>
        <w:jc w:val="left"/>
        <w:rPr/>
      </w:pPr>
      <w:r>
        <w:rPr>
          <w:rFonts w:ascii="sans-serif" w:hAnsi="sans-serif"/>
          <w:b w:val="false"/>
          <w:color w:val="000000"/>
          <w:sz w:val="14"/>
        </w:rPr>
        <w:t>(b)</w:t>
      </w:r>
      <w:r>
        <w:rPr>
          <w:rFonts w:ascii="sans-serif" w:hAnsi="sans-serif"/>
          <w:b w:val="false"/>
          <w:color w:val="000000"/>
          <w:sz w:val="16"/>
        </w:rPr>
        <w:t xml:space="preserve">This amount is included in other liabilities. </w:t>
      </w:r>
    </w:p>
    <w:p>
      <w:pPr>
        <w:pStyle w:val="TextBody"/>
        <w:bidi w:val="0"/>
        <w:spacing w:lineRule="atLeast" w:line="180" w:before="0" w:after="0"/>
        <w:ind w:left="0" w:right="0" w:hanging="283"/>
        <w:jc w:val="left"/>
        <w:rPr/>
      </w:pPr>
      <w:r>
        <w:rPr>
          <w:rFonts w:ascii="sans-serif" w:hAnsi="sans-serif"/>
          <w:b w:val="false"/>
          <w:color w:val="000000"/>
          <w:sz w:val="14"/>
        </w:rPr>
        <w:t>(c)</w:t>
      </w:r>
      <w:r>
        <w:rPr>
          <w:rFonts w:ascii="sans-serif" w:hAnsi="sans-serif"/>
          <w:b w:val="false"/>
          <w:color w:val="000000"/>
          <w:sz w:val="16"/>
        </w:rPr>
        <w:t xml:space="preserve">The amount excludes payables related to VAT, payroll tax and social security. </w:t>
      </w:r>
    </w:p>
    <w:p>
      <w:pPr>
        <w:pStyle w:val="TextBody"/>
        <w:bidi w:val="0"/>
        <w:spacing w:lineRule="atLeast" w:line="180" w:before="0" w:after="360"/>
        <w:ind w:left="0" w:right="0" w:hanging="283"/>
        <w:jc w:val="left"/>
        <w:rPr/>
      </w:pPr>
      <w:r>
        <w:rPr>
          <w:rFonts w:ascii="sans-serif" w:hAnsi="sans-serif"/>
          <w:b w:val="false"/>
          <w:color w:val="000000"/>
          <w:sz w:val="14"/>
        </w:rPr>
        <w:t>(d)</w:t>
      </w:r>
      <w:r>
        <w:rPr>
          <w:rFonts w:ascii="sans-serif" w:hAnsi="sans-serif"/>
          <w:b w:val="false"/>
          <w:color w:val="000000"/>
          <w:sz w:val="18"/>
        </w:rPr>
        <w:t xml:space="preserve">The </w:t>
      </w:r>
      <w:r>
        <w:rPr>
          <w:rFonts w:ascii="sans-serif" w:hAnsi="sans-serif"/>
          <w:b w:val="false"/>
          <w:color w:val="000000"/>
          <w:sz w:val="16"/>
        </w:rPr>
        <w:t xml:space="preserve">amount excludes deferred revenue. </w:t>
      </w:r>
    </w:p>
    <w:p>
      <w:pPr>
        <w:pStyle w:val="TextBody"/>
        <w:bidi w:val="0"/>
        <w:spacing w:lineRule="atLeast" w:line="180" w:before="0" w:after="240"/>
        <w:jc w:val="left"/>
        <w:rPr>
          <w:rFonts w:ascii="sans-serif" w:hAnsi="sans-serif"/>
          <w:b w:val="false"/>
          <w:color w:val="000000"/>
          <w:sz w:val="18"/>
        </w:rPr>
      </w:pPr>
      <w:r>
        <w:rPr>
          <w:rFonts w:ascii="sans-serif" w:hAnsi="sans-serif"/>
          <w:b w:val="false"/>
          <w:color w:val="000000"/>
          <w:sz w:val="18"/>
        </w:rPr>
        <w:t xml:space="preserve">Of our categories of financial instruments, only derivatives are measured and recognised on the statement of financial position at fair value. 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primarily includes currency rates, interest rate futures and swap rates, which are retrieved or derived from available market data, and are used to calculate, amongst other items, yield curves and forward interest and currency rates. Furthermore, we use a Monte Carlo-based approach to incorporate a credit risk valuation adjustment in our fair value measurements to estimate the impact of both our own non-performance risk and the non-performance risk of our counterparties. The inputs used for our credit risk valuation adjustments,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fall under Level 2 of the fair value hierarchy. Our credit risk valuation adjustments with respect to our cross-currency and interest rate swap contracts are quantified and further explained in note 20. </w:t>
      </w:r>
    </w:p>
    <w:p>
      <w:pPr>
        <w:pStyle w:val="TextBody"/>
        <w:bidi w:val="0"/>
        <w:spacing w:before="0" w:after="24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52400"/>
                <wp:effectExtent l="0" t="0" r="0" b="0"/>
                <wp:wrapNone/>
                <wp:docPr id="43" name="Frame3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29</w:t>
                      </w:r>
                    </w:p>
                  </w:txbxContent>
                </v:textbox>
                <w10:wrap type="none"/>
              </v:rect>
            </w:pict>
          </mc:Fallback>
        </mc:AlternateConten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Fair value measurements are also used in connection with non-recurring valuations performed in connection with impairment assessments and acquisition accounting. During 2025 and 2024, we did not perform any significant non-recurring fair value measurements.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estimated fair values of our (i) trade receivables and other receivables, (ii) cash and other cash equivalents, (iii) trade and other payables and (iv) accruals and deferred income are a reasonable approximation of their carrying amounts. The estimated fair values of our debt instruments are generally determined using the average of applicable bid and ask prices (Level 1).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42"/>
        <w:gridCol w:w="3120"/>
        <w:gridCol w:w="312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financial instruments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575756"/>
                <w:sz w:val="16"/>
              </w:rPr>
            </w:pPr>
            <w:r>
              <w:rPr>
                <w:rFonts w:ascii="sans-serif" w:hAnsi="sans-serif"/>
                <w:b/>
                <w:color w:val="575756"/>
                <w:sz w:val="16"/>
              </w:rPr>
              <w:t>Fair value measurements</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 information on the accounting policies related to fair value measurements, see note 2.</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575756"/>
                <w:sz w:val="16"/>
              </w:rPr>
            </w:pPr>
            <w:r>
              <w:rPr>
                <w:rFonts w:ascii="sans-serif" w:hAnsi="sans-serif"/>
                <w:b/>
                <w:color w:val="575756"/>
                <w:sz w:val="16"/>
              </w:rPr>
              <w:t>Financial instruments</w:t>
            </w:r>
          </w:p>
          <w:p>
            <w:pPr>
              <w:pStyle w:val="TableContents"/>
              <w:bidi w:val="0"/>
              <w:spacing w:lineRule="atLeast" w:line="180" w:before="0" w:after="0"/>
              <w:jc w:val="left"/>
              <w:rPr>
                <w:rFonts w:ascii="sans-serif" w:hAnsi="sans-serif"/>
                <w:b/>
                <w:color w:val="F85F00"/>
                <w:sz w:val="16"/>
              </w:rPr>
            </w:pPr>
            <w:r>
              <w:rPr>
                <w:rFonts w:ascii="sans-serif" w:hAnsi="sans-serif"/>
                <w:b/>
                <w:color w:val="F85F00"/>
                <w:sz w:val="16"/>
              </w:rPr>
              <w:t>Recognition and initial measurement</w:t>
            </w:r>
          </w:p>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A financial asset or liability is recognised when we become party to a contract that is a financial instrument. Financial instruments are initially measured at fair value, including discount or premium and directly attributable transaction costs. However, if financial instruments are subsequently measured at fair value through profit and loss (FVTPL), then directly attributable transaction costs are directly recognised in the statement of profit or loss at the initial recognition.</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The accounting policies for subsequent measurement of (i) trade and other receivables, (ii) debt, (iii) trade and other payables and (iv) derivative instruments, are outlined in notes 13, 16, 17 and 20, respectively.</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F85F00"/>
                <w:sz w:val="16"/>
              </w:rPr>
            </w:pPr>
            <w:r>
              <w:rPr>
                <w:rFonts w:ascii="sans-serif" w:hAnsi="sans-serif"/>
                <w:b/>
                <w:color w:val="F85F00"/>
                <w:sz w:val="16"/>
              </w:rPr>
              <w:t>Derecognition</w:t>
            </w:r>
          </w:p>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We derecognise a financial asset when the contractual rights to the cash flows from the financial asset expire, or it transfers the rights to receive the contractual cash flows in a transaction in which substantially all of the risks and rewards of ownership of the financial asset are transferred or in which we neither transfer nor retain substantially all of the risks and rewards of ownership and we do not retain control of the financial asset.</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We derecognise a financial liability when its contractual obligations are discharged or cancelled, or expire. We also derecognise a financial liability when its terms are modified and the cash flows of the modified liability are substantially different, in which case a new financial liability based on the modified terms is recognised at fair value. On derecognition of a financial liability, the difference between the carrying amount extinguished and the consideration paid is recognised in profit or loss.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F85F00"/>
                <w:sz w:val="16"/>
              </w:rPr>
            </w:pPr>
            <w:r>
              <w:rPr>
                <w:rFonts w:ascii="sans-serif" w:hAnsi="sans-serif"/>
                <w:b/>
                <w:color w:val="F85F00"/>
                <w:sz w:val="16"/>
              </w:rPr>
              <w:t>Classification</w:t>
            </w:r>
          </w:p>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 xml:space="preserve">Financial instruments (and individual components of financial instruments) are presented in the consolidated financial statements in accordance with the contractual terms and our business model for managing them. Presentation of the financial instruments is based on the individual components of financial instruments as a financial asset, financial liability or equity instrument. </w:t>
            </w:r>
          </w:p>
          <w:p>
            <w:pPr>
              <w:pStyle w:val="TableContents"/>
              <w:bidi w:val="0"/>
              <w:spacing w:lineRule="auto" w:line="288" w:before="0" w:after="60"/>
              <w:jc w:val="left"/>
              <w:rPr>
                <w:rFonts w:ascii="sans-serif" w:hAnsi="sans-serif"/>
                <w:b w:val="false"/>
                <w:color w:val="000000"/>
                <w:sz w:val="18"/>
              </w:rPr>
            </w:pPr>
            <w:r>
              <w:rPr>
                <w:rFonts w:ascii="sans-serif" w:hAnsi="sans-serif"/>
                <w:b w:val="false"/>
                <w:color w:val="000000"/>
                <w:sz w:val="18"/>
              </w:rPr>
              <w:t xml:space="preserve">A financial asset and a financial liability are offset when we have a legally enforceable right to set off the financial asset and financial liability and we have the firm intention to settle the balance on a net basis, or to settle the asset and the liability simultaneously. </w:t>
            </w:r>
          </w:p>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If there is a transfer of a financial asset that does not qualify for derecognition on the statement of financial position, the transferred asset and the associated liability are not offset.</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343"/>
        <w:gridCol w:w="3069"/>
        <w:gridCol w:w="307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tLeast" w:line="180" w:before="0" w:after="0"/>
              <w:jc w:val="left"/>
              <w:rPr>
                <w:rFonts w:ascii="sans-serif" w:hAnsi="sans-serif"/>
                <w:b/>
                <w:color w:val="F85F00"/>
                <w:sz w:val="16"/>
              </w:rPr>
            </w:pPr>
            <w:r>
              <w:rPr>
                <w:rFonts w:ascii="sans-serif" w:hAnsi="sans-serif"/>
                <w:b/>
                <w:color w:val="F85F00"/>
                <w:sz w:val="16"/>
              </w:rPr>
              <w:t>Impairment of financial assets</w:t>
            </w:r>
          </w:p>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 xml:space="preserve">A financial asset that is not measured based on (i) fair value with value changes reflected in the statement of profit or loss, or at (ii) amortised cost or lower market value, is assessed at each reporting date to determine whether there is objective evidence that it is impaired. A financial asset is impaired if there is objective evidence of impairment as a result of one or more events that occurred after the initial recognition of the asset, with negative impact on the estimated future cash flows of that asset, which can be estimated reliably. </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We consider evidence of impairment both individually and on a portfolio basis. All individually significant assets are assessed for specific impairment. The individually significant assets not found to be individually impaired and assets that are not individually significant are then collectively assessed for impairment by grouping together assets with similar risk characteristics.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E9E9E9" w:val="clear"/>
            <w:tcMar>
              <w:top w:w="0" w:type="dxa"/>
              <w:left w:w="0" w:type="dxa"/>
              <w:bottom w:w="0" w:type="dxa"/>
              <w:right w:w="0" w:type="dxa"/>
            </w:tcMar>
            <w:vAlign w:val="center"/>
          </w:tcPr>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 xml:space="preserve">In assessing collective impairment, we use historical trends of the probability of default, the timing of collections and the amount of loss incurred, adjusted for management’s judgment as to whether current economic and credit conditions are such that the actual losses are likely to be greater or lesser than suggested by historical trends. </w:t>
            </w:r>
          </w:p>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 xml:space="preserve">An impairment loss is calculated as the difference between its carrying amount and the present value of the estimated future cash flows discounted at the asset’s original effective interest rate. </w:t>
            </w:r>
          </w:p>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Impairment losses are recognised in the statement of profit or loss and reflected in an allowance account against receivables. Interest on the impaired asset continues to be recognised by using the asset's original effective interest rate. For information related to allowance for impairment of trade receivables, see note 13 to our consolidated financial statements.</w:t>
            </w:r>
          </w:p>
          <w:p>
            <w:pPr>
              <w:pStyle w:val="TableContents"/>
              <w:bidi w:val="0"/>
              <w:spacing w:lineRule="auto" w:line="288" w:before="0" w:after="120"/>
              <w:jc w:val="left"/>
              <w:rPr>
                <w:rFonts w:ascii="sans-serif" w:hAnsi="sans-serif"/>
                <w:b w:val="false"/>
                <w:color w:val="000000"/>
                <w:sz w:val="18"/>
              </w:rPr>
            </w:pPr>
            <w:r>
              <w:rPr>
                <w:rFonts w:ascii="sans-serif" w:hAnsi="sans-serif"/>
                <w:b w:val="false"/>
                <w:color w:val="000000"/>
                <w:sz w:val="18"/>
              </w:rPr>
              <w:t>When, in a subsequent period, the amount of an impairment loss decreases, and the decrease can be related objectively to an event occurring after the impairment was recognised, the decrease in impairment loss is reversed through profit or loss up to the amount of the original cost.</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120" w:after="283"/>
        <w:jc w:val="left"/>
        <w:rPr>
          <w:rFonts w:ascii="sans-serif" w:hAnsi="sans-serif"/>
          <w:b/>
          <w:color w:val="F85F00"/>
          <w:sz w:val="20"/>
        </w:rPr>
      </w:pPr>
      <w:bookmarkStart w:id="66" w:name="i4b50501a970349bfbfcb86c6452137da"/>
      <w:bookmarkEnd w:id="66"/>
      <w:r>
        <w:rPr>
          <w:rFonts w:ascii="sans-serif" w:hAnsi="sans-serif"/>
          <w:b/>
          <w:color w:val="F85F00"/>
          <w:sz w:val="20"/>
        </w:rPr>
        <w:t>19.2 Risk management</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are exposed to financial and operational risks. The financial risks are monitored through a risk control framework that is embedded in our organisational structure. To control these risks, we have instituted policies, including a code of conduct, and procedures that are intended to limit the risks of unpredictable adverse developments in the financial markets, and thus for our financial performance. </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We have exposure to the following risks that arise from our financial instruments:</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(a)    Credit risk and counterparty credit risk</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(b)    Liquidity and cash flow risk</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(c)    Market risk</w:t>
      </w:r>
    </w:p>
    <w:p>
      <w:pPr>
        <w:pStyle w:val="TextBody"/>
        <w:bidi w:val="0"/>
        <w:spacing w:before="0" w:after="0"/>
        <w:jc w:val="left"/>
        <w:rPr/>
      </w:pPr>
      <w:r>
        <w:rPr/>
      </w:r>
    </w:p>
    <w:p>
      <w:pPr>
        <w:pStyle w:val="TextBody"/>
        <w:bidi w:val="0"/>
        <w:spacing w:lineRule="auto" w:line="324" w:before="120" w:after="283"/>
        <w:jc w:val="left"/>
        <w:rPr>
          <w:rFonts w:ascii="sans-serif" w:hAnsi="sans-serif"/>
          <w:b/>
          <w:color w:val="F85F00"/>
          <w:sz w:val="20"/>
        </w:rPr>
      </w:pPr>
      <w:bookmarkStart w:id="67" w:name="i26e231cd6d164906b5839226f4dae3ef"/>
      <w:bookmarkEnd w:id="67"/>
      <w:r>
        <w:rPr>
          <w:rFonts w:ascii="sans-serif" w:hAnsi="sans-serif"/>
          <w:b/>
          <w:color w:val="F85F00"/>
          <w:sz w:val="20"/>
        </w:rPr>
        <w:t>Credit risk and counterparty credit risk</w:t>
      </w:r>
    </w:p>
    <w:p>
      <w:pPr>
        <w:pStyle w:val="TextBody"/>
        <w:bidi w:val="0"/>
        <w:spacing w:lineRule="auto" w:line="288" w:before="0" w:after="0"/>
        <w:jc w:val="left"/>
        <w:rPr>
          <w:rFonts w:ascii="sans-serif" w:hAnsi="sans-serif"/>
          <w:b/>
          <w:color w:val="000000"/>
          <w:sz w:val="18"/>
        </w:rPr>
      </w:pPr>
      <w:bookmarkStart w:id="68" w:name="ib6306450d60c40f0948c4e470817694b"/>
      <w:bookmarkEnd w:id="68"/>
      <w:r>
        <w:rPr>
          <w:rFonts w:ascii="sans-serif" w:hAnsi="sans-serif"/>
          <w:b/>
          <w:color w:val="000000"/>
          <w:sz w:val="18"/>
        </w:rPr>
        <w:t>Credit risk</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Credit risk is the risk that we would experience financial loss if our customers or the counterparties to our financial instruments and cash investments were to default on their obligations to us.</w:t>
      </w:r>
    </w:p>
    <w:p>
      <w:pPr>
        <w:pStyle w:val="TextBody"/>
        <w:bidi w:val="0"/>
        <w:spacing w:before="0" w:after="24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52400"/>
                <wp:effectExtent l="0" t="0" r="0" b="0"/>
                <wp:wrapNone/>
                <wp:docPr id="44" name="Frame35"/>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30</w:t>
                      </w:r>
                    </w:p>
                  </w:txbxContent>
                </v:textbox>
                <w10:wrap type="none"/>
              </v:rect>
            </w:pict>
          </mc:Fallback>
        </mc:AlternateConten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Management has established a credit policy under which each new customer is analysed individually for creditworthiness before our standard payment and delivery terms and conditions are offered. Our review includes external ratings, when available, for the B2B segment. In monitoring customer credit risk, customers are grouped according to their credit characteristics. The credit risk on our trade receivables in the B2C segment is considered to be low as a result of the large residential customer base, the relatively small average outstanding balance per customer and the high percentage of customers who pay by direct debit. We use a number of factors in determining the allowance, including among other things, collection history, collection trends, customer specific credit plans and our disconnection policy.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credit risk on trade receivables in the B2B segment is considered to be higher as compared to the B2C business as it concerns a smaller customer base with larger outstanding amounts per customer. Credit risk on these trade business receivables is controlled based on restrictive policies for client acceptance. Accepting certain new clients in this segment is based on credit management reports from credit bureaus. In addition, we keep track of the payment performance of customers. In case customers fail to meet set criteria, payment issues have to be solved before a new transaction with the customer will be entered into. We also manage risk by disconnecting services to customers whose accounts are delinquent. </w:t>
      </w:r>
    </w:p>
    <w:p>
      <w:pPr>
        <w:pStyle w:val="TextBody"/>
        <w:bidi w:val="0"/>
        <w:spacing w:lineRule="atLeast" w:line="240" w:before="0" w:after="240"/>
        <w:jc w:val="left"/>
        <w:rPr/>
      </w:pPr>
      <w:r>
        <w:rPr>
          <w:rFonts w:ascii="sans-serif" w:hAnsi="sans-serif"/>
          <w:b w:val="false"/>
          <w:color w:val="000000"/>
          <w:sz w:val="18"/>
        </w:rPr>
        <w:t xml:space="preserve">The carrying amounts of our derivative financial instruments, trade and other receivables, contract assets and cash and cash equivalents represent the maximum credit exposure of our financial assets, which </w:t>
      </w:r>
      <w:r>
        <w:rPr>
          <w:rFonts w:ascii="sans-serif" w:hAnsi="sans-serif"/>
          <w:b w:val="false"/>
          <w:color w:val="000000"/>
          <w:sz w:val="18"/>
          <w:shd w:fill="FFFFFF" w:val="clear"/>
        </w:rPr>
        <w:t xml:space="preserve">amounts to €0.8 billion </w:t>
      </w:r>
      <w:r>
        <w:rPr>
          <w:rFonts w:ascii="sans-serif" w:hAnsi="sans-serif"/>
          <w:b w:val="false"/>
          <w:color w:val="000000"/>
          <w:sz w:val="18"/>
        </w:rPr>
        <w:t>on 31 December 2025 (2024: €2.1 billion).</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For information regarding the ageing of our trade receivables and allowances of expected credit losses, see note 13. We do not require collateral in respect of trade and other receivables. The Group does not have trade receivable and contract assets for which no loss allowance is recognised because of collateral.</w:t>
      </w:r>
    </w:p>
    <w:p>
      <w:pPr>
        <w:pStyle w:val="TextBody"/>
        <w:bidi w:val="0"/>
        <w:spacing w:lineRule="auto" w:line="288" w:before="120" w:after="283"/>
        <w:jc w:val="left"/>
        <w:rPr>
          <w:rFonts w:ascii="sans-serif" w:hAnsi="sans-serif"/>
          <w:b/>
          <w:color w:val="000000"/>
          <w:sz w:val="18"/>
        </w:rPr>
      </w:pPr>
      <w:bookmarkStart w:id="69" w:name="ie3c064ba8efd4a18847fd03d26ff1a0d"/>
      <w:bookmarkEnd w:id="69"/>
      <w:r>
        <w:rPr>
          <w:rFonts w:ascii="sans-serif" w:hAnsi="sans-serif"/>
          <w:b/>
          <w:color w:val="000000"/>
          <w:sz w:val="18"/>
        </w:rPr>
        <w:t>Counterparty credit risk</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are exposed to the risk that the counterparties to our derivative instruments and cash investments will default on their obligations to us. We manage these credit risks through the evaluation and monitoring of the creditworthiness of and concentration of risk with the respective counterparties. In this regard, credit risk associated with our derivative instruments and cash investments is spread across a relatively broad counterparty base of banks and financial institutions. Collateral is generally not posted by either party under our derivative instruments and cash investments. </w:t>
      </w:r>
    </w:p>
    <w:p>
      <w:pPr>
        <w:pStyle w:val="TextBody"/>
        <w:bidi w:val="0"/>
        <w:spacing w:lineRule="atLeast" w:line="240" w:before="0" w:after="240"/>
        <w:jc w:val="left"/>
        <w:rPr/>
      </w:pPr>
      <w:r>
        <w:rPr>
          <w:rFonts w:ascii="sans-serif" w:hAnsi="sans-serif"/>
          <w:b w:val="false"/>
          <w:color w:val="000000"/>
          <w:sz w:val="18"/>
        </w:rPr>
        <w:t>On 31 December 2025 and 2024, our exposure to counterparty credit risk included (i) derivative assets with an aggregate fair value o</w:t>
      </w:r>
      <w:r>
        <w:rPr>
          <w:rFonts w:ascii="sans-serif" w:hAnsi="sans-serif"/>
          <w:b w:val="false"/>
          <w:color w:val="000000"/>
          <w:sz w:val="18"/>
          <w:shd w:fill="FFFFFF" w:val="clear"/>
        </w:rPr>
        <w:t>f €153.0 million</w:t>
      </w:r>
      <w:r>
        <w:rPr>
          <w:color w:val="000000"/>
        </w:rPr>
        <w:t xml:space="preserve"> </w:t>
      </w:r>
      <w:r>
        <w:rPr>
          <w:rFonts w:ascii="sans-serif" w:hAnsi="sans-serif"/>
          <w:b w:val="false"/>
          <w:color w:val="000000"/>
          <w:sz w:val="18"/>
        </w:rPr>
        <w:t xml:space="preserve">and €834.0 million, respectively, and (ii) cash and cash equivalents and restricted cash balances of €178.9 million and €745.2 million, respectively.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have entered into derivative instruments under master agreements with each counterparty that contain master netting arrangements that are applicable in the event of early termination by either party to such derivative instrument. The master netting arrangements under each of these master agreements are limited to the derivative instruments governed by the relevant master agreement and are independent of similar arrangements.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pStyle w:val="TextBody"/>
        <w:bidi w:val="0"/>
        <w:spacing w:lineRule="auto" w:line="324" w:before="120" w:after="283"/>
        <w:jc w:val="left"/>
        <w:rPr>
          <w:rFonts w:ascii="sans-serif" w:hAnsi="sans-serif"/>
          <w:b/>
          <w:color w:val="F85F00"/>
          <w:sz w:val="20"/>
        </w:rPr>
      </w:pPr>
      <w:bookmarkStart w:id="70" w:name="i649ea5ce2ba44b748fc41b0db44692ea"/>
      <w:bookmarkEnd w:id="70"/>
      <w:r>
        <w:rPr>
          <w:rFonts w:ascii="sans-serif" w:hAnsi="sans-serif"/>
          <w:b/>
          <w:color w:val="F85F00"/>
          <w:sz w:val="20"/>
        </w:rPr>
        <w:t>Liquidity and cash flow risk</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Liquidity risk is the risk that we will encounter difficulty in meeting our financial obligations. In addition to cash and cash equivalents, our primary sources of liquidity are cash provided by operations and access to unused borrowing capacity under our Revolving Facilities. For information regarding our unused borrowing capacity, see note 16.</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Our liquidity requirements include general and administrative expenses and fees associated with the JV Service Agreements. From time to time, we may also require cash for (i) the repayment of our related-party debt and interest, (ii) the funding of dividends or equity distributions pursuant to the Shareholders Agreement, which requires us to distribute all unrestricted cash (as defined in the Shareholders Agreement) to the shareholders every three months (subject to VodafoneZiggo maintaining a minimum amount of cash and complying with the terms of its financing arrangements), (iii) the satisfaction of contingent liabilities, (iv) acquisitions and other investment opportunities and (v) income tax payments.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Management uses budgeting and cash flow forecasting tools to ensure that the cash position is sufficient to meet our financial obligations towards creditors and to comply with the leverage criteria of our loan covenants. For additional information see note 16.</w:t>
      </w:r>
    </w:p>
    <w:p>
      <w:pPr>
        <w:pStyle w:val="TextBody"/>
        <w:bidi w:val="0"/>
        <w:spacing w:before="0" w:after="24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52400"/>
                <wp:effectExtent l="0" t="0" r="0" b="0"/>
                <wp:wrapNone/>
                <wp:docPr id="45" name="Frame36"/>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31</w:t>
                      </w:r>
                    </w:p>
                  </w:txbxContent>
                </v:textbox>
                <w10:wrap type="none"/>
              </v:rect>
            </w:pict>
          </mc:Fallback>
        </mc:AlternateContent>
      </w:r>
    </w:p>
    <w:p>
      <w:pPr>
        <w:pStyle w:val="TextBody"/>
        <w:bidi w:val="0"/>
        <w:spacing w:lineRule="atLeast" w:line="240" w:before="0" w:after="0"/>
        <w:jc w:val="left"/>
        <w:rPr>
          <w:rFonts w:ascii="sans-serif" w:hAnsi="sans-serif"/>
          <w:b w:val="false"/>
          <w:color w:val="000000"/>
          <w:sz w:val="18"/>
        </w:rPr>
      </w:pPr>
      <w:r>
        <w:rPr>
          <w:rFonts w:ascii="sans-serif" w:hAnsi="sans-serif"/>
          <w:b w:val="false"/>
          <w:color w:val="000000"/>
          <w:sz w:val="18"/>
        </w:rPr>
        <w:t>The following table shows the timing of expected payments or receipts based on the contractually agreed upon terms of our financial liabilities as at 31 December 2025:</w:t>
      </w:r>
    </w:p>
    <w:tbl>
      <w:tblPr>
        <w:tblW w:w="10205" w:type="dxa"/>
        <w:jc w:val="left"/>
        <w:tblInd w:w="0" w:type="dxa"/>
        <w:tblLayout w:type="fixed"/>
        <w:tblCellMar>
          <w:top w:w="28" w:type="dxa"/>
          <w:left w:w="28" w:type="dxa"/>
          <w:bottom w:w="28" w:type="dxa"/>
          <w:right w:w="28" w:type="dxa"/>
        </w:tblCellMar>
      </w:tblPr>
      <w:tblGrid>
        <w:gridCol w:w="1133"/>
        <w:gridCol w:w="630"/>
        <w:gridCol w:w="631"/>
        <w:gridCol w:w="458"/>
        <w:gridCol w:w="458"/>
        <w:gridCol w:w="196"/>
        <w:gridCol w:w="360"/>
        <w:gridCol w:w="361"/>
        <w:gridCol w:w="196"/>
        <w:gridCol w:w="368"/>
        <w:gridCol w:w="369"/>
        <w:gridCol w:w="196"/>
        <w:gridCol w:w="458"/>
        <w:gridCol w:w="458"/>
        <w:gridCol w:w="196"/>
        <w:gridCol w:w="458"/>
        <w:gridCol w:w="458"/>
        <w:gridCol w:w="196"/>
        <w:gridCol w:w="458"/>
        <w:gridCol w:w="458"/>
        <w:gridCol w:w="396"/>
        <w:gridCol w:w="518"/>
        <w:gridCol w:w="518"/>
        <w:gridCol w:w="277"/>
      </w:tblGrid>
      <w:tr>
        <w:trPr/>
        <w:tc>
          <w:tcPr>
            <w:tcW w:w="113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18"/>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Payment due during:</w:t>
            </w:r>
          </w:p>
        </w:tc>
        <w:tc>
          <w:tcPr>
            <w:tcW w:w="1313" w:type="dxa"/>
            <w:gridSpan w:val="3"/>
            <w:vMerge w:val="restart"/>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i/>
                <w:color w:val="000000"/>
                <w:sz w:val="18"/>
              </w:rPr>
            </w:pPr>
            <w:r>
              <w:rPr>
                <w:rFonts w:ascii="sans-serif" w:hAnsi="sans-serif"/>
                <w:b w:val="false"/>
                <w:i/>
                <w:color w:val="000000"/>
                <w:sz w:val="18"/>
              </w:rPr>
              <w:t>In € millions</w:t>
            </w:r>
          </w:p>
        </w:tc>
        <w:tc>
          <w:tcPr>
            <w:tcW w:w="1112"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917"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2027</w:t>
            </w:r>
          </w:p>
        </w:tc>
        <w:tc>
          <w:tcPr>
            <w:tcW w:w="933"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2028</w:t>
            </w:r>
          </w:p>
        </w:tc>
        <w:tc>
          <w:tcPr>
            <w:tcW w:w="1112"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2029</w:t>
            </w:r>
          </w:p>
        </w:tc>
        <w:tc>
          <w:tcPr>
            <w:tcW w:w="1112"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2030</w:t>
            </w:r>
          </w:p>
        </w:tc>
        <w:tc>
          <w:tcPr>
            <w:tcW w:w="1312"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Thereafter</w:t>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4"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w:t>
            </w:r>
          </w:p>
        </w:tc>
        <w:tc>
          <w:tcPr>
            <w:tcW w:w="1112"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excl. vendor financing</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4,488.7 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4,680.4 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11,421.4 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vendor financing</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(a)</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526.6 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595.8 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596.1 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494.8 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413.9 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834.9 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3,462.1 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Leases (undiscounted) (b)</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83.4 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73.4 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412.1 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payables (c)</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575.9 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Accrued liabilities (d)</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159.1 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159.1 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liabilities (undiscounted) (e)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59.2 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40.9 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127.4 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Projected derivative cash receipts (cash payments), net (f)</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(85.0)</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(105.7)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(36.6)</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(12.3)</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(251.7)</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91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2,371.6</w:t>
            </w:r>
            <w:r>
              <w:rPr>
                <w:color w:val="000000"/>
              </w:rPr>
              <w:t> </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635.1</w:t>
            </w:r>
            <w:r>
              <w:rPr>
                <w:color w:val="000000"/>
              </w:rPr>
              <w:t> </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576.9</w:t>
            </w:r>
            <w:r>
              <w:rPr>
                <w:color w:val="000000"/>
              </w:rPr>
              <w:t> </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2,769.4</w:t>
            </w:r>
            <w:r>
              <w:rPr>
                <w:color w:val="000000"/>
              </w:rPr>
              <w:t> </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4,976.5</w:t>
            </w:r>
            <w:r>
              <w:rPr>
                <w:color w:val="000000"/>
              </w:rPr>
              <w:t> </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5,576.4</w:t>
            </w:r>
            <w:r>
              <w:rPr>
                <w:color w:val="000000"/>
              </w:rPr>
              <w:t> </w:t>
            </w:r>
          </w:p>
        </w:tc>
        <w:tc>
          <w:tcPr>
            <w:tcW w:w="3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16,905.9</w:t>
            </w:r>
            <w:r>
              <w:rPr>
                <w:color w:val="000000"/>
              </w:rPr>
              <w:t> </w:t>
            </w:r>
          </w:p>
        </w:tc>
        <w:tc>
          <w:tcPr>
            <w:tcW w:w="277"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Amounts are based on interest rates, interest payment dates, commitment fees and contractual maturities in effect as at 31 December 2025. These amounts are presented for illustrative purposes only and will likely differ from the actual cash payments required in future periods.</w:t>
      </w:r>
    </w:p>
    <w:p>
      <w:pPr>
        <w:pStyle w:val="TextBody"/>
        <w:bidi w:val="0"/>
        <w:spacing w:lineRule="atLeast" w:line="180" w:before="0" w:after="0"/>
        <w:ind w:left="0" w:right="0" w:hanging="283"/>
        <w:jc w:val="left"/>
        <w:rPr/>
      </w:pPr>
      <w:r>
        <w:rPr>
          <w:rFonts w:ascii="sans-serif" w:hAnsi="sans-serif"/>
          <w:b w:val="false"/>
          <w:color w:val="000000"/>
          <w:sz w:val="14"/>
        </w:rPr>
        <w:t>(b)</w:t>
      </w:r>
      <w:r>
        <w:rPr>
          <w:rFonts w:ascii="sans-serif" w:hAnsi="sans-serif"/>
          <w:b w:val="false"/>
          <w:color w:val="000000"/>
          <w:sz w:val="16"/>
        </w:rPr>
        <w:t>Amounts presented for leases include both principal and interest.</w:t>
      </w:r>
    </w:p>
    <w:p>
      <w:pPr>
        <w:pStyle w:val="TextBody"/>
        <w:bidi w:val="0"/>
        <w:spacing w:lineRule="atLeast" w:line="180" w:before="0" w:after="0"/>
        <w:ind w:left="0" w:right="0" w:hanging="283"/>
        <w:jc w:val="left"/>
        <w:rPr/>
      </w:pPr>
      <w:r>
        <w:rPr>
          <w:rFonts w:ascii="sans-serif" w:hAnsi="sans-serif"/>
          <w:b w:val="false"/>
          <w:color w:val="000000"/>
          <w:sz w:val="14"/>
        </w:rPr>
        <w:t>(c)</w:t>
      </w:r>
      <w:r>
        <w:rPr>
          <w:rFonts w:ascii="sans-serif" w:hAnsi="sans-serif"/>
          <w:b w:val="false"/>
          <w:color w:val="000000"/>
          <w:sz w:val="16"/>
        </w:rPr>
        <w:t>The amount excludes payables related to VAT, payroll tax and social security.</w:t>
      </w:r>
    </w:p>
    <w:p>
      <w:pPr>
        <w:pStyle w:val="TextBody"/>
        <w:bidi w:val="0"/>
        <w:spacing w:lineRule="atLeast" w:line="180" w:before="0" w:after="0"/>
        <w:ind w:left="0" w:right="0" w:hanging="283"/>
        <w:jc w:val="left"/>
        <w:rPr/>
      </w:pPr>
      <w:r>
        <w:rPr>
          <w:rFonts w:ascii="sans-serif" w:hAnsi="sans-serif"/>
          <w:b w:val="false"/>
          <w:color w:val="000000"/>
          <w:sz w:val="14"/>
        </w:rPr>
        <w:t>(d)</w:t>
      </w:r>
      <w:r>
        <w:rPr>
          <w:rFonts w:ascii="sans-serif" w:hAnsi="sans-serif"/>
          <w:b w:val="false"/>
          <w:color w:val="000000"/>
          <w:sz w:val="16"/>
        </w:rPr>
        <w:t>The amount excludes deferred revenue and accrued interest.</w:t>
      </w:r>
    </w:p>
    <w:p>
      <w:pPr>
        <w:pStyle w:val="TextBody"/>
        <w:bidi w:val="0"/>
        <w:spacing w:lineRule="atLeast" w:line="180" w:before="0" w:after="0"/>
        <w:ind w:left="0" w:right="0" w:hanging="283"/>
        <w:jc w:val="left"/>
        <w:rPr/>
      </w:pPr>
      <w:r>
        <w:rPr>
          <w:rFonts w:ascii="sans-serif" w:hAnsi="sans-serif"/>
          <w:b w:val="false"/>
          <w:color w:val="000000"/>
          <w:sz w:val="14"/>
        </w:rPr>
        <w:t>(e)</w:t>
      </w:r>
      <w:r>
        <w:rPr>
          <w:rFonts w:ascii="sans-serif" w:hAnsi="sans-serif"/>
          <w:b w:val="false"/>
          <w:color w:val="000000"/>
          <w:sz w:val="16"/>
        </w:rPr>
        <w:t>This amount represents the liability related to broadcasting rights and includes both principal and interest.</w:t>
      </w:r>
    </w:p>
    <w:p>
      <w:pPr>
        <w:pStyle w:val="TextBody"/>
        <w:bidi w:val="0"/>
        <w:spacing w:lineRule="atLeast" w:line="180" w:before="0" w:after="0"/>
        <w:ind w:left="0" w:right="0" w:hanging="283"/>
        <w:jc w:val="left"/>
        <w:rPr/>
      </w:pPr>
      <w:r>
        <w:rPr>
          <w:rFonts w:ascii="sans-serif" w:hAnsi="sans-serif"/>
          <w:b w:val="false"/>
          <w:color w:val="000000"/>
          <w:sz w:val="14"/>
        </w:rPr>
        <w:t>(f)</w:t>
      </w:r>
      <w:r>
        <w:rPr>
          <w:rFonts w:ascii="sans-serif" w:hAnsi="sans-serif"/>
          <w:b w:val="false"/>
          <w:color w:val="000000"/>
          <w:sz w:val="16"/>
        </w:rPr>
        <w:t>The euro equivalents of our net projected cash flows associated with our derivative instruments are based on interest rate projections and exchange rates as at 31 December 2025. These amounts are presented for illustrative purposes only and will likely differ from the actual cash payments or receipts required in future periods. For additional information regarding our derivative instruments, see note 20.</w:t>
      </w:r>
    </w:p>
    <w:p>
      <w:pPr>
        <w:pStyle w:val="TextBody"/>
        <w:bidi w:val="0"/>
        <w:spacing w:before="0" w:after="0"/>
        <w:jc w:val="left"/>
        <w:rPr/>
      </w:pPr>
      <w:r>
        <w:rPr/>
      </w:r>
    </w:p>
    <w:p>
      <w:pPr>
        <w:pStyle w:val="TextBody"/>
        <w:bidi w:val="0"/>
        <w:spacing w:lineRule="auto" w:line="324" w:before="120" w:after="283"/>
        <w:jc w:val="left"/>
        <w:rPr>
          <w:rFonts w:ascii="sans-serif" w:hAnsi="sans-serif"/>
          <w:b/>
          <w:color w:val="F85F00"/>
          <w:sz w:val="20"/>
        </w:rPr>
      </w:pPr>
      <w:bookmarkStart w:id="71" w:name="ib091adfd4e264e6f86b78db4a6e484e0"/>
      <w:bookmarkEnd w:id="71"/>
      <w:r>
        <w:rPr>
          <w:rFonts w:ascii="sans-serif" w:hAnsi="sans-serif"/>
          <w:b/>
          <w:color w:val="F85F00"/>
          <w:sz w:val="20"/>
        </w:rPr>
        <w:t>Market risk</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We are exposed to market risk in the normal course of our business operations. These market risks include interest rate risk and foreign currency risk. Market risk refers to the risk of loss arising from adverse changes in foreign currency exchange rates or interest rates. The risk of loss can be assessed from the perspective of adverse changes in fair values, cash flows and future profits. As further described below, we have established policies, procedures and processes governing our management of market risks and the use of derivative instruments to manage our exposure to such risks.</w:t>
      </w:r>
    </w:p>
    <w:p>
      <w:pPr>
        <w:pStyle w:val="TextBody"/>
        <w:bidi w:val="0"/>
        <w:spacing w:lineRule="auto" w:line="288" w:before="120" w:after="283"/>
        <w:jc w:val="left"/>
        <w:rPr>
          <w:rFonts w:ascii="sans-serif" w:hAnsi="sans-serif"/>
          <w:b/>
          <w:color w:val="000000"/>
          <w:sz w:val="18"/>
        </w:rPr>
      </w:pPr>
      <w:bookmarkStart w:id="72" w:name="ia01996abec394973a4bc5aad65116abb"/>
      <w:bookmarkEnd w:id="72"/>
      <w:r>
        <w:rPr>
          <w:rFonts w:ascii="sans-serif" w:hAnsi="sans-serif"/>
          <w:b/>
          <w:color w:val="000000"/>
          <w:sz w:val="18"/>
        </w:rPr>
        <w:t xml:space="preserve">Interest rate risk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are exposed to changes in interest rates primarily as a result of our borrowing activities, which include fixed-rate and variable-rate borrowings. Our primary exposure to variable-rate debt is through EURIBOR-indexed and USD SOFR-indexed borrowings.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Generally, we mitigate the risk against increases in variable interest rates by entering into derivative instruments. We use interest rate derivative contracts to exchange, at specified intervals, the difference between fixed and variable interest rates calculated by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reference to an agreed-upon notional principal amount. We also use (i) purchased interest rate cap and collar agreements to lock in a maximum interest rate if variable rates rise, but also allow our company to benefit, to a limited extent in the case of collars, from declines in market rates and (ii) purchased interest rate floor agreements to protect against interest rates falling below a certain level, generally to match a floating rate floor on a debt instrument. Under our current guidelines, we use various interest rate derivative instruments to mitigate interest rate risk, generally for five years.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considering the relative costs and benefits of different maturity profiles in light of current and expected future market conditions, liquidity issues and other factors. For additional information concerning the impacts of these interest rate derivative instruments, see note 20.</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On 31 December 2025, the outstanding principal amount of our variable-rate indebtedness aggregated €3.0 billion, and the weighted average interest rate (including margin) on such variable-rate indebtedness was approximately 5.2%,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€14.9 million. As discussed above and in note 20,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pStyle w:val="TextBody"/>
        <w:bidi w:val="0"/>
        <w:spacing w:lineRule="auto" w:line="288" w:before="120" w:after="283"/>
        <w:jc w:val="left"/>
        <w:rPr>
          <w:rFonts w:ascii="sans-serif" w:hAnsi="sans-serif"/>
          <w:b/>
          <w:color w:val="000000"/>
          <w:sz w:val="18"/>
        </w:rPr>
      </w:pPr>
      <w:bookmarkStart w:id="73" w:name="ic8e1557631644685b396d285ad2f9e4f"/>
      <w:bookmarkEnd w:id="73"/>
      <w:r>
        <w:rPr>
          <w:rFonts w:ascii="sans-serif" w:hAnsi="sans-serif"/>
          <w:b/>
          <w:color w:val="000000"/>
          <w:sz w:val="18"/>
        </w:rPr>
        <w:t xml:space="preserve">Foreign currency risk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We are exposed to foreign currency exchange rate risk with respect to our debt in situations where our debt is denominated in a currency other than our functional currency. Although we generally match the denomination of our and our subsidiaries’ borrowings with our functional currency,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On 31 December 2025, substantially all of our debt was either directly or synthetically matched to the applicable functional currencies of the underlying operations. For additional information concerning the terms of our derivative instruments, see note 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52400"/>
                <wp:effectExtent l="0" t="0" r="0" b="0"/>
                <wp:wrapNone/>
                <wp:docPr id="46" name="Frame37"/>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32</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74" w:name="i4e5f184a38944d56b3d3e8ea8e97b8dc"/>
      <w:bookmarkEnd w:id="74"/>
      <w:r>
        <w:rPr>
          <w:rFonts w:ascii="sans-serif" w:hAnsi="sans-serif"/>
          <w:b/>
          <w:color w:val="000000"/>
          <w:sz w:val="24"/>
        </w:rPr>
        <w:t>20.    Derivative financial instruments</w:t>
      </w:r>
    </w:p>
    <w:p>
      <w:pPr>
        <w:pStyle w:val="TextBody"/>
        <w:bidi w:val="0"/>
        <w:spacing w:lineRule="atLeast" w:line="240" w:before="0" w:after="120"/>
        <w:jc w:val="left"/>
        <w:rPr>
          <w:rFonts w:ascii="sans-serif" w:hAnsi="sans-serif"/>
          <w:b w:val="false"/>
          <w:color w:val="000000"/>
          <w:sz w:val="18"/>
        </w:rPr>
      </w:pPr>
      <w:r>
        <w:rPr>
          <w:rFonts w:ascii="sans-serif" w:hAnsi="sans-serif"/>
          <w:b w:val="false"/>
          <w:color w:val="000000"/>
          <w:sz w:val="18"/>
        </w:rPr>
        <w:t xml:space="preserve">We have entered into various derivative instruments to manage our interest rate and foreign currency exchange risk, as further described in note 19. The following table provides details of the fair values of our derivative instrument assets and liabilities: </w:t>
      </w:r>
    </w:p>
    <w:tbl>
      <w:tblPr>
        <w:tblW w:w="10205" w:type="dxa"/>
        <w:jc w:val="left"/>
        <w:tblInd w:w="0" w:type="dxa"/>
        <w:tblLayout w:type="fixed"/>
        <w:tblCellMar>
          <w:top w:w="28" w:type="dxa"/>
          <w:left w:w="28" w:type="dxa"/>
          <w:bottom w:w="28" w:type="dxa"/>
          <w:right w:w="28" w:type="dxa"/>
        </w:tblCellMar>
      </w:tblPr>
      <w:tblGrid>
        <w:gridCol w:w="1086"/>
        <w:gridCol w:w="956"/>
        <w:gridCol w:w="962"/>
        <w:gridCol w:w="300"/>
        <w:gridCol w:w="301"/>
        <w:gridCol w:w="301"/>
        <w:gridCol w:w="450"/>
        <w:gridCol w:w="450"/>
        <w:gridCol w:w="451"/>
        <w:gridCol w:w="360"/>
        <w:gridCol w:w="361"/>
        <w:gridCol w:w="208"/>
        <w:gridCol w:w="109"/>
        <w:gridCol w:w="109"/>
        <w:gridCol w:w="109"/>
        <w:gridCol w:w="109"/>
        <w:gridCol w:w="360"/>
        <w:gridCol w:w="361"/>
        <w:gridCol w:w="301"/>
        <w:gridCol w:w="450"/>
        <w:gridCol w:w="450"/>
        <w:gridCol w:w="451"/>
        <w:gridCol w:w="458"/>
        <w:gridCol w:w="458"/>
        <w:gridCol w:w="29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3"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 2024</w:t>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i/>
                <w:color w:val="000000"/>
                <w:sz w:val="18"/>
              </w:rPr>
            </w:pPr>
            <w:r>
              <w:rPr>
                <w:rFonts w:ascii="sans-serif" w:hAnsi="sans-serif"/>
                <w:b w:val="false"/>
                <w:i/>
                <w:color w:val="000000"/>
                <w:sz w:val="18"/>
              </w:rPr>
              <w:t>In € millions</w:t>
            </w:r>
          </w:p>
        </w:tc>
        <w:tc>
          <w:tcPr>
            <w:tcW w:w="90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Current</w:t>
            </w:r>
          </w:p>
        </w:tc>
        <w:tc>
          <w:tcPr>
            <w:tcW w:w="135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Non-current</w:t>
            </w:r>
          </w:p>
        </w:tc>
        <w:tc>
          <w:tcPr>
            <w:tcW w:w="929"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Current</w:t>
            </w:r>
          </w:p>
        </w:tc>
        <w:tc>
          <w:tcPr>
            <w:tcW w:w="135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Non-current</w:t>
            </w:r>
          </w:p>
        </w:tc>
        <w:tc>
          <w:tcPr>
            <w:tcW w:w="1210"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3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Assets:</w:t>
            </w:r>
          </w:p>
        </w:tc>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Cross-currency contracts (a)</w:t>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103.9 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166.1 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256.5 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620.4 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876.9 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rate contracts (a)</w:t>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82.6 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115.3 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54.3 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96.5 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150.8 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 currency forward contracts</w:t>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0.3 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Total </w:t>
            </w:r>
          </w:p>
        </w:tc>
        <w:tc>
          <w:tcPr>
            <w:tcW w:w="60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95.0</w:t>
            </w:r>
            <w:r>
              <w:rPr>
                <w:color w:val="000000"/>
              </w:rPr>
              <w:t> </w:t>
            </w:r>
          </w:p>
        </w:tc>
        <w:tc>
          <w:tcPr>
            <w:tcW w:w="30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186.5</w:t>
            </w:r>
            <w:r>
              <w:rPr>
                <w:color w:val="000000"/>
              </w:rPr>
              <w:t> </w:t>
            </w:r>
          </w:p>
        </w:tc>
        <w:tc>
          <w:tcPr>
            <w:tcW w:w="4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281.5</w:t>
            </w:r>
            <w:r>
              <w:rPr>
                <w:color w:val="000000"/>
              </w:rPr>
              <w:t> </w:t>
            </w:r>
          </w:p>
        </w:tc>
        <w:tc>
          <w:tcPr>
            <w:tcW w:w="208"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311.8</w:t>
            </w:r>
            <w:r>
              <w:rPr>
                <w:color w:val="000000"/>
              </w:rPr>
              <w:t> </w:t>
            </w:r>
          </w:p>
        </w:tc>
        <w:tc>
          <w:tcPr>
            <w:tcW w:w="30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717.2</w:t>
            </w:r>
            <w:r>
              <w:rPr>
                <w:color w:val="000000"/>
              </w:rPr>
              <w:t> </w:t>
            </w:r>
          </w:p>
        </w:tc>
        <w:tc>
          <w:tcPr>
            <w:tcW w:w="45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1,029.0</w:t>
            </w:r>
            <w:r>
              <w:rPr>
                <w:color w:val="000000"/>
              </w:rPr>
              <w:t> </w:t>
            </w:r>
          </w:p>
        </w:tc>
        <w:tc>
          <w:tcPr>
            <w:tcW w:w="294"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Liabilities:</w:t>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Cross-currency contracts (a)</w:t>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124.7 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127.6 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85.6 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rate contracts (a)</w:t>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19.2 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89.6 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24.6 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114.2 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 currency forward contracts</w:t>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Total </w:t>
            </w:r>
          </w:p>
        </w:tc>
        <w:tc>
          <w:tcPr>
            <w:tcW w:w="60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52.6</w:t>
            </w:r>
            <w:r>
              <w:rPr>
                <w:color w:val="000000"/>
              </w:rPr>
              <w:t> </w:t>
            </w:r>
          </w:p>
        </w:tc>
        <w:tc>
          <w:tcPr>
            <w:tcW w:w="30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143.9</w:t>
            </w:r>
            <w:r>
              <w:rPr>
                <w:color w:val="000000"/>
              </w:rPr>
              <w:t> </w:t>
            </w:r>
          </w:p>
        </w:tc>
        <w:tc>
          <w:tcPr>
            <w:tcW w:w="45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196.5</w:t>
            </w:r>
            <w:r>
              <w:rPr>
                <w:color w:val="000000"/>
              </w:rPr>
              <w:t> </w:t>
            </w:r>
          </w:p>
        </w:tc>
        <w:tc>
          <w:tcPr>
            <w:tcW w:w="20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175.4</w:t>
            </w:r>
            <w:r>
              <w:rPr>
                <w:color w:val="000000"/>
              </w:rPr>
              <w:t> </w:t>
            </w:r>
          </w:p>
        </w:tc>
        <w:tc>
          <w:tcPr>
            <w:tcW w:w="30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24.6</w:t>
            </w:r>
            <w:r>
              <w:rPr>
                <w:color w:val="000000"/>
              </w:rPr>
              <w:t> </w:t>
            </w:r>
          </w:p>
        </w:tc>
        <w:tc>
          <w:tcPr>
            <w:tcW w:w="45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200.0</w:t>
            </w:r>
            <w:r>
              <w:rPr>
                <w:color w:val="000000"/>
              </w:rPr>
              <w:t> </w:t>
            </w:r>
          </w:p>
        </w:tc>
        <w:tc>
          <w:tcPr>
            <w:tcW w:w="29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We consider credit risk relating to our and our counterparties’ non-performance in the fair value assessment of our derivative instruments. In all cases, the adjustments take into account offsetting liability or asset positions. The changes in the credit risk valuation adjustments associated with our cross-currency and interest rate derivative contracts resulted in net gains (losses) of €28.1 million and (€17.7 million) during 2025 and 2024, respectively. These amounts are included in net finance income (costs), in our consolidated statement of profit or loss and other comprehensive income. For further information regarding our fair value measurements, see note 19.</w:t>
      </w:r>
    </w:p>
    <w:p>
      <w:pPr>
        <w:pStyle w:val="TextBody"/>
        <w:bidi w:val="0"/>
        <w:spacing w:lineRule="auto" w:line="288" w:before="0" w:after="60"/>
        <w:jc w:val="both"/>
        <w:rPr>
          <w:rFonts w:ascii="sans-serif" w:hAnsi="sans-serif"/>
          <w:b w:val="false"/>
          <w:color w:val="000000"/>
          <w:sz w:val="18"/>
        </w:rPr>
      </w:pPr>
      <w:r>
        <w:rPr>
          <w:rFonts w:ascii="sans-serif" w:hAnsi="sans-serif"/>
          <w:b w:val="false"/>
          <w:color w:val="000000"/>
          <w:sz w:val="18"/>
        </w:rPr>
        <w:t>The details of our realised and unrealised gains (losses) on derivative instruments, net, are as follows:</w:t>
      </w:r>
    </w:p>
    <w:tbl>
      <w:tblPr>
        <w:tblW w:w="8209" w:type="dxa"/>
        <w:jc w:val="left"/>
        <w:tblInd w:w="0" w:type="dxa"/>
        <w:tblLayout w:type="fixed"/>
        <w:tblCellMar>
          <w:top w:w="28" w:type="dxa"/>
          <w:left w:w="28" w:type="dxa"/>
          <w:bottom w:w="28" w:type="dxa"/>
          <w:right w:w="28" w:type="dxa"/>
        </w:tblCellMar>
      </w:tblPr>
      <w:tblGrid>
        <w:gridCol w:w="1204"/>
        <w:gridCol w:w="1059"/>
        <w:gridCol w:w="1066"/>
        <w:gridCol w:w="109"/>
        <w:gridCol w:w="109"/>
        <w:gridCol w:w="1238"/>
        <w:gridCol w:w="1238"/>
        <w:gridCol w:w="404"/>
        <w:gridCol w:w="406"/>
        <w:gridCol w:w="196"/>
        <w:gridCol w:w="360"/>
        <w:gridCol w:w="361"/>
        <w:gridCol w:w="196"/>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xml:space="preserve">Year ended 31 December </w:t>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i/>
                <w:color w:val="000000"/>
                <w:sz w:val="18"/>
              </w:rPr>
            </w:pPr>
            <w:r>
              <w:rPr>
                <w:rFonts w:ascii="sans-serif" w:hAnsi="sans-serif"/>
                <w:b w:val="false"/>
                <w:i/>
                <w:color w:val="000000"/>
                <w:sz w:val="18"/>
              </w:rPr>
              <w:t>In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1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Cross-currency contracts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(496.4)</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480.6 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810"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(481.8)</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492.4</w:t>
            </w:r>
            <w:r>
              <w:rPr>
                <w:color w:val="000000"/>
              </w:rPr>
              <w:t> </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 xml:space="preserve">The classification of the net cash inflows related to our derivative instruments is as follows: </w:t>
      </w:r>
    </w:p>
    <w:tbl>
      <w:tblPr>
        <w:tblW w:w="4613" w:type="dxa"/>
        <w:jc w:val="left"/>
        <w:tblInd w:w="0" w:type="dxa"/>
        <w:tblLayout w:type="fixed"/>
        <w:tblCellMar>
          <w:top w:w="28" w:type="dxa"/>
          <w:left w:w="28" w:type="dxa"/>
          <w:bottom w:w="28" w:type="dxa"/>
          <w:right w:w="28" w:type="dxa"/>
        </w:tblCellMar>
      </w:tblPr>
      <w:tblGrid>
        <w:gridCol w:w="678"/>
        <w:gridCol w:w="598"/>
        <w:gridCol w:w="599"/>
        <w:gridCol w:w="411"/>
        <w:gridCol w:w="411"/>
        <w:gridCol w:w="411"/>
        <w:gridCol w:w="411"/>
        <w:gridCol w:w="411"/>
        <w:gridCol w:w="420"/>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xml:space="preserve">Year ended 31 December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i/>
                <w:color w:val="000000"/>
                <w:sz w:val="18"/>
              </w:rPr>
            </w:pPr>
            <w:r>
              <w:rPr>
                <w:rFonts w:ascii="sans-serif" w:hAnsi="sans-serif"/>
                <w:b w:val="false"/>
                <w:i/>
                <w:color w:val="000000"/>
                <w:sz w:val="18"/>
              </w:rPr>
              <w:t>In € millions</w:t>
            </w:r>
          </w:p>
        </w:tc>
        <w:tc>
          <w:tcPr>
            <w:tcW w:w="1233"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24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Operating activities</w:t>
            </w:r>
          </w:p>
        </w:tc>
        <w:tc>
          <w:tcPr>
            <w:tcW w:w="82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119.0 </w:t>
            </w:r>
          </w:p>
        </w:tc>
        <w:tc>
          <w:tcPr>
            <w:tcW w:w="4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269.8 </w:t>
            </w:r>
          </w:p>
        </w:tc>
        <w:tc>
          <w:tcPr>
            <w:tcW w:w="4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Financing activities</w:t>
            </w:r>
          </w:p>
        </w:tc>
        <w:tc>
          <w:tcPr>
            <w:tcW w:w="82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143.2 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822"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262.2</w:t>
            </w:r>
            <w:r>
              <w:rPr>
                <w:color w:val="000000"/>
              </w:rPr>
              <w:t> </w:t>
            </w:r>
          </w:p>
        </w:tc>
        <w:tc>
          <w:tcPr>
            <w:tcW w:w="41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271.7</w:t>
            </w:r>
            <w:r>
              <w:rPr>
                <w:color w:val="000000"/>
              </w:rPr>
              <w:t> </w:t>
            </w:r>
          </w:p>
        </w:tc>
        <w:tc>
          <w:tcPr>
            <w:tcW w:w="420"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24" w:before="120" w:after="283"/>
        <w:jc w:val="left"/>
        <w:rPr>
          <w:rFonts w:ascii="sans-serif" w:hAnsi="sans-serif"/>
          <w:b/>
          <w:color w:val="F85F00"/>
          <w:sz w:val="20"/>
        </w:rPr>
      </w:pPr>
      <w:bookmarkStart w:id="75" w:name="ic3b59c2c07b14b2fb57440a11a89dcf4"/>
      <w:bookmarkEnd w:id="75"/>
      <w:r>
        <w:rPr>
          <w:rFonts w:ascii="sans-serif" w:hAnsi="sans-serif"/>
          <w:b/>
          <w:color w:val="F85F00"/>
          <w:sz w:val="20"/>
        </w:rPr>
        <w:t xml:space="preserve">Details of our derivative instruments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 the following tables, we present the details of the various categories of our derivative instruments. The notional amounts of multiple derivative instruments that mature within the same calendar month are shown in the aggregate and interest rates are presented on a weighted average basis. In addition, for derivative instruments that were in effect as at 31 December 2025, we present a single date that represents the applicable final maturity date. For derivative instruments that become effective subsequent to 31 December 2025, we present a range of dates that represents the period covered by the applicable derivative instruments.</w:t>
      </w:r>
    </w:p>
    <w:p>
      <w:pPr>
        <w:pStyle w:val="TextBody"/>
        <w:bidi w:val="0"/>
        <w:spacing w:lineRule="auto" w:line="288" w:before="120" w:after="283"/>
        <w:jc w:val="left"/>
        <w:rPr>
          <w:rFonts w:ascii="sans-serif" w:hAnsi="sans-serif"/>
          <w:b/>
          <w:color w:val="000000"/>
          <w:sz w:val="18"/>
        </w:rPr>
      </w:pPr>
      <w:bookmarkStart w:id="76" w:name="i85aab995a8e1416ebdd3fac27d094d1c"/>
      <w:bookmarkEnd w:id="76"/>
      <w:r>
        <w:rPr>
          <w:rFonts w:ascii="sans-serif" w:hAnsi="sans-serif"/>
          <w:b/>
          <w:color w:val="000000"/>
          <w:sz w:val="18"/>
        </w:rPr>
        <w:t>Cross-currency derivative contracts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detailed in note 19, we are exposed to foreign currency exchange rate risk in situations where our debt is denominated in a currency other than our functional currency. Although we generally seek to match the denomination of our borrowings with our functional currency, market conditions or other factors may cause us to enter into borrowing arrangements that are not denominated in our functional currency (unmatched debt). Our policy is generally to provide for an economic hedge against foreign currency exchange rate movements by using derivative instruments to synthetically convert unmatched debt into the applicable underlying currency. On 31 December 2025, substantially all of our debt was either directly or synthetically matched to our functional currency. The weighted average remaining contractual life of our cross-currency derivative contracts on 31 December 2025 was 3.6 years.</w:t>
      </w:r>
    </w:p>
    <w:p>
      <w:pPr>
        <w:pStyle w:val="TextBody"/>
        <w:bidi w:val="0"/>
        <w:spacing w:before="0" w:after="24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52400"/>
                <wp:effectExtent l="0" t="0" r="0" b="0"/>
                <wp:wrapNone/>
                <wp:docPr id="47" name="Frame38"/>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33</w:t>
                      </w:r>
                    </w:p>
                  </w:txbxContent>
                </v:textbox>
                <w10:wrap type="none"/>
              </v:rect>
            </w:pict>
          </mc:Fallback>
        </mc:AlternateContent>
      </w:r>
    </w:p>
    <w:p>
      <w:pPr>
        <w:pStyle w:val="TextBody"/>
        <w:bidi w:val="0"/>
        <w:spacing w:lineRule="atLeast" w:line="240" w:before="0" w:after="0"/>
        <w:jc w:val="left"/>
        <w:rPr>
          <w:rFonts w:ascii="sans-serif" w:hAnsi="sans-serif"/>
          <w:b w:val="false"/>
          <w:color w:val="000000"/>
          <w:sz w:val="18"/>
        </w:rPr>
      </w:pPr>
      <w:r>
        <w:rPr>
          <w:rFonts w:ascii="sans-serif" w:hAnsi="sans-serif"/>
          <w:b w:val="false"/>
          <w:color w:val="000000"/>
          <w:sz w:val="18"/>
        </w:rPr>
        <w:t>The terms of our outstanding cross-currency derivative contracts on 31 December 2025 are as follows:</w:t>
      </w:r>
    </w:p>
    <w:tbl>
      <w:tblPr>
        <w:tblW w:w="10205" w:type="dxa"/>
        <w:jc w:val="left"/>
        <w:tblInd w:w="0" w:type="dxa"/>
        <w:tblLayout w:type="fixed"/>
        <w:tblCellMar>
          <w:top w:w="28" w:type="dxa"/>
          <w:left w:w="28" w:type="dxa"/>
          <w:bottom w:w="28" w:type="dxa"/>
          <w:right w:w="28" w:type="dxa"/>
        </w:tblCellMar>
      </w:tblPr>
      <w:tblGrid>
        <w:gridCol w:w="445"/>
        <w:gridCol w:w="391"/>
        <w:gridCol w:w="392"/>
        <w:gridCol w:w="367"/>
        <w:gridCol w:w="1441"/>
        <w:gridCol w:w="178"/>
        <w:gridCol w:w="397"/>
        <w:gridCol w:w="1562"/>
        <w:gridCol w:w="193"/>
        <w:gridCol w:w="521"/>
        <w:gridCol w:w="521"/>
        <w:gridCol w:w="1300"/>
        <w:gridCol w:w="1044"/>
        <w:gridCol w:w="660"/>
        <w:gridCol w:w="793"/>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Final maturity date</w:t>
            </w:r>
          </w:p>
        </w:tc>
        <w:tc>
          <w:tcPr>
            <w:tcW w:w="198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Notional amount due from counterparty</w:t>
            </w:r>
          </w:p>
        </w:tc>
        <w:tc>
          <w:tcPr>
            <w:tcW w:w="215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Notional amount due to counterparty</w:t>
            </w:r>
          </w:p>
        </w:tc>
        <w:tc>
          <w:tcPr>
            <w:tcW w:w="2342"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 rate due from counterparty</w:t>
            </w:r>
          </w:p>
        </w:tc>
        <w:tc>
          <w:tcPr>
            <w:tcW w:w="249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 rate due to counterparty</w:t>
            </w:r>
          </w:p>
        </w:tc>
      </w:tr>
      <w:tr>
        <w:trPr/>
        <w:tc>
          <w:tcPr>
            <w:tcW w:w="1228"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center"/>
              <w:rPr>
                <w:rFonts w:ascii="sans-serif" w:hAnsi="sans-serif"/>
                <w:b w:val="false"/>
                <w:color w:val="000000"/>
                <w:sz w:val="18"/>
              </w:rPr>
            </w:pPr>
            <w:r>
              <w:rPr>
                <w:rFonts w:ascii="sans-serif" w:hAnsi="sans-serif"/>
                <w:b w:val="false"/>
                <w:color w:val="000000"/>
                <w:sz w:val="18"/>
              </w:rPr>
              <w:t>in millions</w:t>
            </w:r>
          </w:p>
        </w:tc>
        <w:tc>
          <w:tcPr>
            <w:tcW w:w="2342"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January 2030</w:t>
            </w:r>
          </w:p>
        </w:tc>
        <w:tc>
          <w:tcPr>
            <w:tcW w:w="3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4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1,525.0 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5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1,356.9 </w:t>
            </w:r>
          </w:p>
        </w:tc>
        <w:tc>
          <w:tcPr>
            <w:tcW w:w="19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5.00 </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3.53 </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April 2028</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913.0 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SOFR + 2.93%</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3.84 </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January 2031</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1,150.0 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980.6 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7.50 </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6.61 </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January 2028</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450.0 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4.88 </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497"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6 mo. EURIBOR + 3.04%</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February 2028</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429.9 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5.13 </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3.64 </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January 2033</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428.7 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SOFR + 3.25%</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6.00 </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January 2028</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406.8 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4.88 </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3.85 </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right"/>
              <w:rPr>
                <w:rFonts w:ascii="sans-serif" w:hAnsi="sans-serif"/>
                <w:b w:val="false"/>
                <w:color w:val="000000"/>
                <w:sz w:val="18"/>
              </w:rPr>
            </w:pPr>
            <w:r>
              <w:rPr>
                <w:rFonts w:ascii="sans-serif" w:hAnsi="sans-serif"/>
                <w:b w:val="false"/>
                <w:color w:val="000000"/>
                <w:sz w:val="18"/>
              </w:rPr>
              <w:t>%</w:t>
            </w:r>
          </w:p>
        </w:tc>
      </w:tr>
      <w:tr>
        <w:trPr/>
        <w:tc>
          <w:tcPr>
            <w:tcW w:w="122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ind w:left="0" w:right="0" w:hanging="180"/>
              <w:jc w:val="left"/>
              <w:rPr>
                <w:rFonts w:ascii="sans-serif" w:hAnsi="sans-serif"/>
                <w:b w:val="false"/>
                <w:color w:val="000000"/>
                <w:sz w:val="18"/>
              </w:rPr>
            </w:pPr>
            <w:r>
              <w:rPr>
                <w:rFonts w:ascii="sans-serif" w:hAnsi="sans-serif"/>
                <w:b w:val="false"/>
                <w:color w:val="000000"/>
                <w:sz w:val="18"/>
              </w:rPr>
              <w:t>April 2028</w:t>
            </w:r>
          </w:p>
        </w:tc>
        <w:tc>
          <w:tcPr>
            <w:tcW w:w="36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44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475.0 </w:t>
            </w:r>
          </w:p>
        </w:tc>
        <w:tc>
          <w:tcPr>
            <w:tcW w:w="17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1562"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431.4 </w:t>
            </w:r>
          </w:p>
        </w:tc>
        <w:tc>
          <w:tcPr>
            <w:tcW w:w="193"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SOFR + 2.93%</w:t>
            </w:r>
          </w:p>
        </w:tc>
        <w:tc>
          <w:tcPr>
            <w:tcW w:w="249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EURIBOR + 2.58%</w:t>
            </w:r>
          </w:p>
        </w:tc>
      </w:tr>
    </w:tbl>
    <w:p>
      <w:pPr>
        <w:pStyle w:val="TextBody"/>
        <w:bidi w:val="0"/>
        <w:spacing w:lineRule="auto" w:line="288" w:before="120" w:after="283"/>
        <w:jc w:val="left"/>
        <w:rPr>
          <w:rFonts w:ascii="sans-serif" w:hAnsi="sans-serif"/>
          <w:b/>
          <w:color w:val="000000"/>
          <w:sz w:val="18"/>
          <w:shd w:fill="FFFFFF" w:val="clear"/>
        </w:rPr>
      </w:pPr>
      <w:bookmarkStart w:id="77" w:name="i2537d4782dc945e4b94cf24ace094da0"/>
      <w:bookmarkEnd w:id="77"/>
      <w:r>
        <w:rPr>
          <w:rFonts w:ascii="sans-serif" w:hAnsi="sans-serif"/>
          <w:b/>
          <w:color w:val="000000"/>
          <w:sz w:val="18"/>
          <w:shd w:fill="FFFFFF" w:val="clear"/>
        </w:rPr>
        <w:t>Interest rate swap contracts</w:t>
      </w:r>
    </w:p>
    <w:p>
      <w:pPr>
        <w:pStyle w:val="TextBody"/>
        <w:bidi w:val="0"/>
        <w:spacing w:lineRule="auto" w:line="288" w:before="0" w:after="240"/>
        <w:jc w:val="left"/>
        <w:rPr/>
      </w:pPr>
      <w:r>
        <w:rPr>
          <w:rFonts w:ascii="sans-serif" w:hAnsi="sans-serif"/>
          <w:b w:val="false"/>
          <w:color w:val="000000"/>
          <w:sz w:val="18"/>
          <w:shd w:fill="FFFFFF" w:val="clear"/>
        </w:rPr>
        <w:t xml:space="preserve">As detailed in note 19, we enter into interest rate swap contracts to protect against increases in the interest rates on our variable-rate debt. Pursuant to these derivative instruments, we typically pay fixed interest rates and receive variable interest rates on specified notional amounts. On 31 December 2025, the related weighted average remaining contractual life of our interest rate swap contracts was </w:t>
      </w:r>
      <w:r>
        <w:rPr>
          <w:rFonts w:ascii="sans-serif" w:hAnsi="sans-serif"/>
          <w:b w:val="false"/>
          <w:color w:val="000000"/>
          <w:sz w:val="18"/>
        </w:rPr>
        <w:t xml:space="preserve">2.6 </w:t>
      </w:r>
      <w:r>
        <w:rPr>
          <w:rFonts w:ascii="sans-serif" w:hAnsi="sans-serif"/>
          <w:b w:val="false"/>
          <w:color w:val="000000"/>
          <w:sz w:val="18"/>
          <w:shd w:fill="FFFFFF" w:val="clear"/>
        </w:rPr>
        <w:t>years.</w:t>
      </w:r>
    </w:p>
    <w:p>
      <w:pPr>
        <w:pStyle w:val="TextBody"/>
        <w:bidi w:val="0"/>
        <w:spacing w:lineRule="auto" w:line="288" w:before="0" w:after="240"/>
        <w:jc w:val="left"/>
        <w:rPr>
          <w:rFonts w:ascii="sans-serif" w:hAnsi="sans-serif"/>
          <w:b w:val="false"/>
          <w:color w:val="000000"/>
          <w:sz w:val="18"/>
          <w:shd w:fill="FFFFFF" w:val="clear"/>
        </w:rPr>
      </w:pPr>
      <w:r>
        <w:rPr>
          <w:rFonts w:ascii="sans-serif" w:hAnsi="sans-serif"/>
          <w:b w:val="false"/>
          <w:color w:val="000000"/>
          <w:sz w:val="18"/>
          <w:shd w:fill="FFFFFF" w:val="clear"/>
        </w:rPr>
        <w:t>The terms of our outstanding interest rate swap contracts on 31 December 2025 are as follows:</w:t>
      </w:r>
    </w:p>
    <w:tbl>
      <w:tblPr>
        <w:tblW w:w="8457" w:type="dxa"/>
        <w:jc w:val="left"/>
        <w:tblInd w:w="0" w:type="dxa"/>
        <w:tblLayout w:type="fixed"/>
        <w:tblCellMar>
          <w:top w:w="28" w:type="dxa"/>
          <w:left w:w="28" w:type="dxa"/>
          <w:bottom w:w="28" w:type="dxa"/>
          <w:right w:w="28" w:type="dxa"/>
        </w:tblCellMar>
      </w:tblPr>
      <w:tblGrid>
        <w:gridCol w:w="761"/>
        <w:gridCol w:w="668"/>
        <w:gridCol w:w="670"/>
        <w:gridCol w:w="336"/>
        <w:gridCol w:w="1317"/>
        <w:gridCol w:w="162"/>
        <w:gridCol w:w="530"/>
        <w:gridCol w:w="530"/>
        <w:gridCol w:w="1324"/>
        <w:gridCol w:w="440"/>
        <w:gridCol w:w="440"/>
        <w:gridCol w:w="127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Final maturity date</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Notional amount</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 rate due from</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counterparty</w:t>
            </w:r>
          </w:p>
        </w:tc>
        <w:tc>
          <w:tcPr>
            <w:tcW w:w="2159"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 rate due to</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counterparty</w:t>
            </w:r>
          </w:p>
        </w:tc>
      </w:tr>
      <w:tr>
        <w:trPr/>
        <w:tc>
          <w:tcPr>
            <w:tcW w:w="2099"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center"/>
              <w:rPr>
                <w:rFonts w:ascii="sans-serif" w:hAnsi="sans-serif"/>
                <w:b w:val="false"/>
                <w:color w:val="000000"/>
                <w:sz w:val="18"/>
              </w:rPr>
            </w:pPr>
            <w:r>
              <w:rPr>
                <w:rFonts w:ascii="sans-serif" w:hAnsi="sans-serif"/>
                <w:b w:val="false"/>
                <w:color w:val="000000"/>
                <w:sz w:val="18"/>
              </w:rPr>
              <w:t>in millions</w:t>
            </w:r>
          </w:p>
        </w:tc>
        <w:tc>
          <w:tcPr>
            <w:tcW w:w="2384"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January 2029</w:t>
            </w:r>
          </w:p>
        </w:tc>
        <w:tc>
          <w:tcPr>
            <w:tcW w:w="3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3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2,250.0 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EURIBOR</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1.20 </w:t>
            </w:r>
          </w:p>
        </w:tc>
        <w:tc>
          <w:tcPr>
            <w:tcW w:w="127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April 2028</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1,144.0 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7.50%</w:t>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SOFR + 4.20%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April 2026</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3.78%</w:t>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SOFR + 0.00%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January 2028</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EURIBOR</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0.03 </w:t>
            </w:r>
          </w:p>
        </w:tc>
        <w:tc>
          <w:tcPr>
            <w:tcW w:w="127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April 2028</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431.4 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EURIBOR</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1.59 </w:t>
            </w:r>
          </w:p>
        </w:tc>
        <w:tc>
          <w:tcPr>
            <w:tcW w:w="127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December 2030</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 mo. EURIBOR</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2.10 </w:t>
            </w:r>
          </w:p>
        </w:tc>
        <w:tc>
          <w:tcPr>
            <w:tcW w:w="1279" w:type="dxa"/>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r>
      <w:tr>
        <w:trPr/>
        <w:tc>
          <w:tcPr>
            <w:tcW w:w="209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December 2030</w:t>
            </w:r>
          </w:p>
        </w:tc>
        <w:tc>
          <w:tcPr>
            <w:tcW w:w="33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131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120.0 </w:t>
            </w:r>
          </w:p>
        </w:tc>
        <w:tc>
          <w:tcPr>
            <w:tcW w:w="162"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2.10 </w:t>
            </w:r>
          </w:p>
        </w:tc>
        <w:tc>
          <w:tcPr>
            <w:tcW w:w="1324"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215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 mo. EURIBOR</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sans-serif" w:hAnsi="sans-serif"/>
          <w:b/>
          <w:color w:val="000000"/>
          <w:sz w:val="18"/>
          <w:shd w:fill="FFFFFF" w:val="clear"/>
        </w:rPr>
      </w:pPr>
      <w:bookmarkStart w:id="78" w:name="i0ca543eff806429eacf4914a824ef057"/>
      <w:bookmarkEnd w:id="78"/>
      <w:r>
        <w:rPr>
          <w:rFonts w:ascii="sans-serif" w:hAnsi="sans-serif"/>
          <w:b/>
          <w:color w:val="000000"/>
          <w:sz w:val="18"/>
          <w:shd w:fill="FFFFFF" w:val="clear"/>
        </w:rPr>
        <w:t>Basis swaps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Our basis swaps involve the exchange of attributes used to calculate our floating interest rates, including (i) the benchmark rate, (ii) the underlying currency, and/or (iii) the borrowing period. We typically enter into these swaps to optimise our interest rate profile based on our current evaluations of yield curves, our risk management policies and other factors. On 31 December 2025, the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notional amount due from the counterparty was €2,250.0 million and the related weighted average remaining contractual life of our interest basis swap contracts was 0.1 years. </w:t>
      </w:r>
    </w:p>
    <w:p>
      <w:pPr>
        <w:pStyle w:val="TextBody"/>
        <w:bidi w:val="0"/>
        <w:spacing w:lineRule="atLeast" w:line="240" w:before="0" w:after="60"/>
        <w:jc w:val="left"/>
        <w:rPr>
          <w:rFonts w:ascii="sans-serif" w:hAnsi="sans-serif"/>
          <w:b w:val="false"/>
          <w:color w:val="000000"/>
          <w:sz w:val="18"/>
        </w:rPr>
      </w:pPr>
      <w:r>
        <w:rPr>
          <w:rFonts w:ascii="sans-serif" w:hAnsi="sans-serif"/>
          <w:b w:val="false"/>
          <w:color w:val="000000"/>
          <w:sz w:val="18"/>
        </w:rPr>
        <w:t>The terms of our outstanding basis swap contracts on 31 December 2025 are as follows:</w:t>
      </w:r>
    </w:p>
    <w:tbl>
      <w:tblPr>
        <w:tblW w:w="10205" w:type="dxa"/>
        <w:jc w:val="left"/>
        <w:tblInd w:w="0" w:type="dxa"/>
        <w:tblLayout w:type="fixed"/>
        <w:tblCellMar>
          <w:top w:w="28" w:type="dxa"/>
          <w:left w:w="28" w:type="dxa"/>
          <w:bottom w:w="28" w:type="dxa"/>
          <w:right w:w="28" w:type="dxa"/>
        </w:tblCellMar>
      </w:tblPr>
      <w:tblGrid>
        <w:gridCol w:w="681"/>
        <w:gridCol w:w="598"/>
        <w:gridCol w:w="599"/>
        <w:gridCol w:w="313"/>
        <w:gridCol w:w="1229"/>
        <w:gridCol w:w="151"/>
        <w:gridCol w:w="1142"/>
        <w:gridCol w:w="1142"/>
        <w:gridCol w:w="1143"/>
        <w:gridCol w:w="936"/>
        <w:gridCol w:w="936"/>
        <w:gridCol w:w="1335"/>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Final maturity date</w:t>
            </w:r>
          </w:p>
        </w:tc>
        <w:tc>
          <w:tcPr>
            <w:tcW w:w="169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Notional amount</w:t>
            </w:r>
          </w:p>
        </w:tc>
        <w:tc>
          <w:tcPr>
            <w:tcW w:w="342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 rate due from counterparty</w:t>
            </w:r>
          </w:p>
        </w:tc>
        <w:tc>
          <w:tcPr>
            <w:tcW w:w="320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Interest rate due to counterparty</w:t>
            </w:r>
          </w:p>
        </w:tc>
      </w:tr>
      <w:tr>
        <w:trPr/>
        <w:tc>
          <w:tcPr>
            <w:tcW w:w="1878"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center"/>
              <w:rPr>
                <w:rFonts w:ascii="sans-serif" w:hAnsi="sans-serif"/>
                <w:b w:val="false"/>
                <w:color w:val="000000"/>
                <w:sz w:val="18"/>
              </w:rPr>
            </w:pPr>
            <w:r>
              <w:rPr>
                <w:rFonts w:ascii="sans-serif" w:hAnsi="sans-serif"/>
                <w:b w:val="false"/>
                <w:color w:val="000000"/>
                <w:sz w:val="18"/>
              </w:rPr>
              <w:t>in millions</w:t>
            </w:r>
          </w:p>
        </w:tc>
        <w:tc>
          <w:tcPr>
            <w:tcW w:w="3427"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February 2026</w:t>
            </w:r>
          </w:p>
        </w:tc>
        <w:tc>
          <w:tcPr>
            <w:tcW w:w="313" w:type="dxa"/>
            <w:tcBorders>
              <w:top w:val="single" w:sz="4" w:space="0" w:color="575756"/>
              <w:bottom w:val="single" w:sz="8" w:space="0" w:color="000000"/>
            </w:tcBorders>
            <w:tcMar>
              <w:top w:w="3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w:t>
            </w:r>
          </w:p>
        </w:tc>
        <w:tc>
          <w:tcPr>
            <w:tcW w:w="1229" w:type="dxa"/>
            <w:tcBorders>
              <w:top w:val="single" w:sz="4" w:space="0" w:color="575756"/>
              <w:bottom w:val="single" w:sz="8" w:space="0" w:color="000000"/>
            </w:tcBorders>
            <w:tcMar>
              <w:top w:w="3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2,250.0 </w:t>
            </w:r>
          </w:p>
        </w:tc>
        <w:tc>
          <w:tcPr>
            <w:tcW w:w="151" w:type="dxa"/>
            <w:tcBorders>
              <w:top w:val="single" w:sz="4" w:space="0" w:color="575756"/>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 mo. EURIBOR + 3.00%</w:t>
            </w:r>
          </w:p>
        </w:tc>
        <w:tc>
          <w:tcPr>
            <w:tcW w:w="320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 mo. EURIBOR + 2.86%</w:t>
            </w:r>
          </w:p>
        </w:tc>
      </w:tr>
      <w:tr>
        <w:trPr/>
        <w:tc>
          <w:tcPr>
            <w:tcW w:w="1878"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4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r>
      <w:tr>
        <w:trPr/>
        <w:tc>
          <w:tcPr>
            <w:tcW w:w="1878"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4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sans-serif" w:hAnsi="sans-serif"/>
          <w:b/>
          <w:color w:val="000000"/>
          <w:sz w:val="18"/>
        </w:rPr>
      </w:pPr>
      <w:bookmarkStart w:id="79" w:name="i62571e86852240748c4b0c9e87828a18"/>
      <w:bookmarkEnd w:id="79"/>
      <w:r>
        <w:rPr>
          <w:rFonts w:ascii="sans-serif" w:hAnsi="sans-serif"/>
          <w:b/>
          <w:color w:val="000000"/>
          <w:sz w:val="18"/>
        </w:rPr>
        <w:t>Interest rate options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From time to time, we enter into interest rate cap, floor and collar agreements that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On 31 December 2025, we had no interest rate cap or collar agreements, and the total euro equivalent of the notional amount of our interest rate floor was €2,250.0 million.</w:t>
      </w:r>
    </w:p>
    <w:p>
      <w:pPr>
        <w:pStyle w:val="TextBody"/>
        <w:bidi w:val="0"/>
        <w:spacing w:lineRule="auto" w:line="288" w:before="120" w:after="283"/>
        <w:jc w:val="left"/>
        <w:rPr>
          <w:rFonts w:ascii="sans-serif" w:hAnsi="sans-serif"/>
          <w:b/>
          <w:color w:val="000000"/>
          <w:sz w:val="18"/>
        </w:rPr>
      </w:pPr>
      <w:bookmarkStart w:id="80" w:name="if855d0c02ea44ca79ce052c5426fe071"/>
      <w:bookmarkEnd w:id="80"/>
      <w:r>
        <w:rPr>
          <w:rFonts w:ascii="sans-serif" w:hAnsi="sans-serif"/>
          <w:b/>
          <w:color w:val="000000"/>
          <w:sz w:val="18"/>
        </w:rPr>
        <w:t xml:space="preserve">Foreign currency forwards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We enter into foreign currency forward contracts with respect to non-functional currency exposure. On 31 December 2025, the total euro equivalent of the notional amount of our foreign currency forward contracts was €28.1 million.</w:t>
      </w:r>
    </w:p>
    <w:p>
      <w:pPr>
        <w:pStyle w:val="TextBody"/>
        <w:bidi w:val="0"/>
        <w:spacing w:lineRule="auto" w:line="324" w:before="120" w:after="283"/>
        <w:jc w:val="left"/>
        <w:rPr>
          <w:rFonts w:ascii="sans-serif" w:hAnsi="sans-serif"/>
          <w:b/>
          <w:color w:val="F85F00"/>
          <w:sz w:val="20"/>
        </w:rPr>
      </w:pPr>
      <w:bookmarkStart w:id="81" w:name="id6c53743018d44cbb0f23dfd2e8eeae8"/>
      <w:bookmarkEnd w:id="81"/>
      <w:r>
        <w:rPr>
          <w:rFonts w:ascii="sans-serif" w:hAnsi="sans-serif"/>
          <w:b/>
          <w:color w:val="F85F00"/>
          <w:sz w:val="20"/>
        </w:rPr>
        <w:t>Impact of derivative instruments on borrowing costs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impact of the derivative instruments that mitigate our foreign currency and interest rate risk, as described above, was a decrease of 79 basis points to our third-party borrowing costs as at 31 December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Derivatives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instruments, including embedded derivatives that are separated from their host contract, are recorded on the statement of financial position at fair value. As we do not apply hedge accounting to any of our derivative instruments, changes in the fair values of the derivative instruments are recognised in the statement of profit or loss.</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52400"/>
                <wp:effectExtent l="0" t="0" r="0" b="0"/>
                <wp:wrapNone/>
                <wp:docPr id="48" name="Frame39"/>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34</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82" w:name="ie72accb1a9b84bc689156ce5aed698b1"/>
      <w:bookmarkEnd w:id="82"/>
      <w:r>
        <w:rPr>
          <w:rFonts w:ascii="sans-serif" w:hAnsi="sans-serif"/>
          <w:b/>
          <w:color w:val="000000"/>
          <w:sz w:val="24"/>
        </w:rPr>
        <w:t xml:space="preserve">21.    Restructuring </w:t>
      </w:r>
    </w:p>
    <w:p>
      <w:pPr>
        <w:pStyle w:val="TextBody"/>
        <w:bidi w:val="0"/>
        <w:spacing w:lineRule="auto" w:line="288" w:before="0" w:after="180"/>
        <w:jc w:val="left"/>
        <w:rPr>
          <w:rFonts w:ascii="sans-serif" w:hAnsi="sans-serif"/>
          <w:b w:val="false"/>
          <w:color w:val="000000"/>
          <w:sz w:val="18"/>
        </w:rPr>
      </w:pPr>
      <w:r>
        <w:rPr>
          <w:rFonts w:ascii="sans-serif" w:hAnsi="sans-serif"/>
          <w:b w:val="false"/>
          <w:color w:val="000000"/>
          <w:sz w:val="18"/>
        </w:rPr>
        <w:t>A summary of the financial impacts from our restructuring activities are outlined below (in millions):</w:t>
      </w:r>
    </w:p>
    <w:tbl>
      <w:tblPr>
        <w:tblW w:w="6669" w:type="dxa"/>
        <w:jc w:val="left"/>
        <w:tblInd w:w="0" w:type="dxa"/>
        <w:tblLayout w:type="fixed"/>
        <w:tblCellMar>
          <w:top w:w="28" w:type="dxa"/>
          <w:left w:w="28" w:type="dxa"/>
          <w:bottom w:w="28" w:type="dxa"/>
          <w:right w:w="28" w:type="dxa"/>
        </w:tblCellMar>
      </w:tblPr>
      <w:tblGrid>
        <w:gridCol w:w="1758"/>
        <w:gridCol w:w="1547"/>
        <w:gridCol w:w="1555"/>
        <w:gridCol w:w="337"/>
        <w:gridCol w:w="338"/>
        <w:gridCol w:w="196"/>
        <w:gridCol w:w="337"/>
        <w:gridCol w:w="338"/>
        <w:gridCol w:w="263"/>
      </w:tblGrid>
      <w:tr>
        <w:trPr/>
        <w:tc>
          <w:tcPr>
            <w:tcW w:w="175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48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Restructuring liability as at 1 January 2025</w:t>
            </w:r>
          </w:p>
        </w:tc>
        <w:tc>
          <w:tcPr>
            <w:tcW w:w="6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Restructuring charges (a)</w:t>
            </w:r>
          </w:p>
        </w:tc>
        <w:tc>
          <w:tcPr>
            <w:tcW w:w="67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59.8 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paid</w:t>
            </w:r>
          </w:p>
        </w:tc>
        <w:tc>
          <w:tcPr>
            <w:tcW w:w="67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(46.1)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DADADA"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Restructuring liability as at 31 December 2025</w:t>
            </w:r>
          </w:p>
        </w:tc>
        <w:tc>
          <w:tcPr>
            <w:tcW w:w="675" w:type="dxa"/>
            <w:gridSpan w:val="2"/>
            <w:tcBorders/>
            <w:shd w:fill="DADADA"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14.5</w:t>
            </w:r>
            <w:r>
              <w:rPr>
                <w:color w:val="000000"/>
              </w:rPr>
              <w:t> </w:t>
            </w:r>
          </w:p>
        </w:tc>
        <w:tc>
          <w:tcPr>
            <w:tcW w:w="196" w:type="dxa"/>
            <w:tcBorders/>
            <w:shd w:fill="DADAD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ADADA"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0.8</w:t>
            </w:r>
            <w:r>
              <w:rPr>
                <w:color w:val="000000"/>
              </w:rPr>
              <w:t> </w:t>
            </w:r>
          </w:p>
        </w:tc>
        <w:tc>
          <w:tcPr>
            <w:tcW w:w="263" w:type="dxa"/>
            <w:tcBorders/>
            <w:shd w:fill="DADAD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portion (b)</w:t>
            </w:r>
          </w:p>
        </w:tc>
        <w:tc>
          <w:tcPr>
            <w:tcW w:w="675"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14.5 </w:t>
            </w:r>
          </w:p>
        </w:tc>
        <w:tc>
          <w:tcPr>
            <w:tcW w:w="196" w:type="dxa"/>
            <w:tcBorders>
              <w:top w:val="single" w:sz="4"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Noncurrent portion</w:t>
            </w:r>
          </w:p>
        </w:tc>
        <w:tc>
          <w:tcPr>
            <w:tcW w:w="675" w:type="dxa"/>
            <w:gridSpan w:val="2"/>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40"/>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bottom w:val="single" w:sz="4"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675" w:type="dxa"/>
            <w:gridSpan w:val="2"/>
            <w:tcBorders>
              <w:bottom w:val="single" w:sz="4"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14.5</w:t>
            </w:r>
            <w:r>
              <w:rPr>
                <w:color w:val="000000"/>
              </w:rPr>
              <w:t> </w:t>
            </w:r>
          </w:p>
        </w:tc>
        <w:tc>
          <w:tcPr>
            <w:tcW w:w="196" w:type="dxa"/>
            <w:tcBorders>
              <w:bottom w:val="single" w:sz="4"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4"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0.8</w:t>
            </w:r>
            <w:r>
              <w:rPr>
                <w:color w:val="000000"/>
              </w:rPr>
              <w:t> </w:t>
            </w:r>
          </w:p>
        </w:tc>
        <w:tc>
          <w:tcPr>
            <w:tcW w:w="263" w:type="dxa"/>
            <w:tcBorders>
              <w:bottom w:val="single" w:sz="4"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0"/>
        <w:ind w:left="0" w:right="0" w:hanging="283"/>
        <w:jc w:val="left"/>
        <w:rPr/>
      </w:pPr>
      <w:r>
        <w:rPr>
          <w:rFonts w:ascii="sans-serif" w:hAnsi="sans-serif"/>
          <w:b w:val="false"/>
          <w:color w:val="000000"/>
          <w:sz w:val="14"/>
        </w:rPr>
        <w:t>(a)</w:t>
      </w:r>
      <w:r>
        <w:rPr>
          <w:rFonts w:ascii="sans-serif" w:hAnsi="sans-serif"/>
          <w:b w:val="false"/>
          <w:color w:val="000000"/>
          <w:sz w:val="16"/>
        </w:rPr>
        <w:t xml:space="preserve">Our restructuring charges during the year ended 31 December 2025 include the full cost of planned business restructuring programs entered into during the period, most of which are expected to be completed within the next 12 months. </w:t>
      </w:r>
    </w:p>
    <w:p>
      <w:pPr>
        <w:pStyle w:val="TextBody"/>
        <w:bidi w:val="0"/>
        <w:spacing w:lineRule="auto" w:line="336" w:before="0" w:after="0"/>
        <w:ind w:left="0" w:right="0" w:hanging="283"/>
        <w:jc w:val="left"/>
        <w:rPr/>
      </w:pPr>
      <w:r>
        <w:rPr>
          <w:rFonts w:ascii="sans-serif" w:hAnsi="sans-serif"/>
          <w:b w:val="false"/>
          <w:color w:val="000000"/>
          <w:sz w:val="14"/>
        </w:rPr>
        <w:t>(b)</w:t>
      </w:r>
      <w:r>
        <w:rPr>
          <w:rFonts w:ascii="sans-serif" w:hAnsi="sans-serif"/>
          <w:b w:val="false"/>
          <w:color w:val="000000"/>
          <w:sz w:val="16"/>
        </w:rPr>
        <w:t>The current portion of our restructuring liabilities is included within provisions in the consolidated statement of financial position.</w:t>
      </w:r>
    </w:p>
    <w:p>
      <w:pPr>
        <w:pStyle w:val="TextBody"/>
        <w:bidi w:val="0"/>
        <w:spacing w:before="0" w:after="0"/>
        <w:jc w:val="left"/>
        <w:rPr/>
      </w:pPr>
      <w:r>
        <w:rPr/>
      </w:r>
    </w:p>
    <w:p>
      <w:pPr>
        <w:pStyle w:val="TextBody"/>
        <w:bidi w:val="0"/>
        <w:spacing w:lineRule="auto" w:line="288" w:before="0" w:after="180"/>
        <w:jc w:val="left"/>
        <w:rPr>
          <w:rFonts w:ascii="sans-serif" w:hAnsi="sans-serif"/>
          <w:b w:val="false"/>
          <w:color w:val="000000"/>
          <w:sz w:val="18"/>
        </w:rPr>
      </w:pPr>
      <w:r>
        <w:rPr>
          <w:rFonts w:ascii="sans-serif" w:hAnsi="sans-serif"/>
          <w:b w:val="false"/>
          <w:color w:val="000000"/>
          <w:sz w:val="18"/>
        </w:rPr>
        <w:t>Additional restructuring charges are expected for 2026, due to ongoing reorganisation activities.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tLeast" w:line="220" w:before="0" w:after="283"/>
              <w:jc w:val="left"/>
              <w:rPr>
                <w:rFonts w:ascii="sans-serif" w:hAnsi="sans-serif"/>
                <w:b/>
                <w:color w:val="000000"/>
                <w:sz w:val="18"/>
              </w:rPr>
            </w:pPr>
            <w:r>
              <w:rPr>
                <w:rFonts w:ascii="sans-serif" w:hAnsi="sans-serif"/>
                <w:b/>
                <w:color w:val="000000"/>
                <w:sz w:val="18"/>
              </w:rPr>
              <w:t>Accounting policy - restructuring</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0F0F0"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Restructuring charges are recognised when (i) we have a present obligation (legal or constructive) as a result of a past event, (ii) it is more likely than not that we will be required to settle that obligation and (iii) a reliable estimate can be made of the amount of the obligation. These amounts are measured based on management’s best estimate of the costs required to settle the obligation. Where the effect is material, amounts are discounted to present value.</w:t>
            </w:r>
          </w:p>
        </w:tc>
        <w:tc>
          <w:tcPr>
            <w:tcW w:w="374" w:type="dxa"/>
            <w:gridSpan w:val="3"/>
            <w:tcBorders/>
            <w:shd w:fill="F0F0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lineRule="auto" w:line="288" w:before="0" w:after="250"/>
        <w:ind w:left="0" w:right="0" w:hanging="340"/>
        <w:jc w:val="left"/>
        <w:rPr>
          <w:rFonts w:ascii="sans-serif" w:hAnsi="sans-serif"/>
          <w:b/>
          <w:color w:val="000000"/>
          <w:sz w:val="24"/>
        </w:rPr>
      </w:pPr>
      <w:bookmarkStart w:id="83" w:name="i32014028b41b497885d37e9058d53c2e"/>
      <w:bookmarkEnd w:id="83"/>
      <w:r>
        <w:rPr>
          <w:rFonts w:ascii="sans-serif" w:hAnsi="sans-serif"/>
          <w:b/>
          <w:color w:val="000000"/>
          <w:sz w:val="24"/>
        </w:rPr>
        <w:t>22.    Off-balance sheet assets and liabilities</w:t>
      </w:r>
    </w:p>
    <w:p>
      <w:pPr>
        <w:pStyle w:val="TextBody"/>
        <w:bidi w:val="0"/>
        <w:spacing w:lineRule="auto" w:line="324" w:before="120" w:after="283"/>
        <w:jc w:val="left"/>
        <w:rPr>
          <w:rFonts w:ascii="sans-serif" w:hAnsi="sans-serif"/>
          <w:b/>
          <w:color w:val="F85F00"/>
          <w:sz w:val="20"/>
        </w:rPr>
      </w:pPr>
      <w:bookmarkStart w:id="84" w:name="ibf725858ffa64e91b4ffb368665b0e47"/>
      <w:bookmarkEnd w:id="84"/>
      <w:r>
        <w:rPr>
          <w:rFonts w:ascii="sans-serif" w:hAnsi="sans-serif"/>
          <w:b/>
          <w:color w:val="F85F00"/>
          <w:sz w:val="20"/>
        </w:rPr>
        <w:t>Commitments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 the normal course of business, we have entered into agreements that commit our company to make cash payments in future periods with respect to programming contracts, purchases of customer premises and other equipment and services and other items. Additionally, as described in note 23, we have commitments related to the JV Service Agreements. The following table sets forth these commitments as at 31 December 2025. As a result of the VodafoneZiggo Acquisition, certain of the agreements underlying the collective JV Service Agreements will be amended and restated or otherwise replaced. The commitments included in this table do not reflect any liabilities that are included in our 31 December 2025 consolidated statement of financial position.</w:t>
      </w:r>
    </w:p>
    <w:tbl>
      <w:tblPr>
        <w:tblW w:w="9535" w:type="dxa"/>
        <w:jc w:val="left"/>
        <w:tblInd w:w="0" w:type="dxa"/>
        <w:tblLayout w:type="fixed"/>
        <w:tblCellMar>
          <w:top w:w="28" w:type="dxa"/>
          <w:left w:w="28" w:type="dxa"/>
          <w:bottom w:w="28" w:type="dxa"/>
          <w:right w:w="28" w:type="dxa"/>
        </w:tblCellMar>
      </w:tblPr>
      <w:tblGrid>
        <w:gridCol w:w="965"/>
        <w:gridCol w:w="851"/>
        <w:gridCol w:w="854"/>
        <w:gridCol w:w="109"/>
        <w:gridCol w:w="109"/>
        <w:gridCol w:w="360"/>
        <w:gridCol w:w="361"/>
        <w:gridCol w:w="196"/>
        <w:gridCol w:w="360"/>
        <w:gridCol w:w="361"/>
        <w:gridCol w:w="196"/>
        <w:gridCol w:w="360"/>
        <w:gridCol w:w="361"/>
        <w:gridCol w:w="196"/>
        <w:gridCol w:w="360"/>
        <w:gridCol w:w="361"/>
        <w:gridCol w:w="196"/>
        <w:gridCol w:w="300"/>
        <w:gridCol w:w="301"/>
        <w:gridCol w:w="196"/>
        <w:gridCol w:w="395"/>
        <w:gridCol w:w="395"/>
        <w:gridCol w:w="396"/>
        <w:gridCol w:w="360"/>
        <w:gridCol w:w="361"/>
        <w:gridCol w:w="275"/>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1" w:type="dxa"/>
            <w:gridSpan w:val="18"/>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Payments due during:</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i/>
                <w:color w:val="000000"/>
                <w:sz w:val="18"/>
              </w:rPr>
            </w:pPr>
            <w:r>
              <w:rPr>
                <w:rFonts w:ascii="sans-serif" w:hAnsi="sans-serif"/>
                <w:b w:val="false"/>
                <w:i/>
                <w:color w:val="000000"/>
                <w:sz w:val="18"/>
              </w:rPr>
              <w:t>In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2027</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2028</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2029</w:t>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2030</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Thereafter</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Programming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113.8 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109.9 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100.7 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95.5 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55.5 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475.4 </w:t>
            </w:r>
          </w:p>
        </w:tc>
        <w:tc>
          <w:tcPr>
            <w:tcW w:w="2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Purchase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252.4 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JV Service Agreements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153.9 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Other commitments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83.9 </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ind w:left="0" w:right="0" w:hanging="180"/>
              <w:jc w:val="left"/>
              <w:rPr>
                <w:rFonts w:ascii="sans-serif" w:hAnsi="sans-serif"/>
                <w:b/>
                <w:color w:val="000000"/>
                <w:sz w:val="18"/>
              </w:rPr>
            </w:pPr>
            <w:r>
              <w:rPr>
                <w:rFonts w:ascii="sans-serif" w:hAnsi="sans-serif"/>
                <w:b/>
                <w:color w:val="000000"/>
                <w:sz w:val="18"/>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459.2</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175.0</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152.3</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108.5</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63.8</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6.8</w:t>
            </w:r>
            <w:r>
              <w:rPr>
                <w:color w:val="000000"/>
              </w:rPr>
              <w:t> </w:t>
            </w:r>
          </w:p>
        </w:tc>
        <w:tc>
          <w:tcPr>
            <w:tcW w:w="3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965.6</w:t>
            </w:r>
            <w:r>
              <w:rPr>
                <w:color w:val="000000"/>
              </w:rPr>
              <w:t> </w:t>
            </w:r>
          </w:p>
        </w:tc>
        <w:tc>
          <w:tcPr>
            <w:tcW w:w="27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240"/>
        <w:ind w:left="0" w:right="0" w:hanging="283"/>
        <w:jc w:val="left"/>
        <w:rPr/>
      </w:pPr>
      <w:r>
        <w:rPr>
          <w:rFonts w:ascii="sans-serif" w:hAnsi="sans-serif"/>
          <w:b w:val="false"/>
          <w:color w:val="000000"/>
          <w:sz w:val="14"/>
        </w:rPr>
        <w:t>(a)</w:t>
      </w:r>
      <w:r>
        <w:rPr>
          <w:rFonts w:ascii="sans-serif" w:hAnsi="sans-serif"/>
          <w:b w:val="false"/>
          <w:color w:val="000000"/>
          <w:sz w:val="16"/>
        </w:rPr>
        <w:t>Amounts represent fixed minimum charges from Liberty Global and Vodafone pursuant to the JV Service Agreements. In addition to the fixed minimum charges, the JV Service Agreements provide for certain JV Services to be charged to us based upon usage of the services received. The fixed minimum charges outlined in the table above exclude fees for the usage-based services as these fees will vary from period to period. Accordingly, we expect to incur charges in addition to those outlined in the table above for usage-based services. For additional information regarding the JV Service Agreements and the impact of the VodafoneZiggo Acquisition on those agreements, see note 23.</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Programming commitments consist of obligations associated with certain of our programming contracts that are enforceable and legally binding on us as we have agreed to pay minimum fees without regard to (i) the actual number of subscribers to the programming services or (ii) whether we terminate service to a portion of our subscribers or dispose of a portion of our distribution systems. In addition,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in 2025 and 2024 the programming and copyright costs incurred by our operations aggregated €328.6 million and €314.5 million, respectively.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Purchase commitments include unconditional and legally binding obligations related to the purchase of customer premises, other equipment and mobile handsets.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Other commitments primarily include sponsorships and certain fixed minimum contractual commitments. </w:t>
      </w:r>
    </w:p>
    <w:p>
      <w:pPr>
        <w:pStyle w:val="TextBody"/>
        <w:bidi w:val="0"/>
        <w:spacing w:before="0" w:after="24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52400"/>
                <wp:effectExtent l="0" t="0" r="0" b="0"/>
                <wp:wrapNone/>
                <wp:docPr id="49" name="Frame40"/>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35</w:t>
                      </w:r>
                    </w:p>
                  </w:txbxContent>
                </v:textbox>
                <w10:wrap type="none"/>
              </v:rect>
            </w:pict>
          </mc:Fallback>
        </mc:AlternateConten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 addition to the commitments outlined in the table above, we have commitments under (i) derivative instruments and (ii) multi-employer defined benefit plans, pursuant to which we expect to make payments in future periods. For information regarding our derivative instruments, including the net cash paid or received in connection with these instruments in 2025, see note 20.</w:t>
      </w:r>
    </w:p>
    <w:p>
      <w:pPr>
        <w:pStyle w:val="TextBody"/>
        <w:bidi w:val="0"/>
        <w:spacing w:lineRule="auto" w:line="324" w:before="120" w:after="283"/>
        <w:jc w:val="left"/>
        <w:rPr>
          <w:rFonts w:ascii="sans-serif" w:hAnsi="sans-serif"/>
          <w:b/>
          <w:color w:val="F85F00"/>
          <w:sz w:val="20"/>
        </w:rPr>
      </w:pPr>
      <w:bookmarkStart w:id="85" w:name="i01b5ab97eb564898bd318183097956ac"/>
      <w:bookmarkEnd w:id="85"/>
      <w:r>
        <w:rPr>
          <w:rFonts w:ascii="sans-serif" w:hAnsi="sans-serif"/>
          <w:b/>
          <w:color w:val="F85F00"/>
          <w:sz w:val="20"/>
        </w:rPr>
        <w:t>Guarantees and other credit enhancements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pStyle w:val="TextBody"/>
        <w:bidi w:val="0"/>
        <w:spacing w:lineRule="auto" w:line="324" w:before="120" w:after="283"/>
        <w:jc w:val="left"/>
        <w:rPr>
          <w:rFonts w:ascii="sans-serif" w:hAnsi="sans-serif"/>
          <w:b/>
          <w:color w:val="F85F00"/>
          <w:sz w:val="20"/>
        </w:rPr>
      </w:pPr>
      <w:bookmarkStart w:id="86" w:name="iab1ac2fa8c124620b7b625fabc2d8985"/>
      <w:bookmarkEnd w:id="86"/>
      <w:r>
        <w:rPr>
          <w:rFonts w:ascii="sans-serif" w:hAnsi="sans-serif"/>
          <w:b/>
          <w:color w:val="F85F00"/>
          <w:sz w:val="20"/>
        </w:rPr>
        <w:t>Regulations and contingencies</w:t>
      </w:r>
    </w:p>
    <w:p>
      <w:pPr>
        <w:pStyle w:val="TextBody"/>
        <w:bidi w:val="0"/>
        <w:spacing w:lineRule="atLeast" w:line="240" w:before="0" w:after="240"/>
        <w:jc w:val="left"/>
        <w:rPr/>
      </w:pPr>
      <w:r>
        <w:rPr>
          <w:rFonts w:ascii="sans-serif" w:hAnsi="sans-serif"/>
          <w:b w:val="false"/>
          <w:i/>
          <w:color w:val="000000"/>
          <w:sz w:val="18"/>
        </w:rPr>
        <w:t>VAT.</w:t>
      </w:r>
      <w:r>
        <w:rPr>
          <w:color w:val="000000"/>
        </w:rPr>
        <w:t xml:space="preserve"> </w:t>
      </w:r>
      <w:r>
        <w:rPr>
          <w:rFonts w:ascii="sans-serif" w:hAnsi="sans-serif"/>
          <w:b w:val="false"/>
          <w:color w:val="000000"/>
          <w:sz w:val="18"/>
        </w:rPr>
        <w:t>Our application of VAT with respect to certain mobile revenue generating activities has been challenged by the Dutch tax authorities in two different court cases. The Dutch tax authorities challenged the multipurpose character of certain mobile subscriptions that we entered into during 2017 and 2018. The initial verdict in both cases was in favour of the tax authorities. We appealed these decisions to the higher court and the hearing of both cases was held in February 2023. In May 2023, the higher court ruled in favour of the Dutch tax authorities in both cases. Accordingly, in 2023, we recorded a provision for litigation of €33.4 million. On 31 December 2025, the accrual for related interest expense totalled €5.3 million. In December 2025, we settled the full amount, including interest, of €38.7 million. We have filed an appeal in cassation, the timing and the final outcome of which remains uncertain.</w:t>
      </w:r>
    </w:p>
    <w:p>
      <w:pPr>
        <w:pStyle w:val="TextBody"/>
        <w:bidi w:val="0"/>
        <w:spacing w:lineRule="atLeast" w:line="240" w:before="0" w:after="240"/>
        <w:jc w:val="left"/>
        <w:rPr/>
      </w:pPr>
      <w:r>
        <w:rPr>
          <w:rFonts w:ascii="sans-serif" w:hAnsi="sans-serif"/>
          <w:b w:val="false"/>
          <w:i/>
          <w:color w:val="000000"/>
          <w:sz w:val="18"/>
        </w:rPr>
        <w:t>Regulatory compliance audits.</w:t>
      </w:r>
      <w:r>
        <w:rPr>
          <w:color w:val="000000"/>
        </w:rPr>
        <w:t xml:space="preserve"> </w:t>
      </w:r>
      <w:r>
        <w:rPr>
          <w:rFonts w:ascii="sans-serif" w:hAnsi="sans-serif"/>
          <w:b w:val="false"/>
          <w:color w:val="000000"/>
          <w:sz w:val="18"/>
        </w:rPr>
        <w:t>From time to time, we are subject to certain regulatory compliance audits. During the second half of 2025, we received provisional findings of deficiencies from one of those audits. We are proactively addressing those findings and working collaboratively with the regulator to ensure that provisional findings are satisfactorily addressed and, if necessary, remediated. At this time, it is not possible to reliably determine a range of loss, if any, due to the provisional nature of the findings.</w:t>
      </w:r>
    </w:p>
    <w:p>
      <w:pPr>
        <w:pStyle w:val="TextBody"/>
        <w:bidi w:val="0"/>
        <w:spacing w:lineRule="atLeast" w:line="240" w:before="0" w:after="240"/>
        <w:jc w:val="left"/>
        <w:rPr/>
      </w:pPr>
      <w:r>
        <w:rPr>
          <w:rFonts w:ascii="sans-serif" w:hAnsi="sans-serif"/>
          <w:b w:val="false"/>
          <w:i/>
          <w:color w:val="000000"/>
          <w:sz w:val="18"/>
        </w:rPr>
        <w:t>Other regulatory matters</w:t>
      </w:r>
      <w:r>
        <w:rPr>
          <w:rFonts w:ascii="sans-serif" w:hAnsi="sans-serif"/>
          <w:b w:val="false"/>
          <w:color w:val="000000"/>
          <w:sz w:val="18"/>
        </w:rPr>
        <w:t>. Broadband internet, video distribution, fixed-line telephony, mobile and content businesses are subject to significant regulation and supervision by various regulatory bodies in the Netherlands, including Dutch and EU authorities. Adverse regulatory developments could subject our business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 to various penalties.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clear basis for predicting outcomes, we cannot provide a meaningful range of potential losses or cash outflows that might result from any unfavourable outcomes.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52400"/>
                <wp:effectExtent l="0" t="0" r="0" b="0"/>
                <wp:wrapNone/>
                <wp:docPr id="50" name="Frame41"/>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36</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87" w:name="ife956da5a50b487a897de0895eaf4628"/>
      <w:bookmarkEnd w:id="87"/>
      <w:r>
        <w:rPr>
          <w:rFonts w:ascii="sans-serif" w:hAnsi="sans-serif"/>
          <w:b/>
          <w:color w:val="000000"/>
          <w:sz w:val="24"/>
        </w:rPr>
        <w:t xml:space="preserve">23.    Transactions with related parties </w:t>
      </w:r>
    </w:p>
    <w:p>
      <w:pPr>
        <w:pStyle w:val="TextBody"/>
        <w:bidi w:val="0"/>
        <w:spacing w:lineRule="auto" w:line="324" w:before="120" w:after="283"/>
        <w:jc w:val="left"/>
        <w:rPr>
          <w:rFonts w:ascii="sans-serif" w:hAnsi="sans-serif"/>
          <w:b/>
          <w:color w:val="F85F00"/>
          <w:sz w:val="20"/>
        </w:rPr>
      </w:pPr>
      <w:bookmarkStart w:id="88" w:name="i603f13a49a9e49959e4fd4f4bce62d76"/>
      <w:bookmarkEnd w:id="88"/>
      <w:r>
        <w:rPr>
          <w:rFonts w:ascii="sans-serif" w:hAnsi="sans-serif"/>
          <w:b/>
          <w:color w:val="F85F00"/>
          <w:sz w:val="20"/>
        </w:rPr>
        <w:t>Transactions with shareholders</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The transactions with (subsidiaries of) our shareholders for the periods are as follows:</w:t>
      </w:r>
    </w:p>
    <w:tbl>
      <w:tblPr>
        <w:tblW w:w="9045" w:type="dxa"/>
        <w:jc w:val="left"/>
        <w:tblInd w:w="0" w:type="dxa"/>
        <w:tblLayout w:type="fixed"/>
        <w:tblCellMar>
          <w:top w:w="28" w:type="dxa"/>
          <w:left w:w="28" w:type="dxa"/>
          <w:bottom w:w="28" w:type="dxa"/>
          <w:right w:w="28" w:type="dxa"/>
        </w:tblCellMar>
      </w:tblPr>
      <w:tblGrid>
        <w:gridCol w:w="2349"/>
        <w:gridCol w:w="2070"/>
        <w:gridCol w:w="2076"/>
        <w:gridCol w:w="405"/>
        <w:gridCol w:w="405"/>
        <w:gridCol w:w="382"/>
        <w:gridCol w:w="405"/>
        <w:gridCol w:w="405"/>
        <w:gridCol w:w="548"/>
      </w:tblGrid>
      <w:tr>
        <w:trPr/>
        <w:tc>
          <w:tcPr>
            <w:tcW w:w="2349"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575756"/>
                <w:sz w:val="18"/>
              </w:rPr>
            </w:pPr>
            <w:r>
              <w:rPr>
                <w:rFonts w:ascii="sans-serif" w:hAnsi="sans-serif"/>
                <w:b w:val="false"/>
                <w:color w:val="575756"/>
                <w:sz w:val="18"/>
              </w:rPr>
              <w:t>In € millions</w:t>
            </w:r>
          </w:p>
        </w:tc>
        <w:tc>
          <w:tcPr>
            <w:tcW w:w="1192"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358"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649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Revenue</w:t>
            </w:r>
          </w:p>
        </w:tc>
        <w:tc>
          <w:tcPr>
            <w:tcW w:w="810"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28.1 </w:t>
            </w:r>
          </w:p>
        </w:tc>
        <w:tc>
          <w:tcPr>
            <w:tcW w:w="382"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39.1 </w:t>
            </w:r>
          </w:p>
        </w:tc>
        <w:tc>
          <w:tcPr>
            <w:tcW w:w="548"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 of outsourced work and other external costs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(33.8)</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(36.6)</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Wages and salaries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9.3 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9.1 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Share-based compensation expense</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Related party framework and trade name agreement charges:</w:t>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Charges from Liberty Global:</w:t>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Operating</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(78.5)</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(81.5)</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Capital</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(15.9)</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(16.3)</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Liberty Global corporate charges</w:t>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(94.4)</w:t>
            </w:r>
          </w:p>
        </w:tc>
        <w:tc>
          <w:tcPr>
            <w:tcW w:w="382"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(97.8)</w:t>
            </w:r>
          </w:p>
        </w:tc>
        <w:tc>
          <w:tcPr>
            <w:tcW w:w="54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Charges from Vodafone Group:</w:t>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Operating</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(66.3)</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130" w:after="40"/>
              <w:jc w:val="both"/>
              <w:rPr>
                <w:rFonts w:ascii="sans-serif" w:hAnsi="sans-serif"/>
                <w:b w:val="false"/>
                <w:color w:val="000000"/>
                <w:sz w:val="18"/>
              </w:rPr>
            </w:pPr>
            <w:r>
              <w:rPr>
                <w:rFonts w:ascii="sans-serif" w:hAnsi="sans-serif"/>
                <w:b w:val="false"/>
                <w:color w:val="000000"/>
                <w:sz w:val="18"/>
              </w:rPr>
              <w:t>Trade name fees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(30.0)</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(30.0)</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Vodafone Group corporate charges</w:t>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(86.3)</w:t>
            </w:r>
          </w:p>
        </w:tc>
        <w:tc>
          <w:tcPr>
            <w:tcW w:w="382"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(96.3)</w:t>
            </w:r>
          </w:p>
        </w:tc>
        <w:tc>
          <w:tcPr>
            <w:tcW w:w="54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related party framework agreement charges</w:t>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(180.7)</w:t>
            </w:r>
          </w:p>
        </w:tc>
        <w:tc>
          <w:tcPr>
            <w:tcW w:w="382"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(194.1)</w:t>
            </w:r>
          </w:p>
        </w:tc>
        <w:tc>
          <w:tcPr>
            <w:tcW w:w="54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Included in operating profit</w:t>
            </w:r>
          </w:p>
        </w:tc>
        <w:tc>
          <w:tcPr>
            <w:tcW w:w="81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(177.3)</w:t>
            </w:r>
          </w:p>
        </w:tc>
        <w:tc>
          <w:tcPr>
            <w:tcW w:w="382"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(182.5)</w:t>
            </w:r>
          </w:p>
        </w:tc>
        <w:tc>
          <w:tcPr>
            <w:tcW w:w="548"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Finance costs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(102.2)</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(102.5)</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Included in loss before tax</w:t>
            </w:r>
          </w:p>
        </w:tc>
        <w:tc>
          <w:tcPr>
            <w:tcW w:w="81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(279.5)</w:t>
            </w:r>
          </w:p>
        </w:tc>
        <w:tc>
          <w:tcPr>
            <w:tcW w:w="382"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(285.0)</w:t>
            </w:r>
          </w:p>
        </w:tc>
        <w:tc>
          <w:tcPr>
            <w:tcW w:w="548"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Property and equipment additions, net</w:t>
            </w:r>
          </w:p>
        </w:tc>
        <w:tc>
          <w:tcPr>
            <w:tcW w:w="810"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163.6</w:t>
            </w:r>
            <w:r>
              <w:rPr>
                <w:color w:val="000000"/>
              </w:rPr>
              <w:t> </w:t>
            </w:r>
          </w:p>
        </w:tc>
        <w:tc>
          <w:tcPr>
            <w:tcW w:w="382"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168.1</w:t>
            </w:r>
            <w:r>
              <w:rPr>
                <w:color w:val="000000"/>
              </w:rPr>
              <w:t> </w:t>
            </w:r>
          </w:p>
        </w:tc>
        <w:tc>
          <w:tcPr>
            <w:tcW w:w="548"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7"/>
        <w:jc w:val="left"/>
        <w:rPr/>
      </w:pPr>
      <w:r>
        <w:rPr/>
      </w:r>
    </w:p>
    <w:p>
      <w:pPr>
        <w:pStyle w:val="TextBody"/>
        <w:bidi w:val="0"/>
        <w:spacing w:lineRule="auto" w:line="288" w:before="0" w:after="240"/>
        <w:jc w:val="left"/>
        <w:rPr/>
      </w:pPr>
      <w:r>
        <w:rPr>
          <w:rFonts w:ascii="sans-serif" w:hAnsi="sans-serif"/>
          <w:b w:val="false"/>
          <w:i/>
          <w:color w:val="000000"/>
          <w:sz w:val="18"/>
        </w:rPr>
        <w:t>Revenue.</w:t>
      </w:r>
      <w:r>
        <w:rPr>
          <w:color w:val="000000"/>
        </w:rPr>
        <w:t xml:space="preserve"> </w:t>
      </w:r>
      <w:r>
        <w:rPr>
          <w:rFonts w:ascii="sans-serif" w:hAnsi="sans-serif"/>
          <w:b w:val="false"/>
          <w:color w:val="000000"/>
          <w:sz w:val="18"/>
        </w:rPr>
        <w:t>Amount represents interconnect fees charged by us to certain subsidiaries of Vodafone Group.</w:t>
      </w:r>
    </w:p>
    <w:p>
      <w:pPr>
        <w:pStyle w:val="TextBody"/>
        <w:bidi w:val="0"/>
        <w:spacing w:lineRule="auto" w:line="288" w:before="0" w:after="240"/>
        <w:jc w:val="left"/>
        <w:rPr/>
      </w:pPr>
      <w:r>
        <w:rPr>
          <w:rFonts w:ascii="sans-serif" w:hAnsi="sans-serif"/>
          <w:b w:val="false"/>
          <w:i/>
          <w:color w:val="000000"/>
          <w:sz w:val="18"/>
        </w:rPr>
        <w:t>Cost of outsourced work and other external costs.</w:t>
      </w:r>
      <w:r>
        <w:rPr>
          <w:color w:val="000000"/>
        </w:rPr>
        <w:t xml:space="preserve"> </w:t>
      </w:r>
      <w:r>
        <w:rPr>
          <w:rFonts w:ascii="sans-serif" w:hAnsi="sans-serif"/>
          <w:b w:val="false"/>
          <w:color w:val="000000"/>
          <w:sz w:val="18"/>
        </w:rPr>
        <w:t>Amounts represent interconnect fees charged to us by certain subsidiaries of Vodafone Group.</w:t>
      </w:r>
    </w:p>
    <w:p>
      <w:pPr>
        <w:pStyle w:val="TextBody"/>
        <w:bidi w:val="0"/>
        <w:spacing w:lineRule="auto" w:line="288" w:before="0" w:after="240"/>
        <w:jc w:val="left"/>
        <w:rPr/>
      </w:pPr>
      <w:r>
        <w:rPr>
          <w:rFonts w:ascii="sans-serif" w:hAnsi="sans-serif"/>
          <w:b w:val="false"/>
          <w:i/>
          <w:color w:val="000000"/>
          <w:sz w:val="18"/>
        </w:rPr>
        <w:t>Wages and salaries.</w:t>
      </w:r>
      <w:r>
        <w:rPr>
          <w:color w:val="000000"/>
        </w:rPr>
        <w:t xml:space="preserve"> </w:t>
      </w:r>
      <w:r>
        <w:rPr>
          <w:rFonts w:ascii="sans-serif" w:hAnsi="sans-serif"/>
          <w:b w:val="false"/>
          <w:color w:val="000000"/>
          <w:sz w:val="18"/>
        </w:rPr>
        <w:t>Amount represents recharges for certain personnel services provided to Vodafone Group and Liberty Global.</w:t>
      </w:r>
    </w:p>
    <w:p>
      <w:pPr>
        <w:pStyle w:val="TextBody"/>
        <w:bidi w:val="0"/>
        <w:spacing w:lineRule="auto" w:line="288" w:before="0" w:after="240"/>
        <w:jc w:val="both"/>
        <w:rPr/>
      </w:pPr>
      <w:r>
        <w:rPr>
          <w:rFonts w:ascii="sans-serif" w:hAnsi="sans-serif"/>
          <w:b w:val="false"/>
          <w:i/>
          <w:color w:val="000000"/>
          <w:sz w:val="18"/>
        </w:rPr>
        <w:t>Share-based compensation expense.</w:t>
      </w:r>
      <w:r>
        <w:rPr>
          <w:color w:val="000000"/>
        </w:rPr>
        <w:t xml:space="preserve"> </w:t>
      </w:r>
      <w:r>
        <w:rPr>
          <w:rFonts w:ascii="sans-serif" w:hAnsi="sans-serif"/>
          <w:b w:val="false"/>
          <w:color w:val="000000"/>
          <w:sz w:val="18"/>
        </w:rPr>
        <w:t>Amounts relate to charges to our company by Liberty Global and Vodafone Group for share-based incentive awards held by certain employees of our subsidiaries associated with ordinary shares of Liberty Global and Vodafone Group. Share-based compensation expense is included within impairment, restructuring and other operating expenses, net in our consolidated statement of profit or loss and other comprehensive income.</w:t>
      </w:r>
    </w:p>
    <w:p>
      <w:pPr>
        <w:pStyle w:val="TextBody"/>
        <w:bidi w:val="0"/>
        <w:spacing w:lineRule="atLeast" w:line="240" w:before="0" w:after="240"/>
        <w:jc w:val="left"/>
        <w:rPr/>
      </w:pPr>
      <w:r>
        <w:rPr>
          <w:rFonts w:ascii="sans-serif" w:hAnsi="sans-serif"/>
          <w:b w:val="false"/>
          <w:i/>
          <w:color w:val="000000"/>
          <w:sz w:val="18"/>
        </w:rPr>
        <w:t>Related party framework agreement charges.</w:t>
      </w:r>
      <w:r>
        <w:rPr>
          <w:color w:val="000000"/>
        </w:rPr>
        <w:t xml:space="preserve"> </w:t>
      </w:r>
    </w:p>
    <w:p>
      <w:pPr>
        <w:pStyle w:val="TextBody"/>
        <w:bidi w:val="0"/>
        <w:spacing w:lineRule="atLeast" w:line="240" w:before="0" w:after="240"/>
        <w:jc w:val="left"/>
        <w:rPr/>
      </w:pPr>
      <w:r>
        <w:rPr>
          <w:rFonts w:ascii="sans-serif" w:hAnsi="sans-serif"/>
          <w:b w:val="false"/>
          <w:i/>
          <w:color w:val="000000"/>
          <w:sz w:val="18"/>
        </w:rPr>
        <w:t xml:space="preserve">Charges from Liberty Global. </w:t>
      </w:r>
      <w:r>
        <w:rPr>
          <w:rFonts w:ascii="sans-serif" w:hAnsi="sans-serif"/>
          <w:b w:val="false"/>
          <w:color w:val="000000"/>
          <w:sz w:val="18"/>
        </w:rPr>
        <w:t>Operating charges represent amounts charged by Liberty Global for technology and other services, a portion of which are included in the calculation of the ‘EBITDA’ metric specified by our debt agreements (Covenant EBITDA). Capital charges represents amounts charged for capital expenditures made by Liberty Global related to assets that we use or will otherwise benefit our company. These charges are not included in the calculation of Covenant EBITDA.</w:t>
      </w:r>
    </w:p>
    <w:p>
      <w:pPr>
        <w:pStyle w:val="TextBody"/>
        <w:bidi w:val="0"/>
        <w:spacing w:lineRule="atLeast" w:line="240" w:before="0" w:after="240"/>
        <w:jc w:val="left"/>
        <w:rPr/>
      </w:pPr>
      <w:r>
        <w:rPr>
          <w:rFonts w:ascii="sans-serif" w:hAnsi="sans-serif"/>
          <w:b w:val="false"/>
          <w:i/>
          <w:color w:val="000000"/>
          <w:sz w:val="18"/>
        </w:rPr>
        <w:t xml:space="preserve">Charges from Vodafone Group. </w:t>
      </w:r>
      <w:r>
        <w:rPr>
          <w:rFonts w:ascii="sans-serif" w:hAnsi="sans-serif"/>
          <w:b w:val="false"/>
          <w:color w:val="000000"/>
          <w:sz w:val="18"/>
        </w:rPr>
        <w:t>Operating charges represent amounts charged by Vodafone Group for technology and other services, a portion of which are included in the calculation of Covenant EBITDA. Trade name fees represent amounts charged for our use of the Vodafone brand name. These charges are not included in the calculation of Covenant EBITDA.</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Pursuant to a framework and a trade name agreement (collectively, the JV Service Agreements), Liberty Global and Vodafone Group charge us fees for certain services provided to us by the respective subsidiaries of the shareholders (collectively, the JV Services). Pursuant to the terms of the JV Service Agreements, the JV Services can be terminated based on specified notice periods. The JV Services provided by the respective subsidiaries of the shareholders consist primarily of (i) technology and other services, (ii) capital-related expenditures for assets that we use or otherwise benefit us, and (iii) brand name and procurement fees. The fees that Liberty Global and Vodafone Group charge us for the JV Services, as set forth in the table above, include both fixed and usage-based fees. As a result of the VodafoneZiggo Acquisition, certain of the agreements underlying the collective JV Service Agreements have been or will be amended and restated or otherwise replaced. For further information regarding future commitments related to the framework agreement, see note 22. </w:t>
      </w:r>
    </w:p>
    <w:p>
      <w:pPr>
        <w:pStyle w:val="TextBody"/>
        <w:bidi w:val="0"/>
        <w:spacing w:lineRule="auto" w:line="288" w:before="0" w:after="240"/>
        <w:jc w:val="left"/>
        <w:rPr/>
      </w:pPr>
      <w:r>
        <w:rPr>
          <w:rFonts w:ascii="sans-serif" w:hAnsi="sans-serif"/>
          <w:b w:val="false"/>
          <w:i/>
          <w:color w:val="000000"/>
          <w:sz w:val="18"/>
        </w:rPr>
        <w:t>Finance costs.</w:t>
      </w:r>
      <w:r>
        <w:rPr>
          <w:color w:val="000000"/>
        </w:rPr>
        <w:t xml:space="preserve"> </w:t>
      </w:r>
      <w:r>
        <w:rPr>
          <w:rFonts w:ascii="sans-serif" w:hAnsi="sans-serif"/>
          <w:b w:val="false"/>
          <w:color w:val="000000"/>
          <w:sz w:val="18"/>
        </w:rPr>
        <w:t>Amount relates to the Liberty Global Notes Payable and the Vodafone Notes Payable, as defined and described below.</w:t>
      </w:r>
    </w:p>
    <w:p>
      <w:pPr>
        <w:pStyle w:val="TextBody"/>
        <w:bidi w:val="0"/>
        <w:spacing w:lineRule="auto" w:line="288" w:before="0" w:after="240"/>
        <w:jc w:val="left"/>
        <w:rPr/>
      </w:pPr>
      <w:r>
        <w:rPr>
          <w:rFonts w:ascii="sans-serif" w:hAnsi="sans-serif"/>
          <w:b w:val="false"/>
          <w:i/>
          <w:color w:val="000000"/>
          <w:sz w:val="18"/>
        </w:rPr>
        <w:t>Property and equipment additions, net.</w:t>
      </w:r>
      <w:r>
        <w:rPr>
          <w:color w:val="000000"/>
        </w:rPr>
        <w:t xml:space="preserve"> </w:t>
      </w:r>
      <w:r>
        <w:rPr>
          <w:rFonts w:ascii="sans-serif" w:hAnsi="sans-serif"/>
          <w:b w:val="false"/>
          <w:color w:val="000000"/>
          <w:sz w:val="18"/>
        </w:rPr>
        <w:t>These amounts, which are cash settled, represent customer premises and network-related equipment acquired from certain Liberty Global and Vodafone Group subsidiaries, that centrally procure equipment on behalf of our company.</w:t>
      </w:r>
    </w:p>
    <w:p>
      <w:pPr>
        <w:pStyle w:val="TextBody"/>
        <w:bidi w:val="0"/>
        <w:spacing w:lineRule="auto" w:line="288"/>
        <w:jc w:val="both"/>
        <w:rPr>
          <w:rFonts w:ascii="sans-serif" w:hAnsi="sans-serif"/>
          <w:b w:val="false"/>
          <w:color w:val="000000"/>
          <w:sz w:val="18"/>
        </w:rPr>
      </w:pPr>
      <w:r>
        <w:rPr>
          <w:rFonts w:ascii="sans-serif" w:hAnsi="sans-serif"/>
          <w:b w:val="false"/>
          <w:color w:val="000000"/>
          <w:sz w:val="18"/>
        </w:rPr>
        <w:t>The following table provides details of our balances with (subsidiaries of) our shareholders:</w:t>
      </w:r>
    </w:p>
    <w:p>
      <w:pPr>
        <w:pStyle w:val="TextBody"/>
        <w:bidi w:val="0"/>
        <w:spacing w:before="0" w:after="24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52400"/>
                <wp:effectExtent l="0" t="0" r="0" b="0"/>
                <wp:wrapNone/>
                <wp:docPr id="51" name="Frame42"/>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37</w:t>
                      </w:r>
                    </w:p>
                  </w:txbxContent>
                </v:textbox>
                <w10:wrap type="none"/>
              </v:rect>
            </w:pict>
          </mc:Fallback>
        </mc:AlternateContent>
      </w:r>
    </w:p>
    <w:tbl>
      <w:tblPr>
        <w:tblW w:w="5187" w:type="dxa"/>
        <w:jc w:val="left"/>
        <w:tblInd w:w="0" w:type="dxa"/>
        <w:tblLayout w:type="fixed"/>
        <w:tblCellMar>
          <w:top w:w="28" w:type="dxa"/>
          <w:left w:w="28" w:type="dxa"/>
          <w:bottom w:w="28" w:type="dxa"/>
          <w:right w:w="28" w:type="dxa"/>
        </w:tblCellMar>
      </w:tblPr>
      <w:tblGrid>
        <w:gridCol w:w="1025"/>
        <w:gridCol w:w="903"/>
        <w:gridCol w:w="906"/>
        <w:gridCol w:w="468"/>
        <w:gridCol w:w="448"/>
        <w:gridCol w:w="214"/>
        <w:gridCol w:w="500"/>
        <w:gridCol w:w="416"/>
        <w:gridCol w:w="307"/>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130"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223" w:type="dxa"/>
            <w:gridSpan w:val="3"/>
            <w:tcBorders>
              <w:top w:val="single" w:sz="4" w:space="0" w:color="575756"/>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2024</w:t>
            </w:r>
          </w:p>
        </w:tc>
      </w:tr>
      <w:tr>
        <w:trPr/>
        <w:tc>
          <w:tcPr>
            <w:tcW w:w="2834"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Assets:</w:t>
            </w:r>
          </w:p>
        </w:tc>
        <w:tc>
          <w:tcPr>
            <w:tcW w:w="1130"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receivables</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35.5 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Liabilities:</w:t>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payables</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148.4 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126.8 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Accruals and deferred income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Debt (c):</w:t>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Liberty Global Notes</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907.9 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907.9 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Vodafone Group Notes</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907.9 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907.9 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Non-current lease liabilities</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0.5 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liabilities</w:t>
            </w:r>
          </w:p>
        </w:tc>
        <w:tc>
          <w:tcPr>
            <w:tcW w:w="91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1,967.5</w:t>
            </w:r>
            <w:r>
              <w:rPr>
                <w:color w:val="000000"/>
              </w:rPr>
              <w:t> </w:t>
            </w:r>
          </w:p>
        </w:tc>
        <w:tc>
          <w:tcPr>
            <w:tcW w:w="214"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1,950.5</w:t>
            </w:r>
            <w:r>
              <w:rPr>
                <w:color w:val="000000"/>
              </w:rPr>
              <w:t> </w:t>
            </w:r>
          </w:p>
        </w:tc>
        <w:tc>
          <w:tcPr>
            <w:tcW w:w="307"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88"/>
        <w:jc w:val="left"/>
        <w:rPr/>
      </w:pPr>
      <w:r>
        <w:rPr/>
      </w:r>
    </w:p>
    <w:p>
      <w:pPr>
        <w:pStyle w:val="TextBody"/>
        <w:bidi w:val="0"/>
        <w:spacing w:lineRule="atLeast" w:line="240" w:before="0" w:after="240"/>
        <w:jc w:val="left"/>
        <w:rPr/>
      </w:pPr>
      <w:bookmarkStart w:id="89" w:name="iea06c75c064244939b5f7cbd07fc62ea"/>
      <w:bookmarkEnd w:id="89"/>
      <w:r>
        <w:rPr>
          <w:rFonts w:ascii="sans-serif" w:hAnsi="sans-serif"/>
          <w:b w:val="false"/>
          <w:i/>
          <w:color w:val="000000"/>
          <w:sz w:val="18"/>
        </w:rPr>
        <w:t>Trade and other receivables</w:t>
      </w:r>
      <w:r>
        <w:rPr>
          <w:rFonts w:ascii="sans-serif" w:hAnsi="sans-serif"/>
          <w:b w:val="false"/>
          <w:color w:val="000000"/>
          <w:sz w:val="18"/>
        </w:rPr>
        <w:t>. Amount represents non-interest bearing receivables from certain Liberty Global and Vodafone Group subsidiaries.</w:t>
      </w:r>
    </w:p>
    <w:p>
      <w:pPr>
        <w:pStyle w:val="TextBody"/>
        <w:bidi w:val="0"/>
        <w:spacing w:lineRule="atLeast" w:line="240" w:before="0" w:after="240"/>
        <w:jc w:val="left"/>
        <w:rPr/>
      </w:pPr>
      <w:r>
        <w:rPr>
          <w:rFonts w:ascii="sans-serif" w:hAnsi="sans-serif"/>
          <w:b w:val="false"/>
          <w:i/>
          <w:color w:val="000000"/>
          <w:sz w:val="18"/>
        </w:rPr>
        <w:t>Trade and other payables and Accruals and defer</w:t>
      </w:r>
      <w:r>
        <w:rPr>
          <w:rFonts w:ascii="sans-serif" w:hAnsi="sans-serif"/>
          <w:b w:val="false"/>
          <w:color w:val="000000"/>
          <w:sz w:val="18"/>
        </w:rPr>
        <w:t>re</w:t>
      </w:r>
      <w:r>
        <w:rPr>
          <w:rFonts w:ascii="sans-serif" w:hAnsi="sans-serif"/>
          <w:b w:val="false"/>
          <w:i/>
          <w:color w:val="000000"/>
          <w:sz w:val="18"/>
        </w:rPr>
        <w:t>d income</w:t>
      </w:r>
      <w:r>
        <w:rPr>
          <w:rFonts w:ascii="sans-serif" w:hAnsi="sans-serif"/>
          <w:b w:val="false"/>
          <w:color w:val="000000"/>
          <w:sz w:val="18"/>
        </w:rPr>
        <w:t>. Amount represents non-interest bearing payables, accrued capital expenditures and other accrued liabilities related to transactions with certain Liberty Global and Vodafone Group subsidiaries that are cash settled.</w:t>
      </w:r>
    </w:p>
    <w:p>
      <w:pPr>
        <w:pStyle w:val="TextBody"/>
        <w:bidi w:val="0"/>
        <w:spacing w:lineRule="atLeast" w:line="240" w:before="0" w:after="240"/>
        <w:jc w:val="left"/>
        <w:rPr/>
      </w:pPr>
      <w:r>
        <w:rPr>
          <w:rFonts w:ascii="sans-serif" w:hAnsi="sans-serif"/>
          <w:b w:val="false"/>
          <w:i/>
          <w:color w:val="000000"/>
          <w:sz w:val="18"/>
        </w:rPr>
        <w:t>Non-current lease liabilities.</w:t>
      </w:r>
      <w:r>
        <w:rPr>
          <w:color w:val="000000"/>
        </w:rPr>
        <w:t xml:space="preserve"> </w:t>
      </w:r>
      <w:r>
        <w:rPr>
          <w:rFonts w:ascii="sans-serif" w:hAnsi="sans-serif"/>
          <w:b w:val="false"/>
          <w:color w:val="000000"/>
          <w:sz w:val="18"/>
        </w:rPr>
        <w:t>Amount represents lease liabilities, related to Vodafone.</w:t>
      </w:r>
    </w:p>
    <w:p>
      <w:pPr>
        <w:pStyle w:val="TextBody"/>
        <w:bidi w:val="0"/>
        <w:spacing w:lineRule="auto" w:line="288" w:before="120" w:after="283"/>
        <w:jc w:val="left"/>
        <w:rPr>
          <w:rFonts w:ascii="sans-serif" w:hAnsi="sans-serif"/>
          <w:b/>
          <w:color w:val="000000"/>
          <w:sz w:val="18"/>
        </w:rPr>
      </w:pPr>
      <w:bookmarkStart w:id="90" w:name="iac48cb5af20f4e53a5aee19f88c0d3f4"/>
      <w:bookmarkEnd w:id="90"/>
      <w:r>
        <w:rPr>
          <w:rFonts w:ascii="sans-serif" w:hAnsi="sans-serif"/>
          <w:b/>
          <w:color w:val="000000"/>
          <w:sz w:val="18"/>
        </w:rPr>
        <w:t>Related-party debt</w:t>
      </w:r>
    </w:p>
    <w:p>
      <w:pPr>
        <w:pStyle w:val="TextBody"/>
        <w:bidi w:val="0"/>
        <w:spacing w:lineRule="atLeast" w:line="240" w:before="0" w:after="240"/>
        <w:jc w:val="left"/>
        <w:rPr/>
      </w:pPr>
      <w:r>
        <w:rPr>
          <w:rFonts w:ascii="sans-serif" w:hAnsi="sans-serif"/>
          <w:b w:val="false"/>
          <w:i/>
          <w:color w:val="000000"/>
          <w:sz w:val="18"/>
        </w:rPr>
        <w:t>Liberty Global Notes.</w:t>
      </w:r>
      <w:r>
        <w:rPr>
          <w:color w:val="000000"/>
        </w:rPr>
        <w:t xml:space="preserve"> </w:t>
      </w:r>
      <w:r>
        <w:rPr>
          <w:rFonts w:ascii="sans-serif" w:hAnsi="sans-serif"/>
          <w:b w:val="false"/>
          <w:color w:val="000000"/>
          <w:sz w:val="18"/>
        </w:rPr>
        <w:t>The Liberty Global Notes Payable comprise (i) a euro-denominated note payable to a subsidiary of Liberty Global with a principal amount of €700.0 million on 31 December 2025 (the Liberty Global Note Payable I) and (ii) a euro-denominated note payable to a subsidiary of Liberty Global with a principal amount of €207.9 million on 31 December 2025 (the Liberty Global Note Payable II, and, together with the Liberty Global Note Payable I, the Liberty Global Notes Payable). The Liberty Global Notes Payable each bear interest at a fixed rate of 5.55% and have a final maturity date of 31 December 2030. During the year ended 31 December 2025, interest accrued on the Liberty Global Notes Payable was €51.1</w:t>
      </w:r>
      <w:r>
        <w:rPr>
          <w:color w:val="000000"/>
          <w:shd w:fill="FFFFFF" w:val="clear"/>
        </w:rPr>
        <w:t xml:space="preserve"> </w:t>
      </w:r>
      <w:r>
        <w:rPr>
          <w:rFonts w:ascii="sans-serif" w:hAnsi="sans-serif"/>
          <w:b w:val="false"/>
          <w:color w:val="000000"/>
          <w:sz w:val="18"/>
          <w:shd w:fill="FFFFFF" w:val="clear"/>
        </w:rPr>
        <w:t>m</w:t>
      </w:r>
      <w:r>
        <w:rPr>
          <w:rFonts w:ascii="sans-serif" w:hAnsi="sans-serif"/>
          <w:b w:val="false"/>
          <w:color w:val="000000"/>
          <w:sz w:val="18"/>
        </w:rPr>
        <w:t>illion, all of which has been cash settled.</w:t>
      </w:r>
    </w:p>
    <w:p>
      <w:pPr>
        <w:pStyle w:val="TextBody"/>
        <w:bidi w:val="0"/>
        <w:spacing w:lineRule="atLeast" w:line="240" w:before="0" w:after="240"/>
        <w:jc w:val="left"/>
        <w:rPr/>
      </w:pPr>
      <w:r>
        <w:rPr>
          <w:rFonts w:ascii="sans-serif" w:hAnsi="sans-serif"/>
          <w:b w:val="false"/>
          <w:i/>
          <w:color w:val="000000"/>
          <w:sz w:val="18"/>
        </w:rPr>
        <w:t xml:space="preserve">Vodafone Group Notes. </w:t>
      </w:r>
      <w:r>
        <w:rPr>
          <w:rFonts w:ascii="sans-serif" w:hAnsi="sans-serif"/>
          <w:b w:val="false"/>
          <w:color w:val="000000"/>
          <w:sz w:val="18"/>
        </w:rPr>
        <w:t xml:space="preserve">The Vodafone Group Notes Payable comprise (i) a euro-denominated note payable to a subsidiary of Vodafone Group with a principal amount of €700.0 million on 31 December 2025 (the Vodafone Note Payable I) and (ii) a euro-denominated note payable to a subsidiary of Vodafone Group with a principal amount of €207.9 million on 31 December 2025 (the Vodafone Note Payable II, and, together with the Vodafone Note Payable I, the Vodafone Group Notes Payable). The Vodafone Group Notes Payable each bear interest at a fixed rate of 5.55% and have a final maturity date of 31 December 2030. During the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year ended 31 December 2025, interest accrued on the Vodafone Group Notes Payable was €51.1 million, all of which has been cash settled. Under the terms of the VodafoneZiggo Acquisition, the Vodafone Group Notes Payable were sold to Ziggo Group BV.</w:t>
      </w:r>
    </w:p>
    <w:p>
      <w:pPr>
        <w:pStyle w:val="TextBody"/>
        <w:bidi w:val="0"/>
        <w:spacing w:lineRule="auto" w:line="288" w:before="120" w:after="283"/>
        <w:jc w:val="left"/>
        <w:rPr>
          <w:rFonts w:ascii="sans-serif" w:hAnsi="sans-serif"/>
          <w:b/>
          <w:color w:val="000000"/>
          <w:sz w:val="18"/>
        </w:rPr>
      </w:pPr>
      <w:bookmarkStart w:id="91" w:name="i5a8ce2821f074a289f1d51e13aaedd6e"/>
      <w:bookmarkEnd w:id="91"/>
      <w:r>
        <w:rPr>
          <w:rFonts w:ascii="sans-serif" w:hAnsi="sans-serif"/>
          <w:b/>
          <w:color w:val="000000"/>
          <w:sz w:val="18"/>
        </w:rPr>
        <w:t>Shareholders agreement</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In connection with the formation of the VodafoneZiggo JV on 31 December 2016, Liberty Global and Vodafone Group entered into a shareholders’ agreement (the Shareholders Agreement) with VodafoneZiggo Group Holding.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Shareholders Agreement provides for a dividend policy that requires the VodafoneZiggo JV to distribute all unrestricted cash to the Shareholders as soon as reasonably practicable following each three-month period (subject to the VodafoneZiggo JV maintaining a minimum amount of cash and complying with the terms of financing arrangements of its subsidiaries).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 accordance with this dividend policy, VodafoneZiggo made total equity distributions of €123.0 million and €125.0 million during 2025 and 2024, respectively, to its Shareholders. These distributions are reflected as a decrease to our equity attributable to equity owners of the Company in our consolidated statement of changes in equity.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a result of the VodafoneZiggo Acquisition on 31 July 2026, the aforementioned Shareholders Agreement was terminated and transactions with Vodafone Group will no longer be reported as transactions with related parties.</w:t>
      </w:r>
    </w:p>
    <w:p>
      <w:pPr>
        <w:pStyle w:val="TextBody"/>
        <w:bidi w:val="0"/>
        <w:spacing w:lineRule="auto" w:line="324" w:before="120" w:after="283"/>
        <w:jc w:val="both"/>
        <w:rPr>
          <w:rFonts w:ascii="sans-serif" w:hAnsi="sans-serif"/>
          <w:b/>
          <w:color w:val="000000"/>
          <w:sz w:val="20"/>
        </w:rPr>
      </w:pPr>
      <w:bookmarkStart w:id="92" w:name="i3cd01f49945b4d63b7507a17728ced74"/>
      <w:bookmarkEnd w:id="92"/>
      <w:r>
        <w:rPr>
          <w:rFonts w:ascii="sans-serif" w:hAnsi="sans-serif"/>
          <w:b/>
          <w:color w:val="000000"/>
          <w:sz w:val="20"/>
        </w:rPr>
        <w:t>TRANSACTIONS WITH KEY MANAGEMENT</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Key management personnel compensation comprised the following:</w:t>
      </w:r>
    </w:p>
    <w:tbl>
      <w:tblPr>
        <w:tblW w:w="4256" w:type="dxa"/>
        <w:jc w:val="left"/>
        <w:tblInd w:w="0" w:type="dxa"/>
        <w:tblLayout w:type="fixed"/>
        <w:tblCellMar>
          <w:top w:w="28" w:type="dxa"/>
          <w:left w:w="28" w:type="dxa"/>
          <w:bottom w:w="28" w:type="dxa"/>
          <w:right w:w="28" w:type="dxa"/>
        </w:tblCellMar>
      </w:tblPr>
      <w:tblGrid>
        <w:gridCol w:w="1025"/>
        <w:gridCol w:w="904"/>
        <w:gridCol w:w="906"/>
        <w:gridCol w:w="240"/>
        <w:gridCol w:w="241"/>
        <w:gridCol w:w="196"/>
        <w:gridCol w:w="240"/>
        <w:gridCol w:w="241"/>
        <w:gridCol w:w="263"/>
      </w:tblGrid>
      <w:tr>
        <w:trPr/>
        <w:tc>
          <w:tcPr>
            <w:tcW w:w="10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i/>
                <w:color w:val="000000"/>
                <w:sz w:val="18"/>
              </w:rPr>
            </w:pPr>
            <w:r>
              <w:rPr>
                <w:rFonts w:ascii="sans-serif" w:hAnsi="sans-serif"/>
                <w:b w:val="false"/>
                <w:i/>
                <w:color w:val="000000"/>
                <w:sz w:val="18"/>
              </w:rPr>
              <w:t>In € millions</w:t>
            </w:r>
          </w:p>
        </w:tc>
        <w:tc>
          <w:tcPr>
            <w:tcW w:w="677"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sans-serif" w:hAnsi="sans-serif"/>
                <w:b/>
                <w:color w:val="000000"/>
                <w:sz w:val="18"/>
              </w:rPr>
            </w:pPr>
            <w:r>
              <w:rPr>
                <w:rFonts w:ascii="sans-serif" w:hAnsi="sans-serif"/>
                <w:b/>
                <w:color w:val="000000"/>
                <w:sz w:val="18"/>
              </w:rPr>
              <w:t>2025</w:t>
            </w:r>
          </w:p>
        </w:tc>
        <w:tc>
          <w:tcPr>
            <w:tcW w:w="744"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sans-serif" w:hAnsi="sans-serif"/>
                <w:b/>
                <w:color w:val="000000"/>
                <w:sz w:val="18"/>
              </w:rPr>
            </w:pPr>
            <w:r>
              <w:rPr>
                <w:rFonts w:ascii="sans-serif" w:hAnsi="sans-serif"/>
                <w:b/>
                <w:color w:val="000000"/>
                <w:sz w:val="18"/>
              </w:rPr>
              <w:t>2024</w:t>
            </w:r>
          </w:p>
        </w:tc>
      </w:tr>
      <w:tr>
        <w:trPr/>
        <w:tc>
          <w:tcPr>
            <w:tcW w:w="283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Short-term employee benefits</w:t>
            </w:r>
          </w:p>
        </w:tc>
        <w:tc>
          <w:tcPr>
            <w:tcW w:w="4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long-term benefits</w:t>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Post-employment benefits</w:t>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575756"/>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6.7</w:t>
            </w:r>
            <w:r>
              <w:rPr>
                <w:color w:val="000000"/>
              </w:rPr>
              <w:t> </w:t>
            </w:r>
          </w:p>
        </w:tc>
        <w:tc>
          <w:tcPr>
            <w:tcW w:w="196"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6.1</w:t>
            </w:r>
            <w:r>
              <w:rPr>
                <w:color w:val="000000"/>
              </w:rPr>
              <w:t> </w:t>
            </w:r>
          </w:p>
        </w:tc>
        <w:tc>
          <w:tcPr>
            <w:tcW w:w="263"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left"/>
        <w:rPr/>
      </w:pPr>
      <w:r>
        <w:rPr>
          <w:rFonts w:ascii="sans-serif" w:hAnsi="sans-serif"/>
          <w:b w:val="false"/>
          <w:color w:val="000000"/>
          <w:sz w:val="18"/>
        </w:rPr>
        <w:t>The emoluments, including pension costs as referred to in Section 2:383(1) of the Dutch Civil Code charged in t</w:t>
      </w:r>
      <w:r>
        <w:rPr>
          <w:rFonts w:ascii="sans-serif" w:hAnsi="sans-serif"/>
          <w:b w:val="false"/>
          <w:color w:val="000000"/>
          <w:sz w:val="18"/>
          <w:shd w:fill="FFFFFF" w:val="clear"/>
        </w:rPr>
        <w:t>he financial period to the Company and its subsidiaries for our Management Board and Supervisory Board amounted t</w:t>
      </w:r>
      <w:r>
        <w:rPr>
          <w:rFonts w:ascii="sans-serif" w:hAnsi="sans-serif"/>
          <w:b w:val="false"/>
          <w:color w:val="000000"/>
          <w:sz w:val="18"/>
        </w:rPr>
        <w:t>o €6.6 million (2024: €6.0 million) and €0.1 million (2</w:t>
      </w:r>
      <w:r>
        <w:rPr>
          <w:rFonts w:ascii="sans-serif" w:hAnsi="sans-serif"/>
          <w:b w:val="false"/>
          <w:color w:val="000000"/>
          <w:sz w:val="18"/>
          <w:shd w:fill="FFFFFF" w:val="clear"/>
        </w:rPr>
        <w:t>024: €0.1 million), respectivel</w:t>
      </w:r>
      <w:r>
        <w:rPr>
          <w:rFonts w:ascii="sans-serif" w:hAnsi="sans-serif"/>
          <w:b w:val="false"/>
          <w:color w:val="000000"/>
          <w:sz w:val="18"/>
        </w:rPr>
        <w:t>y. The 2024 amounts also include remuneration for our former CEO. During 2025 the former CEO received a long-term incentive payout of €1.9 million, not included in the amounts above. There are no former members of the Management Board and the Supervisory Board that have received remuneration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52400"/>
                <wp:effectExtent l="0" t="0" r="0" b="0"/>
                <wp:wrapNone/>
                <wp:docPr id="52" name="Frame43"/>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38</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93" w:name="iea2728203a5c4371b68c08c3b0f1eb20"/>
      <w:bookmarkEnd w:id="93"/>
      <w:r>
        <w:rPr>
          <w:rFonts w:ascii="sans-serif" w:hAnsi="sans-serif"/>
          <w:b/>
          <w:color w:val="000000"/>
          <w:sz w:val="24"/>
        </w:rPr>
        <w:t>24.    Subsequent Events</w:t>
      </w:r>
    </w:p>
    <w:p>
      <w:pPr>
        <w:pStyle w:val="TextBody"/>
        <w:bidi w:val="0"/>
        <w:spacing w:lineRule="auto" w:line="288" w:before="120" w:after="283"/>
        <w:jc w:val="both"/>
        <w:rPr>
          <w:rFonts w:ascii="sans-serif" w:hAnsi="sans-serif"/>
          <w:b w:val="false"/>
          <w:i/>
          <w:color w:val="000000"/>
          <w:sz w:val="18"/>
        </w:rPr>
      </w:pPr>
      <w:bookmarkStart w:id="94" w:name="id45e1a072ecd43d294823c29850149c4"/>
      <w:bookmarkEnd w:id="94"/>
      <w:r>
        <w:rPr>
          <w:rFonts w:ascii="sans-serif" w:hAnsi="sans-serif"/>
          <w:b w:val="false"/>
          <w:i/>
          <w:color w:val="000000"/>
          <w:sz w:val="18"/>
        </w:rPr>
        <w:t>Extension of UEFA broadcasting rights</w:t>
      </w:r>
    </w:p>
    <w:p>
      <w:pPr>
        <w:pStyle w:val="TextBody"/>
        <w:bidi w:val="0"/>
        <w:spacing w:lineRule="atLeast" w:line="240" w:before="0" w:after="240"/>
        <w:jc w:val="both"/>
        <w:rPr>
          <w:rFonts w:ascii="sans-serif" w:hAnsi="sans-serif"/>
          <w:b w:val="false"/>
          <w:color w:val="000000"/>
          <w:sz w:val="18"/>
        </w:rPr>
      </w:pPr>
      <w:r>
        <w:rPr>
          <w:rFonts w:ascii="sans-serif" w:hAnsi="sans-serif"/>
          <w:b w:val="false"/>
          <w:color w:val="000000"/>
          <w:sz w:val="18"/>
        </w:rPr>
        <w:t>During July 2026, VodafoneZiggo entered into an agreement for the exclusive broadcasting rights to the UEFA men’s club competitions through the end of the 2030/31 season.</w:t>
      </w:r>
    </w:p>
    <w:p>
      <w:pPr>
        <w:pStyle w:val="TextBody"/>
        <w:bidi w:val="0"/>
        <w:spacing w:lineRule="atLeast" w:line="240" w:before="0" w:after="240"/>
        <w:jc w:val="both"/>
        <w:rPr/>
      </w:pPr>
      <w:r>
        <w:rPr>
          <w:rFonts w:ascii="sans-serif" w:hAnsi="sans-serif"/>
          <w:b w:val="false"/>
          <w:i/>
          <w:color w:val="000000"/>
          <w:sz w:val="18"/>
        </w:rPr>
        <w:t>Sale of Mobile Tower Assets</w:t>
        <w:br/>
      </w:r>
      <w:r>
        <w:rPr>
          <w:rFonts w:ascii="sans-serif" w:hAnsi="sans-serif"/>
          <w:b w:val="false"/>
          <w:color w:val="000000"/>
          <w:sz w:val="18"/>
        </w:rPr>
        <w:t>On 7 September 2026, VodafoneZiggo entered into an agreement to sell certain towers and rooftop installations to an entity to be jointly owned by funds managed by DigitalBridge, TD Greystone Infrastructure and L&amp;G for consideration of approximately €669 million. The transfer of the assets is expected to occur during the fourth quarter of 2026. Upon completion of the transfer, we will lease back the sold assets pursuant to the terms of the agreement. On the transaction date, VodafoneZiggo will recognize a material gain on disposal in the Consolidated Statement of Profit or Loss, representing the excess between the consideration received over the carrying amount of the disposed group of assets. We intend to use the net proceeds from the transaction to reduce outstanding debt.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52400"/>
                <wp:effectExtent l="0" t="0" r="0" b="0"/>
                <wp:wrapNone/>
                <wp:docPr id="53" name="Frame4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39</w:t>
                      </w:r>
                    </w:p>
                  </w:txbxContent>
                </v:textbox>
                <w10:wrap type="none"/>
              </v:rect>
            </w:pict>
          </mc:Fallback>
        </mc:AlternateContent>
      </w:r>
    </w:p>
    <w:p>
      <w:pPr>
        <w:pStyle w:val="TextBody"/>
        <w:bidi w:val="0"/>
        <w:spacing w:lineRule="auto" w:line="288" w:before="0" w:after="420"/>
        <w:jc w:val="left"/>
        <w:rPr>
          <w:rFonts w:ascii="Verdana;sans-serif" w:hAnsi="Verdana;sans-serif"/>
          <w:b/>
          <w:color w:val="000000"/>
          <w:sz w:val="44"/>
        </w:rPr>
      </w:pPr>
      <w:bookmarkStart w:id="95" w:name="i9b6c5a7af607438ea0db19789af213ae"/>
      <w:bookmarkEnd w:id="95"/>
      <w:r>
        <w:rPr>
          <w:rFonts w:ascii="Verdana;sans-serif" w:hAnsi="Verdana;sans-serif"/>
          <w:b/>
          <w:color w:val="000000"/>
          <w:sz w:val="44"/>
        </w:rPr>
        <w:t>Independent Auditors’ Report</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To: the Shareholders and Supervisory Board of VodafoneZiggo Group Holding B.V.</w:t>
      </w:r>
    </w:p>
    <w:p>
      <w:pPr>
        <w:pStyle w:val="TextBody"/>
        <w:bidi w:val="0"/>
        <w:spacing w:before="0" w:after="0"/>
        <w:jc w:val="left"/>
        <w:rPr/>
      </w:pPr>
      <w:r>
        <w:rPr/>
      </w:r>
    </w:p>
    <w:p>
      <w:pPr>
        <w:pStyle w:val="TextBody"/>
        <w:bidi w:val="0"/>
        <w:spacing w:lineRule="auto" w:line="324" w:before="120" w:after="283"/>
        <w:jc w:val="left"/>
        <w:rPr>
          <w:rFonts w:ascii="sans-serif" w:hAnsi="sans-serif"/>
          <w:b/>
          <w:color w:val="000000"/>
          <w:sz w:val="20"/>
        </w:rPr>
      </w:pPr>
      <w:bookmarkStart w:id="96" w:name="i0603472ceaca42d1adca8947eccd0924"/>
      <w:bookmarkEnd w:id="96"/>
      <w:r>
        <w:rPr>
          <w:rFonts w:ascii="sans-serif" w:hAnsi="sans-serif"/>
          <w:b/>
          <w:color w:val="000000"/>
          <w:sz w:val="20"/>
        </w:rPr>
        <w:t xml:space="preserve">REPORT ON THE AUDIT OF THE CONSOLIDATED FINANCIAL STATEMENTS </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0"/>
        </w:rPr>
      </w:pPr>
      <w:bookmarkStart w:id="97" w:name="i31eca8e8b65744f8a3da79b3998765f8"/>
      <w:bookmarkEnd w:id="97"/>
      <w:r>
        <w:rPr>
          <w:rFonts w:ascii="sans-serif" w:hAnsi="sans-serif"/>
          <w:b/>
          <w:color w:val="000000"/>
          <w:sz w:val="20"/>
        </w:rPr>
        <w:t>OPINION</w:t>
      </w:r>
    </w:p>
    <w:p>
      <w:pPr>
        <w:pStyle w:val="TextBody"/>
        <w:bidi w:val="0"/>
        <w:spacing w:lineRule="auto" w:line="268" w:before="120" w:after="283"/>
        <w:jc w:val="left"/>
        <w:rPr/>
      </w:pPr>
      <w:r>
        <w:rPr>
          <w:rFonts w:ascii="sans-serif" w:hAnsi="sans-serif"/>
          <w:b w:val="false"/>
          <w:color w:val="000000"/>
          <w:sz w:val="18"/>
        </w:rPr>
        <w:t>We have audited the consolidated financial statements of VodafoneZiggo Group Holding B.V. (a B.V. based and registered in Utrecht, the Netherlands) and its subsidiarie</w:t>
      </w:r>
      <w:r>
        <w:rPr>
          <w:rFonts w:ascii="sans-serif" w:hAnsi="sans-serif"/>
          <w:b w:val="false"/>
          <w:i/>
          <w:color w:val="000000"/>
          <w:sz w:val="18"/>
        </w:rPr>
        <w:t>s</w:t>
      </w:r>
      <w:r>
        <w:rPr>
          <w:color w:val="000000"/>
        </w:rPr>
        <w:t xml:space="preserve"> </w:t>
      </w:r>
      <w:r>
        <w:rPr>
          <w:rFonts w:ascii="sans-serif" w:hAnsi="sans-serif"/>
          <w:b w:val="false"/>
          <w:color w:val="000000"/>
          <w:sz w:val="18"/>
        </w:rPr>
        <w:t>(‘the Company’), which comprise the consolidated statements of financial position as of December 31, 2025 and 2024, and the related consolidated statements of profit or loss and other comprehensive income, changes in equity, and cash flows for the years then ended, and the related notes to the consolidated financial statements.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In our opinion, the accompanying consolidated financial statements present fairly, in all material respects, the financial position of the Company as of December 31, 2025 and 2024, and its financial performance and its cash flows for the years then ended in accordance with International Financial Reporting Standards (‘IFRS’), Accounting Standards as issued by the International Accounting Standards Board (‘IASB’).</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0"/>
        </w:rPr>
      </w:pPr>
      <w:bookmarkStart w:id="98" w:name="i4bca76179fa841fdb5a73a7bd9018e78"/>
      <w:bookmarkEnd w:id="98"/>
      <w:r>
        <w:rPr>
          <w:rFonts w:ascii="sans-serif" w:hAnsi="sans-serif"/>
          <w:b/>
          <w:color w:val="000000"/>
          <w:sz w:val="20"/>
        </w:rPr>
        <w:t>BASIS FOR OPINION</w:t>
      </w:r>
    </w:p>
    <w:p>
      <w:pPr>
        <w:pStyle w:val="TextBody"/>
        <w:bidi w:val="0"/>
        <w:spacing w:lineRule="auto" w:line="268" w:before="120" w:after="283"/>
        <w:jc w:val="left"/>
        <w:rPr>
          <w:rFonts w:ascii="sans-serif" w:hAnsi="sans-serif"/>
          <w:b w:val="false"/>
          <w:color w:val="000000"/>
          <w:sz w:val="18"/>
        </w:rPr>
      </w:pPr>
      <w:r>
        <w:rPr>
          <w:rFonts w:ascii="sans-serif" w:hAnsi="sans-serif"/>
          <w:b w:val="false"/>
          <w:color w:val="000000"/>
          <w:sz w:val="18"/>
        </w:rPr>
        <w:t>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0"/>
        </w:rPr>
      </w:pPr>
      <w:bookmarkStart w:id="99" w:name="iefe7f0ebe1e74256b2d617a8f2d56fb2"/>
      <w:bookmarkEnd w:id="99"/>
      <w:r>
        <w:rPr>
          <w:rFonts w:ascii="sans-serif" w:hAnsi="sans-serif"/>
          <w:b/>
          <w:color w:val="000000"/>
          <w:sz w:val="20"/>
        </w:rPr>
        <w:t>RESPONSIBILITIES OF MANAGEMENT FOR THE CONSOLIDATED FINANCIAL STATEMENTS</w:t>
      </w:r>
    </w:p>
    <w:p>
      <w:pPr>
        <w:pStyle w:val="TextBody"/>
        <w:bidi w:val="0"/>
        <w:spacing w:lineRule="auto" w:line="268" w:before="120" w:after="283"/>
        <w:jc w:val="left"/>
        <w:rPr>
          <w:rFonts w:ascii="sans-serif" w:hAnsi="sans-serif"/>
          <w:b w:val="false"/>
          <w:color w:val="000000"/>
          <w:sz w:val="18"/>
        </w:rPr>
      </w:pPr>
      <w:r>
        <w:rPr>
          <w:rFonts w:ascii="sans-serif" w:hAnsi="sans-serif"/>
          <w:b w:val="false"/>
          <w:color w:val="000000"/>
          <w:sz w:val="18"/>
        </w:rPr>
        <w:t>Management is responsible for the preparation and fair presentation of the consolidated financial statements in accordance with IFRS Accounting Standards as issued by the IASB, and for the design, implementation, and maintenance of internal control relevant to the preparation and fair presentation of consolidated financial statements that are free from material misstatement, whether due to fraud or error.</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In preparing the consolidated financial statements, management is required to evaluate whether there are conditions or events, considered in the aggregate, that raise significant doubt about the Company’s ability to continue as a going concern for one year after the date that the consolidated financial statements are authorized for issuance.</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0"/>
        </w:rPr>
      </w:pPr>
      <w:bookmarkStart w:id="100" w:name="i07c68d321d664bbd80d36459412d8d8e"/>
      <w:bookmarkEnd w:id="100"/>
      <w:r>
        <w:rPr>
          <w:rFonts w:ascii="sans-serif" w:hAnsi="sans-serif"/>
          <w:b/>
          <w:color w:val="000000"/>
          <w:sz w:val="20"/>
        </w:rPr>
        <w:t>AUDITORS’ RESPONSIBILITIES FOR THE AUDIT OF THE CONSOLIDATED FINANCIAL STATEMENTS</w:t>
      </w:r>
    </w:p>
    <w:p>
      <w:pPr>
        <w:pStyle w:val="TextBody"/>
        <w:bidi w:val="0"/>
        <w:spacing w:lineRule="auto" w:line="268" w:before="120" w:after="283"/>
        <w:jc w:val="left"/>
        <w:rPr>
          <w:rFonts w:ascii="sans-serif" w:hAnsi="sans-serif"/>
          <w:b w:val="false"/>
          <w:color w:val="000000"/>
          <w:sz w:val="18"/>
        </w:rPr>
      </w:pPr>
      <w:r>
        <w:rPr>
          <w:rFonts w:ascii="sans-serif" w:hAnsi="sans-serif"/>
          <w:b w:val="false"/>
          <w:color w:val="000000"/>
          <w:sz w:val="18"/>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w:t>
      </w:r>
    </w:p>
    <w:p>
      <w:pPr>
        <w:pStyle w:val="TextBody"/>
        <w:bidi w:val="0"/>
        <w:spacing w:lineRule="auto" w:line="268" w:before="120" w:after="283"/>
        <w:jc w:val="left"/>
        <w:rPr>
          <w:rFonts w:ascii="sans-serif" w:hAnsi="sans-serif"/>
          <w:b w:val="false"/>
          <w:color w:val="000000"/>
          <w:sz w:val="18"/>
        </w:rPr>
      </w:pPr>
      <w:r>
        <w:rPr>
          <w:rFonts w:ascii="sans-serif" w:hAnsi="sans-serif"/>
          <w:b w:val="false"/>
          <w:color w:val="000000"/>
          <w:sz w:val="18"/>
        </w:rPr>
        <w:t xml:space="preserve">that, individually or in the aggregate, they would influence the judgment made by a reasonable user based on the consolidated financial statements.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In performing an audit in accordance with GAAS, we:</w:t>
      </w:r>
    </w:p>
    <w:p>
      <w:pPr>
        <w:pStyle w:val="TextBody"/>
        <w:bidi w:val="0"/>
        <w:spacing w:before="0" w:after="0"/>
        <w:jc w:val="left"/>
        <w:rPr/>
      </w:pPr>
      <w:r>
        <w:rPr/>
      </w:r>
    </w:p>
    <w:p>
      <w:pPr>
        <w:pStyle w:val="TextBody"/>
        <w:bidi w:val="0"/>
        <w:spacing w:lineRule="auto" w:line="268" w:before="0" w:after="0"/>
        <w:ind w:left="0" w:right="0" w:hanging="283"/>
        <w:jc w:val="left"/>
        <w:rPr/>
      </w:pPr>
      <w:r>
        <w:rPr>
          <w:color w:val="000000"/>
        </w:rPr>
        <w:t>•</w:t>
      </w:r>
      <w:r>
        <w:rPr>
          <w:rFonts w:ascii="sans-serif" w:hAnsi="sans-serif"/>
          <w:b w:val="false"/>
          <w:color w:val="000000"/>
          <w:sz w:val="18"/>
        </w:rPr>
        <w:t>exercise professional judgment and maintain professional skepticism throughout the audit;</w:t>
      </w:r>
    </w:p>
    <w:p>
      <w:pPr>
        <w:pStyle w:val="TextBody"/>
        <w:bidi w:val="0"/>
        <w:spacing w:before="0" w:after="0"/>
        <w:ind w:left="0" w:right="0" w:firstLine="77"/>
        <w:jc w:val="left"/>
        <w:rPr/>
      </w:pPr>
      <w:r>
        <w:rPr/>
      </w:r>
    </w:p>
    <w:p>
      <w:pPr>
        <w:pStyle w:val="TextBody"/>
        <w:bidi w:val="0"/>
        <w:spacing w:lineRule="auto" w:line="268" w:before="0" w:after="0"/>
        <w:ind w:left="0" w:right="0" w:hanging="283"/>
        <w:jc w:val="left"/>
        <w:rPr/>
      </w:pPr>
      <w:r>
        <w:rPr>
          <w:color w:val="000000"/>
        </w:rPr>
        <w:t>•</w:t>
      </w:r>
      <w:r>
        <w:rPr>
          <w:rFonts w:ascii="sans-serif" w:hAnsi="sans-serif"/>
          <w:b w:val="false"/>
          <w:color w:val="000000"/>
          <w:sz w:val="18"/>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bidi w:val="0"/>
        <w:spacing w:before="0" w:after="0"/>
        <w:ind w:left="0" w:right="0" w:firstLine="77"/>
        <w:jc w:val="left"/>
        <w:rPr/>
      </w:pPr>
      <w:r>
        <w:rPr/>
      </w:r>
    </w:p>
    <w:p>
      <w:pPr>
        <w:pStyle w:val="TextBody"/>
        <w:bidi w:val="0"/>
        <w:spacing w:lineRule="auto" w:line="268" w:before="0" w:after="0"/>
        <w:ind w:left="0" w:right="0" w:hanging="283"/>
        <w:jc w:val="left"/>
        <w:rPr/>
      </w:pPr>
      <w:r>
        <w:rPr>
          <w:color w:val="000000"/>
        </w:rPr>
        <w:t>•</w:t>
      </w:r>
      <w:r>
        <w:rPr>
          <w:rFonts w:ascii="sans-serif" w:hAnsi="sans-serif"/>
          <w:b w:val="false"/>
          <w:color w:val="000000"/>
          <w:sz w:val="18"/>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before="0" w:after="0"/>
        <w:ind w:left="0" w:right="0" w:firstLine="77"/>
        <w:jc w:val="left"/>
        <w:rPr/>
      </w:pPr>
      <w:r>
        <w:rPr/>
      </w:r>
    </w:p>
    <w:p>
      <w:pPr>
        <w:pStyle w:val="TextBody"/>
        <w:bidi w:val="0"/>
        <w:spacing w:lineRule="auto" w:line="268" w:before="0" w:after="0"/>
        <w:ind w:left="0" w:right="0" w:hanging="283"/>
        <w:jc w:val="left"/>
        <w:rPr/>
      </w:pPr>
      <w:r>
        <w:rPr>
          <w:color w:val="000000"/>
        </w:rPr>
        <w:t>•</w:t>
      </w:r>
      <w:r>
        <w:rPr>
          <w:rFonts w:ascii="sans-serif" w:hAnsi="sans-serif"/>
          <w:b w:val="false"/>
          <w:color w:val="000000"/>
          <w:sz w:val="18"/>
        </w:rPr>
        <w:t>evaluate the appropriateness of accounting policies used and the reasonableness of significant accounting estimates made by management, as well as evaluate the overall presentation of the consolidated financial statements;</w:t>
      </w:r>
    </w:p>
    <w:p>
      <w:pPr>
        <w:pStyle w:val="TextBody"/>
        <w:bidi w:val="0"/>
        <w:spacing w:before="0" w:after="0"/>
        <w:ind w:left="0" w:right="0" w:firstLine="77"/>
        <w:jc w:val="left"/>
        <w:rPr/>
      </w:pPr>
      <w:r>
        <w:rPr/>
      </w:r>
    </w:p>
    <w:p>
      <w:pPr>
        <w:pStyle w:val="TextBody"/>
        <w:bidi w:val="0"/>
        <w:spacing w:lineRule="auto" w:line="268" w:before="0" w:after="0"/>
        <w:ind w:left="0" w:right="0" w:hanging="283"/>
        <w:jc w:val="left"/>
        <w:rPr/>
      </w:pPr>
      <w:r>
        <w:rPr>
          <w:color w:val="000000"/>
        </w:rPr>
        <w:t>•</w:t>
      </w:r>
      <w:r>
        <w:rPr>
          <w:rFonts w:ascii="sans-serif" w:hAnsi="sans-serif"/>
          <w:b w:val="false"/>
          <w:color w:val="000000"/>
          <w:sz w:val="18"/>
        </w:rPr>
        <w:t xml:space="preserve">conclude whether, in our judgment, there are conditions or events, considered in the aggregate, that raise significant doubt about the Company’s ability to continue as a going concern for a reasonable period of time. </w:t>
      </w:r>
    </w:p>
    <w:p>
      <w:pPr>
        <w:pStyle w:val="TextBody"/>
        <w:bidi w:val="0"/>
        <w:spacing w:before="0" w:after="0"/>
        <w:ind w:left="0" w:right="0" w:firstLine="77"/>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sans-serif" w:hAnsi="sans-serif"/>
          <w:b w:val="false"/>
          <w:color w:val="000000"/>
          <w:sz w:val="18"/>
        </w:rPr>
      </w:pPr>
      <w:r>
        <w:rPr>
          <w:rFonts w:ascii="sans-serif" w:hAnsi="sans-serif"/>
          <w:b w:val="false"/>
          <w:color w:val="000000"/>
          <w:sz w:val="18"/>
        </w:rPr>
        <w:t>/s/ KPMG Accountants N.V.</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Utrecht, the Netherlands</w:t>
      </w:r>
    </w:p>
    <w:p>
      <w:pPr>
        <w:pStyle w:val="TextBody"/>
        <w:bidi w:val="0"/>
        <w:spacing w:lineRule="auto" w:line="288"/>
        <w:jc w:val="left"/>
        <w:rPr>
          <w:rFonts w:ascii="sans-serif" w:hAnsi="sans-serif"/>
          <w:b w:val="false"/>
          <w:color w:val="000000"/>
          <w:sz w:val="18"/>
        </w:rPr>
      </w:pPr>
      <w:r>
        <w:rPr>
          <w:rFonts w:ascii="sans-serif" w:hAnsi="sans-serif"/>
          <w:b w:val="false"/>
          <w:color w:val="000000"/>
          <w:sz w:val="18"/>
        </w:rPr>
        <w:t>October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40" w:before="0" w:after="24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52400"/>
                <wp:effectExtent l="0" t="0" r="0" b="0"/>
                <wp:wrapNone/>
                <wp:docPr id="54" name="Frame45"/>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40</w:t>
                      </w:r>
                    </w:p>
                  </w:txbxContent>
                </v:textbox>
                <w10:wrap type="none"/>
              </v:rect>
            </w:pict>
          </mc:Fallback>
        </mc:AlternateContent>
      </w:r>
    </w:p>
    <w:p>
      <w:pPr>
        <w:pStyle w:val="TextBody"/>
        <w:bidi w:val="0"/>
        <w:spacing w:before="0" w:after="180"/>
        <w:jc w:val="center"/>
        <w:rPr>
          <w:shd w:fill="FFFFFF" w:val="clear"/>
        </w:rPr>
      </w:pPr>
      <w:r>
        <w:rPr>
          <w:shd w:fill="FFFFFF" w:val="clear"/>
        </w:rPr>
        <w:drawing>
          <wp:inline distT="0" distB="0" distL="0" distR="0">
            <wp:extent cx="11877675" cy="66770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12"/>
                    <a:stretch>
                      <a:fillRect/>
                    </a:stretch>
                  </pic:blipFill>
                  <pic:spPr bwMode="auto">
                    <a:xfrm>
                      <a:off x="0" y="0"/>
                      <a:ext cx="11877675" cy="66770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420"/>
        <w:jc w:val="left"/>
        <w:rPr>
          <w:rFonts w:ascii="Verdana;sans-serif" w:hAnsi="Verdana;sans-serif"/>
          <w:b/>
          <w:color w:val="000000"/>
          <w:sz w:val="44"/>
        </w:rPr>
      </w:pPr>
      <w:bookmarkStart w:id="101" w:name="i4f78d6b2d3314ff7a95cab2f3374b62f"/>
      <w:bookmarkEnd w:id="101"/>
      <w:r>
        <w:rPr>
          <w:rFonts w:ascii="Verdana;sans-serif" w:hAnsi="Verdana;sans-serif"/>
          <w:b/>
          <w:color w:val="000000"/>
          <w:sz w:val="44"/>
        </w:rPr>
        <w:t>Table of contents</w:t>
      </w:r>
    </w:p>
    <w:p>
      <w:pPr>
        <w:pStyle w:val="TextBody"/>
        <w:bidi w:val="0"/>
        <w:spacing w:lineRule="auto" w:line="288" w:before="0" w:after="0"/>
        <w:ind w:left="0" w:right="0" w:hanging="283"/>
        <w:jc w:val="left"/>
        <w:rPr>
          <w:color w:val="FFFFFF"/>
        </w:rPr>
      </w:pPr>
      <w:r>
        <w:rPr>
          <w:color w:val="FFFFFF"/>
        </w:rPr>
        <w:t>•</w:t>
      </w:r>
    </w:p>
    <w:tbl>
      <w:tblPr>
        <w:tblW w:w="10205" w:type="dxa"/>
        <w:jc w:val="left"/>
        <w:tblInd w:w="0" w:type="dxa"/>
        <w:tblLayout w:type="fixed"/>
        <w:tblCellMar>
          <w:top w:w="28" w:type="dxa"/>
          <w:left w:w="28" w:type="dxa"/>
          <w:bottom w:w="28" w:type="dxa"/>
          <w:right w:w="28" w:type="dxa"/>
        </w:tblCellMar>
      </w:tblPr>
      <w:tblGrid>
        <w:gridCol w:w="3596"/>
        <w:gridCol w:w="3105"/>
        <w:gridCol w:w="3111"/>
        <w:gridCol w:w="114"/>
        <w:gridCol w:w="114"/>
        <w:gridCol w:w="165"/>
      </w:tblGrid>
      <w:tr>
        <w:trPr/>
        <w:tc>
          <w:tcPr>
            <w:tcW w:w="3596"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613816502cc4990a4863dfd396ea184">
              <w:r>
                <w:rPr>
                  <w:rStyle w:val="InternetLink"/>
                  <w:rFonts w:ascii="sans-serif" w:hAnsi="sans-serif"/>
                  <w:b/>
                  <w:strike w:val="false"/>
                  <w:dstrike w:val="false"/>
                  <w:color w:val="000000"/>
                  <w:sz w:val="20"/>
                  <w:u w:val="none"/>
                  <w:effect w:val="none"/>
                </w:rPr>
                <w:t>Unaudited condensed consolidated statement of profit or loss and other comprehensive income</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613816502cc4990a4863dfd396ea184">
              <w:r>
                <w:rPr>
                  <w:rStyle w:val="InternetLink"/>
                  <w:rFonts w:ascii="sans-serif" w:hAnsi="sans-serif"/>
                  <w:b/>
                  <w:strike w:val="false"/>
                  <w:dstrike w:val="false"/>
                  <w:color w:val="000000"/>
                  <w:sz w:val="20"/>
                  <w:u w:val="none"/>
                  <w:effect w:val="none"/>
                </w:rPr>
                <w:t>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51448840514e2487fafe97a56db32e">
              <w:r>
                <w:rPr>
                  <w:rStyle w:val="InternetLink"/>
                  <w:rFonts w:ascii="sans-serif" w:hAnsi="sans-serif"/>
                  <w:b/>
                  <w:strike w:val="false"/>
                  <w:dstrike w:val="false"/>
                  <w:color w:val="000000"/>
                  <w:sz w:val="20"/>
                  <w:u w:val="none"/>
                  <w:effect w:val="none"/>
                </w:rPr>
                <w:t>Unaudited condensed consolidated statement of financial position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51448840514e2487fafe97a56db32e">
              <w:r>
                <w:rPr>
                  <w:rStyle w:val="InternetLink"/>
                  <w:rFonts w:ascii="sans-serif" w:hAnsi="sans-serif"/>
                  <w:b/>
                  <w:strike w:val="false"/>
                  <w:dstrike w:val="false"/>
                  <w:color w:val="000000"/>
                  <w:sz w:val="20"/>
                  <w:u w:val="none"/>
                  <w:effect w:val="none"/>
                </w:rPr>
                <w:t>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fc3deaf29e41569b85ca2897f37559">
              <w:r>
                <w:rPr>
                  <w:rStyle w:val="InternetLink"/>
                  <w:rFonts w:ascii="sans-serif" w:hAnsi="sans-serif"/>
                  <w:b/>
                  <w:strike w:val="false"/>
                  <w:dstrike w:val="false"/>
                  <w:color w:val="000000"/>
                  <w:sz w:val="20"/>
                  <w:u w:val="none"/>
                  <w:effect w:val="none"/>
                </w:rPr>
                <w:t>Unaudited condensed consolidated statement of changes in equity</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cfc3deaf29e41569b85ca2897f37559">
              <w:r>
                <w:rPr>
                  <w:rStyle w:val="InternetLink"/>
                  <w:rFonts w:ascii="sans-serif" w:hAnsi="sans-serif"/>
                  <w:b/>
                  <w:strike w:val="false"/>
                  <w:dstrike w:val="false"/>
                  <w:color w:val="000000"/>
                  <w:sz w:val="20"/>
                  <w:u w:val="none"/>
                  <w:effect w:val="none"/>
                </w:rPr>
                <w:t>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4ee5443d3f4739b238e930894a52f7">
              <w:r>
                <w:rPr>
                  <w:rStyle w:val="InternetLink"/>
                  <w:rFonts w:ascii="sans-serif" w:hAnsi="sans-serif"/>
                  <w:b/>
                  <w:strike w:val="false"/>
                  <w:dstrike w:val="false"/>
                  <w:color w:val="000000"/>
                  <w:sz w:val="20"/>
                  <w:u w:val="none"/>
                  <w:effect w:val="none"/>
                </w:rPr>
                <w:t>Unaudited condensed consolidated statement of cash flows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c4ee5443d3f4739b238e930894a52f7">
              <w:r>
                <w:rPr>
                  <w:rStyle w:val="InternetLink"/>
                  <w:rFonts w:ascii="sans-serif" w:hAnsi="sans-serif"/>
                  <w:b/>
                  <w:strike w:val="false"/>
                  <w:dstrike w:val="false"/>
                  <w:color w:val="000000"/>
                  <w:sz w:val="20"/>
                  <w:u w:val="none"/>
                  <w:effect w:val="none"/>
                </w:rPr>
                <w:t>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1e4c0077ef45f0bc20e7b1d9b35754">
              <w:r>
                <w:rPr>
                  <w:rStyle w:val="InternetLink"/>
                  <w:rFonts w:ascii="sans-serif" w:hAnsi="sans-serif"/>
                  <w:b/>
                  <w:strike w:val="false"/>
                  <w:dstrike w:val="false"/>
                  <w:color w:val="000000"/>
                  <w:sz w:val="20"/>
                  <w:u w:val="none"/>
                  <w:effect w:val="none"/>
                </w:rPr>
                <w:t>Notes to the condensed consolidated interim financial statements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1e4c0077ef45f0bc20e7b1d9b35754">
              <w:r>
                <w:rPr>
                  <w:rStyle w:val="InternetLink"/>
                  <w:rFonts w:ascii="sans-serif" w:hAnsi="sans-serif"/>
                  <w:b/>
                  <w:strike w:val="false"/>
                  <w:dstrike w:val="false"/>
                  <w:color w:val="000000"/>
                  <w:sz w:val="20"/>
                  <w:u w:val="none"/>
                  <w:effect w:val="non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7c5d3c65c74b66b58d6c12e07e976d">
              <w:r>
                <w:rPr>
                  <w:rStyle w:val="InternetLink"/>
                  <w:rFonts w:ascii="sans-serif" w:hAnsi="sans-serif"/>
                  <w:b w:val="false"/>
                  <w:strike w:val="false"/>
                  <w:dstrike w:val="false"/>
                  <w:color w:val="000000"/>
                  <w:sz w:val="18"/>
                  <w:u w:val="none"/>
                  <w:effect w:val="none"/>
                </w:rPr>
                <w:t>1. General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77c5d3c65c74b66b58d6c12e07e976d">
              <w:r>
                <w:rPr>
                  <w:rStyle w:val="InternetLink"/>
                  <w:rFonts w:ascii="sans-serif" w:hAnsi="sans-serif"/>
                  <w:b w:val="false"/>
                  <w:strike w:val="false"/>
                  <w:dstrike w:val="false"/>
                  <w:color w:val="000000"/>
                  <w:sz w:val="18"/>
                  <w:u w:val="none"/>
                  <w:effect w:val="non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887f2ca78047edad3f239cf9a0b012">
              <w:r>
                <w:rPr>
                  <w:rStyle w:val="InternetLink"/>
                  <w:rFonts w:ascii="sans-serif" w:hAnsi="sans-serif"/>
                  <w:b w:val="false"/>
                  <w:strike w:val="false"/>
                  <w:dstrike w:val="false"/>
                  <w:color w:val="000000"/>
                  <w:sz w:val="18"/>
                  <w:u w:val="none"/>
                  <w:effect w:val="none"/>
                </w:rPr>
                <w:t>2. Accounting Policies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2887f2ca78047edad3f239cf9a0b012">
              <w:r>
                <w:rPr>
                  <w:rStyle w:val="InternetLink"/>
                  <w:rFonts w:ascii="sans-serif" w:hAnsi="sans-serif"/>
                  <w:b w:val="false"/>
                  <w:strike w:val="false"/>
                  <w:dstrike w:val="false"/>
                  <w:color w:val="000000"/>
                  <w:sz w:val="18"/>
                  <w:u w:val="none"/>
                  <w:effect w:val="non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65402e0e5c44eba42de66a39e37af7">
              <w:r>
                <w:rPr>
                  <w:rStyle w:val="InternetLink"/>
                  <w:rFonts w:ascii="sans-serif" w:hAnsi="sans-serif"/>
                  <w:b w:val="false"/>
                  <w:strike w:val="false"/>
                  <w:dstrike w:val="false"/>
                  <w:color w:val="000000"/>
                  <w:sz w:val="18"/>
                  <w:u w:val="none"/>
                  <w:effect w:val="none"/>
                </w:rPr>
                <w:t>3. IAS 8 Retrospective change in accounting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65402e0e5c44eba42de66a39e37af7">
              <w:r>
                <w:rPr>
                  <w:rStyle w:val="InternetLink"/>
                  <w:rFonts w:ascii="sans-serif" w:hAnsi="sans-serif"/>
                  <w:b w:val="false"/>
                  <w:strike w:val="false"/>
                  <w:dstrike w:val="false"/>
                  <w:color w:val="000000"/>
                  <w:sz w:val="18"/>
                  <w:u w:val="none"/>
                  <w:effect w:val="none"/>
                </w:rPr>
                <w:t>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d18a376bf2409488c5c9e100a388b6">
              <w:r>
                <w:rPr>
                  <w:rStyle w:val="InternetLink"/>
                  <w:rFonts w:ascii="sans-serif" w:hAnsi="sans-serif"/>
                  <w:b w:val="false"/>
                  <w:strike w:val="false"/>
                  <w:dstrike w:val="false"/>
                  <w:color w:val="000000"/>
                  <w:sz w:val="18"/>
                  <w:u w:val="none"/>
                  <w:effect w:val="none"/>
                </w:rPr>
                <w:t>4. Revenue</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cd18a376bf2409488c5c9e100a388b6">
              <w:r>
                <w:rPr>
                  <w:rStyle w:val="InternetLink"/>
                  <w:rFonts w:ascii="sans-serif" w:hAnsi="sans-serif"/>
                  <w:b w:val="false"/>
                  <w:strike w:val="false"/>
                  <w:dstrike w:val="false"/>
                  <w:color w:val="000000"/>
                  <w:sz w:val="18"/>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a66706600e4ae09ebebebd146bf944">
              <w:r>
                <w:rPr>
                  <w:rStyle w:val="InternetLink"/>
                  <w:rFonts w:ascii="sans-serif" w:hAnsi="sans-serif"/>
                  <w:b w:val="false"/>
                  <w:strike w:val="false"/>
                  <w:dstrike w:val="false"/>
                  <w:color w:val="000000"/>
                  <w:sz w:val="18"/>
                  <w:u w:val="none"/>
                  <w:effect w:val="none"/>
                </w:rPr>
                <w:t>5. Operating Expenses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4a66706600e4ae09ebebebd146bf944">
              <w:r>
                <w:rPr>
                  <w:rStyle w:val="InternetLink"/>
                  <w:rFonts w:ascii="sans-serif" w:hAnsi="sans-serif"/>
                  <w:b w:val="false"/>
                  <w:strike w:val="false"/>
                  <w:dstrike w:val="false"/>
                  <w:color w:val="000000"/>
                  <w:sz w:val="18"/>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bc5565707b747bf8a884b9c2c6129be">
              <w:r>
                <w:rPr>
                  <w:rStyle w:val="InternetLink"/>
                  <w:rFonts w:ascii="sans-serif" w:hAnsi="sans-serif"/>
                  <w:b w:val="false"/>
                  <w:strike w:val="false"/>
                  <w:dstrike w:val="false"/>
                  <w:color w:val="000000"/>
                  <w:sz w:val="18"/>
                  <w:u w:val="none"/>
                  <w:effect w:val="none"/>
                </w:rPr>
                <w:t>6. Finance Income and Finance Costs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bc5565707b747bf8a884b9c2c6129be">
              <w:r>
                <w:rPr>
                  <w:rStyle w:val="InternetLink"/>
                  <w:rFonts w:ascii="sans-serif" w:hAnsi="sans-serif"/>
                  <w:b w:val="false"/>
                  <w:strike w:val="false"/>
                  <w:dstrike w:val="false"/>
                  <w:color w:val="000000"/>
                  <w:sz w:val="18"/>
                  <w:u w:val="none"/>
                  <w:effect w:val="none"/>
                </w:rPr>
                <w:t>11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d8398a58a843638df4fccc055bafc6">
              <w:r>
                <w:rPr>
                  <w:rStyle w:val="InternetLink"/>
                  <w:rFonts w:ascii="sans-serif" w:hAnsi="sans-serif"/>
                  <w:b w:val="false"/>
                  <w:strike w:val="false"/>
                  <w:dstrike w:val="false"/>
                  <w:color w:val="000000"/>
                  <w:sz w:val="18"/>
                  <w:u w:val="none"/>
                  <w:effect w:val="none"/>
                </w:rPr>
                <w:t>7. Income Taxes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d8398a58a843638df4fccc055bafc6">
              <w:r>
                <w:rPr>
                  <w:rStyle w:val="InternetLink"/>
                  <w:rFonts w:ascii="sans-serif" w:hAnsi="sans-serif"/>
                  <w:b w:val="false"/>
                  <w:strike w:val="false"/>
                  <w:dstrike w:val="false"/>
                  <w:color w:val="000000"/>
                  <w:sz w:val="18"/>
                  <w:u w:val="none"/>
                  <w:effect w:val="none"/>
                </w:rPr>
                <w:t>11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f5cde68a4f466ca35143fcf85f72b2">
              <w:r>
                <w:rPr>
                  <w:rStyle w:val="InternetLink"/>
                  <w:rFonts w:ascii="sans-serif" w:hAnsi="sans-serif"/>
                  <w:b w:val="false"/>
                  <w:strike w:val="false"/>
                  <w:dstrike w:val="false"/>
                  <w:color w:val="000000"/>
                  <w:sz w:val="18"/>
                  <w:u w:val="none"/>
                  <w:effect w:val="none"/>
                </w:rPr>
                <w:t>8. Intangible Assets and Goodwill</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f5cde68a4f466ca35143fcf85f72b2">
              <w:r>
                <w:rPr>
                  <w:rStyle w:val="InternetLink"/>
                  <w:rFonts w:ascii="sans-serif" w:hAnsi="sans-serif"/>
                  <w:b w:val="false"/>
                  <w:strike w:val="false"/>
                  <w:dstrike w:val="false"/>
                  <w:color w:val="000000"/>
                  <w:sz w:val="18"/>
                  <w:u w:val="none"/>
                  <w:effect w:val="none"/>
                </w:rPr>
                <w:t>11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1d5f3c1c0d488eaa4343128d79b786">
              <w:r>
                <w:rPr>
                  <w:rStyle w:val="InternetLink"/>
                  <w:rFonts w:ascii="sans-serif" w:hAnsi="sans-serif"/>
                  <w:b w:val="false"/>
                  <w:strike w:val="false"/>
                  <w:dstrike w:val="false"/>
                  <w:color w:val="000000"/>
                  <w:sz w:val="18"/>
                  <w:u w:val="none"/>
                  <w:effect w:val="none"/>
                </w:rPr>
                <w:t>9. Financial Assets and Financial Liabilities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01d5f3c1c0d488eaa4343128d79b786">
              <w:r>
                <w:rPr>
                  <w:rStyle w:val="InternetLink"/>
                  <w:rFonts w:ascii="sans-serif" w:hAnsi="sans-serif"/>
                  <w:b w:val="false"/>
                  <w:strike w:val="false"/>
                  <w:dstrike w:val="false"/>
                  <w:color w:val="000000"/>
                  <w:sz w:val="18"/>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c6e75cefee4cf8aef86d684e5c40bc">
              <w:r>
                <w:rPr>
                  <w:rStyle w:val="InternetLink"/>
                  <w:rFonts w:ascii="sans-serif" w:hAnsi="sans-serif"/>
                  <w:b w:val="false"/>
                  <w:strike w:val="false"/>
                  <w:dstrike w:val="false"/>
                  <w:color w:val="000000"/>
                  <w:sz w:val="18"/>
                  <w:u w:val="none"/>
                  <w:effect w:val="none"/>
                </w:rPr>
                <w:t>10. Cash and Cash Equivalents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c6e75cefee4cf8aef86d684e5c40bc">
              <w:r>
                <w:rPr>
                  <w:rStyle w:val="InternetLink"/>
                  <w:rFonts w:ascii="sans-serif" w:hAnsi="sans-serif"/>
                  <w:b w:val="false"/>
                  <w:strike w:val="false"/>
                  <w:dstrike w:val="false"/>
                  <w:color w:val="000000"/>
                  <w:sz w:val="18"/>
                  <w:u w:val="none"/>
                  <w:effect w:val="non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1fbd235fa85465798cbe9093980cf17">
              <w:r>
                <w:rPr>
                  <w:rStyle w:val="InternetLink"/>
                  <w:rFonts w:ascii="sans-serif" w:hAnsi="sans-serif"/>
                  <w:b w:val="false"/>
                  <w:strike w:val="false"/>
                  <w:dstrike w:val="false"/>
                  <w:color w:val="000000"/>
                  <w:sz w:val="18"/>
                  <w:u w:val="none"/>
                  <w:effect w:val="none"/>
                </w:rPr>
                <w:t>11. Related-party transactions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1fbd235fa85465798cbe9093980cf17">
              <w:r>
                <w:rPr>
                  <w:rStyle w:val="InternetLink"/>
                  <w:rFonts w:ascii="sans-serif" w:hAnsi="sans-serif"/>
                  <w:b w:val="false"/>
                  <w:strike w:val="false"/>
                  <w:dstrike w:val="false"/>
                  <w:color w:val="000000"/>
                  <w:sz w:val="18"/>
                  <w:u w:val="none"/>
                  <w:effect w:val="non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c125710e47a419ebe1671e4b261ab2b">
              <w:r>
                <w:rPr>
                  <w:rStyle w:val="InternetLink"/>
                  <w:rFonts w:ascii="sans-serif" w:hAnsi="sans-serif"/>
                  <w:b w:val="false"/>
                  <w:strike w:val="false"/>
                  <w:dstrike w:val="false"/>
                  <w:color w:val="000000"/>
                  <w:sz w:val="18"/>
                  <w:u w:val="none"/>
                  <w:effect w:val="none"/>
                </w:rPr>
                <w:t>12. Off Balance Sheet Assets &amp; Liabilities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c125710e47a419ebe1671e4b261ab2b">
              <w:r>
                <w:rPr>
                  <w:rStyle w:val="InternetLink"/>
                  <w:rFonts w:ascii="sans-serif" w:hAnsi="sans-serif"/>
                  <w:b w:val="false"/>
                  <w:strike w:val="false"/>
                  <w:dstrike w:val="false"/>
                  <w:color w:val="000000"/>
                  <w:sz w:val="18"/>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2f95dc5afb48ec88110ed7a9181cff">
              <w:r>
                <w:rPr>
                  <w:rStyle w:val="InternetLink"/>
                  <w:rFonts w:ascii="sans-serif" w:hAnsi="sans-serif"/>
                  <w:b w:val="false"/>
                  <w:strike w:val="false"/>
                  <w:dstrike w:val="false"/>
                  <w:color w:val="000000"/>
                  <w:sz w:val="18"/>
                  <w:u w:val="none"/>
                  <w:effect w:val="none"/>
                </w:rPr>
                <w:t>13. Risk Management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2f95dc5afb48ec88110ed7a9181cff">
              <w:r>
                <w:rPr>
                  <w:rStyle w:val="InternetLink"/>
                  <w:rFonts w:ascii="sans-serif" w:hAnsi="sans-serif"/>
                  <w:b w:val="false"/>
                  <w:strike w:val="false"/>
                  <w:dstrike w:val="false"/>
                  <w:color w:val="000000"/>
                  <w:sz w:val="18"/>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52e75f7b87b4ad2b785ba132e0e9dc0">
              <w:r>
                <w:rPr>
                  <w:rStyle w:val="InternetLink"/>
                  <w:rFonts w:ascii="sans-serif" w:hAnsi="sans-serif"/>
                  <w:b w:val="false"/>
                  <w:strike w:val="false"/>
                  <w:dstrike w:val="false"/>
                  <w:color w:val="000000"/>
                  <w:sz w:val="18"/>
                  <w:u w:val="none"/>
                  <w:effect w:val="none"/>
                </w:rPr>
                <w:t>14. Subsequent Events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2e75f7b87b4ad2b785ba132e0e9dc0">
              <w:r>
                <w:rPr>
                  <w:rStyle w:val="InternetLink"/>
                  <w:rFonts w:ascii="sans-serif" w:hAnsi="sans-serif"/>
                  <w:b w:val="false"/>
                  <w:strike w:val="false"/>
                  <w:dstrike w:val="false"/>
                  <w:color w:val="000000"/>
                  <w:sz w:val="18"/>
                  <w:u w:val="none"/>
                  <w:effect w:val="none"/>
                </w:rPr>
                <w:t>14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540"/>
        <w:jc w:val="left"/>
        <w:rPr>
          <w:rFonts w:ascii="Verdana;sans-serif" w:hAnsi="Verdana;sans-serif"/>
          <w:b/>
          <w:color w:val="000000"/>
          <w:sz w:val="44"/>
        </w:rPr>
      </w:pPr>
      <w:bookmarkStart w:id="102" w:name="i5613816502cc4990a4863dfd396ea184"/>
      <w:bookmarkEnd w:id="102"/>
      <w:r>
        <w:rPr>
          <w:rFonts w:ascii="Verdana;sans-serif" w:hAnsi="Verdana;sans-serif"/>
          <w:b/>
          <w:color w:val="000000"/>
          <w:sz w:val="44"/>
        </w:rPr>
        <w:t>Unaudited condensed consolidated statement of profit or loss and other comprehensive income</w:t>
      </w:r>
    </w:p>
    <w:tbl>
      <w:tblPr>
        <w:tblW w:w="9348" w:type="dxa"/>
        <w:jc w:val="left"/>
        <w:tblInd w:w="0" w:type="dxa"/>
        <w:tblLayout w:type="fixed"/>
        <w:tblCellMar>
          <w:top w:w="28" w:type="dxa"/>
          <w:left w:w="28" w:type="dxa"/>
          <w:bottom w:w="28" w:type="dxa"/>
          <w:right w:w="28" w:type="dxa"/>
        </w:tblCellMar>
      </w:tblPr>
      <w:tblGrid>
        <w:gridCol w:w="2060"/>
        <w:gridCol w:w="1818"/>
        <w:gridCol w:w="1822"/>
        <w:gridCol w:w="230"/>
        <w:gridCol w:w="230"/>
        <w:gridCol w:w="231"/>
        <w:gridCol w:w="630"/>
        <w:gridCol w:w="385"/>
        <w:gridCol w:w="385"/>
        <w:gridCol w:w="625"/>
        <w:gridCol w:w="385"/>
        <w:gridCol w:w="547"/>
      </w:tblGrid>
      <w:tr>
        <w:trPr/>
        <w:tc>
          <w:tcPr>
            <w:tcW w:w="206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For the six months ended</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55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400"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55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r>
      <w:tr>
        <w:trPr/>
        <w:tc>
          <w:tcPr>
            <w:tcW w:w="5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Revenue</w:t>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w:t>
            </w:r>
          </w:p>
        </w:tc>
        <w:tc>
          <w:tcPr>
            <w:tcW w:w="101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1,955.9 </w:t>
            </w:r>
          </w:p>
        </w:tc>
        <w:tc>
          <w:tcPr>
            <w:tcW w:w="38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1,989.0 </w:t>
            </w:r>
          </w:p>
        </w:tc>
        <w:tc>
          <w:tcPr>
            <w:tcW w:w="5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operating income</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1,955.9</w:t>
            </w:r>
            <w:r>
              <w:rPr>
                <w:color w:val="000000"/>
              </w:rPr>
              <w:t> </w:t>
            </w:r>
          </w:p>
        </w:tc>
        <w:tc>
          <w:tcPr>
            <w:tcW w:w="38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1,989.0</w:t>
            </w:r>
            <w:r>
              <w:rPr>
                <w:color w:val="000000"/>
              </w:rPr>
              <w:t> </w:t>
            </w:r>
          </w:p>
        </w:tc>
        <w:tc>
          <w:tcPr>
            <w:tcW w:w="5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 of outsourced work and other external costs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3, 5</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823.5 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794.1 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Personnel expenses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242.4 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246.7 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Amortisation and depreciation</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3, 5</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687.7 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Impairment, restructuring and other operating expenses, net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15.1 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48.0 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operating expenses</w:t>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3, 6</w:t>
            </w:r>
          </w:p>
        </w:tc>
        <w:tc>
          <w:tcPr>
            <w:tcW w:w="101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1,768.7</w:t>
            </w:r>
            <w:r>
              <w:rPr>
                <w:color w:val="000000"/>
              </w:rPr>
              <w:t> </w:t>
            </w:r>
          </w:p>
        </w:tc>
        <w:tc>
          <w:tcPr>
            <w:tcW w:w="38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1,940.4</w:t>
            </w:r>
            <w:r>
              <w:rPr>
                <w:color w:val="000000"/>
              </w:rPr>
              <w:t> </w:t>
            </w:r>
          </w:p>
        </w:tc>
        <w:tc>
          <w:tcPr>
            <w:tcW w:w="5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Operating profit</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187.2</w:t>
            </w:r>
            <w:r>
              <w:rPr>
                <w:color w:val="F85F00"/>
              </w:rPr>
              <w:t> </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48.6</w:t>
            </w:r>
            <w:r>
              <w:rPr>
                <w:color w:val="F85F00"/>
              </w:rPr>
              <w:t> </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Finance income</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117.5 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651.0 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Finance costs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3, 6</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(445.5)</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(928.8)</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before tax</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(140.8)</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(229.2)</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3, 7</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20.1 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52.1 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for the period</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(120.7)</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(177.1)</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comprehensive income for the period, net of tax</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for the period</w:t>
            </w:r>
          </w:p>
        </w:tc>
        <w:tc>
          <w:tcPr>
            <w:tcW w:w="691"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(120.7)</w:t>
            </w:r>
          </w:p>
        </w:tc>
        <w:tc>
          <w:tcPr>
            <w:tcW w:w="38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(177.1)</w:t>
            </w:r>
          </w:p>
        </w:tc>
        <w:tc>
          <w:tcPr>
            <w:tcW w:w="54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30250"/>
                <wp:effectExtent l="0" t="0" r="0" b="0"/>
                <wp:wrapNone/>
                <wp:docPr id="58" name="Frame4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5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7" descr=""/>
                                          <pic:cNvPicPr>
                                            <a:picLocks noChangeAspect="1" noChangeArrowheads="1"/>
                                          </pic:cNvPicPr>
                                        </pic:nvPicPr>
                                        <pic:blipFill>
                                          <a:blip r:embed="rId13"/>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7" descr=""/>
                                    <pic:cNvPicPr>
                                      <a:picLocks noChangeAspect="1" noChangeArrowheads="1"/>
                                    </pic:cNvPicPr>
                                  </pic:nvPicPr>
                                  <pic:blipFill>
                                    <a:blip r:embed="rId14"/>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3</w:t>
                      </w:r>
                    </w:p>
                  </w:txbxContent>
                </v:textbox>
                <w10:wrap type="none"/>
              </v:rect>
            </w:pict>
          </mc:Fallback>
        </mc:AlternateContent>
      </w:r>
    </w:p>
    <w:p>
      <w:pPr>
        <w:pStyle w:val="TextBody"/>
        <w:bidi w:val="0"/>
        <w:spacing w:lineRule="auto" w:line="288" w:before="0" w:after="480"/>
        <w:jc w:val="left"/>
        <w:rPr>
          <w:rFonts w:ascii="Verdana;sans-serif" w:hAnsi="Verdana;sans-serif"/>
          <w:b/>
          <w:color w:val="000000"/>
          <w:sz w:val="44"/>
        </w:rPr>
      </w:pPr>
      <w:bookmarkStart w:id="103" w:name="i4451448840514e2487fafe97a56db32e"/>
      <w:bookmarkEnd w:id="103"/>
      <w:r>
        <w:rPr>
          <w:rFonts w:ascii="Verdana;sans-serif" w:hAnsi="Verdana;sans-serif"/>
          <w:b/>
          <w:color w:val="000000"/>
          <w:sz w:val="44"/>
        </w:rPr>
        <w:t>Unaudited condensed consolidated statement of financial position</w:t>
      </w:r>
    </w:p>
    <w:tbl>
      <w:tblPr>
        <w:tblW w:w="6920" w:type="dxa"/>
        <w:jc w:val="left"/>
        <w:tblInd w:w="0" w:type="dxa"/>
        <w:tblLayout w:type="fixed"/>
        <w:tblCellMar>
          <w:top w:w="28" w:type="dxa"/>
          <w:left w:w="28" w:type="dxa"/>
          <w:bottom w:w="28" w:type="dxa"/>
          <w:right w:w="28" w:type="dxa"/>
        </w:tblCellMar>
      </w:tblPr>
      <w:tblGrid>
        <w:gridCol w:w="1182"/>
        <w:gridCol w:w="1042"/>
        <w:gridCol w:w="1045"/>
        <w:gridCol w:w="230"/>
        <w:gridCol w:w="230"/>
        <w:gridCol w:w="231"/>
        <w:gridCol w:w="610"/>
        <w:gridCol w:w="426"/>
        <w:gridCol w:w="271"/>
        <w:gridCol w:w="518"/>
        <w:gridCol w:w="518"/>
        <w:gridCol w:w="617"/>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65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30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653"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2025</w:t>
            </w:r>
          </w:p>
        </w:tc>
      </w:tr>
      <w:tr>
        <w:trPr/>
        <w:tc>
          <w:tcPr>
            <w:tcW w:w="3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Assets:</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Intangible assets and goodwill</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3, 8</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10,334.2 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10,534.9 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Property and equipment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4,184.3 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4,191.8 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Right-of-use assets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355.3 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186.5 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Contract assets and contract costs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74.9 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assets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non-current assets</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15,205.7</w:t>
            </w:r>
            <w:r>
              <w:rPr>
                <w:color w:val="F85F00"/>
              </w:rPr>
              <w:t> </w:t>
            </w:r>
          </w:p>
        </w:tc>
        <w:tc>
          <w:tcPr>
            <w:tcW w:w="27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15,373.7</w:t>
            </w:r>
            <w:r>
              <w:rPr>
                <w:color w:val="F85F00"/>
              </w:rPr>
              <w:t> </w:t>
            </w:r>
          </w:p>
        </w:tc>
        <w:tc>
          <w:tcPr>
            <w:tcW w:w="61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Contract assets and contract costs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198.4 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191.4 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receivables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216.7 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192.4 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95.0 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Inventories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25.5 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current assets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22.0 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receivable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11.2 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and cash equivalents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9, 10</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current assets</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637.6</w:t>
            </w:r>
            <w:r>
              <w:rPr>
                <w:color w:val="F85F00"/>
              </w:rPr>
              <w:t> </w:t>
            </w:r>
          </w:p>
        </w:tc>
        <w:tc>
          <w:tcPr>
            <w:tcW w:w="27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716.4</w:t>
            </w:r>
            <w:r>
              <w:rPr>
                <w:color w:val="F85F00"/>
              </w:rPr>
              <w:t> </w:t>
            </w:r>
          </w:p>
        </w:tc>
        <w:tc>
          <w:tcPr>
            <w:tcW w:w="61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assets</w:t>
            </w:r>
          </w:p>
        </w:tc>
        <w:tc>
          <w:tcPr>
            <w:tcW w:w="691"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15,843.3</w:t>
            </w:r>
            <w:r>
              <w:rPr>
                <w:color w:val="000000"/>
              </w:rPr>
              <w:t> </w:t>
            </w:r>
          </w:p>
        </w:tc>
        <w:tc>
          <w:tcPr>
            <w:tcW w:w="27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16,090.1</w:t>
            </w:r>
            <w:r>
              <w:rPr>
                <w:color w:val="000000"/>
              </w:rPr>
              <w:t> </w:t>
            </w:r>
          </w:p>
        </w:tc>
        <w:tc>
          <w:tcPr>
            <w:tcW w:w="61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50" w:type="dxa"/>
        <w:jc w:val="left"/>
        <w:tblInd w:w="0" w:type="dxa"/>
        <w:tblLayout w:type="fixed"/>
        <w:tblCellMar>
          <w:top w:w="28" w:type="dxa"/>
          <w:left w:w="28" w:type="dxa"/>
          <w:bottom w:w="28" w:type="dxa"/>
          <w:right w:w="28" w:type="dxa"/>
        </w:tblCellMar>
      </w:tblPr>
      <w:tblGrid>
        <w:gridCol w:w="1084"/>
        <w:gridCol w:w="956"/>
        <w:gridCol w:w="959"/>
        <w:gridCol w:w="230"/>
        <w:gridCol w:w="230"/>
        <w:gridCol w:w="231"/>
        <w:gridCol w:w="616"/>
        <w:gridCol w:w="420"/>
        <w:gridCol w:w="271"/>
        <w:gridCol w:w="525"/>
        <w:gridCol w:w="511"/>
        <w:gridCol w:w="617"/>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65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30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653"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2025</w:t>
            </w:r>
          </w:p>
        </w:tc>
      </w:tr>
      <w:tr>
        <w:trPr/>
        <w:tc>
          <w:tcPr>
            <w:tcW w:w="2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Equity:</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 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0.0</w:t>
            </w:r>
          </w:p>
        </w:tc>
        <w:tc>
          <w:tcPr>
            <w:tcW w:w="165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0.0</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 premium</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3,091.3 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3,091.2 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Retained earnings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(2,090.7)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(1,970.0)</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Equity</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1,000.6</w:t>
            </w:r>
            <w:r>
              <w:rPr>
                <w:color w:val="F85F00"/>
              </w:rPr>
              <w:t> </w:t>
            </w:r>
          </w:p>
        </w:tc>
        <w:tc>
          <w:tcPr>
            <w:tcW w:w="27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1,121.2</w:t>
            </w:r>
            <w:r>
              <w:rPr>
                <w:color w:val="F85F00"/>
              </w:rPr>
              <w:t> </w:t>
            </w:r>
          </w:p>
        </w:tc>
        <w:tc>
          <w:tcPr>
            <w:tcW w:w="61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Liabilities: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11,489.6 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11,387.0 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Deferred tax liabilities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548.8 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600.9 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113.7 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143.9 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 liabilities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280.8 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Provisions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27.1 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liabilities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88.3 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non-current liabilities</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12,484.5</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12,528.0</w:t>
            </w:r>
            <w:r>
              <w:rPr>
                <w:color w:val="000000"/>
              </w:rPr>
              <w:t> </w:t>
            </w:r>
          </w:p>
        </w:tc>
        <w:tc>
          <w:tcPr>
            <w:tcW w:w="61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portion of debt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payables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800.3 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Accruals and deferred income</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498.4 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487.5 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financial instruments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52.6 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 liabilities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Provisions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15.8 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current liabilities</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2,358.2</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2,440.9</w:t>
            </w:r>
            <w:r>
              <w:rPr>
                <w:color w:val="000000"/>
              </w:rPr>
              <w:t> </w:t>
            </w:r>
          </w:p>
        </w:tc>
        <w:tc>
          <w:tcPr>
            <w:tcW w:w="61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 xml:space="preserve">Total liabilities </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14,842.7</w:t>
            </w:r>
            <w:r>
              <w:rPr>
                <w:color w:val="F85F00"/>
              </w:rPr>
              <w:t> </w:t>
            </w:r>
          </w:p>
        </w:tc>
        <w:tc>
          <w:tcPr>
            <w:tcW w:w="271"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14,968.9</w:t>
            </w:r>
            <w:r>
              <w:rPr>
                <w:color w:val="F85F00"/>
              </w:rPr>
              <w:t> </w:t>
            </w:r>
          </w:p>
        </w:tc>
        <w:tc>
          <w:tcPr>
            <w:tcW w:w="61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equity and liabilities</w:t>
            </w:r>
          </w:p>
        </w:tc>
        <w:tc>
          <w:tcPr>
            <w:tcW w:w="691"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15,843.3</w:t>
            </w:r>
            <w:r>
              <w:rPr>
                <w:color w:val="000000"/>
              </w:rPr>
              <w:t> </w:t>
            </w:r>
          </w:p>
        </w:tc>
        <w:tc>
          <w:tcPr>
            <w:tcW w:w="27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16,090.1</w:t>
            </w:r>
            <w:r>
              <w:rPr>
                <w:color w:val="000000"/>
              </w:rPr>
              <w:t> </w:t>
            </w:r>
          </w:p>
        </w:tc>
        <w:tc>
          <w:tcPr>
            <w:tcW w:w="61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30250"/>
                <wp:effectExtent l="0" t="0" r="0" b="0"/>
                <wp:wrapNone/>
                <wp:docPr id="61" name="Frame4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6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8" descr=""/>
                                          <pic:cNvPicPr>
                                            <a:picLocks noChangeAspect="1" noChangeArrowheads="1"/>
                                          </pic:cNvPicPr>
                                        </pic:nvPicPr>
                                        <pic:blipFill>
                                          <a:blip r:embed="rId15"/>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6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8" descr=""/>
                                    <pic:cNvPicPr>
                                      <a:picLocks noChangeAspect="1" noChangeArrowheads="1"/>
                                    </pic:cNvPicPr>
                                  </pic:nvPicPr>
                                  <pic:blipFill>
                                    <a:blip r:embed="rId16"/>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4</w:t>
                      </w:r>
                    </w:p>
                  </w:txbxContent>
                </v:textbox>
                <w10:wrap type="none"/>
              </v:rect>
            </w:pict>
          </mc:Fallback>
        </mc:AlternateContent>
      </w:r>
    </w:p>
    <w:p>
      <w:pPr>
        <w:pStyle w:val="TextBody"/>
        <w:bidi w:val="0"/>
        <w:spacing w:lineRule="auto" w:line="288" w:before="0" w:after="600"/>
        <w:jc w:val="left"/>
        <w:rPr>
          <w:rFonts w:ascii="Verdana;sans-serif" w:hAnsi="Verdana;sans-serif"/>
          <w:b/>
          <w:color w:val="000000"/>
          <w:sz w:val="44"/>
        </w:rPr>
      </w:pPr>
      <w:bookmarkStart w:id="104" w:name="i3cfc3deaf29e41569b85ca2897f37559"/>
      <w:bookmarkEnd w:id="104"/>
      <w:r>
        <w:rPr>
          <w:rFonts w:ascii="Verdana;sans-serif" w:hAnsi="Verdana;sans-serif"/>
          <w:b/>
          <w:color w:val="000000"/>
          <w:sz w:val="44"/>
        </w:rPr>
        <w:t>Unaudited condensed consolidated statement of changes in equity</w:t>
      </w:r>
    </w:p>
    <w:tbl>
      <w:tblPr>
        <w:tblW w:w="10205" w:type="dxa"/>
        <w:jc w:val="left"/>
        <w:tblInd w:w="0" w:type="dxa"/>
        <w:tblLayout w:type="fixed"/>
        <w:tblCellMar>
          <w:top w:w="28" w:type="dxa"/>
          <w:left w:w="28" w:type="dxa"/>
          <w:bottom w:w="28" w:type="dxa"/>
          <w:right w:w="28" w:type="dxa"/>
        </w:tblCellMar>
      </w:tblPr>
      <w:tblGrid>
        <w:gridCol w:w="1375"/>
        <w:gridCol w:w="1086"/>
        <w:gridCol w:w="1071"/>
        <w:gridCol w:w="230"/>
        <w:gridCol w:w="230"/>
        <w:gridCol w:w="231"/>
        <w:gridCol w:w="109"/>
        <w:gridCol w:w="340"/>
        <w:gridCol w:w="340"/>
        <w:gridCol w:w="282"/>
        <w:gridCol w:w="564"/>
        <w:gridCol w:w="509"/>
        <w:gridCol w:w="509"/>
        <w:gridCol w:w="641"/>
        <w:gridCol w:w="577"/>
        <w:gridCol w:w="579"/>
        <w:gridCol w:w="631"/>
        <w:gridCol w:w="325"/>
        <w:gridCol w:w="306"/>
        <w:gridCol w:w="109"/>
        <w:gridCol w:w="161"/>
      </w:tblGrid>
      <w:tr>
        <w:trPr/>
        <w:tc>
          <w:tcPr>
            <w:tcW w:w="137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3" w:type="dxa"/>
            <w:gridSpan w:val="12"/>
            <w:tcBorders/>
            <w:shd w:fill="FFFFFF" w:val="clear"/>
            <w:tcMar>
              <w:top w:w="0" w:type="dxa"/>
              <w:left w:w="0" w:type="dxa"/>
              <w:bottom w:w="0" w:type="dxa"/>
              <w:right w:w="0" w:type="dxa"/>
            </w:tcMar>
            <w:vAlign w:val="center"/>
          </w:tcPr>
          <w:p>
            <w:pPr>
              <w:pStyle w:val="TableContents"/>
              <w:bidi w:val="0"/>
              <w:spacing w:lineRule="auto" w:line="288" w:before="0" w:after="40"/>
              <w:jc w:val="center"/>
              <w:rPr>
                <w:rFonts w:ascii="sans-serif" w:hAnsi="sans-serif"/>
                <w:b/>
                <w:color w:val="000000"/>
                <w:sz w:val="18"/>
              </w:rPr>
            </w:pPr>
            <w:r>
              <w:rPr>
                <w:rFonts w:ascii="sans-serif" w:hAnsi="sans-serif"/>
                <w:b/>
                <w:color w:val="000000"/>
                <w:sz w:val="18"/>
              </w:rPr>
              <w:t>Attributable to owners of the Company</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Share </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capital</w:t>
            </w:r>
          </w:p>
        </w:tc>
        <w:tc>
          <w:tcPr>
            <w:tcW w:w="1582"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Share premium</w:t>
            </w:r>
          </w:p>
        </w:tc>
        <w:tc>
          <w:tcPr>
            <w:tcW w:w="1797"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Retained earnings</w:t>
            </w:r>
          </w:p>
        </w:tc>
        <w:tc>
          <w:tcPr>
            <w:tcW w:w="1262"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1 January 2025</w:t>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0.0</w:t>
            </w:r>
          </w:p>
        </w:tc>
        <w:tc>
          <w:tcPr>
            <w:tcW w:w="10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3,214.0</w:t>
            </w:r>
            <w:r>
              <w:rPr>
                <w:color w:val="000000"/>
              </w:rPr>
              <w:t> </w:t>
            </w:r>
          </w:p>
        </w:tc>
        <w:tc>
          <w:tcPr>
            <w:tcW w:w="5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(1,673.5)</w:t>
            </w:r>
          </w:p>
        </w:tc>
        <w:tc>
          <w:tcPr>
            <w:tcW w:w="5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1,540.5</w:t>
            </w:r>
            <w:r>
              <w:rPr>
                <w:color w:val="000000"/>
              </w:rPr>
              <w:t> </w:t>
            </w:r>
          </w:p>
        </w:tc>
        <w:tc>
          <w:tcPr>
            <w:tcW w:w="30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 for the period</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(177.1)</w:t>
            </w:r>
          </w:p>
        </w:tc>
        <w:tc>
          <w:tcPr>
            <w:tcW w:w="5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(177.1)</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for the period</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5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(177.1)</w:t>
            </w:r>
          </w:p>
        </w:tc>
        <w:tc>
          <w:tcPr>
            <w:tcW w:w="5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(177.1)</w:t>
            </w:r>
          </w:p>
        </w:tc>
        <w:tc>
          <w:tcPr>
            <w:tcW w:w="30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30 June 2025</w:t>
            </w:r>
          </w:p>
        </w:tc>
        <w:tc>
          <w:tcPr>
            <w:tcW w:w="691"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0.0</w:t>
            </w:r>
          </w:p>
        </w:tc>
        <w:tc>
          <w:tcPr>
            <w:tcW w:w="1073"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3,214.0</w:t>
            </w:r>
            <w:r>
              <w:rPr>
                <w:color w:val="000000"/>
              </w:rPr>
              <w:t> </w:t>
            </w:r>
          </w:p>
        </w:tc>
        <w:tc>
          <w:tcPr>
            <w:tcW w:w="50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(1,850.6)</w:t>
            </w:r>
          </w:p>
        </w:tc>
        <w:tc>
          <w:tcPr>
            <w:tcW w:w="57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1,363.4</w:t>
            </w:r>
            <w:r>
              <w:rPr>
                <w:color w:val="000000"/>
              </w:rPr>
              <w:t> </w:t>
            </w:r>
          </w:p>
        </w:tc>
        <w:tc>
          <w:tcPr>
            <w:tcW w:w="30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99"/>
        <w:gridCol w:w="1130"/>
        <w:gridCol w:w="1119"/>
        <w:gridCol w:w="230"/>
        <w:gridCol w:w="230"/>
        <w:gridCol w:w="231"/>
        <w:gridCol w:w="109"/>
        <w:gridCol w:w="332"/>
        <w:gridCol w:w="332"/>
        <w:gridCol w:w="290"/>
        <w:gridCol w:w="564"/>
        <w:gridCol w:w="519"/>
        <w:gridCol w:w="519"/>
        <w:gridCol w:w="644"/>
        <w:gridCol w:w="592"/>
        <w:gridCol w:w="594"/>
        <w:gridCol w:w="616"/>
        <w:gridCol w:w="325"/>
        <w:gridCol w:w="430"/>
      </w:tblGrid>
      <w:tr>
        <w:trPr/>
        <w:tc>
          <w:tcPr>
            <w:tcW w:w="13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7" w:type="dxa"/>
            <w:gridSpan w:val="12"/>
            <w:tcBorders/>
            <w:shd w:fill="FFFFFF" w:val="clear"/>
            <w:tcMar>
              <w:top w:w="0" w:type="dxa"/>
              <w:left w:w="0" w:type="dxa"/>
              <w:bottom w:w="0" w:type="dxa"/>
              <w:right w:w="0" w:type="dxa"/>
            </w:tcMar>
            <w:vAlign w:val="center"/>
          </w:tcPr>
          <w:p>
            <w:pPr>
              <w:pStyle w:val="TableContents"/>
              <w:bidi w:val="0"/>
              <w:spacing w:lineRule="auto" w:line="288" w:before="0" w:after="40"/>
              <w:jc w:val="center"/>
              <w:rPr>
                <w:rFonts w:ascii="sans-serif" w:hAnsi="sans-serif"/>
                <w:b/>
                <w:color w:val="000000"/>
                <w:sz w:val="18"/>
              </w:rPr>
            </w:pPr>
            <w:r>
              <w:rPr>
                <w:rFonts w:ascii="sans-serif" w:hAnsi="sans-serif"/>
                <w:b/>
                <w:color w:val="000000"/>
                <w:sz w:val="18"/>
              </w:rPr>
              <w:t>Attributable to owners of the Company</w:t>
            </w:r>
          </w:p>
        </w:tc>
      </w:tr>
      <w:tr>
        <w:trPr/>
        <w:tc>
          <w:tcPr>
            <w:tcW w:w="364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Share </w:t>
            </w:r>
          </w:p>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capital</w:t>
            </w:r>
          </w:p>
        </w:tc>
        <w:tc>
          <w:tcPr>
            <w:tcW w:w="1602"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Share premium</w:t>
            </w:r>
          </w:p>
        </w:tc>
        <w:tc>
          <w:tcPr>
            <w:tcW w:w="1830"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Retained earnings</w:t>
            </w:r>
          </w:p>
        </w:tc>
        <w:tc>
          <w:tcPr>
            <w:tcW w:w="1371"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1 January 2026</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0.0</w:t>
            </w:r>
          </w:p>
        </w:tc>
        <w:tc>
          <w:tcPr>
            <w:tcW w:w="108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3,091.2</w:t>
            </w:r>
            <w:r>
              <w:rPr>
                <w:color w:val="000000"/>
              </w:rPr>
              <w:t> </w:t>
            </w:r>
          </w:p>
        </w:tc>
        <w:tc>
          <w:tcPr>
            <w:tcW w:w="5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(1,970.0)</w:t>
            </w:r>
          </w:p>
        </w:tc>
        <w:tc>
          <w:tcPr>
            <w:tcW w:w="59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1,121.2</w:t>
            </w:r>
            <w:r>
              <w:rPr>
                <w:color w:val="000000"/>
              </w:rPr>
              <w:t> </w:t>
            </w:r>
          </w:p>
        </w:tc>
        <w:tc>
          <w:tcPr>
            <w:tcW w:w="43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 for the period</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(120.7)</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(120.7)</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for the period</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2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w:t>
            </w:r>
            <w:r>
              <w:rPr>
                <w:color w:val="000000"/>
              </w:rPr>
              <w:t> </w:t>
            </w:r>
          </w:p>
        </w:tc>
        <w:tc>
          <w:tcPr>
            <w:tcW w:w="5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(120.7)</w:t>
            </w:r>
          </w:p>
        </w:tc>
        <w:tc>
          <w:tcPr>
            <w:tcW w:w="59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(120.7)</w:t>
            </w:r>
          </w:p>
        </w:tc>
        <w:tc>
          <w:tcPr>
            <w:tcW w:w="43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Share-based compensation</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30 June 2026</w:t>
            </w:r>
          </w:p>
        </w:tc>
        <w:tc>
          <w:tcPr>
            <w:tcW w:w="691"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0.0</w:t>
            </w:r>
          </w:p>
        </w:tc>
        <w:tc>
          <w:tcPr>
            <w:tcW w:w="1083"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3,091.3</w:t>
            </w:r>
            <w:r>
              <w:rPr>
                <w:color w:val="000000"/>
              </w:rPr>
              <w:t> </w:t>
            </w:r>
          </w:p>
        </w:tc>
        <w:tc>
          <w:tcPr>
            <w:tcW w:w="519"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(2,090.7)</w:t>
            </w:r>
          </w:p>
        </w:tc>
        <w:tc>
          <w:tcPr>
            <w:tcW w:w="59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1,000.6</w:t>
            </w:r>
            <w:r>
              <w:rPr>
                <w:color w:val="000000"/>
              </w:rPr>
              <w:t> </w:t>
            </w:r>
          </w:p>
        </w:tc>
        <w:tc>
          <w:tcPr>
            <w:tcW w:w="430"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30250"/>
                <wp:effectExtent l="0" t="0" r="0" b="0"/>
                <wp:wrapNone/>
                <wp:docPr id="64" name="Frame5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6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9" descr=""/>
                                          <pic:cNvPicPr>
                                            <a:picLocks noChangeAspect="1" noChangeArrowheads="1"/>
                                          </pic:cNvPicPr>
                                        </pic:nvPicPr>
                                        <pic:blipFill>
                                          <a:blip r:embed="rId17"/>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6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9" descr=""/>
                                    <pic:cNvPicPr>
                                      <a:picLocks noChangeAspect="1" noChangeArrowheads="1"/>
                                    </pic:cNvPicPr>
                                  </pic:nvPicPr>
                                  <pic:blipFill>
                                    <a:blip r:embed="rId18"/>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5</w:t>
                      </w:r>
                    </w:p>
                  </w:txbxContent>
                </v:textbox>
                <w10:wrap type="none"/>
              </v:rect>
            </w:pict>
          </mc:Fallback>
        </mc:AlternateContent>
      </w:r>
    </w:p>
    <w:p>
      <w:pPr>
        <w:pStyle w:val="TextBody"/>
        <w:bidi w:val="0"/>
        <w:spacing w:lineRule="auto" w:line="288" w:before="0" w:after="540"/>
        <w:jc w:val="left"/>
        <w:rPr>
          <w:rFonts w:ascii="Verdana;sans-serif" w:hAnsi="Verdana;sans-serif"/>
          <w:b/>
          <w:color w:val="000000"/>
          <w:sz w:val="44"/>
        </w:rPr>
      </w:pPr>
      <w:bookmarkStart w:id="105" w:name="i3c4ee5443d3f4739b238e930894a52f7"/>
      <w:bookmarkEnd w:id="105"/>
      <w:r>
        <w:rPr>
          <w:rFonts w:ascii="Verdana;sans-serif" w:hAnsi="Verdana;sans-serif"/>
          <w:b/>
          <w:color w:val="000000"/>
          <w:sz w:val="44"/>
        </w:rPr>
        <w:t>Unaudited condensed consolidated statement of cash flows</w:t>
      </w:r>
    </w:p>
    <w:tbl>
      <w:tblPr>
        <w:tblW w:w="10205" w:type="dxa"/>
        <w:jc w:val="left"/>
        <w:tblInd w:w="0" w:type="dxa"/>
        <w:tblLayout w:type="fixed"/>
        <w:tblCellMar>
          <w:top w:w="28" w:type="dxa"/>
          <w:left w:w="28" w:type="dxa"/>
          <w:bottom w:w="28" w:type="dxa"/>
          <w:right w:w="28" w:type="dxa"/>
        </w:tblCellMar>
      </w:tblPr>
      <w:tblGrid>
        <w:gridCol w:w="2521"/>
        <w:gridCol w:w="2198"/>
        <w:gridCol w:w="2198"/>
        <w:gridCol w:w="230"/>
        <w:gridCol w:w="230"/>
        <w:gridCol w:w="231"/>
        <w:gridCol w:w="404"/>
        <w:gridCol w:w="398"/>
        <w:gridCol w:w="360"/>
        <w:gridCol w:w="429"/>
        <w:gridCol w:w="428"/>
        <w:gridCol w:w="578"/>
      </w:tblGrid>
      <w:tr>
        <w:trPr/>
        <w:tc>
          <w:tcPr>
            <w:tcW w:w="2521"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For the six months ended</w:t>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43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16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43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2025</w:t>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operating activities:</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loss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(120.7)</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(177.1)</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Adjustments to reconcile net loss to net cash generated from operating activities: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Share-based compensation expense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 and amortisation</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3, 5</w:t>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687.7 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851.6 </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Impairment, restructuring and other operating items, net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3, 5</w:t>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15.1 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48.0 </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finance costs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3, 6</w:t>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328.0 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277.8 </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3, 7</w:t>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(20.1)</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(52.1)</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(140.2)</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(138.6)</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generated from operating activities</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749.9</w:t>
            </w:r>
            <w:r>
              <w:rPr>
                <w:color w:val="000000"/>
              </w:rPr>
              <w:t>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809.6</w:t>
            </w:r>
            <w:r>
              <w:rPr>
                <w:color w:val="000000"/>
              </w:rPr>
              <w:t> </w:t>
            </w:r>
          </w:p>
        </w:tc>
        <w:tc>
          <w:tcPr>
            <w:tcW w:w="5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paid for interest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(335.7)</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(394.7)</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received related to derivative instruments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41.2 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85.5 </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paid for income taxes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(30.0)</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(63.5)</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Net cash provided by operating activities</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425.4</w:t>
            </w:r>
            <w:r>
              <w:rPr>
                <w:color w:val="F85F00"/>
              </w:rPr>
              <w:t> </w:t>
            </w:r>
          </w:p>
        </w:tc>
        <w:tc>
          <w:tcPr>
            <w:tcW w:w="36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436.9</w:t>
            </w:r>
            <w:r>
              <w:rPr>
                <w:color w:val="F85F00"/>
              </w:rPr>
              <w:t> </w:t>
            </w:r>
          </w:p>
        </w:tc>
        <w:tc>
          <w:tcPr>
            <w:tcW w:w="57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investing activities: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Capital expenditures </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(266.9)</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(203.8)</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investing activities, net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2.1 </w:t>
            </w:r>
          </w:p>
        </w:tc>
        <w:tc>
          <w:tcPr>
            <w:tcW w:w="5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Net cash used by investing activities</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(265.0)</w:t>
            </w:r>
          </w:p>
        </w:tc>
        <w:tc>
          <w:tcPr>
            <w:tcW w:w="360"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(201.7)</w:t>
            </w:r>
          </w:p>
        </w:tc>
        <w:tc>
          <w:tcPr>
            <w:tcW w:w="57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left"/>
        <w:rPr>
          <w:color w:val="000000"/>
        </w:rPr>
      </w:pPr>
      <w:r>
        <w:rPr>
          <w:color w:val="000000"/>
        </w:rPr>
        <w:t>    </w:t>
      </w:r>
    </w:p>
    <w:tbl>
      <w:tblPr>
        <w:tblW w:w="9236" w:type="dxa"/>
        <w:jc w:val="left"/>
        <w:tblInd w:w="0" w:type="dxa"/>
        <w:tblLayout w:type="fixed"/>
        <w:tblCellMar>
          <w:top w:w="28" w:type="dxa"/>
          <w:left w:w="28" w:type="dxa"/>
          <w:bottom w:w="28" w:type="dxa"/>
          <w:right w:w="28" w:type="dxa"/>
        </w:tblCellMar>
      </w:tblPr>
      <w:tblGrid>
        <w:gridCol w:w="2121"/>
        <w:gridCol w:w="1870"/>
        <w:gridCol w:w="1874"/>
        <w:gridCol w:w="230"/>
        <w:gridCol w:w="230"/>
        <w:gridCol w:w="231"/>
        <w:gridCol w:w="405"/>
        <w:gridCol w:w="405"/>
        <w:gridCol w:w="385"/>
        <w:gridCol w:w="434"/>
        <w:gridCol w:w="434"/>
        <w:gridCol w:w="617"/>
      </w:tblGrid>
      <w:tr>
        <w:trPr/>
        <w:tc>
          <w:tcPr>
            <w:tcW w:w="212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For the six months ended</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Notes</w:t>
            </w:r>
          </w:p>
        </w:tc>
        <w:tc>
          <w:tcPr>
            <w:tcW w:w="119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48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2025</w:t>
            </w:r>
          </w:p>
        </w:tc>
      </w:tr>
      <w:tr>
        <w:trPr/>
        <w:tc>
          <w:tcPr>
            <w:tcW w:w="58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financing activities:</w:t>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Borrowings of third-party debt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440.9 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326.3 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Operating-related vendor financing additions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383.9 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391.3 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Repayments of third-party debt and lease obligations: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 (excluding vendor financing)</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(440.9)</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(933.0)</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operating-related vendor financing</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(391.1)</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(342.3)</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Principal payments on capital-related vendor financing</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(227.9)</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(275.4)</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Payments on lease obligations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(48.9)</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(44.5)</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received related to derivative instruments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39.0 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Payment of financing costs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(14.7)</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financing activities, net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(0.9)</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Net cash used by financing activities</w:t>
            </w:r>
          </w:p>
        </w:tc>
        <w:tc>
          <w:tcPr>
            <w:tcW w:w="691" w:type="dxa"/>
            <w:gridSpan w:val="3"/>
            <w:tcBorders>
              <w:top w:val="single" w:sz="4" w:space="0" w:color="F85F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(299.9)</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(839.5)</w:t>
            </w:r>
          </w:p>
        </w:tc>
        <w:tc>
          <w:tcPr>
            <w:tcW w:w="61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Effect of exchange rate changes on cash and cash equivalents </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Net decrease in cash and cash equivalents </w:t>
            </w:r>
          </w:p>
        </w:tc>
        <w:tc>
          <w:tcPr>
            <w:tcW w:w="691"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(139.7)</w:t>
            </w:r>
          </w:p>
        </w:tc>
        <w:tc>
          <w:tcPr>
            <w:tcW w:w="385"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(604.5)</w:t>
            </w:r>
          </w:p>
        </w:tc>
        <w:tc>
          <w:tcPr>
            <w:tcW w:w="617"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Cash and cash equivalents: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Beginning of period</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745.2 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End of period</w:t>
            </w:r>
          </w:p>
        </w:tc>
        <w:tc>
          <w:tcPr>
            <w:tcW w:w="69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39.2 </w:t>
            </w:r>
          </w:p>
        </w:tc>
        <w:tc>
          <w:tcPr>
            <w:tcW w:w="385"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140.7 </w:t>
            </w:r>
          </w:p>
        </w:tc>
        <w:tc>
          <w:tcPr>
            <w:tcW w:w="61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2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0250"/>
                <wp:effectExtent l="0" t="0" r="0" b="0"/>
                <wp:wrapNone/>
                <wp:docPr id="67" name="Frame5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240"/>
                              <w:jc w:val="right"/>
                              <w:rPr/>
                            </w:pPr>
                            <w:r>
                              <w:rPr/>
                              <w:drawing>
                                <wp:inline distT="0" distB="0" distL="0" distR="0">
                                  <wp:extent cx="1257300" cy="361950"/>
                                  <wp:effectExtent l="0" t="0" r="0" b="0"/>
                                  <wp:docPr id="6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0" descr=""/>
                                          <pic:cNvPicPr>
                                            <a:picLocks noChangeAspect="1" noChangeArrowheads="1"/>
                                          </pic:cNvPicPr>
                                        </pic:nvPicPr>
                                        <pic:blipFill>
                                          <a:blip r:embed="rId19"/>
                                          <a:stretch>
                                            <a:fillRect/>
                                          </a:stretch>
                                        </pic:blipFill>
                                        <pic:spPr bwMode="auto">
                                          <a:xfrm>
                                            <a:off x="0" y="0"/>
                                            <a:ext cx="1257300" cy="361950"/>
                                          </a:xfrm>
                                          <a:prstGeom prst="rect">
                                            <a:avLst/>
                                          </a:prstGeom>
                                        </pic:spPr>
                                      </pic:pic>
                                    </a:graphicData>
                                  </a:graphic>
                                </wp:inline>
                              </w:drawing>
                            </w:r>
                            <w:r>
                              <w:br w:type="page"/>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right"/>
                        <w:rPr/>
                      </w:pPr>
                      <w:r>
                        <w:rPr/>
                        <w:drawing>
                          <wp:inline distT="0" distB="0" distL="0" distR="0">
                            <wp:extent cx="1257300" cy="361950"/>
                            <wp:effectExtent l="0" t="0" r="0" b="0"/>
                            <wp:docPr id="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0" descr=""/>
                                    <pic:cNvPicPr>
                                      <a:picLocks noChangeAspect="1" noChangeArrowheads="1"/>
                                    </pic:cNvPicPr>
                                  </pic:nvPicPr>
                                  <pic:blipFill>
                                    <a:blip r:embed="rId20"/>
                                    <a:stretch>
                                      <a:fillRect/>
                                    </a:stretch>
                                  </pic:blipFill>
                                  <pic:spPr bwMode="auto">
                                    <a:xfrm>
                                      <a:off x="0" y="0"/>
                                      <a:ext cx="1257300" cy="361950"/>
                                    </a:xfrm>
                                    <a:prstGeom prst="rect">
                                      <a:avLst/>
                                    </a:prstGeom>
                                  </pic:spPr>
                                </pic:pic>
                              </a:graphicData>
                            </a:graphic>
                          </wp:inline>
                        </w:drawing>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6</w:t>
                      </w:r>
                    </w:p>
                  </w:txbxContent>
                </v:textbox>
                <w10:wrap type="none"/>
              </v:rect>
            </w:pict>
          </mc:Fallback>
        </mc:AlternateContent>
      </w:r>
    </w:p>
    <w:p>
      <w:pPr>
        <w:pStyle w:val="TextBody"/>
        <w:bidi w:val="0"/>
        <w:spacing w:lineRule="auto" w:line="288" w:before="0" w:after="420"/>
        <w:jc w:val="left"/>
        <w:rPr>
          <w:rFonts w:ascii="Verdana;sans-serif" w:hAnsi="Verdana;sans-serif"/>
          <w:b/>
          <w:color w:val="000000"/>
          <w:sz w:val="44"/>
        </w:rPr>
      </w:pPr>
      <w:bookmarkStart w:id="106" w:name="i651e4c0077ef45f0bc20e7b1d9b35754"/>
      <w:bookmarkEnd w:id="106"/>
      <w:r>
        <w:rPr>
          <w:rFonts w:ascii="Verdana;sans-serif" w:hAnsi="Verdana;sans-serif"/>
          <w:b/>
          <w:color w:val="000000"/>
          <w:sz w:val="44"/>
        </w:rPr>
        <w:t>Notes to the condensed consolidated interim financial statements</w:t>
      </w:r>
    </w:p>
    <w:p>
      <w:pPr>
        <w:pStyle w:val="TextBody"/>
        <w:bidi w:val="0"/>
        <w:spacing w:lineRule="auto" w:line="288" w:before="0" w:after="250"/>
        <w:ind w:left="0" w:right="0" w:hanging="340"/>
        <w:jc w:val="left"/>
        <w:rPr>
          <w:rFonts w:ascii="sans-serif" w:hAnsi="sans-serif"/>
          <w:b/>
          <w:color w:val="000000"/>
          <w:sz w:val="24"/>
        </w:rPr>
      </w:pPr>
      <w:bookmarkStart w:id="107" w:name="i277c5d3c65c74b66b58d6c12e07e976d"/>
      <w:bookmarkEnd w:id="107"/>
      <w:r>
        <w:rPr>
          <w:rFonts w:ascii="sans-serif" w:hAnsi="sans-serif"/>
          <w:b/>
          <w:color w:val="000000"/>
          <w:sz w:val="24"/>
        </w:rPr>
        <w:t>1. General Information</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VodafoneZiggo Group Holding B.V. (the Company), having its registered address at Boven Vredenburgpassage 128, 3511WR Utrecht, is a private limited liability company under Dutch law and is registered as a financial holding company under number 65291166 in the Trade Register. The Company has its legal seat in Amsterdam. The Company and its subsidiaries are called the Group, VodafoneZiggo or we hereafter. The Group provides fixed, mobile and integrated communication and entertainment services to consumers and businesses in the Netherlands.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per the balance sheet date the Company was indirectly 50% owned by each of Liberty Global Ltd. (Liberty Global) and Vodafone Group Plc (Vodafone Group).</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On 31 July 2026, Liberty Global completed its acquisition of Vodafone Group's 50% shareholding in VodafoneZiggo Group Holding (the VodafoneZiggo Acquisition). Under the terms of the agreement, Vodafone Group received approximately €1.0 billion in cash and a 10% equity interest in Ziggo Group, which holds Liberty Global’s interests in VodafoneZiggo and Telenet in Belgium and Luxembourg. Liberty Global holds the remaining 90% interest in Ziggo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108" w:name="if2887f2ca78047edad3f239cf9a0b012"/>
      <w:bookmarkEnd w:id="108"/>
      <w:r>
        <w:rPr>
          <w:rFonts w:ascii="sans-serif" w:hAnsi="sans-serif"/>
          <w:b/>
          <w:color w:val="000000"/>
          <w:sz w:val="24"/>
        </w:rPr>
        <w:t>2. Accounting Policies</w:t>
      </w:r>
    </w:p>
    <w:p>
      <w:pPr>
        <w:pStyle w:val="TextBody"/>
        <w:bidi w:val="0"/>
        <w:spacing w:lineRule="auto" w:line="324" w:before="120" w:after="283"/>
        <w:jc w:val="left"/>
        <w:rPr>
          <w:rFonts w:ascii="sans-serif" w:hAnsi="sans-serif"/>
          <w:b/>
          <w:color w:val="F85F00"/>
          <w:sz w:val="20"/>
        </w:rPr>
      </w:pPr>
      <w:bookmarkStart w:id="109" w:name="i64bcd9a78d8f4bf0872fc7d26d3ef7f5"/>
      <w:bookmarkEnd w:id="109"/>
      <w:r>
        <w:rPr>
          <w:rFonts w:ascii="sans-serif" w:hAnsi="sans-serif"/>
          <w:b/>
          <w:color w:val="F85F00"/>
          <w:sz w:val="20"/>
        </w:rPr>
        <w:t>Basis of preparation</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condensed consolidated interim financial statements for the six months ended 30 June 2026 have been prepared in accordance with International Financial Reporting Standards (IFRS), as issued by the International Accounting Standards Board (IASB), as well as IFRS as adopted by the European Union. The interim financial statements have not been audited by VodafoneZiggo’s external auditor.</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financial statements are presented in euros (€), which is the Group’s functional currency. Unless otherwise indicated, all amounts have been rounded to millions, with one decimal place of precision.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condensed consolidated interim financial statements do not include all the information and disclosures required in the annual financial statements and should be read in conjunction with the Group’s annual consolidated financial statements as at 31 December 2025.</w:t>
      </w:r>
    </w:p>
    <w:p>
      <w:pPr>
        <w:pStyle w:val="TextBody"/>
        <w:bidi w:val="0"/>
        <w:spacing w:lineRule="auto" w:line="324" w:before="120" w:after="283"/>
        <w:jc w:val="left"/>
        <w:rPr>
          <w:rFonts w:ascii="sans-serif" w:hAnsi="sans-serif"/>
          <w:b/>
          <w:color w:val="F85F00"/>
          <w:sz w:val="20"/>
        </w:rPr>
      </w:pPr>
      <w:bookmarkStart w:id="110" w:name="i56be5452fe62423689b6a35911588709"/>
      <w:bookmarkEnd w:id="110"/>
      <w:r>
        <w:rPr>
          <w:rFonts w:ascii="sans-serif" w:hAnsi="sans-serif"/>
          <w:b/>
          <w:color w:val="F85F00"/>
          <w:sz w:val="20"/>
        </w:rPr>
        <w:t>Significant accounting estimates, judgements and assumptions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The preparation of financial statements in conformity with IFRS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allowances for impairment of receivables, certain components of revenue, programming and copyright expenses, deferred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income taxes, loss contingencies, fair value measurements, impairment assessments, capitalisation of internal costs associated with construction and installation activities and development of internal-use software and useful lives of non-current assets. Actual results could differ from those estimates.</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We believe the following accounting policies are critical in the preparation of our consolidated financial statements because of the judgment necessary to account for these matters and the significant estimates involved, which are susceptible to change:</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Impairment of goodwill.</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Costs associated with capitalisation of property &amp; equipment and development of internal-use software.</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Fair value measurements.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Income tax accounting.</w:t>
      </w:r>
    </w:p>
    <w:p>
      <w:pPr>
        <w:pStyle w:val="TextBody"/>
        <w:bidi w:val="0"/>
        <w:spacing w:before="0" w:after="10"/>
        <w:ind w:left="0" w:right="0" w:firstLine="77"/>
        <w:jc w:val="left"/>
        <w:rPr/>
      </w:pPr>
      <w:r>
        <w:rPr/>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For more information on the significant accounting estimates, judgements and assumptions refer to the notes in the consolidated financial statements of the Group as at 31 December 2025.</w:t>
      </w:r>
    </w:p>
    <w:p>
      <w:pPr>
        <w:pStyle w:val="TextBody"/>
        <w:bidi w:val="0"/>
        <w:spacing w:lineRule="auto" w:line="324" w:before="120" w:after="283"/>
        <w:jc w:val="left"/>
        <w:rPr>
          <w:rFonts w:ascii="sans-serif" w:hAnsi="sans-serif"/>
          <w:b/>
          <w:color w:val="F85F00"/>
          <w:sz w:val="20"/>
        </w:rPr>
      </w:pPr>
      <w:bookmarkStart w:id="111" w:name="ie1c8e0c3a4f3425ca5b142ad89b75624"/>
      <w:bookmarkEnd w:id="111"/>
      <w:r>
        <w:rPr>
          <w:rFonts w:ascii="sans-serif" w:hAnsi="sans-serif"/>
          <w:b/>
          <w:color w:val="F85F00"/>
          <w:sz w:val="20"/>
        </w:rPr>
        <w:t>Changes in accounting policies</w:t>
      </w:r>
    </w:p>
    <w:p>
      <w:pPr>
        <w:pStyle w:val="TextBody"/>
        <w:bidi w:val="0"/>
        <w:spacing w:lineRule="auto" w:line="288" w:before="0" w:after="180"/>
        <w:jc w:val="left"/>
        <w:rPr>
          <w:rFonts w:ascii="sans-serif" w:hAnsi="sans-serif"/>
          <w:b w:val="false"/>
          <w:color w:val="000000"/>
          <w:sz w:val="18"/>
        </w:rPr>
      </w:pPr>
      <w:r>
        <w:rPr>
          <w:rFonts w:ascii="sans-serif" w:hAnsi="sans-serif"/>
          <w:b w:val="false"/>
          <w:color w:val="000000"/>
          <w:sz w:val="18"/>
        </w:rPr>
        <w:t>We apply new standards and amendments issued by the International Accounting Standards Board (IASB) when effective and endorsed by the European Union (EU). We have not early adopted any standards. The accounting policies applied are consistent with those of the previous financial year.</w:t>
      </w:r>
    </w:p>
    <w:p>
      <w:pPr>
        <w:pStyle w:val="TextBody"/>
        <w:bidi w:val="0"/>
        <w:spacing w:lineRule="auto" w:line="288" w:before="120" w:after="283"/>
        <w:jc w:val="left"/>
        <w:rPr/>
      </w:pPr>
      <w:bookmarkStart w:id="112" w:name="i1b8db92f61cd42cca6477ec2f5676f22"/>
      <w:bookmarkEnd w:id="112"/>
      <w:r>
        <w:rPr>
          <w:rFonts w:ascii="sans-serif" w:hAnsi="sans-serif"/>
          <w:b/>
          <w:color w:val="000000"/>
          <w:sz w:val="18"/>
        </w:rPr>
        <w:t>The following standards and amendments have become effective as of 1 January 2026</w:t>
      </w:r>
      <w:r>
        <w:rPr>
          <w:rFonts w:ascii="sans-serif" w:hAnsi="sans-serif"/>
          <w:b w:val="false"/>
          <w:color w:val="000000"/>
          <w:sz w:val="18"/>
        </w:rPr>
        <w:t>:</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 xml:space="preserve">IFRS 9 Financial Instruments and IFRS 7 Financial Instruments: Disclosures - amendments to classification and measurement of financial Instruments; </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Annual improvements to IFRS Accounting Standards - Volume 11.</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These amendments did not have a significant impact.</w:t>
      </w:r>
    </w:p>
    <w:p>
      <w:pPr>
        <w:pStyle w:val="TextBody"/>
        <w:bidi w:val="0"/>
        <w:spacing w:lineRule="auto" w:line="288" w:before="120" w:after="283"/>
        <w:jc w:val="left"/>
        <w:rPr>
          <w:rFonts w:ascii="sans-serif" w:hAnsi="sans-serif"/>
          <w:b/>
          <w:color w:val="000000"/>
          <w:sz w:val="18"/>
        </w:rPr>
      </w:pPr>
      <w:bookmarkStart w:id="113" w:name="i41dff3345f154a55a328de4b2db33563"/>
      <w:bookmarkEnd w:id="113"/>
      <w:r>
        <w:rPr>
          <w:rFonts w:ascii="sans-serif" w:hAnsi="sans-serif"/>
          <w:b/>
          <w:color w:val="000000"/>
          <w:sz w:val="18"/>
        </w:rPr>
        <w:t>Accounting standards issued but not yet effective:</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IFRS 18 Presentation and Disclosure in Financial Statements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IFRS 19 Subsidiaries without Public Accountability;</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IFRS 20 Regulatory Assets and Regulatory Liabilities; and</w:t>
      </w:r>
    </w:p>
    <w:p>
      <w:pPr>
        <w:pStyle w:val="TextBody"/>
        <w:bidi w:val="0"/>
        <w:spacing w:before="0" w:after="10"/>
        <w:ind w:left="0" w:right="0" w:firstLine="77"/>
        <w:jc w:val="left"/>
        <w:rPr/>
      </w:pPr>
      <w:r>
        <w:rPr/>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With the exception of IFRS 18 as discussed below, VodafoneZiggo does not expect that these standards and amendments will have a material impact on the financial statements</w:t>
      </w:r>
    </w:p>
    <w:p>
      <w:pPr>
        <w:pStyle w:val="TextBody"/>
        <w:bidi w:val="0"/>
        <w:spacing w:lineRule="auto" w:line="288" w:before="120" w:after="283"/>
        <w:jc w:val="left"/>
        <w:rPr>
          <w:rFonts w:ascii="sans-serif" w:hAnsi="sans-serif"/>
          <w:b/>
          <w:color w:val="000000"/>
          <w:sz w:val="18"/>
        </w:rPr>
      </w:pPr>
      <w:bookmarkStart w:id="114" w:name="ib7e823a192514e9da0668508eb41fa6c"/>
      <w:bookmarkEnd w:id="114"/>
      <w:r>
        <w:rPr>
          <w:rFonts w:ascii="sans-serif" w:hAnsi="sans-serif"/>
          <w:b/>
          <w:color w:val="000000"/>
          <w:sz w:val="18"/>
        </w:rPr>
        <w:t>IFRS 18</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IFRS 18 will replace IAS 1 Presentation of Financial Statements and applies for the periods beginning on or after 1 January 2027. The new accounting standard introduces the following requirements:</w:t>
      </w:r>
    </w:p>
    <w:p>
      <w:pPr>
        <w:pStyle w:val="TextBody"/>
        <w:bidi w:val="0"/>
        <w:spacing w:before="0" w:after="24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52400"/>
                <wp:effectExtent l="0" t="0" r="0" b="0"/>
                <wp:wrapNone/>
                <wp:docPr id="70" name="Frame52"/>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7</w:t>
                      </w:r>
                    </w:p>
                  </w:txbxContent>
                </v:textbox>
                <w10:wrap type="none"/>
              </v:rect>
            </w:pict>
          </mc:Fallback>
        </mc:AlternateConten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Entities are required to classify income and expenses into five categories of profit or loss, namely the operating, investing, financing, discontinued operations and income tax categories. Entities are also required to a newly defined “operating profit” subtotal, however net profit will not change.</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Management defined performance measures (MPM) are to be identified and disclosed in a single note in the financial statements.</w:t>
      </w:r>
    </w:p>
    <w:p>
      <w:pPr>
        <w:pStyle w:val="TextBody"/>
        <w:bidi w:val="0"/>
        <w:spacing w:lineRule="atLeast" w:line="240" w:before="0" w:after="10"/>
        <w:ind w:left="0" w:right="0" w:hanging="283"/>
        <w:jc w:val="left"/>
        <w:rPr/>
      </w:pPr>
      <w:r>
        <w:rPr>
          <w:color w:val="000000"/>
        </w:rPr>
        <w:t>•</w:t>
      </w:r>
      <w:r>
        <w:rPr>
          <w:rFonts w:ascii="sans-serif" w:hAnsi="sans-serif"/>
          <w:b w:val="false"/>
          <w:color w:val="000000"/>
          <w:sz w:val="18"/>
        </w:rPr>
        <w:t>The guidance on grouping of information in the financial statements has been enhanced.</w:t>
      </w:r>
    </w:p>
    <w:p>
      <w:pPr>
        <w:pStyle w:val="TextBody"/>
        <w:bidi w:val="0"/>
        <w:spacing w:before="0" w:after="10"/>
        <w:ind w:left="0" w:right="0" w:hanging="340"/>
        <w:jc w:val="left"/>
        <w:rPr/>
      </w:pPr>
      <w:r>
        <w:rPr/>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amendments are expected to impact presentation and disclosure requirements for the consolidated financial statements, including the consolidated statement of profit or loss, we are currently assessing the impact on the financial statements.</w:t>
      </w:r>
    </w:p>
    <w:p>
      <w:pPr>
        <w:pStyle w:val="TextBody"/>
        <w:bidi w:val="0"/>
        <w:spacing w:lineRule="auto" w:line="288" w:before="120" w:after="283"/>
        <w:jc w:val="left"/>
        <w:rPr>
          <w:rFonts w:ascii="sans-serif" w:hAnsi="sans-serif"/>
          <w:b/>
          <w:color w:val="000000"/>
          <w:sz w:val="18"/>
        </w:rPr>
      </w:pPr>
      <w:bookmarkStart w:id="115" w:name="i496a283a1b7044478f41cc4de83a40eb"/>
      <w:bookmarkEnd w:id="115"/>
      <w:r>
        <w:rPr>
          <w:rFonts w:ascii="sans-serif" w:hAnsi="sans-serif"/>
          <w:b/>
          <w:color w:val="000000"/>
          <w:sz w:val="18"/>
        </w:rPr>
        <w:t>Sports Rights - Change in Accounting Policy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part of the formation of the Ziggo Group, management identified a difference in accounting policy relating to sports broadcasting rights and has elected to align VodafoneZiggo's accounting policy with that applied elsewhere within the Ziggo Group. Previously, sports broadcasting rights were expensed as incurred during the period in which the related sporting events occurred. This accounting policy change excludes contracts related to programming rights for channels and only applies to contracts related to sporting events.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Under the revised policy, contractual sports broadcasting rights are recognised as an intangible asset, together with a corresponding liability, when the contractual rights and obligations arise upon execution of the contract. The liability is initially measured at the present value of the contractual payments. The broadcasting rights asset is subsequently amortised over the applicable sports season(s), during which the content is being broadcasted, as covered by the contract. The corresponding liability is subsequently measured at amortised cost, with the discount unwound through finance expense using the effective interest method. Settlement of the liability occurs in accordance with the contractual payment terms.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Management believes that the voluntary policy change provides more relevant and reliable information regarding the recognition and consumption of sports broadcasting rights, enhances the faithful representation of the Group's financial position and performance, improves comparability across the Ziggo Group and industry peers, and results in financial information that is more relevant to users of the financial statements. The change has been applied retrospectively in accordance with IAS 8. Additionally this change in accounting policy will be applied in the 2026 annual financial statements. The impact of the change in accounting policy on the comparative financial information is presented in note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lineRule="auto" w:line="288" w:before="0" w:after="250"/>
        <w:ind w:left="0" w:right="0" w:hanging="340"/>
        <w:jc w:val="left"/>
        <w:rPr>
          <w:rFonts w:ascii="sans-serif" w:hAnsi="sans-serif"/>
          <w:b/>
          <w:color w:val="000000"/>
          <w:sz w:val="24"/>
        </w:rPr>
      </w:pPr>
      <w:bookmarkStart w:id="116" w:name="iee65402e0e5c44eba42de66a39e37af7"/>
      <w:bookmarkEnd w:id="116"/>
      <w:r>
        <w:rPr>
          <w:rFonts w:ascii="sans-serif" w:hAnsi="sans-serif"/>
          <w:b/>
          <w:color w:val="000000"/>
          <w:sz w:val="24"/>
        </w:rPr>
        <w:t>3. IAS 8 Retrospective change in accounting policy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part of the formation of the Ziggo Group, management identified a difference in accounting policy relating to sports broadcasting rights and has elected to align VodafoneZiggo's accounting policy with that applied elsewhere within the Ziggo Group. Previously, sports broadcasting rights were expensed as incurred during the period in which the related sporting events occurred. This accounting policy change excludes contracts related to programming rights for channels and only applies to contracts related to sporting events.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Under the revised policy, contractual sports broadcasting rights are recognised as an intangible asset, together with a corresponding liability, when the contractual rights and obligations arise upon execution of the contract. The liability is initially measured at the present value of the contractual payments. The broadcasting rights asset is subsequently amortised over the applicable sports season(s), during which the content is being broadcasted, as covered by the contract. The corresponding liability is subsequently measured at amortised cost, with the discount unwound through finance expense using the effective interest method. Settlement of the liability occurs in accordance with the contractual payment terms.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a result of this change, a net deferred tax liability is created.</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Management believes that the voluntary policy change provides more relevant and reliable information regarding the recognition and consumption of sports broadcasting rights, enhances the faithful representation of the Group's financial position and performance, improves comparability across the Ziggo Group and industry peers, and results in financial information that is more relevant to users of the financial statements. The change has been applied retrospectively in accordance with IAS 8. Additionally this change in accounting policy will be applied in the 2026 annual financial statements.The impact of this accounting policy change on the affected primary statement line items is shown in the tables below:</w:t>
      </w:r>
    </w:p>
    <w:tbl>
      <w:tblPr>
        <w:tblW w:w="10205" w:type="dxa"/>
        <w:jc w:val="left"/>
        <w:tblInd w:w="0" w:type="dxa"/>
        <w:tblLayout w:type="fixed"/>
        <w:tblCellMar>
          <w:top w:w="28" w:type="dxa"/>
          <w:left w:w="28" w:type="dxa"/>
          <w:bottom w:w="28" w:type="dxa"/>
          <w:right w:w="28" w:type="dxa"/>
        </w:tblCellMar>
      </w:tblPr>
      <w:tblGrid>
        <w:gridCol w:w="1739"/>
        <w:gridCol w:w="1433"/>
        <w:gridCol w:w="1436"/>
        <w:gridCol w:w="748"/>
        <w:gridCol w:w="646"/>
        <w:gridCol w:w="648"/>
        <w:gridCol w:w="664"/>
        <w:gridCol w:w="664"/>
        <w:gridCol w:w="665"/>
        <w:gridCol w:w="494"/>
        <w:gridCol w:w="423"/>
        <w:gridCol w:w="376"/>
        <w:gridCol w:w="109"/>
        <w:gridCol w:w="160"/>
      </w:tblGrid>
      <w:tr>
        <w:trPr/>
        <w:tc>
          <w:tcPr>
            <w:tcW w:w="173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vMerge w:val="restart"/>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profit or loss</w:t>
            </w:r>
          </w:p>
        </w:tc>
        <w:tc>
          <w:tcPr>
            <w:tcW w:w="532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Six months ended 30 June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vMerge w:val="continue"/>
            <w:tcBorders/>
            <w:tcMar>
              <w:top w:w="0" w:type="dxa"/>
              <w:left w:w="0" w:type="dxa"/>
              <w:bottom w:w="0" w:type="dxa"/>
              <w:right w:w="0" w:type="dxa"/>
            </w:tcMar>
            <w:vAlign w:val="center"/>
          </w:tcPr>
          <w:p>
            <w:pPr>
              <w:pStyle w:val="Normal"/>
              <w:bidi w:val="0"/>
              <w:jc w:val="left"/>
              <w:rPr/>
            </w:pPr>
            <w:r>
              <w:rPr/>
            </w:r>
          </w:p>
        </w:tc>
        <w:tc>
          <w:tcPr>
            <w:tcW w:w="532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2042"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accounted amount</w:t>
            </w:r>
          </w:p>
        </w:tc>
        <w:tc>
          <w:tcPr>
            <w:tcW w:w="1993"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293"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Cost of outsourced work and other external costs</w:t>
            </w:r>
          </w:p>
        </w:tc>
        <w:tc>
          <w:tcPr>
            <w:tcW w:w="139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825.2 </w:t>
            </w:r>
          </w:p>
        </w:tc>
        <w:tc>
          <w:tcPr>
            <w:tcW w:w="6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(31.1)</w:t>
            </w:r>
          </w:p>
        </w:tc>
        <w:tc>
          <w:tcPr>
            <w:tcW w:w="6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794.1 </w:t>
            </w:r>
          </w:p>
        </w:tc>
        <w:tc>
          <w:tcPr>
            <w:tcW w:w="3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Amortisation and depreciation</w:t>
            </w:r>
          </w:p>
        </w:tc>
        <w:tc>
          <w:tcPr>
            <w:tcW w:w="139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821.5 </w:t>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30.1 </w:t>
            </w:r>
          </w:p>
        </w:tc>
        <w:tc>
          <w:tcPr>
            <w:tcW w:w="6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operating expenses</w:t>
            </w:r>
          </w:p>
        </w:tc>
        <w:tc>
          <w:tcPr>
            <w:tcW w:w="1394"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1,941.4</w:t>
            </w:r>
            <w:r>
              <w:rPr>
                <w:color w:val="000000"/>
              </w:rPr>
              <w:t> </w:t>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(1.0)</w:t>
            </w:r>
          </w:p>
        </w:tc>
        <w:tc>
          <w:tcPr>
            <w:tcW w:w="6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1,940.4</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Operating profit</w:t>
            </w:r>
          </w:p>
        </w:tc>
        <w:tc>
          <w:tcPr>
            <w:tcW w:w="1394"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47.6</w:t>
            </w:r>
            <w:r>
              <w:rPr>
                <w:color w:val="F85F00"/>
              </w:rPr>
              <w:t> </w:t>
            </w:r>
          </w:p>
        </w:tc>
        <w:tc>
          <w:tcPr>
            <w:tcW w:w="64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1.0</w:t>
            </w:r>
            <w:r>
              <w:rPr>
                <w:color w:val="F85F00"/>
              </w:rPr>
              <w:t> </w:t>
            </w:r>
          </w:p>
        </w:tc>
        <w:tc>
          <w:tcPr>
            <w:tcW w:w="6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48.6</w:t>
            </w:r>
            <w:r>
              <w:rPr>
                <w:color w:val="F85F00"/>
              </w:rPr>
              <w:t> </w:t>
            </w:r>
          </w:p>
        </w:tc>
        <w:tc>
          <w:tcPr>
            <w:tcW w:w="37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Finance costs</w:t>
            </w:r>
          </w:p>
        </w:tc>
        <w:tc>
          <w:tcPr>
            <w:tcW w:w="139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927.1 </w:t>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1.7 </w:t>
            </w:r>
          </w:p>
        </w:tc>
        <w:tc>
          <w:tcPr>
            <w:tcW w:w="6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928.8 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before tax</w:t>
            </w:r>
          </w:p>
        </w:tc>
        <w:tc>
          <w:tcPr>
            <w:tcW w:w="1394"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(228.5)</w:t>
            </w:r>
          </w:p>
        </w:tc>
        <w:tc>
          <w:tcPr>
            <w:tcW w:w="64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(0.7)</w:t>
            </w:r>
          </w:p>
        </w:tc>
        <w:tc>
          <w:tcPr>
            <w:tcW w:w="6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(229.2)</w:t>
            </w:r>
          </w:p>
        </w:tc>
        <w:tc>
          <w:tcPr>
            <w:tcW w:w="37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139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52.2 </w:t>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w:t>
            </w:r>
          </w:p>
        </w:tc>
        <w:tc>
          <w:tcPr>
            <w:tcW w:w="6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52.1 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Loss attributable to equity owners of the company</w:t>
            </w:r>
          </w:p>
        </w:tc>
        <w:tc>
          <w:tcPr>
            <w:tcW w:w="1394"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(176.3)</w:t>
            </w:r>
          </w:p>
        </w:tc>
        <w:tc>
          <w:tcPr>
            <w:tcW w:w="648"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(0.8)</w:t>
            </w:r>
          </w:p>
        </w:tc>
        <w:tc>
          <w:tcPr>
            <w:tcW w:w="66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(177.1)</w:t>
            </w:r>
          </w:p>
        </w:tc>
        <w:tc>
          <w:tcPr>
            <w:tcW w:w="376"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comprehensive loss attributable to equity owners of the company</w:t>
            </w:r>
          </w:p>
        </w:tc>
        <w:tc>
          <w:tcPr>
            <w:tcW w:w="139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(176.3)</w:t>
            </w:r>
          </w:p>
        </w:tc>
        <w:tc>
          <w:tcPr>
            <w:tcW w:w="648"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(0.8)</w:t>
            </w:r>
          </w:p>
        </w:tc>
        <w:tc>
          <w:tcPr>
            <w:tcW w:w="66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(177.1)</w:t>
            </w:r>
          </w:p>
        </w:tc>
        <w:tc>
          <w:tcPr>
            <w:tcW w:w="37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52400"/>
                <wp:effectExtent l="0" t="0" r="0" b="0"/>
                <wp:wrapNone/>
                <wp:docPr id="71" name="Frame53"/>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59"/>
        <w:gridCol w:w="1197"/>
        <w:gridCol w:w="1199"/>
        <w:gridCol w:w="859"/>
        <w:gridCol w:w="768"/>
        <w:gridCol w:w="770"/>
        <w:gridCol w:w="782"/>
        <w:gridCol w:w="782"/>
        <w:gridCol w:w="784"/>
        <w:gridCol w:w="518"/>
        <w:gridCol w:w="518"/>
        <w:gridCol w:w="400"/>
        <w:gridCol w:w="109"/>
        <w:gridCol w:w="160"/>
      </w:tblGrid>
      <w:tr>
        <w:trPr/>
        <w:tc>
          <w:tcPr>
            <w:tcW w:w="135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vMerge w:val="restart"/>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financial position</w:t>
            </w:r>
          </w:p>
        </w:tc>
        <w:tc>
          <w:tcPr>
            <w:tcW w:w="6181"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Year ended 31 December</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vMerge w:val="continue"/>
            <w:tcBorders/>
            <w:tcMar>
              <w:top w:w="0" w:type="dxa"/>
              <w:left w:w="0" w:type="dxa"/>
              <w:bottom w:w="0" w:type="dxa"/>
              <w:right w:w="0" w:type="dxa"/>
            </w:tcMar>
            <w:vAlign w:val="center"/>
          </w:tcPr>
          <w:p>
            <w:pPr>
              <w:pStyle w:val="Normal"/>
              <w:bidi w:val="0"/>
              <w:jc w:val="left"/>
              <w:rPr/>
            </w:pPr>
            <w:r>
              <w:rPr/>
            </w:r>
          </w:p>
        </w:tc>
        <w:tc>
          <w:tcPr>
            <w:tcW w:w="6181"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2397"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accounted amount</w:t>
            </w:r>
          </w:p>
        </w:tc>
        <w:tc>
          <w:tcPr>
            <w:tcW w:w="2348"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436"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Assets:</w:t>
            </w:r>
          </w:p>
        </w:tc>
        <w:tc>
          <w:tcPr>
            <w:tcW w:w="23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Intangible assets and goodwill</w:t>
            </w:r>
          </w:p>
        </w:tc>
        <w:tc>
          <w:tcPr>
            <w:tcW w:w="16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10,416.9 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118.0 </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10,534.9 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current assets</w:t>
            </w:r>
          </w:p>
        </w:tc>
        <w:tc>
          <w:tcPr>
            <w:tcW w:w="16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26.4 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22.0 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assets</w:t>
            </w:r>
          </w:p>
        </w:tc>
        <w:tc>
          <w:tcPr>
            <w:tcW w:w="1627"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15,976.5</w:t>
            </w:r>
            <w:r>
              <w:rPr>
                <w:color w:val="000000"/>
              </w:rPr>
              <w:t> </w:t>
            </w:r>
          </w:p>
        </w:tc>
        <w:tc>
          <w:tcPr>
            <w:tcW w:w="77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113.6</w:t>
            </w:r>
            <w:r>
              <w:rPr>
                <w:color w:val="000000"/>
              </w:rPr>
              <w:t> </w:t>
            </w:r>
          </w:p>
        </w:tc>
        <w:tc>
          <w:tcPr>
            <w:tcW w:w="784"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16,090.1</w:t>
            </w:r>
            <w:r>
              <w:rPr>
                <w:color w:val="000000"/>
              </w:rPr>
              <w:t> </w:t>
            </w:r>
          </w:p>
        </w:tc>
        <w:tc>
          <w:tcPr>
            <w:tcW w:w="40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Liabilities:</w:t>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liabilities</w:t>
            </w:r>
          </w:p>
        </w:tc>
        <w:tc>
          <w:tcPr>
            <w:tcW w:w="16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47.5 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40.8 </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88.3 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Trade and other payables</w:t>
            </w:r>
          </w:p>
        </w:tc>
        <w:tc>
          <w:tcPr>
            <w:tcW w:w="16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724.3 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76.0 </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800.3 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Deferred tax liabilities</w:t>
            </w:r>
          </w:p>
        </w:tc>
        <w:tc>
          <w:tcPr>
            <w:tcW w:w="16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600.2 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0.7 </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600.9 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liabilities</w:t>
            </w:r>
          </w:p>
        </w:tc>
        <w:tc>
          <w:tcPr>
            <w:tcW w:w="1627"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14,851.4</w:t>
            </w:r>
            <w:r>
              <w:rPr>
                <w:color w:val="000000"/>
              </w:rPr>
              <w:t> </w:t>
            </w:r>
          </w:p>
        </w:tc>
        <w:tc>
          <w:tcPr>
            <w:tcW w:w="77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117.5</w:t>
            </w:r>
            <w:r>
              <w:rPr>
                <w:color w:val="000000"/>
              </w:rPr>
              <w:t> </w:t>
            </w:r>
          </w:p>
        </w:tc>
        <w:tc>
          <w:tcPr>
            <w:tcW w:w="784"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14,968.9</w:t>
            </w:r>
            <w:r>
              <w:rPr>
                <w:color w:val="000000"/>
              </w:rPr>
              <w:t> </w:t>
            </w:r>
          </w:p>
        </w:tc>
        <w:tc>
          <w:tcPr>
            <w:tcW w:w="400"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Equity:</w:t>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Retained earnings</w:t>
            </w:r>
          </w:p>
        </w:tc>
        <w:tc>
          <w:tcPr>
            <w:tcW w:w="162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(1,966.1)</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(1,970.0)</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Equity</w:t>
            </w:r>
          </w:p>
        </w:tc>
        <w:tc>
          <w:tcPr>
            <w:tcW w:w="162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1,125.1</w:t>
            </w:r>
            <w:r>
              <w:rPr>
                <w:color w:val="000000"/>
              </w:rPr>
              <w:t> </w:t>
            </w:r>
          </w:p>
        </w:tc>
        <w:tc>
          <w:tcPr>
            <w:tcW w:w="770"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(3.9)</w:t>
            </w:r>
          </w:p>
        </w:tc>
        <w:tc>
          <w:tcPr>
            <w:tcW w:w="78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1,121.2</w:t>
            </w:r>
            <w:r>
              <w:rPr>
                <w:color w:val="000000"/>
              </w:rPr>
              <w:t> </w:t>
            </w:r>
          </w:p>
        </w:tc>
        <w:tc>
          <w:tcPr>
            <w:tcW w:w="400"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3"/>
        <w:gridCol w:w="566"/>
        <w:gridCol w:w="567"/>
        <w:gridCol w:w="610"/>
        <w:gridCol w:w="411"/>
        <w:gridCol w:w="412"/>
        <w:gridCol w:w="434"/>
        <w:gridCol w:w="434"/>
        <w:gridCol w:w="436"/>
        <w:gridCol w:w="468"/>
        <w:gridCol w:w="469"/>
        <w:gridCol w:w="344"/>
        <w:gridCol w:w="109"/>
        <w:gridCol w:w="109"/>
        <w:gridCol w:w="109"/>
        <w:gridCol w:w="597"/>
        <w:gridCol w:w="411"/>
        <w:gridCol w:w="412"/>
        <w:gridCol w:w="434"/>
        <w:gridCol w:w="434"/>
        <w:gridCol w:w="436"/>
        <w:gridCol w:w="458"/>
        <w:gridCol w:w="458"/>
        <w:gridCol w:w="444"/>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changes in equity</w:t>
            </w:r>
          </w:p>
        </w:tc>
        <w:tc>
          <w:tcPr>
            <w:tcW w:w="4018" w:type="dxa"/>
            <w:gridSpan w:val="9"/>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9"/>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 Equity</w:t>
            </w:r>
          </w:p>
        </w:tc>
      </w:tr>
      <w:tr>
        <w:trPr/>
        <w:tc>
          <w:tcPr>
            <w:tcW w:w="177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433"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accounted amount</w:t>
            </w:r>
          </w:p>
        </w:tc>
        <w:tc>
          <w:tcPr>
            <w:tcW w:w="1304"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28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accounted amount</w:t>
            </w:r>
          </w:p>
        </w:tc>
        <w:tc>
          <w:tcPr>
            <w:tcW w:w="1304"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360"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r>
      <w:tr>
        <w:trPr/>
        <w:tc>
          <w:tcPr>
            <w:tcW w:w="17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1 January 2025</w:t>
            </w:r>
          </w:p>
        </w:tc>
        <w:tc>
          <w:tcPr>
            <w:tcW w:w="10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(1,670.9)</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(2.6)</w:t>
            </w:r>
          </w:p>
        </w:tc>
        <w:tc>
          <w:tcPr>
            <w:tcW w:w="4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(1,673.5)</w:t>
            </w:r>
          </w:p>
        </w:tc>
        <w:tc>
          <w:tcPr>
            <w:tcW w:w="3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1,543.1</w:t>
            </w:r>
            <w:r>
              <w:rPr>
                <w:color w:val="000000"/>
              </w:rPr>
              <w:t>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(2.6)</w:t>
            </w:r>
          </w:p>
        </w:tc>
        <w:tc>
          <w:tcPr>
            <w:tcW w:w="4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1,540.5</w:t>
            </w:r>
            <w:r>
              <w:rPr>
                <w:color w:val="000000"/>
              </w:rPr>
              <w:t> </w:t>
            </w:r>
          </w:p>
        </w:tc>
        <w:tc>
          <w:tcPr>
            <w:tcW w:w="4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 for the period</w:t>
            </w:r>
          </w:p>
        </w:tc>
        <w:tc>
          <w:tcPr>
            <w:tcW w:w="10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(176.3)</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(177.1)</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(176.3)</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(177.1)</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Balance at 30 June 2025</w:t>
            </w:r>
          </w:p>
        </w:tc>
        <w:tc>
          <w:tcPr>
            <w:tcW w:w="10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(1,847.2)</w:t>
            </w:r>
          </w:p>
        </w:tc>
        <w:tc>
          <w:tcPr>
            <w:tcW w:w="41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(3.4)</w:t>
            </w:r>
          </w:p>
        </w:tc>
        <w:tc>
          <w:tcPr>
            <w:tcW w:w="43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(1,850.6)</w:t>
            </w:r>
          </w:p>
        </w:tc>
        <w:tc>
          <w:tcPr>
            <w:tcW w:w="34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1,366.8</w:t>
            </w:r>
            <w:r>
              <w:rPr>
                <w:color w:val="000000"/>
              </w:rPr>
              <w:t> </w:t>
            </w:r>
          </w:p>
        </w:tc>
        <w:tc>
          <w:tcPr>
            <w:tcW w:w="412"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(3.4)</w:t>
            </w:r>
          </w:p>
        </w:tc>
        <w:tc>
          <w:tcPr>
            <w:tcW w:w="43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1,363.4</w:t>
            </w:r>
            <w:r>
              <w:rPr>
                <w:color w:val="000000"/>
              </w:rPr>
              <w:t> </w:t>
            </w:r>
          </w:p>
        </w:tc>
        <w:tc>
          <w:tcPr>
            <w:tcW w:w="444"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16"/>
        <w:gridCol w:w="1510"/>
        <w:gridCol w:w="1514"/>
        <w:gridCol w:w="671"/>
        <w:gridCol w:w="666"/>
        <w:gridCol w:w="668"/>
        <w:gridCol w:w="683"/>
        <w:gridCol w:w="683"/>
        <w:gridCol w:w="684"/>
        <w:gridCol w:w="397"/>
        <w:gridCol w:w="392"/>
        <w:gridCol w:w="352"/>
        <w:gridCol w:w="109"/>
        <w:gridCol w:w="160"/>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vMerge w:val="restart"/>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Consolidated statement of cash flows</w:t>
            </w:r>
          </w:p>
        </w:tc>
        <w:tc>
          <w:tcPr>
            <w:tcW w:w="5196"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For the six months ended 30 June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vMerge w:val="continue"/>
            <w:tcBorders/>
            <w:tcMar>
              <w:top w:w="0" w:type="dxa"/>
              <w:left w:w="0" w:type="dxa"/>
              <w:bottom w:w="0" w:type="dxa"/>
              <w:right w:w="0" w:type="dxa"/>
            </w:tcMar>
            <w:vAlign w:val="center"/>
          </w:tcPr>
          <w:p>
            <w:pPr>
              <w:pStyle w:val="Normal"/>
              <w:bidi w:val="0"/>
              <w:jc w:val="left"/>
              <w:rPr/>
            </w:pPr>
            <w:r>
              <w:rPr/>
            </w:r>
          </w:p>
        </w:tc>
        <w:tc>
          <w:tcPr>
            <w:tcW w:w="5196"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2005"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Previously accounted amount</w:t>
            </w:r>
          </w:p>
        </w:tc>
        <w:tc>
          <w:tcPr>
            <w:tcW w:w="2050"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i/>
                <w:color w:val="000000"/>
                <w:sz w:val="18"/>
              </w:rPr>
            </w:pPr>
            <w:r>
              <w:rPr>
                <w:rFonts w:ascii="sans-serif" w:hAnsi="sans-serif"/>
                <w:b w:val="false"/>
                <w:i/>
                <w:color w:val="000000"/>
                <w:sz w:val="18"/>
              </w:rPr>
              <w:t>Accounting policy adjustment</w:t>
            </w:r>
          </w:p>
        </w:tc>
        <w:tc>
          <w:tcPr>
            <w:tcW w:w="1141" w:type="dxa"/>
            <w:gridSpan w:val="3"/>
            <w:tcBorders>
              <w:top w:val="single" w:sz="4" w:space="0" w:color="4C4C4C"/>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i/>
                <w:color w:val="000000"/>
                <w:sz w:val="18"/>
              </w:rPr>
            </w:pPr>
            <w:r>
              <w:rPr>
                <w:rFonts w:ascii="sans-serif" w:hAnsi="sans-serif"/>
                <w:b/>
                <w:i/>
                <w:color w:val="000000"/>
                <w:sz w:val="18"/>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flows from operating activities:</w:t>
            </w:r>
          </w:p>
        </w:tc>
        <w:tc>
          <w:tcPr>
            <w:tcW w:w="20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loss</w:t>
            </w:r>
          </w:p>
        </w:tc>
        <w:tc>
          <w:tcPr>
            <w:tcW w:w="13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(176.3)</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(177.1)</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Adjustments to reconcile net loss to net cash generated from operating activities:</w:t>
            </w:r>
          </w:p>
        </w:tc>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Depreciation and amortisation</w:t>
            </w:r>
          </w:p>
        </w:tc>
        <w:tc>
          <w:tcPr>
            <w:tcW w:w="13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821.5 </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30.1 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851.6 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Net finance costs</w:t>
            </w:r>
          </w:p>
        </w:tc>
        <w:tc>
          <w:tcPr>
            <w:tcW w:w="13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276.1 </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277.8 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Income tax benefit</w:t>
            </w:r>
          </w:p>
        </w:tc>
        <w:tc>
          <w:tcPr>
            <w:tcW w:w="13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(52.2)</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0.1 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(52.1)</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133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(107.5)</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(31.1)</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(138.6)</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Cash generated from operating activities</w:t>
            </w:r>
          </w:p>
        </w:tc>
        <w:tc>
          <w:tcPr>
            <w:tcW w:w="133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809.6</w:t>
            </w:r>
            <w:r>
              <w:rPr>
                <w:color w:val="000000"/>
              </w:rPr>
              <w:t> </w:t>
            </w:r>
          </w:p>
        </w:tc>
        <w:tc>
          <w:tcPr>
            <w:tcW w:w="668"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color w:val="000000"/>
              </w:rPr>
            </w:pPr>
            <w:r>
              <w:rPr>
                <w:color w:val="000000"/>
              </w:rPr>
              <w:t>— </w:t>
            </w:r>
          </w:p>
        </w:tc>
        <w:tc>
          <w:tcPr>
            <w:tcW w:w="68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809.6</w:t>
            </w:r>
            <w:r>
              <w:rPr>
                <w:color w:val="000000"/>
              </w:rPr>
              <w:t> </w:t>
            </w:r>
          </w:p>
        </w:tc>
        <w:tc>
          <w:tcPr>
            <w:tcW w:w="352"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52400"/>
                <wp:effectExtent l="0" t="0" r="0" b="0"/>
                <wp:wrapNone/>
                <wp:docPr id="72" name="Frame5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9</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117" w:name="i3cd18a376bf2409488c5c9e100a388b6"/>
      <w:bookmarkEnd w:id="117"/>
      <w:r>
        <w:rPr>
          <w:rFonts w:ascii="sans-serif" w:hAnsi="sans-serif"/>
          <w:b/>
          <w:color w:val="000000"/>
          <w:sz w:val="24"/>
        </w:rPr>
        <w:t>4. Revenue</w:t>
      </w:r>
    </w:p>
    <w:p>
      <w:pPr>
        <w:pStyle w:val="TextBody"/>
        <w:bidi w:val="0"/>
        <w:spacing w:lineRule="auto" w:line="324" w:before="120" w:after="283"/>
        <w:jc w:val="left"/>
        <w:rPr>
          <w:rFonts w:ascii="sans-serif" w:hAnsi="sans-serif"/>
          <w:b/>
          <w:color w:val="F85F00"/>
          <w:sz w:val="20"/>
        </w:rPr>
      </w:pPr>
      <w:bookmarkStart w:id="118" w:name="ic8dc1f5bd02e4d2192f61eb2fab8cc60"/>
      <w:bookmarkEnd w:id="118"/>
      <w:r>
        <w:rPr>
          <w:rFonts w:ascii="sans-serif" w:hAnsi="sans-serif"/>
          <w:b/>
          <w:color w:val="F85F00"/>
          <w:sz w:val="20"/>
        </w:rPr>
        <w:t>Disaggregation of revenue from contracts with customers</w:t>
      </w:r>
    </w:p>
    <w:p>
      <w:pPr>
        <w:pStyle w:val="TextBody"/>
        <w:bidi w:val="0"/>
        <w:spacing w:lineRule="auto" w:line="288" w:before="0" w:after="240"/>
        <w:jc w:val="both"/>
        <w:rPr>
          <w:rFonts w:ascii="sans-serif" w:hAnsi="sans-serif"/>
          <w:b w:val="false"/>
          <w:color w:val="242424"/>
          <w:sz w:val="18"/>
        </w:rPr>
      </w:pPr>
      <w:r>
        <w:rPr>
          <w:rFonts w:ascii="sans-serif" w:hAnsi="sans-serif"/>
          <w:b w:val="false"/>
          <w:color w:val="242424"/>
          <w:sz w:val="18"/>
        </w:rPr>
        <w:t>We provide fixed, mobile and integrated communication and entertainment services to consumers and businesses in the Netherlands. Our revenue by major category is outlined below:</w:t>
      </w:r>
    </w:p>
    <w:tbl>
      <w:tblPr>
        <w:tblW w:w="6108" w:type="dxa"/>
        <w:jc w:val="left"/>
        <w:tblInd w:w="0" w:type="dxa"/>
        <w:tblLayout w:type="fixed"/>
        <w:tblCellMar>
          <w:top w:w="28" w:type="dxa"/>
          <w:left w:w="28" w:type="dxa"/>
          <w:bottom w:w="28" w:type="dxa"/>
          <w:right w:w="28" w:type="dxa"/>
        </w:tblCellMar>
      </w:tblPr>
      <w:tblGrid>
        <w:gridCol w:w="1210"/>
        <w:gridCol w:w="1066"/>
        <w:gridCol w:w="1068"/>
        <w:gridCol w:w="489"/>
        <w:gridCol w:w="427"/>
        <w:gridCol w:w="385"/>
        <w:gridCol w:w="489"/>
        <w:gridCol w:w="427"/>
        <w:gridCol w:w="547"/>
      </w:tblGrid>
      <w:tr>
        <w:trPr/>
        <w:tc>
          <w:tcPr>
            <w:tcW w:w="121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6"/>
            <w:tcBorders/>
            <w:tcMar>
              <w:top w:w="0" w:type="dxa"/>
              <w:left w:w="0" w:type="dxa"/>
              <w:bottom w:w="0" w:type="dxa"/>
              <w:right w:w="0" w:type="dxa"/>
            </w:tcMar>
            <w:vAlign w:val="center"/>
          </w:tcPr>
          <w:p>
            <w:pPr>
              <w:pStyle w:val="TableContents"/>
              <w:bidi w:val="0"/>
              <w:spacing w:lineRule="auto" w:line="288" w:before="0" w:after="40"/>
              <w:jc w:val="center"/>
              <w:rPr>
                <w:rFonts w:ascii="sans-serif" w:hAnsi="sans-serif"/>
                <w:b w:val="false"/>
                <w:color w:val="000000"/>
                <w:sz w:val="18"/>
              </w:rPr>
            </w:pPr>
            <w:r>
              <w:rPr>
                <w:rFonts w:ascii="sans-serif" w:hAnsi="sans-serif"/>
                <w:b w:val="false"/>
                <w:color w:val="000000"/>
                <w:sz w:val="18"/>
              </w:rPr>
              <w:t>For the six months ended</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463"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301"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463"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r>
      <w:tr>
        <w:trPr/>
        <w:tc>
          <w:tcPr>
            <w:tcW w:w="33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Consumer fixed revenue</w:t>
            </w:r>
          </w:p>
        </w:tc>
        <w:tc>
          <w:tcPr>
            <w:tcW w:w="13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915.8 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945.3 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consumer fixed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922.6</w:t>
            </w:r>
            <w:r>
              <w:rPr>
                <w:color w:val="F85F00"/>
              </w:rPr>
              <w:t> </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948.7</w:t>
            </w:r>
            <w:r>
              <w:rPr>
                <w:color w:val="F85F00"/>
              </w:rPr>
              <w:t> </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Consumer mobile revenue</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355.9 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356.6 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124.6 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122.8 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consumer mobile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480.5</w:t>
            </w:r>
            <w:r>
              <w:rPr>
                <w:color w:val="F85F00"/>
              </w:rPr>
              <w:t> </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479.4</w:t>
            </w:r>
            <w:r>
              <w:rPr>
                <w:color w:val="F85F00"/>
              </w:rPr>
              <w:t> </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consumer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1,403.1</w:t>
            </w:r>
            <w:r>
              <w:rPr>
                <w:color w:val="000000"/>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1,428.1</w:t>
            </w: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B2B fixed revenue</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283.2 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284.8 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B2B fixed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286.8</w:t>
            </w:r>
            <w:r>
              <w:rPr>
                <w:color w:val="F85F00"/>
              </w:rPr>
              <w:t> </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288.2</w:t>
            </w:r>
            <w:r>
              <w:rPr>
                <w:color w:val="F85F00"/>
              </w:rPr>
              <w:t> </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B2B mobile revenue</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184.0 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191.7 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Non-subscription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58.0 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58.1 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B2B mobile revenue</w:t>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242.0</w:t>
            </w:r>
            <w:r>
              <w:rPr>
                <w:color w:val="F85F00"/>
              </w:rPr>
              <w:t> </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249.8</w:t>
            </w:r>
            <w:r>
              <w:rPr>
                <w:color w:val="F85F00"/>
              </w:rPr>
              <w:t> </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B2B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528.8</w:t>
            </w:r>
            <w:r>
              <w:rPr>
                <w:color w:val="000000"/>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538.0</w:t>
            </w: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revenue</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24.0 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22.9 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w:t>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1,955.9</w:t>
            </w:r>
            <w:r>
              <w:rPr>
                <w:color w:val="000000"/>
              </w:rPr>
              <w:t> </w:t>
            </w:r>
          </w:p>
        </w:tc>
        <w:tc>
          <w:tcPr>
            <w:tcW w:w="38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1,989.0</w:t>
            </w:r>
            <w:r>
              <w:rPr>
                <w:color w:val="000000"/>
              </w:rPr>
              <w:t> </w:t>
            </w:r>
          </w:p>
        </w:tc>
        <w:tc>
          <w:tcPr>
            <w:tcW w:w="54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119" w:name="ie4a66706600e4ae09ebebebd146bf944"/>
      <w:bookmarkEnd w:id="119"/>
      <w:r>
        <w:rPr>
          <w:rFonts w:ascii="sans-serif" w:hAnsi="sans-serif"/>
          <w:b/>
          <w:color w:val="000000"/>
          <w:sz w:val="24"/>
        </w:rPr>
        <w:t>5. Operating Expenses</w:t>
      </w:r>
    </w:p>
    <w:p>
      <w:pPr>
        <w:pStyle w:val="TextBody"/>
        <w:bidi w:val="0"/>
        <w:spacing w:lineRule="atLeast" w:line="240" w:before="0" w:after="240"/>
        <w:jc w:val="left"/>
        <w:rPr/>
      </w:pPr>
      <w:r>
        <w:rPr>
          <w:rFonts w:ascii="sans-serif" w:hAnsi="sans-serif"/>
          <w:b w:val="false"/>
          <w:color w:val="000000"/>
          <w:sz w:val="18"/>
        </w:rPr>
        <w:t>Operating expenses (excluding depreciation, amortization, impairment and restructuring costs) increased by €25.1 mill</w:t>
      </w:r>
      <w:r>
        <w:rPr>
          <w:rFonts w:ascii="sans-serif" w:hAnsi="sans-serif"/>
          <w:b w:val="false"/>
          <w:color w:val="000000"/>
          <w:sz w:val="18"/>
          <w:shd w:fill="FFFFFF" w:val="clear"/>
        </w:rPr>
        <w:t xml:space="preserve">ion primarily driven by higher direct costs and higher consultancy costs. </w:t>
      </w:r>
    </w:p>
    <w:p>
      <w:pPr>
        <w:pStyle w:val="TextBody"/>
        <w:bidi w:val="0"/>
        <w:spacing w:lineRule="atLeast" w:line="240" w:before="0" w:after="240"/>
        <w:jc w:val="left"/>
        <w:rPr/>
      </w:pPr>
      <w:r>
        <w:rPr>
          <w:rFonts w:ascii="sans-serif" w:hAnsi="sans-serif"/>
          <w:b w:val="false"/>
          <w:color w:val="000000"/>
          <w:sz w:val="18"/>
          <w:shd w:fill="FFFFFF" w:val="clear"/>
        </w:rPr>
        <w:t xml:space="preserve">Amortisation and depreciation </w:t>
      </w:r>
      <w:r>
        <w:rPr>
          <w:rFonts w:ascii="sans-serif" w:hAnsi="sans-serif"/>
          <w:b w:val="false"/>
          <w:color w:val="000000"/>
          <w:sz w:val="18"/>
        </w:rPr>
        <w:t>decreased by €163.9</w:t>
      </w:r>
      <w:r>
        <w:rPr>
          <w:color w:val="000000"/>
          <w:shd w:fill="FFFFFF" w:val="clear"/>
        </w:rPr>
        <w:t xml:space="preserve"> </w:t>
      </w:r>
      <w:r>
        <w:rPr>
          <w:rFonts w:ascii="sans-serif" w:hAnsi="sans-serif"/>
          <w:b w:val="false"/>
          <w:color w:val="000000"/>
          <w:sz w:val="18"/>
          <w:shd w:fill="FFFFFF" w:val="clear"/>
        </w:rPr>
        <w:t>million primarily as a result of decreases associated with certain customer relationships becoming fully amortized and decreases associated with certain network assets becoming fully depreciated. As a result of the new accounting policy for broadcasting rights capitalisation, additional amortization has been recorded of</w:t>
      </w:r>
      <w:r>
        <w:rPr>
          <w:color w:val="000000"/>
        </w:rPr>
        <w:t xml:space="preserve"> €</w:t>
      </w:r>
      <w:r>
        <w:rPr>
          <w:rFonts w:ascii="sans-serif" w:hAnsi="sans-serif"/>
          <w:b w:val="false"/>
          <w:color w:val="000000"/>
          <w:sz w:val="18"/>
        </w:rPr>
        <w:t>29.1 million and €30.1</w:t>
      </w:r>
      <w:r>
        <w:rPr>
          <w:color w:val="000000"/>
          <w:shd w:fill="FFFFFF" w:val="clear"/>
        </w:rPr>
        <w:t xml:space="preserve"> </w:t>
      </w:r>
      <w:r>
        <w:rPr>
          <w:rFonts w:ascii="sans-serif" w:hAnsi="sans-serif"/>
          <w:b w:val="false"/>
          <w:color w:val="000000"/>
          <w:sz w:val="18"/>
          <w:shd w:fill="FFFFFF" w:val="clear"/>
        </w:rPr>
        <w:t>million in H1 2026 and H1 2025 respectively.</w:t>
      </w:r>
    </w:p>
    <w:p>
      <w:pPr>
        <w:pStyle w:val="TextBody"/>
        <w:bidi w:val="0"/>
        <w:spacing w:lineRule="atLeast" w:line="240" w:before="0" w:after="240"/>
        <w:jc w:val="left"/>
        <w:rPr/>
      </w:pPr>
      <w:r>
        <w:rPr>
          <w:rFonts w:ascii="sans-serif" w:hAnsi="sans-serif"/>
          <w:b w:val="false"/>
          <w:color w:val="000000"/>
          <w:sz w:val="18"/>
          <w:shd w:fill="FFFFFF" w:val="clear"/>
        </w:rPr>
        <w:t>During H1 2026 and H1 2025 we incurred restructuring charge</w:t>
      </w:r>
      <w:r>
        <w:rPr>
          <w:rFonts w:ascii="sans-serif" w:hAnsi="sans-serif"/>
          <w:b w:val="false"/>
          <w:color w:val="000000"/>
          <w:sz w:val="18"/>
        </w:rPr>
        <w:t xml:space="preserve">s of €14.4 </w:t>
      </w:r>
      <w:r>
        <w:rPr>
          <w:rFonts w:ascii="sans-serif" w:hAnsi="sans-serif"/>
          <w:b w:val="false"/>
          <w:color w:val="000000"/>
          <w:sz w:val="18"/>
          <w:shd w:fill="FFFFFF" w:val="clear"/>
        </w:rPr>
        <w:t>million and</w:t>
      </w:r>
      <w:r>
        <w:rPr>
          <w:color w:val="000000"/>
        </w:rPr>
        <w:t xml:space="preserve"> €</w:t>
      </w:r>
      <w:r>
        <w:rPr>
          <w:rFonts w:ascii="sans-serif" w:hAnsi="sans-serif"/>
          <w:b w:val="false"/>
          <w:color w:val="000000"/>
          <w:sz w:val="18"/>
        </w:rPr>
        <w:t xml:space="preserve">46.0 </w:t>
      </w:r>
      <w:r>
        <w:rPr>
          <w:rFonts w:ascii="sans-serif" w:hAnsi="sans-serif"/>
          <w:b w:val="false"/>
          <w:color w:val="000000"/>
          <w:sz w:val="18"/>
          <w:shd w:fill="FFFFFF" w:val="clear"/>
        </w:rPr>
        <w:t>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52400"/>
                <wp:effectExtent l="0" t="0" r="0" b="0"/>
                <wp:wrapNone/>
                <wp:docPr id="73" name="Frame55"/>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10</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120" w:name="i6bc5565707b747bf8a884b9c2c6129be"/>
      <w:bookmarkEnd w:id="120"/>
      <w:r>
        <w:rPr>
          <w:rFonts w:ascii="sans-serif" w:hAnsi="sans-serif"/>
          <w:b/>
          <w:color w:val="000000"/>
          <w:sz w:val="24"/>
        </w:rPr>
        <w:t>6. Finance Income and Finance Costs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net finance costs increased by €50.2 million mainly as a result of increased foreign exchange cost from a stronger US dollar in H1 2026 compared to H1 2025. This increase in foreign exchange costs were partially compensated for by higher gains on our foreign currency exchange swaps for the same period.</w:t>
      </w:r>
    </w:p>
    <w:tbl>
      <w:tblPr>
        <w:tblW w:w="6721" w:type="dxa"/>
        <w:jc w:val="left"/>
        <w:tblInd w:w="0" w:type="dxa"/>
        <w:tblLayout w:type="fixed"/>
        <w:tblCellMar>
          <w:top w:w="28" w:type="dxa"/>
          <w:left w:w="28" w:type="dxa"/>
          <w:bottom w:w="28" w:type="dxa"/>
          <w:right w:w="28" w:type="dxa"/>
        </w:tblCellMar>
      </w:tblPr>
      <w:tblGrid>
        <w:gridCol w:w="1506"/>
        <w:gridCol w:w="1326"/>
        <w:gridCol w:w="1337"/>
        <w:gridCol w:w="405"/>
        <w:gridCol w:w="405"/>
        <w:gridCol w:w="385"/>
        <w:gridCol w:w="405"/>
        <w:gridCol w:w="405"/>
        <w:gridCol w:w="547"/>
      </w:tblGrid>
      <w:tr>
        <w:trPr/>
        <w:tc>
          <w:tcPr>
            <w:tcW w:w="15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6"/>
            <w:tcBorders/>
            <w:tcMar>
              <w:top w:w="0" w:type="dxa"/>
              <w:left w:w="0" w:type="dxa"/>
              <w:bottom w:w="0" w:type="dxa"/>
              <w:right w:w="0" w:type="dxa"/>
            </w:tcMar>
            <w:vAlign w:val="center"/>
          </w:tcPr>
          <w:p>
            <w:pPr>
              <w:pStyle w:val="TableContents"/>
              <w:bidi w:val="0"/>
              <w:spacing w:lineRule="auto" w:line="288" w:before="0" w:after="40"/>
              <w:jc w:val="center"/>
              <w:rPr>
                <w:rFonts w:ascii="sans-serif" w:hAnsi="sans-serif"/>
                <w:b w:val="false"/>
                <w:color w:val="000000"/>
                <w:sz w:val="18"/>
              </w:rPr>
            </w:pPr>
            <w:r>
              <w:rPr>
                <w:rFonts w:ascii="sans-serif" w:hAnsi="sans-serif"/>
                <w:b w:val="false"/>
                <w:color w:val="000000"/>
                <w:sz w:val="18"/>
              </w:rPr>
              <w:t>For the six months ended</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35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195"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357" w:type="dxa"/>
            <w:gridSpan w:val="3"/>
            <w:tcBorders>
              <w:top w:val="single" w:sz="4" w:space="0" w:color="4C4C4C"/>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2025</w:t>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Foreign-currency transaction gains</w:t>
            </w:r>
          </w:p>
        </w:tc>
        <w:tc>
          <w:tcPr>
            <w:tcW w:w="8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0.3 </w:t>
            </w:r>
          </w:p>
        </w:tc>
        <w:tc>
          <w:tcPr>
            <w:tcW w:w="38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649.5 </w:t>
            </w:r>
          </w:p>
        </w:tc>
        <w:tc>
          <w:tcPr>
            <w:tcW w:w="5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income</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realised and unrealised gains, net</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116.4 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finance income</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finance income</w:t>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117.5</w:t>
            </w:r>
            <w:r>
              <w:rPr>
                <w:color w:val="F85F00"/>
              </w:rPr>
              <w:t> </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651.0</w:t>
            </w:r>
            <w:r>
              <w:rPr>
                <w:color w:val="F85F00"/>
              </w:rPr>
              <w:t> </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expense - third-party</w:t>
            </w:r>
          </w:p>
        </w:tc>
        <w:tc>
          <w:tcPr>
            <w:tcW w:w="1195"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(269.5)</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(294.4)</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Lease liabilities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(8.6)</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(7.9)</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Interest expense on debt - related parties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(50.7)</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(50.7)</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 realised and unrealised losses, net</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(567.2)</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Foreign-currency transaction losses</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(113.8)</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(0.2)</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Losses on debt extinguishment, net</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finance expense</w:t>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(2.0)</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finance costs</w:t>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(445.5)</w:t>
            </w:r>
          </w:p>
        </w:tc>
        <w:tc>
          <w:tcPr>
            <w:tcW w:w="385"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F85F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(928.8)</w:t>
            </w:r>
          </w:p>
        </w:tc>
        <w:tc>
          <w:tcPr>
            <w:tcW w:w="547" w:type="dxa"/>
            <w:tcBorders>
              <w:top w:val="single" w:sz="4" w:space="0" w:color="F85F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Net finance costs</w:t>
            </w:r>
          </w:p>
        </w:tc>
        <w:tc>
          <w:tcPr>
            <w:tcW w:w="810" w:type="dxa"/>
            <w:gridSpan w:val="2"/>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(328.0)</w:t>
            </w:r>
          </w:p>
        </w:tc>
        <w:tc>
          <w:tcPr>
            <w:tcW w:w="385" w:type="dxa"/>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(277.8)</w:t>
            </w:r>
          </w:p>
        </w:tc>
        <w:tc>
          <w:tcPr>
            <w:tcW w:w="547" w:type="dxa"/>
            <w:tcBorders>
              <w:top w:val="single" w:sz="2" w:space="0" w:color="FFFFFF"/>
              <w:bottom w:val="single" w:sz="8" w:space="0" w:color="000000"/>
            </w:tcBorders>
            <w:shd w:fill="E9E9E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For both half years ended 30 June 2026 and 2025, the interest capitalised amounted to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lineRule="auto" w:line="288" w:before="0" w:after="250"/>
        <w:ind w:left="0" w:right="0" w:hanging="340"/>
        <w:jc w:val="left"/>
        <w:rPr>
          <w:rFonts w:ascii="sans-serif" w:hAnsi="sans-serif"/>
          <w:b/>
          <w:color w:val="000000"/>
          <w:sz w:val="24"/>
        </w:rPr>
      </w:pPr>
      <w:bookmarkStart w:id="121" w:name="i55d8398a58a843638df4fccc055bafc6"/>
      <w:bookmarkEnd w:id="121"/>
      <w:r>
        <w:rPr>
          <w:rFonts w:ascii="sans-serif" w:hAnsi="sans-serif"/>
          <w:b/>
          <w:color w:val="000000"/>
          <w:sz w:val="24"/>
        </w:rPr>
        <w:t>7. Income Taxes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Our consolidated financial statements include the income taxes of all entities wholly owned by VodafoneZiggo. All components of our loss before income taxes and current and deferred income tax benefit (expense) are generated in the Netherlands, our domestic jurisdiction. We have no earnings (loss) or income tax expense (benefit) from foreign sources for the periods presented. The VodafoneZiggo Fiscal Unity, established at the level of VodafoneZiggo, is one taxpayer for Dutch tax purposes. All material subsidiaries of VodafoneZiggo are part of the VodafoneZiggo Fiscal Unity.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To stimulate innovation in the Netherlands, Dutch income tax law includes a facility under which profits attributable to qualifying innovative activities are taxed at a reduced tax rate of 9.0% (the Innovation Box Regime). VodafoneZiggo has an agreement with the Dutch tax authorities with respect to the applicability of the Innovation Box Regime for the period 2019 to 2028.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The effective tax rate for H1 2026 is 14.3%, compared to 22.7% in H1 2025. The effective tax rate was primarily driven by changes in unrecognized deferred tax assets associated with interest deduction limitations and the Innovation Box Regime.</w:t>
      </w:r>
    </w:p>
    <w:p>
      <w:pPr>
        <w:pStyle w:val="TextBody"/>
        <w:bidi w:val="0"/>
        <w:spacing w:lineRule="auto" w:line="324" w:before="120" w:after="283"/>
        <w:jc w:val="left"/>
        <w:rPr>
          <w:rFonts w:ascii="sans-serif" w:hAnsi="sans-serif"/>
          <w:b/>
          <w:color w:val="F85F00"/>
          <w:sz w:val="20"/>
        </w:rPr>
      </w:pPr>
      <w:bookmarkStart w:id="122" w:name="i5f244c899da745f69c0d36d09ce6ecc9"/>
      <w:bookmarkEnd w:id="122"/>
      <w:r>
        <w:rPr>
          <w:rFonts w:ascii="sans-serif" w:hAnsi="sans-serif"/>
          <w:b/>
          <w:color w:val="F85F00"/>
          <w:sz w:val="20"/>
        </w:rPr>
        <w:t>Income tax benefit</w:t>
      </w:r>
    </w:p>
    <w:tbl>
      <w:tblPr>
        <w:tblW w:w="5325" w:type="dxa"/>
        <w:jc w:val="left"/>
        <w:tblInd w:w="0" w:type="dxa"/>
        <w:tblLayout w:type="fixed"/>
        <w:tblCellMar>
          <w:top w:w="28" w:type="dxa"/>
          <w:left w:w="28" w:type="dxa"/>
          <w:bottom w:w="28" w:type="dxa"/>
          <w:right w:w="28" w:type="dxa"/>
        </w:tblCellMar>
      </w:tblPr>
      <w:tblGrid>
        <w:gridCol w:w="971"/>
        <w:gridCol w:w="856"/>
        <w:gridCol w:w="858"/>
        <w:gridCol w:w="385"/>
        <w:gridCol w:w="385"/>
        <w:gridCol w:w="385"/>
        <w:gridCol w:w="434"/>
        <w:gridCol w:w="434"/>
        <w:gridCol w:w="617"/>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lineRule="auto" w:line="288" w:before="0" w:after="40"/>
              <w:jc w:val="center"/>
              <w:rPr>
                <w:rFonts w:ascii="sans-serif" w:hAnsi="sans-serif"/>
                <w:b w:val="false"/>
                <w:color w:val="000000"/>
                <w:sz w:val="18"/>
              </w:rPr>
            </w:pPr>
            <w:r>
              <w:rPr>
                <w:rFonts w:ascii="sans-serif" w:hAnsi="sans-serif"/>
                <w:b w:val="false"/>
                <w:color w:val="000000"/>
                <w:sz w:val="18"/>
              </w:rPr>
              <w:t>For the six months ended</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1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14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color w:val="000000"/>
                <w:sz w:val="18"/>
              </w:rPr>
              <w:t>2025</w:t>
            </w:r>
          </w:p>
        </w:tc>
      </w:tr>
      <w:tr>
        <w:trPr/>
        <w:tc>
          <w:tcPr>
            <w:tcW w:w="2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Current income tax expense</w:t>
            </w:r>
          </w:p>
        </w:tc>
        <w:tc>
          <w:tcPr>
            <w:tcW w:w="77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(8.2)</w:t>
            </w:r>
          </w:p>
        </w:tc>
        <w:tc>
          <w:tcPr>
            <w:tcW w:w="38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(36.7)</w:t>
            </w:r>
          </w:p>
        </w:tc>
        <w:tc>
          <w:tcPr>
            <w:tcW w:w="61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Deferred income tax benefit</w:t>
            </w:r>
          </w:p>
        </w:tc>
        <w:tc>
          <w:tcPr>
            <w:tcW w:w="77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28.3 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88.8 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income tax benefit</w:t>
            </w:r>
          </w:p>
        </w:tc>
        <w:tc>
          <w:tcPr>
            <w:tcW w:w="77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20.1</w:t>
            </w:r>
            <w:r>
              <w:rPr>
                <w:color w:val="000000"/>
              </w:rPr>
              <w:t> </w:t>
            </w:r>
          </w:p>
        </w:tc>
        <w:tc>
          <w:tcPr>
            <w:tcW w:w="38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52.1</w:t>
            </w:r>
            <w:r>
              <w:rPr>
                <w:color w:val="000000"/>
              </w:rPr>
              <w:t> </w:t>
            </w:r>
          </w:p>
        </w:tc>
        <w:tc>
          <w:tcPr>
            <w:tcW w:w="617"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123" w:name="i87f5cde68a4f466ca35143fcf85f72b2"/>
      <w:bookmarkEnd w:id="123"/>
      <w:r>
        <w:rPr>
          <w:rFonts w:ascii="sans-serif" w:hAnsi="sans-serif"/>
          <w:b/>
          <w:color w:val="000000"/>
          <w:sz w:val="24"/>
        </w:rPr>
        <w:t>8. Intangible Assets and Goodwill</w:t>
      </w:r>
    </w:p>
    <w:p>
      <w:pPr>
        <w:pStyle w:val="TextBody"/>
        <w:bidi w:val="0"/>
        <w:spacing w:lineRule="atLeast" w:line="240"/>
        <w:jc w:val="left"/>
        <w:rPr>
          <w:rFonts w:ascii="sans-serif" w:hAnsi="sans-serif"/>
          <w:b w:val="false"/>
          <w:color w:val="000000"/>
          <w:sz w:val="18"/>
        </w:rPr>
      </w:pPr>
      <w:r>
        <w:rPr>
          <w:rFonts w:ascii="sans-serif" w:hAnsi="sans-serif"/>
          <w:b w:val="false"/>
          <w:color w:val="000000"/>
          <w:sz w:val="18"/>
        </w:rPr>
        <w:t>Movements in intangible assets and goodwill were as follows:</w:t>
      </w:r>
    </w:p>
    <w:p>
      <w:pPr>
        <w:pStyle w:val="TextBody"/>
        <w:bidi w:val="0"/>
        <w:spacing w:before="0" w:after="24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52400"/>
                <wp:effectExtent l="0" t="0" r="0" b="0"/>
                <wp:wrapNone/>
                <wp:docPr id="74" name="Frame56"/>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11</w:t>
                      </w:r>
                    </w:p>
                  </w:txbxContent>
                </v:textbox>
                <w10:wrap type="none"/>
              </v:rect>
            </w:pict>
          </mc:Fallback>
        </mc:AlternateContent>
      </w:r>
    </w:p>
    <w:tbl>
      <w:tblPr>
        <w:tblW w:w="11011" w:type="dxa"/>
        <w:jc w:val="left"/>
        <w:tblInd w:w="0" w:type="dxa"/>
        <w:tblLayout w:type="fixed"/>
        <w:tblCellMar>
          <w:top w:w="28" w:type="dxa"/>
          <w:left w:w="28" w:type="dxa"/>
          <w:bottom w:w="28" w:type="dxa"/>
          <w:right w:w="28" w:type="dxa"/>
        </w:tblCellMar>
      </w:tblPr>
      <w:tblGrid>
        <w:gridCol w:w="842"/>
        <w:gridCol w:w="291"/>
        <w:gridCol w:w="293"/>
        <w:gridCol w:w="443"/>
        <w:gridCol w:w="443"/>
        <w:gridCol w:w="311"/>
        <w:gridCol w:w="445"/>
        <w:gridCol w:w="445"/>
        <w:gridCol w:w="446"/>
        <w:gridCol w:w="436"/>
        <w:gridCol w:w="330"/>
        <w:gridCol w:w="331"/>
        <w:gridCol w:w="352"/>
        <w:gridCol w:w="354"/>
        <w:gridCol w:w="311"/>
        <w:gridCol w:w="394"/>
        <w:gridCol w:w="312"/>
        <w:gridCol w:w="211"/>
        <w:gridCol w:w="435"/>
        <w:gridCol w:w="435"/>
        <w:gridCol w:w="436"/>
        <w:gridCol w:w="445"/>
        <w:gridCol w:w="445"/>
        <w:gridCol w:w="446"/>
        <w:gridCol w:w="502"/>
        <w:gridCol w:w="504"/>
        <w:gridCol w:w="373"/>
      </w:tblGrid>
      <w:tr>
        <w:trPr/>
        <w:tc>
          <w:tcPr>
            <w:tcW w:w="8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In € millions</w:t>
            </w:r>
          </w:p>
        </w:tc>
        <w:tc>
          <w:tcPr>
            <w:tcW w:w="119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Goodwill</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Customer relationships</w:t>
            </w:r>
          </w:p>
        </w:tc>
        <w:tc>
          <w:tcPr>
            <w:tcW w:w="109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Spectrum licenses</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Software</w:t>
            </w:r>
          </w:p>
        </w:tc>
        <w:tc>
          <w:tcPr>
            <w:tcW w:w="917" w:type="dxa"/>
            <w:gridSpan w:val="3"/>
            <w:tcBorders/>
            <w:tcMar>
              <w:top w:w="0" w:type="dxa"/>
              <w:left w:w="0" w:type="dxa"/>
              <w:bottom w:w="0" w:type="dxa"/>
              <w:right w:w="0" w:type="dxa"/>
            </w:tcMar>
            <w:vAlign w:val="center"/>
          </w:tcPr>
          <w:p>
            <w:pPr>
              <w:pStyle w:val="TableContents"/>
              <w:bidi w:val="0"/>
              <w:spacing w:lineRule="auto" w:line="288" w:before="130" w:after="40"/>
              <w:jc w:val="right"/>
              <w:rPr>
                <w:rFonts w:ascii="sans-serif" w:hAnsi="sans-serif"/>
                <w:b/>
                <w:color w:val="000000"/>
                <w:sz w:val="16"/>
              </w:rPr>
            </w:pPr>
            <w:r>
              <w:rPr>
                <w:rFonts w:ascii="sans-serif" w:hAnsi="sans-serif"/>
                <w:b/>
                <w:color w:val="000000"/>
                <w:sz w:val="16"/>
              </w:rPr>
              <w:t>Trade name</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Software under</w:t>
            </w:r>
          </w:p>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construction</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Broadcasting Rights</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6"/>
              </w:rPr>
              <w:t>Restated</w:t>
            </w:r>
            <w:r>
              <w:rPr>
                <w:color w:val="000000"/>
              </w:rPr>
              <w:t xml:space="preserve"> </w:t>
            </w:r>
            <w:r>
              <w:rPr>
                <w:rFonts w:ascii="sans-serif" w:hAnsi="sans-serif"/>
                <w:b/>
                <w:color w:val="000000"/>
                <w:sz w:val="16"/>
              </w:rPr>
              <w:t>Total</w:t>
            </w:r>
          </w:p>
        </w:tc>
      </w:tr>
      <w:tr>
        <w:trPr/>
        <w:tc>
          <w:tcPr>
            <w:tcW w:w="14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Balance as at 1 January 2025:</w:t>
            </w:r>
          </w:p>
        </w:tc>
        <w:tc>
          <w:tcPr>
            <w:tcW w:w="1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Cost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7,369.0 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6,360.0 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1,528.5 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572.8 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39.3 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192.0 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16,331.6 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and impairment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(4,046.2)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(734.9)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(224.5)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(5,133.3)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6"/>
              </w:rPr>
            </w:pPr>
            <w:r>
              <w:rPr>
                <w:rFonts w:ascii="sans-serif" w:hAnsi="sans-serif"/>
                <w:b/>
                <w:color w:val="F85F00"/>
                <w:sz w:val="16"/>
              </w:rPr>
              <w:t>Carrying amount</w:t>
            </w:r>
          </w:p>
        </w:tc>
        <w:tc>
          <w:tcPr>
            <w:tcW w:w="886"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7,369.0</w:t>
            </w:r>
            <w:r>
              <w:rPr>
                <w:color w:val="F85F00"/>
              </w:rPr>
              <w:t> </w:t>
            </w:r>
          </w:p>
        </w:tc>
        <w:tc>
          <w:tcPr>
            <w:tcW w:w="311"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2,313.8</w:t>
            </w:r>
            <w:r>
              <w:rPr>
                <w:color w:val="F85F00"/>
              </w:rPr>
              <w:t> </w:t>
            </w:r>
          </w:p>
        </w:tc>
        <w:tc>
          <w:tcPr>
            <w:tcW w:w="446"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793.6</w:t>
            </w:r>
            <w:r>
              <w:rPr>
                <w:color w:val="F85F00"/>
              </w:rPr>
              <w:t> </w:t>
            </w:r>
          </w:p>
        </w:tc>
        <w:tc>
          <w:tcPr>
            <w:tcW w:w="331"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348.3</w:t>
            </w:r>
            <w:r>
              <w:rPr>
                <w:color w:val="F85F00"/>
              </w:rPr>
              <w:t> </w:t>
            </w:r>
          </w:p>
        </w:tc>
        <w:tc>
          <w:tcPr>
            <w:tcW w:w="311"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183.6</w:t>
            </w:r>
            <w:r>
              <w:rPr>
                <w:color w:val="F85F00"/>
              </w:rPr>
              <w:t> </w:t>
            </w:r>
          </w:p>
        </w:tc>
        <w:tc>
          <w:tcPr>
            <w:tcW w:w="211"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39.3</w:t>
            </w:r>
            <w:r>
              <w:rPr>
                <w:color w:val="F85F00"/>
              </w:rPr>
              <w:t> </w:t>
            </w:r>
          </w:p>
        </w:tc>
        <w:tc>
          <w:tcPr>
            <w:tcW w:w="436"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150.7</w:t>
            </w:r>
            <w:r>
              <w:rPr>
                <w:color w:val="F85F00"/>
              </w:rPr>
              <w:t> </w:t>
            </w:r>
          </w:p>
        </w:tc>
        <w:tc>
          <w:tcPr>
            <w:tcW w:w="446"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CC561C"/>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11,198.3</w:t>
            </w:r>
            <w:r>
              <w:rPr>
                <w:color w:val="F85F00"/>
              </w:rPr>
              <w:t> </w:t>
            </w:r>
          </w:p>
        </w:tc>
        <w:tc>
          <w:tcPr>
            <w:tcW w:w="373" w:type="dxa"/>
            <w:tcBorders>
              <w:top w:val="single" w:sz="4" w:space="0" w:color="CC561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Changes in carrying amount:</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Additions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28.4 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158.4 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Reclassification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(74.4)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Amortisation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(528.4)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(61.1)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(838.3)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(2,910.0)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(71.8)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(2,981.8)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of 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2,910.0 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72.7 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2,982.7 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Other,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12.1 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6"/>
              </w:rPr>
            </w:pPr>
            <w:r>
              <w:rPr>
                <w:rFonts w:ascii="sans-serif" w:hAnsi="sans-serif"/>
                <w:b/>
                <w:color w:val="000000"/>
                <w:sz w:val="16"/>
              </w:rPr>
              <w:t>Total changes in carrying amount</w:t>
            </w:r>
          </w:p>
        </w:tc>
        <w:tc>
          <w:tcPr>
            <w:tcW w:w="88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w:t>
            </w:r>
            <w:r>
              <w:rPr>
                <w:color w:val="000000"/>
              </w:rPr>
              <w:t> </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(528.4)</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(104.8)</w:t>
            </w:r>
          </w:p>
        </w:tc>
        <w:tc>
          <w:tcPr>
            <w:tcW w:w="3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(54.4)</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(10.8)</w:t>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67.7</w:t>
            </w:r>
            <w:r>
              <w:rPr>
                <w:color w:val="000000"/>
              </w:rPr>
              <w:t> </w:t>
            </w:r>
          </w:p>
        </w:tc>
        <w:tc>
          <w:tcPr>
            <w:tcW w:w="4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(32.7)</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(663.4)</w:t>
            </w:r>
          </w:p>
        </w:tc>
        <w:tc>
          <w:tcPr>
            <w:tcW w:w="37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31 December 2025:</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Cost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7,369.0 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3,450.0 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1,528.5 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566.9 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107.0 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220.4 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13,511.8 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and impairment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(1,664.6)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(839.7)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(2,976.9)</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6"/>
              </w:rPr>
            </w:pPr>
            <w:r>
              <w:rPr>
                <w:rFonts w:ascii="sans-serif" w:hAnsi="sans-serif"/>
                <w:b/>
                <w:color w:val="F85F00"/>
                <w:sz w:val="16"/>
              </w:rPr>
              <w:t>Carrying amount</w:t>
            </w:r>
          </w:p>
        </w:tc>
        <w:tc>
          <w:tcPr>
            <w:tcW w:w="88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7,369.0</w:t>
            </w:r>
            <w:r>
              <w:rPr>
                <w:color w:val="F85F00"/>
              </w:rPr>
              <w:t> </w:t>
            </w:r>
          </w:p>
        </w:tc>
        <w:tc>
          <w:tcPr>
            <w:tcW w:w="3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1,785.4</w:t>
            </w:r>
            <w:r>
              <w:rPr>
                <w:color w:val="F85F00"/>
              </w:rPr>
              <w:t> </w:t>
            </w:r>
          </w:p>
        </w:tc>
        <w:tc>
          <w:tcPr>
            <w:tcW w:w="44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688.8</w:t>
            </w:r>
            <w:r>
              <w:rPr>
                <w:color w:val="F85F00"/>
              </w:rPr>
              <w:t> </w:t>
            </w:r>
          </w:p>
        </w:tc>
        <w:tc>
          <w:tcPr>
            <w:tcW w:w="33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293.9</w:t>
            </w:r>
            <w:r>
              <w:rPr>
                <w:color w:val="F85F00"/>
              </w:rPr>
              <w:t> </w:t>
            </w:r>
          </w:p>
        </w:tc>
        <w:tc>
          <w:tcPr>
            <w:tcW w:w="3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172.8</w:t>
            </w:r>
            <w:r>
              <w:rPr>
                <w:color w:val="F85F00"/>
              </w:rPr>
              <w:t> </w:t>
            </w:r>
          </w:p>
        </w:tc>
        <w:tc>
          <w:tcPr>
            <w:tcW w:w="211"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107.0</w:t>
            </w:r>
            <w:r>
              <w:rPr>
                <w:color w:val="F85F00"/>
              </w:rPr>
              <w:t> </w:t>
            </w:r>
          </w:p>
        </w:tc>
        <w:tc>
          <w:tcPr>
            <w:tcW w:w="43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118.0</w:t>
            </w:r>
            <w:r>
              <w:rPr>
                <w:color w:val="F85F00"/>
              </w:rPr>
              <w:t> </w:t>
            </w:r>
          </w:p>
        </w:tc>
        <w:tc>
          <w:tcPr>
            <w:tcW w:w="446"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F48C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6"/>
              </w:rPr>
              <w:t>10,534.9</w:t>
            </w:r>
            <w:r>
              <w:rPr>
                <w:color w:val="F85F00"/>
              </w:rPr>
              <w:t> </w:t>
            </w:r>
          </w:p>
        </w:tc>
        <w:tc>
          <w:tcPr>
            <w:tcW w:w="373" w:type="dxa"/>
            <w:tcBorders>
              <w:top w:val="single" w:sz="8" w:space="0" w:color="F48C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Changes in carrying amount:</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Additions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58.3 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62.5 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Reclassification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99.0 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(99.0)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Amortisation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(102.5)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(29.1)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(264.3)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(40.9)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(40.9)</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of disposals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39.6 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Other,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6"/>
              </w:rPr>
            </w:pPr>
            <w:r>
              <w:rPr>
                <w:rFonts w:ascii="sans-serif" w:hAnsi="sans-serif"/>
                <w:b/>
                <w:color w:val="000000"/>
                <w:sz w:val="16"/>
              </w:rPr>
              <w:t>Total changes in carrying amount</w:t>
            </w:r>
          </w:p>
        </w:tc>
        <w:tc>
          <w:tcPr>
            <w:tcW w:w="88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w:t>
            </w:r>
            <w:r>
              <w:rPr>
                <w:color w:val="000000"/>
              </w:rPr>
              <w:t> </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(102.5)</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(52.2)</w:t>
            </w:r>
          </w:p>
        </w:tc>
        <w:tc>
          <w:tcPr>
            <w:tcW w:w="3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6"/>
              </w:rPr>
              <w:t>25.0</w:t>
            </w:r>
            <w:r>
              <w:rPr>
                <w:color w:val="000000"/>
              </w:rPr>
              <w:t> </w:t>
            </w:r>
          </w:p>
        </w:tc>
        <w:tc>
          <w:tcPr>
            <w:tcW w:w="3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(5.4)</w:t>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(40.7)</w:t>
            </w:r>
          </w:p>
        </w:tc>
        <w:tc>
          <w:tcPr>
            <w:tcW w:w="4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(24.9)</w:t>
            </w:r>
          </w:p>
        </w:tc>
        <w:tc>
          <w:tcPr>
            <w:tcW w:w="44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6"/>
              </w:rPr>
            </w:pPr>
            <w:r>
              <w:rPr>
                <w:rFonts w:ascii="sans-serif" w:hAnsi="sans-serif"/>
                <w:b/>
                <w:color w:val="000000"/>
                <w:sz w:val="16"/>
              </w:rPr>
              <w:t>(200.7)</w:t>
            </w:r>
          </w:p>
        </w:tc>
        <w:tc>
          <w:tcPr>
            <w:tcW w:w="37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30 June 2026:</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Cost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7,369.0 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3,450.0 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1,528.5 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627.4 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66.3 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224.6 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13,535.8 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6"/>
              </w:rPr>
            </w:pPr>
            <w:r>
              <w:rPr>
                <w:rFonts w:ascii="sans-serif" w:hAnsi="sans-serif"/>
                <w:b w:val="false"/>
                <w:color w:val="000000"/>
                <w:sz w:val="16"/>
              </w:rPr>
              <w:t>Accumulated amortisation and impairment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(1,767.1)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(891.9)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(308.5)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(131.5)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6"/>
              </w:rPr>
            </w:pPr>
            <w:r>
              <w:rPr>
                <w:rFonts w:ascii="sans-serif" w:hAnsi="sans-serif"/>
                <w:b w:val="false"/>
                <w:color w:val="000000"/>
                <w:sz w:val="16"/>
              </w:rPr>
              <w:t>(3,201.6)</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6"/>
              </w:rPr>
            </w:pPr>
            <w:r>
              <w:rPr>
                <w:rFonts w:ascii="sans-serif" w:hAnsi="sans-serif"/>
                <w:b/>
                <w:color w:val="000000"/>
                <w:sz w:val="16"/>
              </w:rPr>
              <w:t>Carrying amount</w:t>
            </w:r>
          </w:p>
        </w:tc>
        <w:tc>
          <w:tcPr>
            <w:tcW w:w="88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7,369.0</w:t>
            </w:r>
            <w:r>
              <w:rPr>
                <w:color w:val="000000"/>
              </w:rPr>
              <w:t> </w:t>
            </w:r>
          </w:p>
        </w:tc>
        <w:tc>
          <w:tcPr>
            <w:tcW w:w="31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1,682.9</w:t>
            </w:r>
            <w:r>
              <w:rPr>
                <w:color w:val="000000"/>
              </w:rPr>
              <w:t> </w:t>
            </w:r>
          </w:p>
        </w:tc>
        <w:tc>
          <w:tcPr>
            <w:tcW w:w="446"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636.6</w:t>
            </w:r>
            <w:r>
              <w:rPr>
                <w:color w:val="000000"/>
              </w:rPr>
              <w:t> </w:t>
            </w:r>
          </w:p>
        </w:tc>
        <w:tc>
          <w:tcPr>
            <w:tcW w:w="33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318.9</w:t>
            </w:r>
            <w:r>
              <w:rPr>
                <w:color w:val="000000"/>
              </w:rPr>
              <w:t> </w:t>
            </w:r>
          </w:p>
        </w:tc>
        <w:tc>
          <w:tcPr>
            <w:tcW w:w="31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167.4</w:t>
            </w:r>
            <w:r>
              <w:rPr>
                <w:color w:val="000000"/>
              </w:rPr>
              <w:t> </w:t>
            </w:r>
          </w:p>
        </w:tc>
        <w:tc>
          <w:tcPr>
            <w:tcW w:w="211"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66.3</w:t>
            </w:r>
            <w:r>
              <w:rPr>
                <w:color w:val="000000"/>
              </w:rPr>
              <w:t> </w:t>
            </w:r>
          </w:p>
        </w:tc>
        <w:tc>
          <w:tcPr>
            <w:tcW w:w="436"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93.1</w:t>
            </w:r>
            <w:r>
              <w:rPr>
                <w:color w:val="000000"/>
              </w:rPr>
              <w:t> </w:t>
            </w:r>
          </w:p>
        </w:tc>
        <w:tc>
          <w:tcPr>
            <w:tcW w:w="446"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DADADA"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6"/>
              </w:rPr>
              <w:t>10,334.2</w:t>
            </w:r>
            <w:r>
              <w:rPr>
                <w:color w:val="000000"/>
              </w:rPr>
              <w:t> </w:t>
            </w:r>
          </w:p>
        </w:tc>
        <w:tc>
          <w:tcPr>
            <w:tcW w:w="373" w:type="dxa"/>
            <w:tcBorders>
              <w:bottom w:val="single" w:sz="8" w:space="0" w:color="000000"/>
            </w:tcBorders>
            <w:shd w:fill="DADADA"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124" w:name="i101d5f3c1c0d488eaa4343128d79b786"/>
      <w:bookmarkEnd w:id="124"/>
      <w:r>
        <w:rPr>
          <w:rFonts w:ascii="sans-serif" w:hAnsi="sans-serif"/>
          <w:b/>
          <w:color w:val="000000"/>
          <w:sz w:val="24"/>
        </w:rPr>
        <w:t>9. Financial Assets and Financial Liabilities</w:t>
      </w:r>
    </w:p>
    <w:p>
      <w:pPr>
        <w:pStyle w:val="TextBody"/>
        <w:bidi w:val="0"/>
        <w:spacing w:lineRule="auto" w:line="324" w:before="120" w:after="283"/>
        <w:jc w:val="left"/>
        <w:rPr>
          <w:rFonts w:ascii="sans-serif" w:hAnsi="sans-serif"/>
          <w:b/>
          <w:color w:val="F85F00"/>
          <w:sz w:val="20"/>
        </w:rPr>
      </w:pPr>
      <w:bookmarkStart w:id="125" w:name="i2ddfb5f099c04c7cbffb340547ce2b7d"/>
      <w:bookmarkEnd w:id="125"/>
      <w:r>
        <w:rPr>
          <w:rFonts w:ascii="sans-serif" w:hAnsi="sans-serif"/>
          <w:b/>
          <w:color w:val="F85F00"/>
          <w:sz w:val="20"/>
        </w:rPr>
        <w:t>Summary of financial assets and financial liabilities at carrying amount and fair value, classified per category</w:t>
      </w:r>
    </w:p>
    <w:tbl>
      <w:tblPr>
        <w:tblW w:w="10205" w:type="dxa"/>
        <w:jc w:val="left"/>
        <w:tblInd w:w="0" w:type="dxa"/>
        <w:tblLayout w:type="fixed"/>
        <w:tblCellMar>
          <w:top w:w="28" w:type="dxa"/>
          <w:left w:w="28" w:type="dxa"/>
          <w:bottom w:w="28" w:type="dxa"/>
          <w:right w:w="28" w:type="dxa"/>
        </w:tblCellMar>
      </w:tblPr>
      <w:tblGrid>
        <w:gridCol w:w="1336"/>
        <w:gridCol w:w="1143"/>
        <w:gridCol w:w="1146"/>
        <w:gridCol w:w="614"/>
        <w:gridCol w:w="590"/>
        <w:gridCol w:w="581"/>
        <w:gridCol w:w="560"/>
        <w:gridCol w:w="476"/>
        <w:gridCol w:w="368"/>
        <w:gridCol w:w="615"/>
        <w:gridCol w:w="591"/>
        <w:gridCol w:w="561"/>
        <w:gridCol w:w="618"/>
        <w:gridCol w:w="429"/>
        <w:gridCol w:w="577"/>
      </w:tblGrid>
      <w:tr>
        <w:trPr/>
        <w:tc>
          <w:tcPr>
            <w:tcW w:w="13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 2026</w:t>
            </w:r>
          </w:p>
        </w:tc>
        <w:tc>
          <w:tcPr>
            <w:tcW w:w="3391" w:type="dxa"/>
            <w:gridSpan w:val="6"/>
            <w:tcBorders/>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val="false"/>
                <w:i/>
                <w:color w:val="000000"/>
                <w:sz w:val="18"/>
              </w:rPr>
              <w:t xml:space="preserve">Restated </w:t>
            </w:r>
            <w:r>
              <w:rPr>
                <w:rFonts w:ascii="sans-serif" w:hAnsi="sans-serif"/>
                <w:b w:val="false"/>
                <w:color w:val="000000"/>
                <w:sz w:val="18"/>
              </w:rPr>
              <w:t>31 December 2025</w:t>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178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amount</w:t>
            </w:r>
          </w:p>
        </w:tc>
        <w:tc>
          <w:tcPr>
            <w:tcW w:w="1404"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Fair value </w:t>
            </w:r>
          </w:p>
        </w:tc>
        <w:tc>
          <w:tcPr>
            <w:tcW w:w="1767"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amount</w:t>
            </w:r>
          </w:p>
        </w:tc>
        <w:tc>
          <w:tcPr>
            <w:tcW w:w="1624"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 xml:space="preserve">Fair value </w:t>
            </w:r>
          </w:p>
        </w:tc>
      </w:tr>
      <w:tr>
        <w:trPr/>
        <w:tc>
          <w:tcPr>
            <w:tcW w:w="3625" w:type="dxa"/>
            <w:gridSpan w:val="3"/>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Financial assets at FVTPL:</w:t>
            </w:r>
          </w:p>
        </w:tc>
        <w:tc>
          <w:tcPr>
            <w:tcW w:w="1785"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57575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Derivatives</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329.7 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329.7 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281.5 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281.5 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Financial assets at amortised cost:</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Trade and other receivables </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216.7 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216.7 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192.4 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192.4 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Cash and cash equivalents </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39.1 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39.1 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178.9 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Other assets (a)</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11.3 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11.3 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financial assets</w:t>
            </w:r>
          </w:p>
        </w:tc>
        <w:tc>
          <w:tcPr>
            <w:tcW w:w="1204"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596.8</w:t>
            </w:r>
            <w:r>
              <w:rPr>
                <w:color w:val="000000"/>
              </w:rPr>
              <w:t> </w:t>
            </w:r>
          </w:p>
        </w:tc>
        <w:tc>
          <w:tcPr>
            <w:tcW w:w="58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596.8</w:t>
            </w:r>
            <w:r>
              <w:rPr>
                <w:color w:val="000000"/>
              </w:rPr>
              <w:t> </w:t>
            </w:r>
          </w:p>
        </w:tc>
        <w:tc>
          <w:tcPr>
            <w:tcW w:w="368"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660.4</w:t>
            </w:r>
            <w:r>
              <w:rPr>
                <w:color w:val="000000"/>
              </w:rPr>
              <w:t> </w:t>
            </w:r>
          </w:p>
        </w:tc>
        <w:tc>
          <w:tcPr>
            <w:tcW w:w="56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660.4</w:t>
            </w:r>
            <w:r>
              <w:rPr>
                <w:color w:val="000000"/>
              </w:rPr>
              <w:t> </w:t>
            </w:r>
          </w:p>
        </w:tc>
        <w:tc>
          <w:tcPr>
            <w:tcW w:w="577"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Financial liabilities at FVTPL:</w:t>
            </w:r>
          </w:p>
        </w:tc>
        <w:tc>
          <w:tcPr>
            <w:tcW w:w="17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Derivatives</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169.7 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169.7 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196.5 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196.5 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Financial liabilities at amortised cost:</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Debt</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12,489.3 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11,945.0 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12,386.6 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12,000.1 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Broadcasting rights payable (b)</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31.0 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31.0 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57.5 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Trade and other payables (c) </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681.6 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681.6 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651.9 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651.9 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Accruals and deferred income (d)</w:t>
            </w:r>
          </w:p>
        </w:tc>
        <w:tc>
          <w:tcPr>
            <w:tcW w:w="1204"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309.6 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309.6 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303.8 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303.8 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 xml:space="preserve">Total financial liabilities </w:t>
            </w:r>
          </w:p>
        </w:tc>
        <w:tc>
          <w:tcPr>
            <w:tcW w:w="1204"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13,681.2</w:t>
            </w:r>
            <w:r>
              <w:rPr>
                <w:color w:val="000000"/>
              </w:rPr>
              <w:t> </w:t>
            </w:r>
          </w:p>
        </w:tc>
        <w:tc>
          <w:tcPr>
            <w:tcW w:w="58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13,136.9</w:t>
            </w:r>
            <w:r>
              <w:rPr>
                <w:color w:val="000000"/>
              </w:rPr>
              <w:t> </w:t>
            </w:r>
          </w:p>
        </w:tc>
        <w:tc>
          <w:tcPr>
            <w:tcW w:w="368"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13,596.3</w:t>
            </w:r>
            <w:r>
              <w:rPr>
                <w:color w:val="000000"/>
              </w:rPr>
              <w:t> </w:t>
            </w:r>
          </w:p>
        </w:tc>
        <w:tc>
          <w:tcPr>
            <w:tcW w:w="561"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bottom w:val="single" w:sz="8" w:space="0" w:color="575756"/>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13,209.8</w:t>
            </w:r>
            <w:r>
              <w:rPr>
                <w:color w:val="000000"/>
              </w:rPr>
              <w:t> </w:t>
            </w:r>
          </w:p>
        </w:tc>
        <w:tc>
          <w:tcPr>
            <w:tcW w:w="577" w:type="dxa"/>
            <w:tcBorders>
              <w:bottom w:val="single" w:sz="8" w:space="0" w:color="575756"/>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ind w:left="0" w:right="0" w:hanging="283"/>
        <w:jc w:val="left"/>
        <w:rPr/>
      </w:pPr>
      <w:r>
        <w:rPr>
          <w:rFonts w:ascii="sans-serif" w:hAnsi="sans-serif"/>
          <w:b w:val="false"/>
          <w:color w:val="000000"/>
          <w:sz w:val="14"/>
        </w:rPr>
        <w:t>(a)</w:t>
      </w:r>
      <w:r>
        <w:rPr>
          <w:rFonts w:ascii="sans-serif" w:hAnsi="sans-serif"/>
          <w:b w:val="false"/>
          <w:color w:val="000000"/>
          <w:sz w:val="16"/>
        </w:rPr>
        <w:t>This amount relates to the current and noncurrent portion of other assets.</w:t>
      </w:r>
    </w:p>
    <w:p>
      <w:pPr>
        <w:pStyle w:val="TextBody"/>
        <w:bidi w:val="0"/>
        <w:spacing w:lineRule="atLeast" w:line="180" w:before="0" w:after="0"/>
        <w:ind w:left="0" w:right="0" w:hanging="283"/>
        <w:jc w:val="left"/>
        <w:rPr/>
      </w:pPr>
      <w:r>
        <w:rPr>
          <w:rFonts w:ascii="sans-serif" w:hAnsi="sans-serif"/>
          <w:b w:val="false"/>
          <w:color w:val="000000"/>
          <w:sz w:val="14"/>
        </w:rPr>
        <w:t>(b)</w:t>
      </w:r>
      <w:r>
        <w:rPr>
          <w:rFonts w:ascii="sans-serif" w:hAnsi="sans-serif"/>
          <w:b w:val="false"/>
          <w:color w:val="000000"/>
          <w:sz w:val="16"/>
        </w:rPr>
        <w:t>This amount is included in other liabilities.</w:t>
      </w:r>
    </w:p>
    <w:p>
      <w:pPr>
        <w:pStyle w:val="TextBody"/>
        <w:bidi w:val="0"/>
        <w:spacing w:lineRule="atLeast" w:line="180" w:before="0" w:after="0"/>
        <w:ind w:left="0" w:right="0" w:hanging="283"/>
        <w:jc w:val="left"/>
        <w:rPr/>
      </w:pPr>
      <w:r>
        <w:rPr>
          <w:rFonts w:ascii="sans-serif" w:hAnsi="sans-serif"/>
          <w:b w:val="false"/>
          <w:color w:val="000000"/>
          <w:sz w:val="14"/>
        </w:rPr>
        <w:t>(c)</w:t>
      </w:r>
      <w:r>
        <w:rPr>
          <w:rFonts w:ascii="sans-serif" w:hAnsi="sans-serif"/>
          <w:b w:val="false"/>
          <w:color w:val="000000"/>
          <w:sz w:val="16"/>
        </w:rPr>
        <w:t xml:space="preserve">The amount excludes payables related to VAT, payroll tax and social security. </w:t>
      </w:r>
    </w:p>
    <w:p>
      <w:pPr>
        <w:pStyle w:val="TextBody"/>
        <w:bidi w:val="0"/>
        <w:spacing w:lineRule="atLeast" w:line="180" w:before="0" w:after="360"/>
        <w:ind w:left="0" w:right="0" w:hanging="283"/>
        <w:jc w:val="left"/>
        <w:rPr/>
      </w:pPr>
      <w:r>
        <w:rPr>
          <w:rFonts w:ascii="sans-serif" w:hAnsi="sans-serif"/>
          <w:b w:val="false"/>
          <w:color w:val="000000"/>
          <w:sz w:val="14"/>
        </w:rPr>
        <w:t>(d)</w:t>
      </w:r>
      <w:r>
        <w:rPr>
          <w:rFonts w:ascii="sans-serif" w:hAnsi="sans-serif"/>
          <w:b w:val="false"/>
          <w:color w:val="000000"/>
          <w:sz w:val="16"/>
        </w:rPr>
        <w:t xml:space="preserve">The amount excludes deferred revenue. </w:t>
      </w:r>
    </w:p>
    <w:p>
      <w:pPr>
        <w:pStyle w:val="TextBody"/>
        <w:bidi w:val="0"/>
        <w:spacing w:lineRule="auto" w:line="324" w:before="120" w:after="283"/>
        <w:jc w:val="left"/>
        <w:rPr>
          <w:rFonts w:ascii="sans-serif" w:hAnsi="sans-serif"/>
          <w:b/>
          <w:color w:val="F85F00"/>
          <w:sz w:val="20"/>
        </w:rPr>
      </w:pPr>
      <w:bookmarkStart w:id="126" w:name="i8cf7b18ce0734b0cb34adbbd26a7ff09"/>
      <w:bookmarkEnd w:id="126"/>
      <w:r>
        <w:rPr>
          <w:rFonts w:ascii="sans-serif" w:hAnsi="sans-serif"/>
          <w:b/>
          <w:color w:val="F85F00"/>
          <w:sz w:val="20"/>
        </w:rPr>
        <w:t>Fair value hierarchy</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Level 1: Quoted prices (unadjusted) in active markets for identical assets or liabilities that the Group can access at the measurement date.</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Level 2: Inputs other than quoted prices included within Level 1 that are observable for the asset or liability, either directly or indirectly. These include quoted prices for similar instruments in active markets and observable market data such as interest rates, yield curves and credit spreads.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Level 3: Unobservable inputs for the asset or liability. These inputs are used where relevant observable market data is not available and reflect the assumptions that market participants would use when pricing the asset or liability.</w:t>
      </w:r>
    </w:p>
    <w:p>
      <w:pPr>
        <w:pStyle w:val="TextBody"/>
        <w:bidi w:val="0"/>
        <w:spacing w:before="0" w:after="24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52400"/>
                <wp:effectExtent l="0" t="0" r="0" b="0"/>
                <wp:wrapNone/>
                <wp:docPr id="75" name="Frame57"/>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12</w:t>
                      </w:r>
                    </w:p>
                  </w:txbxContent>
                </v:textbox>
                <w10:wrap type="none"/>
              </v:rect>
            </w:pict>
          </mc:Fallback>
        </mc:AlternateConten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Of our categories of financial instruments, only derivatives are measured and recognised on the balance sheet at fair value. The recurring fair value measurements of these instruments are determined using discounted cash flow models. Most of the inputs to these discounted cash flow models consist of, or are derived from, observable Level 2 data for substantially the full term of these instruments. </w:t>
      </w:r>
    </w:p>
    <w:p>
      <w:pPr>
        <w:pStyle w:val="TextBody"/>
        <w:bidi w:val="0"/>
        <w:spacing w:lineRule="auto" w:line="324" w:before="120" w:after="283"/>
        <w:jc w:val="left"/>
        <w:rPr>
          <w:rFonts w:ascii="sans-serif" w:hAnsi="sans-serif"/>
          <w:b/>
          <w:color w:val="F85F00"/>
          <w:sz w:val="20"/>
        </w:rPr>
      </w:pPr>
      <w:bookmarkStart w:id="127" w:name="ic5520d74ff3440a99dfd48940df75e99"/>
      <w:bookmarkEnd w:id="127"/>
      <w:r>
        <w:rPr>
          <w:rFonts w:ascii="sans-serif" w:hAnsi="sans-serif"/>
          <w:b/>
          <w:color w:val="F85F00"/>
          <w:sz w:val="20"/>
        </w:rPr>
        <w:t>Financial Assets</w:t>
      </w:r>
    </w:p>
    <w:p>
      <w:pPr>
        <w:pStyle w:val="TextBody"/>
        <w:bidi w:val="0"/>
        <w:spacing w:lineRule="auto" w:line="288" w:before="120" w:after="283"/>
        <w:jc w:val="left"/>
        <w:rPr>
          <w:rFonts w:ascii="sans-serif" w:hAnsi="sans-serif"/>
          <w:b/>
          <w:color w:val="000000"/>
          <w:sz w:val="18"/>
        </w:rPr>
      </w:pPr>
      <w:bookmarkStart w:id="128" w:name="if238c883c9874d58b8e4cb265326faa8"/>
      <w:bookmarkEnd w:id="128"/>
      <w:r>
        <w:rPr>
          <w:rFonts w:ascii="sans-serif" w:hAnsi="sans-serif"/>
          <w:b/>
          <w:color w:val="000000"/>
          <w:sz w:val="18"/>
        </w:rPr>
        <w:t>Financial assets at fair value through profit or loss</w:t>
      </w:r>
    </w:p>
    <w:p>
      <w:pPr>
        <w:pStyle w:val="TextBody"/>
        <w:bidi w:val="0"/>
        <w:spacing w:lineRule="atLeast" w:line="240" w:before="0" w:after="120"/>
        <w:jc w:val="left"/>
        <w:rPr>
          <w:rFonts w:ascii="sans-serif" w:hAnsi="sans-serif"/>
          <w:b w:val="false"/>
          <w:color w:val="000000"/>
          <w:sz w:val="18"/>
        </w:rPr>
      </w:pPr>
      <w:r>
        <w:rPr>
          <w:rFonts w:ascii="sans-serif" w:hAnsi="sans-serif"/>
          <w:b w:val="false"/>
          <w:color w:val="000000"/>
          <w:sz w:val="18"/>
        </w:rPr>
        <w:t>We have entered into various derivative instruments to manage our interest rate and foreign currency exchange risk which are measured at fair value.</w:t>
      </w:r>
    </w:p>
    <w:p>
      <w:pPr>
        <w:pStyle w:val="TextBody"/>
        <w:bidi w:val="0"/>
        <w:spacing w:lineRule="auto" w:line="288" w:before="120" w:after="283"/>
        <w:jc w:val="left"/>
        <w:rPr>
          <w:rFonts w:ascii="sans-serif" w:hAnsi="sans-serif"/>
          <w:b/>
          <w:color w:val="000000"/>
          <w:sz w:val="18"/>
        </w:rPr>
      </w:pPr>
      <w:bookmarkStart w:id="129" w:name="iab604a520ac842e5bc40102aa0b4f14c"/>
      <w:bookmarkEnd w:id="129"/>
      <w:r>
        <w:rPr>
          <w:rFonts w:ascii="sans-serif" w:hAnsi="sans-serif"/>
          <w:b/>
          <w:color w:val="000000"/>
          <w:sz w:val="18"/>
        </w:rPr>
        <w:t xml:space="preserve">Financial assets at amortised cost: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As part of our cash and cash equivalents we hold certain deposits which is restricted cash to the amount of €0.1 million at 30 June 2026.</w:t>
      </w:r>
    </w:p>
    <w:p>
      <w:pPr>
        <w:pStyle w:val="TextBody"/>
        <w:bidi w:val="0"/>
        <w:spacing w:lineRule="auto" w:line="324" w:before="120" w:after="283"/>
        <w:jc w:val="left"/>
        <w:rPr>
          <w:rFonts w:ascii="sans-serif" w:hAnsi="sans-serif"/>
          <w:b/>
          <w:color w:val="F85F00"/>
          <w:sz w:val="20"/>
        </w:rPr>
      </w:pPr>
      <w:bookmarkStart w:id="130" w:name="i7d46650af8ca48e3a3817460e1090c3c"/>
      <w:bookmarkEnd w:id="130"/>
      <w:r>
        <w:rPr>
          <w:rFonts w:ascii="sans-serif" w:hAnsi="sans-serif"/>
          <w:b/>
          <w:color w:val="F85F00"/>
          <w:sz w:val="20"/>
        </w:rPr>
        <w:t>Financial Liabilities</w:t>
      </w:r>
    </w:p>
    <w:p>
      <w:pPr>
        <w:pStyle w:val="TextBody"/>
        <w:bidi w:val="0"/>
        <w:spacing w:lineRule="auto" w:line="288" w:before="120" w:after="283"/>
        <w:jc w:val="left"/>
        <w:rPr>
          <w:rFonts w:ascii="sans-serif" w:hAnsi="sans-serif"/>
          <w:b/>
          <w:color w:val="000000"/>
          <w:sz w:val="18"/>
        </w:rPr>
      </w:pPr>
      <w:bookmarkStart w:id="131" w:name="i82b98f661577451c8e6e2a89e90939f6"/>
      <w:bookmarkEnd w:id="131"/>
      <w:r>
        <w:rPr>
          <w:rFonts w:ascii="sans-serif" w:hAnsi="sans-serif"/>
          <w:b/>
          <w:color w:val="000000"/>
          <w:sz w:val="18"/>
        </w:rPr>
        <w:t>Financial liabilities at fair value through profit or loss</w:t>
      </w:r>
    </w:p>
    <w:p>
      <w:pPr>
        <w:pStyle w:val="TextBody"/>
        <w:bidi w:val="0"/>
        <w:spacing w:lineRule="atLeast" w:line="240" w:before="0" w:after="120"/>
        <w:jc w:val="left"/>
        <w:rPr>
          <w:rFonts w:ascii="sans-serif" w:hAnsi="sans-serif"/>
          <w:b w:val="false"/>
          <w:color w:val="000000"/>
          <w:sz w:val="18"/>
        </w:rPr>
      </w:pPr>
      <w:r>
        <w:rPr>
          <w:rFonts w:ascii="sans-serif" w:hAnsi="sans-serif"/>
          <w:b w:val="false"/>
          <w:color w:val="000000"/>
          <w:sz w:val="18"/>
        </w:rPr>
        <w:t>We have entered into various derivative instruments to manage our interest rate and foreign currency exchange risk which are measured at fair value.</w:t>
      </w:r>
    </w:p>
    <w:p>
      <w:pPr>
        <w:pStyle w:val="TextBody"/>
        <w:bidi w:val="0"/>
        <w:spacing w:lineRule="auto" w:line="288" w:before="120" w:after="120"/>
        <w:jc w:val="left"/>
        <w:rPr>
          <w:rFonts w:ascii="sans-serif" w:hAnsi="sans-serif"/>
          <w:b/>
          <w:color w:val="000000"/>
          <w:sz w:val="18"/>
        </w:rPr>
      </w:pPr>
      <w:bookmarkStart w:id="132" w:name="i9b09f588d0234b5fb92fd02ee11dada2"/>
      <w:bookmarkEnd w:id="132"/>
      <w:r>
        <w:rPr>
          <w:rFonts w:ascii="sans-serif" w:hAnsi="sans-serif"/>
          <w:b/>
          <w:color w:val="000000"/>
          <w:sz w:val="18"/>
        </w:rPr>
        <w:t xml:space="preserve">Financial liabilities at amortised cost: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On 30 June 2026 and 31 December 2025 our third party and related party debt consisted of the following positions:</w:t>
      </w:r>
    </w:p>
    <w:tbl>
      <w:tblPr>
        <w:tblW w:w="10205" w:type="dxa"/>
        <w:jc w:val="left"/>
        <w:tblInd w:w="0" w:type="dxa"/>
        <w:tblLayout w:type="fixed"/>
        <w:tblCellMar>
          <w:top w:w="28" w:type="dxa"/>
          <w:left w:w="28" w:type="dxa"/>
          <w:bottom w:w="28" w:type="dxa"/>
          <w:right w:w="28" w:type="dxa"/>
        </w:tblCellMar>
      </w:tblPr>
      <w:tblGrid>
        <w:gridCol w:w="913"/>
        <w:gridCol w:w="593"/>
        <w:gridCol w:w="594"/>
        <w:gridCol w:w="527"/>
        <w:gridCol w:w="449"/>
        <w:gridCol w:w="1180"/>
        <w:gridCol w:w="539"/>
        <w:gridCol w:w="513"/>
        <w:gridCol w:w="411"/>
        <w:gridCol w:w="518"/>
        <w:gridCol w:w="518"/>
        <w:gridCol w:w="283"/>
        <w:gridCol w:w="109"/>
        <w:gridCol w:w="109"/>
        <w:gridCol w:w="109"/>
        <w:gridCol w:w="539"/>
        <w:gridCol w:w="513"/>
        <w:gridCol w:w="411"/>
        <w:gridCol w:w="643"/>
        <w:gridCol w:w="393"/>
        <w:gridCol w:w="341"/>
      </w:tblGrid>
      <w:tr>
        <w:trPr/>
        <w:tc>
          <w:tcPr>
            <w:tcW w:w="9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9"/>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6"/>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31 December 2025</w:t>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In € millions</w:t>
            </w:r>
          </w:p>
        </w:tc>
        <w:tc>
          <w:tcPr>
            <w:tcW w:w="2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Weighted average interest rate (a)</w:t>
            </w:r>
          </w:p>
        </w:tc>
        <w:tc>
          <w:tcPr>
            <w:tcW w:w="14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Value</w:t>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Carrying Value</w:t>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Fair Value</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Senior and Senior Secured Notes</w:t>
            </w:r>
          </w:p>
        </w:tc>
        <w:tc>
          <w:tcPr>
            <w:tcW w:w="976"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4.95 </w:t>
            </w:r>
          </w:p>
        </w:tc>
        <w:tc>
          <w:tcPr>
            <w:tcW w:w="1180" w:type="dxa"/>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7,008.7 </w:t>
            </w:r>
          </w:p>
        </w:tc>
        <w:tc>
          <w:tcPr>
            <w:tcW w:w="41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6,475.2 </w:t>
            </w:r>
          </w:p>
        </w:tc>
        <w:tc>
          <w:tcPr>
            <w:tcW w:w="283"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6,906.3 </w:t>
            </w:r>
          </w:p>
        </w:tc>
        <w:tc>
          <w:tcPr>
            <w:tcW w:w="41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575756"/>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6,513.4 </w:t>
            </w:r>
          </w:p>
        </w:tc>
        <w:tc>
          <w:tcPr>
            <w:tcW w:w="341" w:type="dxa"/>
            <w:tcBorders>
              <w:top w:val="single" w:sz="4" w:space="0" w:color="57575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Credit Facilities</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5.82 </w:t>
            </w:r>
          </w:p>
        </w:tc>
        <w:tc>
          <w:tcPr>
            <w:tcW w:w="1180"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2,665.1 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2,654.3 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2,664.9 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2,671.3 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Vendor Financing</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3.45 </w:t>
            </w:r>
          </w:p>
        </w:tc>
        <w:tc>
          <w:tcPr>
            <w:tcW w:w="1180" w:type="dxa"/>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999.7 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999.6 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2156"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Total third-party debt</w:t>
            </w:r>
          </w:p>
        </w:tc>
        <w:tc>
          <w:tcPr>
            <w:tcW w:w="97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5.03</w:t>
            </w:r>
            <w:r>
              <w:rPr>
                <w:color w:val="000000"/>
              </w:rPr>
              <w:t> </w:t>
            </w:r>
          </w:p>
        </w:tc>
        <w:tc>
          <w:tcPr>
            <w:tcW w:w="1180" w:type="dxa"/>
            <w:tcBorders/>
            <w:shd w:fill="E9E9E9" w:val="clear"/>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w:t>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10,673.5</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10,129.2</w:t>
            </w:r>
            <w:r>
              <w:rPr>
                <w:color w:val="000000"/>
              </w:rPr>
              <w:t> </w:t>
            </w:r>
          </w:p>
        </w:tc>
        <w:tc>
          <w:tcPr>
            <w:tcW w:w="283"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10,570.8</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10,184.3</w:t>
            </w:r>
            <w:r>
              <w:rPr>
                <w:color w:val="000000"/>
              </w:rPr>
              <w:t> </w:t>
            </w:r>
          </w:p>
        </w:tc>
        <w:tc>
          <w:tcPr>
            <w:tcW w:w="34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Related-party Debt</w:t>
            </w:r>
          </w:p>
        </w:tc>
        <w:tc>
          <w:tcPr>
            <w:tcW w:w="9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5.55 </w:t>
            </w:r>
          </w:p>
        </w:tc>
        <w:tc>
          <w:tcPr>
            <w:tcW w:w="1180"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w:t>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2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1,815.8 </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left"/>
              <w:rPr>
                <w:rFonts w:ascii="sans-serif" w:hAnsi="sans-serif"/>
                <w:b/>
                <w:color w:val="F85F00"/>
                <w:sz w:val="18"/>
              </w:rPr>
            </w:pPr>
            <w:r>
              <w:rPr>
                <w:rFonts w:ascii="sans-serif" w:hAnsi="sans-serif"/>
                <w:b/>
                <w:color w:val="F85F00"/>
                <w:sz w:val="18"/>
              </w:rPr>
              <w:t>Total debt</w:t>
            </w:r>
          </w:p>
        </w:tc>
        <w:tc>
          <w:tcPr>
            <w:tcW w:w="976"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5.10</w:t>
            </w:r>
            <w:r>
              <w:rPr>
                <w:color w:val="F85F00"/>
              </w:rPr>
              <w:t> </w:t>
            </w:r>
          </w:p>
        </w:tc>
        <w:tc>
          <w:tcPr>
            <w:tcW w:w="1180" w:type="dxa"/>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F85F00"/>
                <w:sz w:val="18"/>
              </w:rPr>
            </w:pPr>
            <w:r>
              <w:rPr>
                <w:rFonts w:ascii="sans-serif" w:hAnsi="sans-serif"/>
                <w:b/>
                <w:color w:val="F85F00"/>
                <w:sz w:val="18"/>
              </w:rPr>
              <w:t>%</w:t>
            </w:r>
          </w:p>
        </w:tc>
        <w:tc>
          <w:tcPr>
            <w:tcW w:w="1052"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12,489.3</w:t>
            </w:r>
            <w:r>
              <w:rPr>
                <w:color w:val="F85F00"/>
              </w:rPr>
              <w:t> </w:t>
            </w:r>
          </w:p>
        </w:tc>
        <w:tc>
          <w:tcPr>
            <w:tcW w:w="411"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11,945.0</w:t>
            </w:r>
            <w:r>
              <w:rPr>
                <w:color w:val="F85F00"/>
              </w:rPr>
              <w:t> </w:t>
            </w:r>
          </w:p>
        </w:tc>
        <w:tc>
          <w:tcPr>
            <w:tcW w:w="283"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85F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12,386.6</w:t>
            </w:r>
            <w:r>
              <w:rPr>
                <w:color w:val="F85F00"/>
              </w:rPr>
              <w:t> </w:t>
            </w:r>
          </w:p>
        </w:tc>
        <w:tc>
          <w:tcPr>
            <w:tcW w:w="411"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F85F00"/>
            </w:tcBorders>
            <w:shd w:fill="FFFFFF" w:val="clear"/>
            <w:tcMar>
              <w:top w:w="3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F85F00"/>
                <w:sz w:val="18"/>
              </w:rPr>
              <w:t>12,000.1</w:t>
            </w:r>
            <w:r>
              <w:rPr>
                <w:color w:val="F85F00"/>
              </w:rPr>
              <w:t> </w:t>
            </w:r>
          </w:p>
        </w:tc>
        <w:tc>
          <w:tcPr>
            <w:tcW w:w="341" w:type="dxa"/>
            <w:tcBorders>
              <w:top w:val="single" w:sz="4" w:space="0" w:color="F85F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E9E9E9" w:val="clear"/>
            <w:tcMar>
              <w:top w:w="0" w:type="dxa"/>
              <w:left w:w="0" w:type="dxa"/>
              <w:bottom w:w="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Current maturities of debt</w:t>
            </w:r>
          </w:p>
        </w:tc>
        <w:tc>
          <w:tcPr>
            <w:tcW w:w="2156"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999.7</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9E9E9" w:val="clear"/>
            <w:tcMar>
              <w:top w:w="0" w:type="dxa"/>
              <w:left w:w="0" w:type="dxa"/>
              <w:bottom w:w="0" w:type="dxa"/>
              <w:right w:w="0" w:type="dxa"/>
            </w:tcMar>
            <w:vAlign w:val="center"/>
          </w:tcPr>
          <w:p>
            <w:pPr>
              <w:pStyle w:val="TableContents"/>
              <w:bidi w:val="0"/>
              <w:spacing w:lineRule="auto" w:line="288" w:before="0" w:after="40"/>
              <w:jc w:val="right"/>
              <w:rPr/>
            </w:pPr>
            <w:r>
              <w:rPr>
                <w:rFonts w:ascii="sans-serif" w:hAnsi="sans-serif"/>
                <w:b/>
                <w:color w:val="000000"/>
                <w:sz w:val="18"/>
              </w:rPr>
              <w:t>999.6</w:t>
            </w:r>
            <w:r>
              <w:rPr>
                <w:color w:val="000000"/>
              </w:rPr>
              <w:t> </w:t>
            </w:r>
          </w:p>
        </w:tc>
        <w:tc>
          <w:tcPr>
            <w:tcW w:w="411" w:type="dxa"/>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E9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left"/>
              <w:rPr>
                <w:rFonts w:ascii="sans-serif" w:hAnsi="sans-serif"/>
                <w:b/>
                <w:color w:val="000000"/>
                <w:sz w:val="18"/>
              </w:rPr>
            </w:pPr>
            <w:r>
              <w:rPr>
                <w:rFonts w:ascii="sans-serif" w:hAnsi="sans-serif"/>
                <w:b/>
                <w:color w:val="000000"/>
                <w:sz w:val="18"/>
              </w:rPr>
              <w:t>Non-current maturities of debt</w:t>
            </w:r>
          </w:p>
        </w:tc>
        <w:tc>
          <w:tcPr>
            <w:tcW w:w="2156"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11,489.6</w:t>
            </w:r>
            <w:r>
              <w:rPr>
                <w:color w:val="000000"/>
              </w:rPr>
              <w:t> </w:t>
            </w:r>
          </w:p>
        </w:tc>
        <w:tc>
          <w:tcPr>
            <w:tcW w:w="41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11,387.0</w:t>
            </w:r>
            <w:r>
              <w:rPr>
                <w:color w:val="000000"/>
              </w:rPr>
              <w:t> </w:t>
            </w:r>
          </w:p>
        </w:tc>
        <w:tc>
          <w:tcPr>
            <w:tcW w:w="411"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bottom w:val="single" w:sz="8" w:space="0" w:color="000000"/>
            </w:tcBorders>
            <w:shd w:fill="E9E9E9"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During May 2026 we entered into a €1,125.0 million term loan facility (Facility P), Facility P was issued at 99.5% of par, matures on May 31, 2033 and bearing interest at a rate of EURIBOR + 3.75%. Financing costs of €6.8 million were incurred and deferred over the term of Facility P. The net proceeds from the issuance of Facility P were used to partially redeem Facility H. This financing transaction included an aggregate €1,125.0 million of non-cash borrowings and repayments.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At 30 June 2026, the related-party debt represents the principal amount Liberty Global Notes Payable of €907.9 million and Vodafone Group Notes Payable of €907.9 million. No repayments or issuances relating to the Vodafone Group Notes Payable took place within the Group. As part of the VodafoneZiggo Acquisition the Vodafone Group Notes Payable were sold to Ziggo Group BV.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133" w:name="i57c6e75cefee4cf8aef86d684e5c40bc"/>
      <w:bookmarkEnd w:id="133"/>
      <w:r>
        <w:rPr>
          <w:rFonts w:ascii="sans-serif" w:hAnsi="sans-serif"/>
          <w:b/>
          <w:color w:val="000000"/>
          <w:sz w:val="24"/>
        </w:rPr>
        <w:t>10. Cash and Cash Equivalents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Cash and cash equivalents including restricted cash amounted to €39.2 million at 30 June 2026, as compared to €178.9 million at 31 December 2025. The €139.7 million decrease primarily reflected capital expenditures of €266.9 million and net cash used in financing activities of €299.9 million, partly offset by €425.4 million of net cash provided by operating activities. </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At 30 June 2026, cash and cash equivalents totalled €39.2 million comprised of (i) €39.1 million of balances held in bank accounts and money market funds and (ii) €0.1 million of restricted cash, which is not available for general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134" w:name="ib1fbd235fa85465798cbe9093980cf17"/>
      <w:bookmarkEnd w:id="134"/>
      <w:r>
        <w:rPr>
          <w:rFonts w:ascii="sans-serif" w:hAnsi="sans-serif"/>
          <w:b/>
          <w:color w:val="000000"/>
          <w:sz w:val="24"/>
        </w:rPr>
        <w:t>11. Related-party transactions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Transactions with the Company's shareholders, Liberty Global and Vodafone Group, principally comprise recharges under the JV Service Agreements (the framework and trade name agreements) for technology, procurement and brand-related services, together with related-party interconnect revenue and costs, personnel recharges and share-based compensation cross-charges. These arrangements continue on the terms described in Note 23 to the 2025 Annual Report, and there have been no material changes to their nature or extent during the period.</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Related-party balances at the reporting date included receivables, payables and accrued liabilities with (subsidiaries of) the shareholders, together with debt owed under the Liberty Global Notes Payable and Vodafone Group Notes Payable, on terms consistent with those disclosed in the 2025 Annual Report.</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Under the terms of the VodafoneZiggo Acquisition, the Vodafone Group Notes Payable were sold to Ziggo Group BV. In addition, as a result of the VodafoneZiggo Acquisition, certain of the agreements underlying the collective JV Service Agreements will be amended and restated or otherwise replaced.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52400"/>
                <wp:effectExtent l="0" t="0" r="0" b="0"/>
                <wp:wrapNone/>
                <wp:docPr id="76" name="Frame58"/>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13</w:t>
                      </w:r>
                    </w:p>
                  </w:txbxContent>
                </v:textbox>
                <w10:wrap type="none"/>
              </v:rect>
            </w:pict>
          </mc:Fallback>
        </mc:AlternateContent>
      </w:r>
    </w:p>
    <w:p>
      <w:pPr>
        <w:pStyle w:val="TextBody"/>
        <w:bidi w:val="0"/>
        <w:spacing w:lineRule="auto" w:line="288" w:before="0" w:after="250"/>
        <w:ind w:left="0" w:right="0" w:hanging="340"/>
        <w:jc w:val="left"/>
        <w:rPr>
          <w:rFonts w:ascii="sans-serif" w:hAnsi="sans-serif"/>
          <w:b/>
          <w:color w:val="000000"/>
          <w:sz w:val="24"/>
        </w:rPr>
      </w:pPr>
      <w:bookmarkStart w:id="135" w:name="icc125710e47a419ebe1671e4b261ab2b"/>
      <w:bookmarkEnd w:id="135"/>
      <w:r>
        <w:rPr>
          <w:rFonts w:ascii="sans-serif" w:hAnsi="sans-serif"/>
          <w:b/>
          <w:color w:val="000000"/>
          <w:sz w:val="24"/>
        </w:rPr>
        <w:t>12. Off Balance Sheet Assets &amp; Liabilities</w:t>
      </w:r>
    </w:p>
    <w:p>
      <w:pPr>
        <w:pStyle w:val="TextBody"/>
        <w:bidi w:val="0"/>
        <w:spacing w:lineRule="auto" w:line="324" w:before="120" w:after="283"/>
        <w:jc w:val="left"/>
        <w:rPr>
          <w:rFonts w:ascii="sans-serif" w:hAnsi="sans-serif"/>
          <w:b/>
          <w:color w:val="F85F00"/>
          <w:sz w:val="20"/>
        </w:rPr>
      </w:pPr>
      <w:bookmarkStart w:id="136" w:name="i139fe9bfda7f4c03bd4a2d152dd47567"/>
      <w:bookmarkEnd w:id="136"/>
      <w:r>
        <w:rPr>
          <w:rFonts w:ascii="sans-serif" w:hAnsi="sans-serif"/>
          <w:b/>
          <w:color w:val="F85F00"/>
          <w:sz w:val="20"/>
        </w:rPr>
        <w:t>Commitments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In the normal course of business, we have entered into agreements that commit our company to make cash payments in future periods with respect to programming contracts, purchases of customer premises and other equipment and services and other items. As a result of the VodafoneZiggo Acquisition, certain of the agreements underlying the collective JV Service Agreements have been or will be amended and restated or otherwise replaced. Additionally, we have commitments related to the aforementioned JV Service Agreements. </w:t>
      </w:r>
    </w:p>
    <w:tbl>
      <w:tblPr>
        <w:tblW w:w="9730" w:type="dxa"/>
        <w:jc w:val="left"/>
        <w:tblInd w:w="0" w:type="dxa"/>
        <w:tblLayout w:type="fixed"/>
        <w:tblCellMar>
          <w:top w:w="28" w:type="dxa"/>
          <w:left w:w="28" w:type="dxa"/>
          <w:bottom w:w="28" w:type="dxa"/>
          <w:right w:w="28" w:type="dxa"/>
        </w:tblCellMar>
      </w:tblPr>
      <w:tblGrid>
        <w:gridCol w:w="965"/>
        <w:gridCol w:w="851"/>
        <w:gridCol w:w="854"/>
        <w:gridCol w:w="109"/>
        <w:gridCol w:w="109"/>
        <w:gridCol w:w="360"/>
        <w:gridCol w:w="361"/>
        <w:gridCol w:w="196"/>
        <w:gridCol w:w="360"/>
        <w:gridCol w:w="361"/>
        <w:gridCol w:w="196"/>
        <w:gridCol w:w="360"/>
        <w:gridCol w:w="361"/>
        <w:gridCol w:w="196"/>
        <w:gridCol w:w="360"/>
        <w:gridCol w:w="361"/>
        <w:gridCol w:w="196"/>
        <w:gridCol w:w="300"/>
        <w:gridCol w:w="301"/>
        <w:gridCol w:w="196"/>
        <w:gridCol w:w="395"/>
        <w:gridCol w:w="395"/>
        <w:gridCol w:w="396"/>
        <w:gridCol w:w="458"/>
        <w:gridCol w:w="458"/>
        <w:gridCol w:w="275"/>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1" w:type="dxa"/>
            <w:gridSpan w:val="18"/>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Payments due during:</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i/>
                <w:color w:val="000000"/>
                <w:sz w:val="18"/>
              </w:rPr>
            </w:pPr>
            <w:r>
              <w:rPr>
                <w:rFonts w:ascii="sans-serif" w:hAnsi="sans-serif"/>
                <w:b w:val="false"/>
                <w:i/>
                <w:color w:val="000000"/>
                <w:sz w:val="18"/>
              </w:rPr>
              <w:t>In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2026</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2027</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2028</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2029</w:t>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2030</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Thereafter</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color w:val="000000"/>
                <w:sz w:val="18"/>
              </w:rPr>
            </w:pPr>
            <w:r>
              <w:rPr>
                <w:rFonts w:ascii="sans-serif" w:hAnsi="sans-serif"/>
                <w:b/>
                <w:color w:val="000000"/>
                <w:sz w:val="18"/>
              </w:rPr>
              <w:t>Total</w:t>
            </w:r>
          </w:p>
        </w:tc>
      </w:tr>
      <w:tr>
        <w:trPr/>
        <w:tc>
          <w:tcPr>
            <w:tcW w:w="2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Programming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85.1 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153.1 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137.8 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117.2 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71.5 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8.0 </w:t>
            </w:r>
          </w:p>
        </w:tc>
        <w:tc>
          <w:tcPr>
            <w:tcW w:w="3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572.7 </w:t>
            </w:r>
          </w:p>
        </w:tc>
        <w:tc>
          <w:tcPr>
            <w:tcW w:w="2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Purchase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44.5 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137.1 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16.2 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1.9 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220.9 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JV Service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48.5 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53.7 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30.8 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0.7 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134.5 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8"/>
              </w:rPr>
            </w:pPr>
            <w:r>
              <w:rPr>
                <w:rFonts w:ascii="sans-serif" w:hAnsi="sans-serif"/>
                <w:b w:val="false"/>
                <w:color w:val="000000"/>
                <w:sz w:val="18"/>
              </w:rPr>
              <w:t xml:space="preserve">Other commitments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12.2 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21.4 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14.9 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10.9 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8.1 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40"/>
              <w:jc w:val="right"/>
              <w:rPr>
                <w:rFonts w:ascii="sans-serif" w:hAnsi="sans-serif"/>
                <w:b w:val="false"/>
                <w:color w:val="000000"/>
                <w:sz w:val="18"/>
              </w:rPr>
            </w:pPr>
            <w:r>
              <w:rPr>
                <w:rFonts w:ascii="sans-serif" w:hAnsi="sans-serif"/>
                <w:b w:val="false"/>
                <w:color w:val="000000"/>
                <w:sz w:val="18"/>
              </w:rPr>
              <w:t>76.2 </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0" w:type="dxa"/>
            <w:gridSpan w:val="3"/>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ind w:left="0" w:right="0" w:hanging="180"/>
              <w:jc w:val="left"/>
              <w:rPr>
                <w:rFonts w:ascii="sans-serif" w:hAnsi="sans-serif"/>
                <w:b/>
                <w:color w:val="000000"/>
                <w:sz w:val="18"/>
              </w:rPr>
            </w:pPr>
            <w:r>
              <w:rPr>
                <w:rFonts w:ascii="sans-serif" w:hAnsi="sans-serif"/>
                <w:b/>
                <w:color w:val="000000"/>
                <w:sz w:val="18"/>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190.3</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365.3</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199.7</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141.1</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89.9</w:t>
            </w:r>
            <w:r>
              <w:rPr>
                <w:color w:val="000000"/>
              </w:rPr>
              <w:t> </w:t>
            </w:r>
          </w:p>
        </w:tc>
        <w:tc>
          <w:tcPr>
            <w:tcW w:w="1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18.0</w:t>
            </w:r>
            <w:r>
              <w:rPr>
                <w:color w:val="000000"/>
              </w:rPr>
              <w:t> </w:t>
            </w:r>
          </w:p>
        </w:tc>
        <w:tc>
          <w:tcPr>
            <w:tcW w:w="396"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shd w:fill="E9E9E9" w:val="clear"/>
            <w:tcMar>
              <w:top w:w="0" w:type="dxa"/>
              <w:left w:w="0" w:type="dxa"/>
              <w:bottom w:w="30" w:type="dxa"/>
              <w:right w:w="0" w:type="dxa"/>
            </w:tcMar>
            <w:vAlign w:val="center"/>
          </w:tcPr>
          <w:p>
            <w:pPr>
              <w:pStyle w:val="TableContents"/>
              <w:bidi w:val="0"/>
              <w:spacing w:lineRule="auto" w:line="288" w:before="0" w:after="40"/>
              <w:jc w:val="right"/>
              <w:rPr/>
            </w:pPr>
            <w:r>
              <w:rPr>
                <w:rFonts w:ascii="sans-serif" w:hAnsi="sans-serif"/>
                <w:b/>
                <w:color w:val="000000"/>
                <w:sz w:val="18"/>
              </w:rPr>
              <w:t>1,004.3</w:t>
            </w:r>
            <w:r>
              <w:rPr>
                <w:color w:val="000000"/>
              </w:rPr>
              <w:t> </w:t>
            </w:r>
          </w:p>
        </w:tc>
        <w:tc>
          <w:tcPr>
            <w:tcW w:w="275" w:type="dxa"/>
            <w:tcBorders>
              <w:bottom w:val="single" w:sz="8" w:space="0" w:color="000000"/>
            </w:tcBorders>
            <w:shd w:fill="E9E9E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120" w:after="283"/>
        <w:jc w:val="left"/>
        <w:rPr>
          <w:rFonts w:ascii="sans-serif" w:hAnsi="sans-serif"/>
          <w:b/>
          <w:color w:val="F85F00"/>
          <w:sz w:val="20"/>
        </w:rPr>
      </w:pPr>
      <w:bookmarkStart w:id="137" w:name="ib4c702d822dd4e06905a1fa228b16b52"/>
      <w:bookmarkEnd w:id="137"/>
      <w:r>
        <w:rPr>
          <w:rFonts w:ascii="sans-serif" w:hAnsi="sans-serif"/>
          <w:b/>
          <w:color w:val="F85F00"/>
          <w:sz w:val="20"/>
        </w:rPr>
        <w:t>Guarantees and other credit enhancements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pStyle w:val="TextBody"/>
        <w:bidi w:val="0"/>
        <w:spacing w:lineRule="auto" w:line="324" w:before="120" w:after="283"/>
        <w:jc w:val="left"/>
        <w:rPr>
          <w:rFonts w:ascii="sans-serif" w:hAnsi="sans-serif"/>
          <w:b/>
          <w:color w:val="F85F00"/>
          <w:sz w:val="20"/>
        </w:rPr>
      </w:pPr>
      <w:bookmarkStart w:id="138" w:name="ie918bd8d64944832901b6e9ecb8f7ee9"/>
      <w:bookmarkEnd w:id="138"/>
      <w:r>
        <w:rPr>
          <w:rFonts w:ascii="sans-serif" w:hAnsi="sans-serif"/>
          <w:b/>
          <w:color w:val="F85F00"/>
          <w:sz w:val="20"/>
        </w:rPr>
        <w:t>Regulations and contingencies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We have contingent liabilities related to matters arising in the ordinary course of business, including (i) legal proceedings, (ii) issues involving VAT and wage, property, withholding and other tax issues, (iii) disputes over interconnection, programming, copyright and channel carriage fees and (iv) regulatory compliance audits.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unfavourable outcomes.</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Refer to Note 22 in the 2025 Annual Integrated Report for a full description regarding the off balance sheet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50"/>
        <w:ind w:left="0" w:right="0" w:hanging="340"/>
        <w:jc w:val="left"/>
        <w:rPr/>
      </w:pPr>
      <w:r>
        <w:rPr/>
      </w:r>
    </w:p>
    <w:p>
      <w:pPr>
        <w:pStyle w:val="TextBody"/>
        <w:bidi w:val="0"/>
        <w:spacing w:lineRule="auto" w:line="288" w:before="0" w:after="250"/>
        <w:ind w:left="0" w:right="0" w:hanging="340"/>
        <w:jc w:val="left"/>
        <w:rPr>
          <w:rFonts w:ascii="sans-serif" w:hAnsi="sans-serif"/>
          <w:b/>
          <w:color w:val="000000"/>
          <w:sz w:val="24"/>
        </w:rPr>
      </w:pPr>
      <w:bookmarkStart w:id="139" w:name="i142f95dc5afb48ec88110ed7a9181cff"/>
      <w:bookmarkEnd w:id="139"/>
      <w:r>
        <w:rPr>
          <w:rFonts w:ascii="sans-serif" w:hAnsi="sans-serif"/>
          <w:b/>
          <w:color w:val="000000"/>
          <w:sz w:val="24"/>
        </w:rPr>
        <w:t>13. Risk Management</w:t>
      </w:r>
    </w:p>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 xml:space="preserve">We are exposed to financial and operational risks. The financial risks are monitored through a risk control framework that is embedded in our organisational structure. To control these risks, we have instituted policies, including a code of conduct, and procedures that are intended to limit the risks of unpredictable adverse developments in the financial markets, and thus for our financial performance. </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The Group’s financial risk management objectives, policies and exposure to market, credit and liquidity risk are consistent with those disclosed in the 2025 Annual Integrated Report. There have been no material changes in the Group’s risk-management framework or risk exposure during the six months ended 30 June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50"/>
        <w:ind w:left="0" w:right="0" w:hanging="340"/>
        <w:jc w:val="left"/>
        <w:rPr>
          <w:rFonts w:ascii="sans-serif" w:hAnsi="sans-serif"/>
          <w:b/>
          <w:color w:val="000000"/>
          <w:sz w:val="24"/>
        </w:rPr>
      </w:pPr>
      <w:bookmarkStart w:id="140" w:name="id52e75f7b87b4ad2b785ba132e0e9dc0"/>
      <w:bookmarkEnd w:id="140"/>
      <w:r>
        <w:rPr>
          <w:rFonts w:ascii="sans-serif" w:hAnsi="sans-serif"/>
          <w:b/>
          <w:color w:val="000000"/>
          <w:sz w:val="24"/>
        </w:rPr>
        <w:t>14. Subsequent Events</w:t>
      </w:r>
    </w:p>
    <w:p>
      <w:pPr>
        <w:pStyle w:val="TextBody"/>
        <w:bidi w:val="0"/>
        <w:spacing w:lineRule="auto" w:line="288" w:before="120" w:after="283"/>
        <w:jc w:val="both"/>
        <w:rPr>
          <w:rFonts w:ascii="sans-serif" w:hAnsi="sans-serif"/>
          <w:b w:val="false"/>
          <w:i/>
          <w:color w:val="000000"/>
          <w:sz w:val="18"/>
        </w:rPr>
      </w:pPr>
      <w:bookmarkStart w:id="141" w:name="i305504dfb2414dbbbd46e4369be1f1d3"/>
      <w:bookmarkEnd w:id="141"/>
      <w:r>
        <w:rPr>
          <w:rFonts w:ascii="sans-serif" w:hAnsi="sans-serif"/>
          <w:b w:val="false"/>
          <w:i/>
          <w:color w:val="000000"/>
          <w:sz w:val="18"/>
        </w:rPr>
        <w:t>Extension of UEFA broadcasting rights</w:t>
      </w:r>
    </w:p>
    <w:p>
      <w:pPr>
        <w:pStyle w:val="TextBody"/>
        <w:bidi w:val="0"/>
        <w:spacing w:lineRule="atLeast" w:line="240" w:before="0" w:after="240"/>
        <w:jc w:val="both"/>
        <w:rPr>
          <w:rFonts w:ascii="sans-serif" w:hAnsi="sans-serif"/>
          <w:b w:val="false"/>
          <w:color w:val="000000"/>
          <w:sz w:val="18"/>
        </w:rPr>
      </w:pPr>
      <w:r>
        <w:rPr>
          <w:rFonts w:ascii="sans-serif" w:hAnsi="sans-serif"/>
          <w:b w:val="false"/>
          <w:color w:val="000000"/>
          <w:sz w:val="18"/>
        </w:rPr>
        <w:t>During July 2026, VodafoneZiggo entered into an agreement for the exclusive broadcasting rights to the UEFA men’s club competitions through the end of the 2030/31 season.</w:t>
      </w:r>
    </w:p>
    <w:p>
      <w:pPr>
        <w:pStyle w:val="TextBody"/>
        <w:bidi w:val="0"/>
        <w:spacing w:lineRule="atLeast" w:line="240" w:before="0" w:after="240"/>
        <w:jc w:val="both"/>
        <w:rPr/>
      </w:pPr>
      <w:r>
        <w:rPr>
          <w:rFonts w:ascii="sans-serif" w:hAnsi="sans-serif"/>
          <w:b w:val="false"/>
          <w:i/>
          <w:color w:val="000000"/>
          <w:sz w:val="18"/>
        </w:rPr>
        <w:t>Sale of Mobile Tower Assets</w:t>
        <w:br/>
      </w:r>
      <w:r>
        <w:rPr>
          <w:rFonts w:ascii="sans-serif" w:hAnsi="sans-serif"/>
          <w:b w:val="false"/>
          <w:color w:val="000000"/>
          <w:sz w:val="18"/>
        </w:rPr>
        <w:t>On September 7, 2026, we entered into an agreement to sell certain towers and rooftop installations to an entity to be jointly owned by funds managed by DigitalBridge, TD Greystone Infrastructure and L&amp;G for consideration of approximately €669 million. The transfer of the assets is expected to occur during the fourth quarter of 2026. Upon completion of the transfer, we will lease back the sold assets pursuant to the terms of the agreement. On the transaction date, VodafoneZiggo will recognize a material gain on disposal in the Consolidated Statement of Profit or Loss, representing the excess between the consideration received over the carrying amount of the disposed group of assets. We intend to use the net proceeds from the transaction to reduce outstanding debt.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99.3</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52400"/>
                <wp:effectExtent l="0" t="0" r="0" b="0"/>
                <wp:wrapNone/>
                <wp:docPr id="77" name="Frame59"/>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tLeast" w:line="240" w:before="0" w:after="240"/>
                        <w:jc w:val="left"/>
                        <w:rPr>
                          <w:rFonts w:ascii="sans-serif" w:hAnsi="sans-serif"/>
                          <w:b w:val="false"/>
                          <w:color w:val="000000"/>
                          <w:sz w:val="18"/>
                        </w:rPr>
                      </w:pPr>
                      <w:r>
                        <w:rPr>
                          <w:rFonts w:ascii="sans-serif" w:hAnsi="sans-serif"/>
                          <w:b w:val="false"/>
                          <w:color w:val="000000"/>
                          <w:sz w:val="18"/>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FINANCIAL STATEMENTS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2026, Ziggo Group B.V. (formerly known as Liberty Global Holding B.V. and hereafter referred to as “Ziggo Group” or the “Company”), an indirect wholly owned subsidiary of Liberty Global Ltd. (“Liberty Global”), completed the acquisition from Vodafone Europe B.V. (“Vodafone”) and Vodafone International S.à r.l. (together, the “Vodafone Sellers”), subsidiaries of Vodafone Group Plc, of (i) all of the issued and outstanding shares held by Vodafone in VodafoneZiggo Group Holding B.V. (“VodafoneZiggo”), representing 50% of the issued share capital of VodafoneZiggo, and (ii) all of the shareholder loans held by Vodafone International 1 S.à r.l. to VodafoneZiggo Group B.V. (collectively, the “VodafoneZiggo Acquisition” or the “Transaction”).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Transaction, Liberty Global indirectly held a 50% equity method investment in VodafoneZiggo. Following completion of the Transaction, the Company owns 100% of the issued share capital of VodafoneZiggo, and Vodafone holds a 10% non-controlling equity interest in the Company. The consideration payable to the Vodafone Sellers consisted of (i) €977.5 million in cash, (ii) the issuance to Vodafone of Class B ordinary shares representing 10% of the fully diluted share capital of the Company, and (iii) additional consideration representing the off-market components of certain arrangements payable to Vodafone in connection with the Transaction.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agreements, including new and continuing service agreements, between VodafoneZiggo, Vodafone and Liberty Global have been put in place further to the terms agreed in the context of the Transaction and Ziggo Group is expected to enter into certain additional service agreements with subsidiaries of Liberty Global.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statements have been prepared in accordance with Securities and Exchange Commission (“SEC”) rules and regulations and should be read in conjunction with (i) Liberty Global’s historical consolidated financial statements and the related notes included in its periodic reports filed with the SEC, (ii) VodafoneZiggo’s historical consolidated financial statements filed as exhibits to this Amendment No. 1, and (iii) the accompanying notes to the unaudited pro forma condensed combined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audited historical consolidated financial statements of Liberty Global have been prepared in accordance with accounting principles generally accepted in the United States (“U.S. GAAP”) and are presented in United States Dollars (“USD”). The audited historical consolidated financial statements of VodafoneZiggo have been prepared in accordance with International Financial Reporting Standards (“IFRS”), as issued by the International Accounting Standards Board (“IASB”) and are presented in euros (“EUR”). The following pro forma condensed combined financial statements of Liberty Global reflect the application of U.S. GAAP and are presented in USD consistent with the basis of presentation reflected in the audited historical consolidated financial statements of Liberty Global.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balance sheet as of June 30, 2026 gives effect to the Transaction as if it had occurred on June 30, 2026. The unaudited pro forma condensed combined statements of operations for the six months ended June 30, 2026 and the year ended December 31, 2025 give effect to the Transaction as if it had occurred on January 1,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has been prepared to illustrate the estimated effects of the Transaction on Liberty Global’s historical consolidated financial statements and is not necessarily indicative of the financial position or results of operations that would have been achieved had the Transaction occurred on the dates assumed, nor is it indicative of the future financial position or results of operations. The unaudited pro forma adjustments reflect transaction accounting adjustments that are directly attributable to the Transaction and factually supportable based on information available as of the date of this Amendment No. 1. The unaudited pro forma adjustments are based on assumptions that management believes are reasonable and are described in the accompanying notes to the unaudited pro forma condensed combined financial statements. The unaudited pro forma condensed combined financial statements do not reflect any potential operating synergies, cost savings, revenue enhancements, integration costs, dis-synergies or restructuring actions that may result from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BALANCE SHEET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88"/>
        <w:gridCol w:w="579"/>
        <w:gridCol w:w="452"/>
        <w:gridCol w:w="292"/>
        <w:gridCol w:w="1207"/>
        <w:gridCol w:w="151"/>
        <w:gridCol w:w="109"/>
        <w:gridCol w:w="109"/>
        <w:gridCol w:w="109"/>
        <w:gridCol w:w="318"/>
        <w:gridCol w:w="1319"/>
        <w:gridCol w:w="166"/>
        <w:gridCol w:w="109"/>
        <w:gridCol w:w="109"/>
        <w:gridCol w:w="109"/>
        <w:gridCol w:w="109"/>
        <w:gridCol w:w="109"/>
        <w:gridCol w:w="298"/>
        <w:gridCol w:w="1152"/>
        <w:gridCol w:w="154"/>
        <w:gridCol w:w="109"/>
        <w:gridCol w:w="109"/>
        <w:gridCol w:w="109"/>
        <w:gridCol w:w="180"/>
        <w:gridCol w:w="180"/>
        <w:gridCol w:w="181"/>
        <w:gridCol w:w="109"/>
        <w:gridCol w:w="109"/>
        <w:gridCol w:w="109"/>
        <w:gridCol w:w="214"/>
        <w:gridCol w:w="885"/>
        <w:gridCol w:w="163"/>
      </w:tblGrid>
      <w:tr>
        <w:trPr/>
        <w:tc>
          <w:tcPr>
            <w:tcW w:w="78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Historical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 to Reflect the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Liberty Global </w:t>
              <w:br/>
              <w:t>Pro Forma</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2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89" w:type="dxa"/>
            <w:gridSpan w:val="6"/>
            <w:tcBorders/>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center"/>
              <w:rPr>
                <w:rFonts w:ascii="Times New Roman;serif" w:hAnsi="Times New Roman;serif"/>
                <w:b/>
                <w:color w:val="000000"/>
                <w:sz w:val="20"/>
              </w:rPr>
            </w:pPr>
            <w:r>
              <w:rPr>
                <w:rFonts w:ascii="Times New Roman;serif" w:hAnsi="Times New Roman;serif"/>
                <w:b/>
                <w:color w:val="000000"/>
                <w:sz w:val="20"/>
              </w:rPr>
              <w:t>ASSETS</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related notes receivable</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BALANCE SHEET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OF JUNE 30, 2026 —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7"/>
        <w:gridCol w:w="566"/>
        <w:gridCol w:w="569"/>
        <w:gridCol w:w="276"/>
        <w:gridCol w:w="1142"/>
        <w:gridCol w:w="142"/>
        <w:gridCol w:w="109"/>
        <w:gridCol w:w="109"/>
        <w:gridCol w:w="109"/>
        <w:gridCol w:w="300"/>
        <w:gridCol w:w="1246"/>
        <w:gridCol w:w="157"/>
        <w:gridCol w:w="109"/>
        <w:gridCol w:w="109"/>
        <w:gridCol w:w="109"/>
        <w:gridCol w:w="109"/>
        <w:gridCol w:w="109"/>
        <w:gridCol w:w="334"/>
        <w:gridCol w:w="1001"/>
        <w:gridCol w:w="173"/>
        <w:gridCol w:w="109"/>
        <w:gridCol w:w="109"/>
        <w:gridCol w:w="109"/>
        <w:gridCol w:w="205"/>
        <w:gridCol w:w="205"/>
        <w:gridCol w:w="206"/>
        <w:gridCol w:w="109"/>
        <w:gridCol w:w="109"/>
        <w:gridCol w:w="109"/>
        <w:gridCol w:w="213"/>
        <w:gridCol w:w="882"/>
        <w:gridCol w:w="165"/>
      </w:tblGrid>
      <w:tr>
        <w:trPr/>
        <w:tc>
          <w:tcPr>
            <w:tcW w:w="89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Historical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 to Reflect the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Liberty Global </w:t>
              <w:br/>
              <w:t>Pro Forma</w:t>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87" w:type="dxa"/>
            <w:gridSpan w:val="6"/>
            <w:tcBorders/>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lineRule="auto" w:line="240" w:before="0" w:after="100"/>
              <w:ind w:left="0" w:right="0" w:hanging="270"/>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finance lease obligations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shareholders:</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shares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shares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common shares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(9, 14, 17)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 net of taxes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Liberty Global shareholders</w:t>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9,462.4 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38,170.5 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8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STATEMENT OF OPERATIONS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92"/>
        <w:gridCol w:w="715"/>
        <w:gridCol w:w="721"/>
        <w:gridCol w:w="422"/>
        <w:gridCol w:w="999"/>
        <w:gridCol w:w="143"/>
        <w:gridCol w:w="109"/>
        <w:gridCol w:w="109"/>
        <w:gridCol w:w="109"/>
        <w:gridCol w:w="310"/>
        <w:gridCol w:w="1130"/>
        <w:gridCol w:w="162"/>
        <w:gridCol w:w="109"/>
        <w:gridCol w:w="109"/>
        <w:gridCol w:w="109"/>
        <w:gridCol w:w="312"/>
        <w:gridCol w:w="937"/>
        <w:gridCol w:w="162"/>
        <w:gridCol w:w="109"/>
        <w:gridCol w:w="109"/>
        <w:gridCol w:w="109"/>
        <w:gridCol w:w="180"/>
        <w:gridCol w:w="180"/>
        <w:gridCol w:w="181"/>
        <w:gridCol w:w="109"/>
        <w:gridCol w:w="109"/>
        <w:gridCol w:w="109"/>
        <w:gridCol w:w="256"/>
        <w:gridCol w:w="930"/>
        <w:gridCol w:w="165"/>
      </w:tblGrid>
      <w:tr>
        <w:trPr/>
        <w:tc>
          <w:tcPr>
            <w:tcW w:w="99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Historical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 to Reflect the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Liberty Global </w:t>
              <w:br/>
              <w:t>Pro Forma</w:t>
            </w:r>
          </w:p>
        </w:tc>
      </w:tr>
      <w:tr>
        <w:trPr/>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depreciation and amortization, shown separately below):</w:t>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w:t>
            </w:r>
            <w:r>
              <w:rPr>
                <w:rFonts w:ascii="Times New Roman;serif" w:hAnsi="Times New Roman;serif"/>
                <w:b/>
                <w:color w:val="000000"/>
                <w:sz w:val="20"/>
              </w:rPr>
              <w:t>SG&amp;A</w:t>
            </w:r>
            <w:r>
              <w:rPr>
                <w:rFonts w:ascii="Times New Roman;serif" w:hAnsi="Times New Roman;serif"/>
                <w:b w:val="false"/>
                <w:color w:val="000000"/>
                <w:sz w:val="20"/>
              </w:rPr>
              <w: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Non-operating income (expense): </w:t>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on derivative instruments, net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net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associated with the VodafoneZiggo Acquisition</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Liberty Global shareholders</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dilutive loss attributable to Liberty Global shareholders per share</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ordinary shares outstanding —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basic and diluted earnings per share computation</w:t>
            </w:r>
          </w:p>
        </w:tc>
        <w:tc>
          <w:tcPr>
            <w:tcW w:w="142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337,809,892 </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337,809,892 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8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STATEMENT OF OPERATIONS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14"/>
        <w:gridCol w:w="712"/>
        <w:gridCol w:w="718"/>
        <w:gridCol w:w="406"/>
        <w:gridCol w:w="1016"/>
        <w:gridCol w:w="135"/>
        <w:gridCol w:w="109"/>
        <w:gridCol w:w="109"/>
        <w:gridCol w:w="109"/>
        <w:gridCol w:w="309"/>
        <w:gridCol w:w="1128"/>
        <w:gridCol w:w="162"/>
        <w:gridCol w:w="109"/>
        <w:gridCol w:w="109"/>
        <w:gridCol w:w="109"/>
        <w:gridCol w:w="312"/>
        <w:gridCol w:w="935"/>
        <w:gridCol w:w="162"/>
        <w:gridCol w:w="109"/>
        <w:gridCol w:w="109"/>
        <w:gridCol w:w="109"/>
        <w:gridCol w:w="180"/>
        <w:gridCol w:w="180"/>
        <w:gridCol w:w="181"/>
        <w:gridCol w:w="109"/>
        <w:gridCol w:w="109"/>
        <w:gridCol w:w="109"/>
        <w:gridCol w:w="252"/>
        <w:gridCol w:w="934"/>
        <w:gridCol w:w="161"/>
      </w:tblGrid>
      <w:tr>
        <w:trPr/>
        <w:tc>
          <w:tcPr>
            <w:tcW w:w="101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Historical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 to Reflect the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Liberty Global </w:t>
              <w:br/>
              <w:t>Pro Forma</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depreciation and amortization, shown separately below):</w:t>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Non-operating income (expense): </w:t>
            </w:r>
          </w:p>
        </w:tc>
        <w:tc>
          <w:tcPr>
            <w:tcW w:w="15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losses on derivative instruments, net </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net</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(2,397.5)</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 net</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Liberty Global shareholders</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dilutive loss attributable to Liberty Global shareholders per share</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ordinary shares outstanding — basic and diluted earnings per share computations</w:t>
            </w:r>
          </w:p>
        </w:tc>
        <w:tc>
          <w:tcPr>
            <w:tcW w:w="142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342,267,353 </w:t>
            </w:r>
          </w:p>
        </w:tc>
        <w:tc>
          <w:tcPr>
            <w:tcW w:w="1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342,267,353 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8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lineRule="auto" w:line="288" w:before="0" w:after="160"/>
        <w:ind w:left="0" w:right="0" w:hanging="540"/>
        <w:jc w:val="both"/>
        <w:rPr>
          <w:rFonts w:ascii="Times New Roman;serif" w:hAnsi="Times New Roman;serif"/>
          <w:b/>
          <w:color w:val="000000"/>
          <w:sz w:val="20"/>
        </w:rPr>
      </w:pPr>
      <w:r>
        <w:rPr>
          <w:rFonts w:ascii="Times New Roman;serif" w:hAnsi="Times New Roman;serif"/>
          <w:b/>
          <w:color w:val="000000"/>
          <w:sz w:val="20"/>
        </w:rPr>
        <w:t>Preliminary Acquisition Accounting</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has been used to prepare the transaction accounting adjustments in the pro forma condensed combined financial statements. The final purchase price allocation for the Transaction will be determined once Liberty Global has completed the valuations and necessary calculations, with the assistance of third-party valuation advisors as described in more detail in the explanatory notes below, and could differ materially from the preliminary fair value estimates and allocations used in the transaction accounting adjustments.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final allocation may include, amongst other items, changes in (i) the fair value of the 10% equity interest in Ziggo Group issued to Vodafone as part of the Transaction, (ii) the additional consideration representing the off-market components of certain arrangements payable to Vodafone in connection with the Transaction, (iii) the fair value of acquired property, plant and equipment and intangible assets, including customer relationships, spectrum licenses, and trade names, and (iv) the resulting changes to the deferred tax liability.</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Preliminary Purchase Consideration</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For purposes of the unaudited pro forma condensed combined financial statements, the preliminary purchase consideration consists of the following amounts:</w:t>
      </w:r>
    </w:p>
    <w:tbl>
      <w:tblPr>
        <w:tblW w:w="9488" w:type="dxa"/>
        <w:jc w:val="left"/>
        <w:tblInd w:w="0" w:type="dxa"/>
        <w:tblLayout w:type="fixed"/>
        <w:tblCellMar>
          <w:top w:w="28" w:type="dxa"/>
          <w:left w:w="28" w:type="dxa"/>
          <w:bottom w:w="28" w:type="dxa"/>
          <w:right w:w="28" w:type="dxa"/>
        </w:tblCellMar>
      </w:tblPr>
      <w:tblGrid>
        <w:gridCol w:w="2511"/>
        <w:gridCol w:w="2205"/>
        <w:gridCol w:w="2213"/>
        <w:gridCol w:w="226"/>
        <w:gridCol w:w="766"/>
        <w:gridCol w:w="109"/>
        <w:gridCol w:w="109"/>
        <w:gridCol w:w="109"/>
        <w:gridCol w:w="109"/>
        <w:gridCol w:w="211"/>
        <w:gridCol w:w="766"/>
        <w:gridCol w:w="154"/>
      </w:tblGrid>
      <w:tr>
        <w:trPr/>
        <w:tc>
          <w:tcPr>
            <w:tcW w:w="2511"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USD</w:t>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at closing</w:t>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10% equity interest issued to Vodafone in Ziggo Group (a)</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off-market component of certain arrangements payable to Vodafone (b)</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preliminary purchase consideration</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color w:val="000000"/>
              </w:rPr>
            </w:pPr>
            <w:r>
              <w:rPr>
                <w:color w:val="00000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1,856.5 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Represents the estimated fair value of the 10% equity interest in Ziggo Group issued to Vodafone in connection with the Transaction. The estimated fair value of the 10% equity interest in Ziggo Group is determined using an “income approach,” which requires a forecast of all expected future cash flows. The estimated fair value of the 10% equity interest in Ziggo Group issued to Vodafone is subject to revision following management's final analysis and the revisions could have a material effect on the accompanying pro forma condensed combined financial statements. A 10% change in the valuation of the 10% equity interest in Ziggo Group would result in an increase or decrease in the balance of the non-controlling interest and goodwill of approximately €48.0 million ($54.8 million).</w:t>
      </w:r>
    </w:p>
    <w:p>
      <w:pPr>
        <w:pStyle w:val="TextBody"/>
        <w:bidi w:val="0"/>
        <w:spacing w:before="0" w:after="0"/>
        <w:ind w:left="0" w:right="0" w:hanging="540"/>
        <w:jc w:val="both"/>
        <w:rPr/>
      </w:pPr>
      <w:r>
        <w:rPr/>
      </w:r>
    </w:p>
    <w:p>
      <w:pPr>
        <w:pStyle w:val="TextBody"/>
        <w:bidi w:val="0"/>
        <w:spacing w:lineRule="auto" w:line="276"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Represents the estimated fair value of the additional consideration attributable to the off-market components of certain arrangements payable to Vodafone in connection with the Transaction. Such amount was treated as consideration transferred in the preliminary purchase price allocation. The estimated fair value is determined using an “income approach” and is subject to revision following management's final analysis and the revisions could have a material effect on the accompanying pro forma condensed combined financial statements. A 10% change in the valuation of the unfavorable off-market component would result in an increase or decrease in the balance of the deferred consideration and goodwill of approximately €16.9 million ($19.3 million).</w:t>
      </w:r>
    </w:p>
    <w:p>
      <w:pPr>
        <w:pStyle w:val="TextBody"/>
        <w:bidi w:val="0"/>
        <w:spacing w:before="0" w:after="0"/>
        <w:ind w:left="0" w:right="0" w:hanging="540"/>
        <w:jc w:val="both"/>
        <w:rPr/>
      </w:pPr>
      <w:r>
        <w:rPr/>
      </w:r>
    </w:p>
    <w:p>
      <w:pPr>
        <w:pStyle w:val="TextBody"/>
        <w:bidi w:val="0"/>
        <w:spacing w:lineRule="auto" w:line="276" w:before="0" w:after="160"/>
        <w:ind w:left="0" w:right="0" w:hanging="540"/>
        <w:jc w:val="both"/>
        <w:rPr>
          <w:rFonts w:ascii="Times New Roman;serif" w:hAnsi="Times New Roman;serif"/>
          <w:b/>
          <w:color w:val="000000"/>
          <w:sz w:val="20"/>
        </w:rPr>
      </w:pPr>
      <w:r>
        <w:rPr>
          <w:rFonts w:ascii="Times New Roman;serif" w:hAnsi="Times New Roman;serif"/>
          <w:b/>
          <w:color w:val="000000"/>
          <w:sz w:val="20"/>
        </w:rPr>
        <w:t>Transaction Accounting Adjustments</w:t>
      </w:r>
    </w:p>
    <w:p>
      <w:pPr>
        <w:pStyle w:val="TextBody"/>
        <w:bidi w:val="0"/>
        <w:spacing w:lineRule="auto" w:line="288"/>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    Following the Transaction, VodafoneZiggo will be consolidated by Liberty Global in accordance with U.S. GAAP. This adjustment includes the historical balances of VodafoneZiggo as adjusted to present such historical financial information (i) in accordance with U.S. GAAP and (ii) in USD. Reconciliation of the statement of financial position and statement of income or loss amounts as presented in the historical financial statements of VodafoneZiggo to the respective VodafoneZiggo Historical Consolidated amounts are presented below as of June 30, 2026 and for the indicated periods: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8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tbl>
      <w:tblPr>
        <w:tblW w:w="10205" w:type="dxa"/>
        <w:jc w:val="left"/>
        <w:tblInd w:w="0" w:type="dxa"/>
        <w:tblLayout w:type="fixed"/>
        <w:tblCellMar>
          <w:top w:w="28" w:type="dxa"/>
          <w:left w:w="28" w:type="dxa"/>
          <w:bottom w:w="28" w:type="dxa"/>
          <w:right w:w="28" w:type="dxa"/>
        </w:tblCellMar>
      </w:tblPr>
      <w:tblGrid>
        <w:gridCol w:w="615"/>
        <w:gridCol w:w="456"/>
        <w:gridCol w:w="311"/>
        <w:gridCol w:w="109"/>
        <w:gridCol w:w="109"/>
        <w:gridCol w:w="109"/>
        <w:gridCol w:w="303"/>
        <w:gridCol w:w="1175"/>
        <w:gridCol w:w="148"/>
        <w:gridCol w:w="109"/>
        <w:gridCol w:w="109"/>
        <w:gridCol w:w="109"/>
        <w:gridCol w:w="480"/>
        <w:gridCol w:w="864"/>
        <w:gridCol w:w="234"/>
        <w:gridCol w:w="109"/>
        <w:gridCol w:w="109"/>
        <w:gridCol w:w="109"/>
        <w:gridCol w:w="182"/>
        <w:gridCol w:w="182"/>
        <w:gridCol w:w="183"/>
        <w:gridCol w:w="109"/>
        <w:gridCol w:w="109"/>
        <w:gridCol w:w="109"/>
        <w:gridCol w:w="315"/>
        <w:gridCol w:w="1218"/>
        <w:gridCol w:w="154"/>
        <w:gridCol w:w="109"/>
        <w:gridCol w:w="109"/>
        <w:gridCol w:w="109"/>
        <w:gridCol w:w="296"/>
        <w:gridCol w:w="1225"/>
        <w:gridCol w:w="229"/>
      </w:tblGrid>
      <w:tr>
        <w:trPr/>
        <w:tc>
          <w:tcPr>
            <w:tcW w:w="6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 AS OF JUNE 30, 2026</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IFRS </w:t>
              <w:br/>
              <w:t>(in EUR)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IFRS to U.S. GAAP Accounting Adjustments (in EUR)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U.S. GAAP</w:t>
              <w:br/>
              <w:t> (in EUR)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U.S. GAAP </w:t>
              <w:br/>
              <w:t>(in USD) (IV)</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22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and contract </w:t>
              <w:br/>
              <w: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15,205.7 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15,843.3 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18,090.9 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8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tbl>
      <w:tblPr>
        <w:tblW w:w="10205" w:type="dxa"/>
        <w:jc w:val="left"/>
        <w:tblInd w:w="0" w:type="dxa"/>
        <w:tblLayout w:type="fixed"/>
        <w:tblCellMar>
          <w:top w:w="28" w:type="dxa"/>
          <w:left w:w="28" w:type="dxa"/>
          <w:bottom w:w="28" w:type="dxa"/>
          <w:right w:w="28" w:type="dxa"/>
        </w:tblCellMar>
      </w:tblPr>
      <w:tblGrid>
        <w:gridCol w:w="624"/>
        <w:gridCol w:w="467"/>
        <w:gridCol w:w="470"/>
        <w:gridCol w:w="109"/>
        <w:gridCol w:w="109"/>
        <w:gridCol w:w="109"/>
        <w:gridCol w:w="315"/>
        <w:gridCol w:w="1124"/>
        <w:gridCol w:w="135"/>
        <w:gridCol w:w="111"/>
        <w:gridCol w:w="111"/>
        <w:gridCol w:w="111"/>
        <w:gridCol w:w="349"/>
        <w:gridCol w:w="1004"/>
        <w:gridCol w:w="152"/>
        <w:gridCol w:w="111"/>
        <w:gridCol w:w="111"/>
        <w:gridCol w:w="111"/>
        <w:gridCol w:w="196"/>
        <w:gridCol w:w="196"/>
        <w:gridCol w:w="200"/>
        <w:gridCol w:w="111"/>
        <w:gridCol w:w="111"/>
        <w:gridCol w:w="111"/>
        <w:gridCol w:w="324"/>
        <w:gridCol w:w="1161"/>
        <w:gridCol w:w="140"/>
        <w:gridCol w:w="111"/>
        <w:gridCol w:w="111"/>
        <w:gridCol w:w="111"/>
        <w:gridCol w:w="302"/>
        <w:gridCol w:w="1176"/>
        <w:gridCol w:w="211"/>
      </w:tblGrid>
      <w:tr>
        <w:trPr/>
        <w:tc>
          <w:tcPr>
            <w:tcW w:w="6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 AS OF JUNE 30, 2026 — (Continued)</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IFRS </w:t>
              <w:br/>
              <w:t>(in EUR) (I)</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IFRS to U.S. GAAP Accounting Adjustments (in EUR)</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U.S. GAAP</w:t>
              <w:br/>
              <w:t> (in EUR)</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U.S. GAAP </w:t>
              <w:br/>
              <w:t>(in USD) (IV)</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100"/>
              <w:ind w:left="0" w:right="0" w:hanging="270"/>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deferred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(II-v)</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(III-iv)</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8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tbl>
      <w:tblPr>
        <w:tblW w:w="10205" w:type="dxa"/>
        <w:jc w:val="left"/>
        <w:tblInd w:w="0" w:type="dxa"/>
        <w:tblLayout w:type="fixed"/>
        <w:tblCellMar>
          <w:top w:w="28" w:type="dxa"/>
          <w:left w:w="28" w:type="dxa"/>
          <w:bottom w:w="28" w:type="dxa"/>
          <w:right w:w="28" w:type="dxa"/>
        </w:tblCellMar>
      </w:tblPr>
      <w:tblGrid>
        <w:gridCol w:w="728"/>
        <w:gridCol w:w="492"/>
        <w:gridCol w:w="495"/>
        <w:gridCol w:w="328"/>
        <w:gridCol w:w="1113"/>
        <w:gridCol w:w="158"/>
        <w:gridCol w:w="109"/>
        <w:gridCol w:w="109"/>
        <w:gridCol w:w="109"/>
        <w:gridCol w:w="468"/>
        <w:gridCol w:w="843"/>
        <w:gridCol w:w="228"/>
        <w:gridCol w:w="109"/>
        <w:gridCol w:w="109"/>
        <w:gridCol w:w="109"/>
        <w:gridCol w:w="227"/>
        <w:gridCol w:w="227"/>
        <w:gridCol w:w="217"/>
        <w:gridCol w:w="109"/>
        <w:gridCol w:w="109"/>
        <w:gridCol w:w="109"/>
        <w:gridCol w:w="339"/>
        <w:gridCol w:w="1152"/>
        <w:gridCol w:w="164"/>
        <w:gridCol w:w="109"/>
        <w:gridCol w:w="109"/>
        <w:gridCol w:w="109"/>
        <w:gridCol w:w="318"/>
        <w:gridCol w:w="1155"/>
        <w:gridCol w:w="245"/>
      </w:tblGrid>
      <w:tr>
        <w:trPr/>
        <w:tc>
          <w:tcPr>
            <w:tcW w:w="72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 OF OPERATIONS</w:t>
              <w:br/>
              <w:t>FOR THE SIX MONTHS ENDED JUNE 30, 2026</w:t>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IFRS </w:t>
              <w:br/>
              <w:t>(in EUR)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IFRS to U.S. GAAP Accounting Adjustments (in EUR)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U.S. GAAP</w:t>
              <w:br/>
              <w:t> (in EUR)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U.S. GAAP </w:t>
              <w:br/>
              <w:t>(in USD) (IV)</w:t>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outsourced work and other external costs</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on derivative instruments, net</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net</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 vii)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 vii)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 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8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tbl>
      <w:tblPr>
        <w:tblW w:w="10205" w:type="dxa"/>
        <w:jc w:val="left"/>
        <w:tblInd w:w="0" w:type="dxa"/>
        <w:tblLayout w:type="fixed"/>
        <w:tblCellMar>
          <w:top w:w="28" w:type="dxa"/>
          <w:left w:w="28" w:type="dxa"/>
          <w:bottom w:w="28" w:type="dxa"/>
          <w:right w:w="28" w:type="dxa"/>
        </w:tblCellMar>
      </w:tblPr>
      <w:tblGrid>
        <w:gridCol w:w="914"/>
        <w:gridCol w:w="478"/>
        <w:gridCol w:w="481"/>
        <w:gridCol w:w="322"/>
        <w:gridCol w:w="1091"/>
        <w:gridCol w:w="155"/>
        <w:gridCol w:w="109"/>
        <w:gridCol w:w="109"/>
        <w:gridCol w:w="109"/>
        <w:gridCol w:w="398"/>
        <w:gridCol w:w="904"/>
        <w:gridCol w:w="193"/>
        <w:gridCol w:w="109"/>
        <w:gridCol w:w="109"/>
        <w:gridCol w:w="109"/>
        <w:gridCol w:w="226"/>
        <w:gridCol w:w="226"/>
        <w:gridCol w:w="215"/>
        <w:gridCol w:w="109"/>
        <w:gridCol w:w="109"/>
        <w:gridCol w:w="109"/>
        <w:gridCol w:w="332"/>
        <w:gridCol w:w="1126"/>
        <w:gridCol w:w="160"/>
        <w:gridCol w:w="109"/>
        <w:gridCol w:w="109"/>
        <w:gridCol w:w="109"/>
        <w:gridCol w:w="311"/>
        <w:gridCol w:w="1129"/>
        <w:gridCol w:w="236"/>
      </w:tblGrid>
      <w:tr>
        <w:trPr/>
        <w:tc>
          <w:tcPr>
            <w:tcW w:w="91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 OF OPERATIONS</w:t>
              <w:br/>
              <w:t>FOR THE YEAR ENDED DECEMBER 31, 2025</w:t>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IFRS </w:t>
              <w:br/>
              <w:t>(in EUR)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IFRS to U.S. GAAP Accounting Adjustments (in EUR)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VodafoneZiggo Historical Consolidated U.S. GAAP</w:t>
              <w:br/>
              <w:t> (in EUR)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VodafoneZiggo Historical Consolidated U.S. GAAP </w:t>
              <w:br/>
              <w:t>(in USD) (IV)</w:t>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outsourced work and other external costs</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expenses</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losses on derivative instruments, net </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net</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 net</w:t>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(III-vi, vii)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187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8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    Amounts include related party balances and transactions between Liberty Global and VodafoneZiggo as described in Note 23 of the historical consolidated financial statements of VodafoneZiggo. These will be eliminated in consolidation following completion of the Transaction and are adjusted in the pro forma condensed combined financial statements as further described in Notes (10) and (11) below.</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(II)    Reflects adjustments due to differences between IFRS and U.S. GAAP primarily associated with the accounting treatment for:</w:t>
      </w:r>
    </w:p>
    <w:p>
      <w:pPr>
        <w:pStyle w:val="TextBody"/>
        <w:bidi w:val="0"/>
        <w:spacing w:before="0" w:after="0"/>
        <w:ind w:left="0" w:right="0" w:hanging="54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(i)    Historical impairments: Reflects (i) the reversal of historical impairment charges recorded against customer relationship intangible assets of €20.1 million and €6.5 million against goodwill under IFRS that are not recognized under U.S. GAAP and related increase in deferred tax liabilities of €5.2 million in the balance sheet and (ii) the recognition of additional amortization expense of €2.5 million and €4.9 million for previously impaired customer relationship intangibles assets and related deferred tax benefit of €0.7 million and €1.3 million for the six-months ended June 30, 2026 and year ended December 31, 2025, respectively, in the statement of operations.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(ii)    Sports rights agreements: Reflects an adjustment to reflect certain sports rights agreements accounted for as intangible assets under IFRS as executory contracts under U.S. GAAP, resulting in (i) the derecognition of intangible assets of €93.1 million, (ii) the derecognition of the related liabilities for obligations under the contractual agreements recognized under IFRS of €91.4 million, (iii) the recognition of prepaid expenses of €4.7 million related to sports rights payments made in advance of the applicable season under U.S. GAAP and (iv) the related decrease in deferred tax liabilities of €0.7 million in the balance sheet. </w:t>
      </w:r>
    </w:p>
    <w:p>
      <w:pPr>
        <w:pStyle w:val="TextBody"/>
        <w:bidi w:val="0"/>
        <w:spacing w:before="0" w:after="0"/>
        <w:ind w:left="0" w:right="0" w:hanging="45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Reflects (i) an increase in operating expenses related to certain sports rights agreements accounted for as executory contracts under U.S. GAAP of €30.4 million and €63.0 million, (ii) a decrease in amortization expense for sports rights accounted for as intangible assets under IFRS of €29.1 million and €61.1 million, and (iii) a decrease in interest expense related to accretion of the related liabilities for sports rights agreements of €1.1 million and €3.0 million for the six-months ended June 30, 2026 and year ended December 31, 2025, respectively, in the statement of operations.</w:t>
      </w:r>
    </w:p>
    <w:p>
      <w:pPr>
        <w:pStyle w:val="TextBody"/>
        <w:bidi w:val="0"/>
        <w:spacing w:before="0" w:after="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(iii)    Leases: Reflects (i) the reclassification of right-of-use assets related to finance leases of €38.0 million from right-of-use assets to property and equipment, (ii) the reclassification of right-of-use assets related to operating leases of €318.6 million from right-of-use assets to other assets, (iii) an increase in right-of-use assets of €4.2 million and decreases in lease liabilities of €17.1 million primarily for differences between IFRS and U.S. GAAP related to the recognition of leases, and (iv) a related increase in deferred tax liabilities of €5.4 million in the balance sheet.</w:t>
      </w:r>
    </w:p>
    <w:p>
      <w:pPr>
        <w:pStyle w:val="TextBody"/>
        <w:bidi w:val="0"/>
        <w:spacing w:before="0" w:after="0"/>
        <w:ind w:left="0" w:right="0" w:hanging="45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Reflects the reclassification of (i) amortization expense related to operating leases to programming and other direct costs of services and other operating expenses of €40.3 million and €75.0 million and (ii) the interest expense related to the periodic accretion of lease liabilities related to operating leases of €7.9 million and €14.6 million to the relevant expense line items for the six-months ended June 30, 2026 and year ended December 31, 2025, respectively, in the statement of operations. The adjustment also reflects differences between IFRS and U.S. GAAP in the recognition of expense for certain operating leases. As a result, lease-related expense under U.S. GAAP was €0.6 million and €1.8 million lower than the aggregate amortization and interest expense recognized under IFRS for the six months ended June 30, 2026 and year ended December 31, 2025, respectively.</w:t>
      </w:r>
    </w:p>
    <w:p>
      <w:pPr>
        <w:pStyle w:val="TextBody"/>
        <w:bidi w:val="0"/>
        <w:spacing w:before="0" w:after="0"/>
        <w:ind w:left="0" w:right="0" w:hanging="450"/>
        <w:jc w:val="both"/>
        <w:rPr/>
      </w:pPr>
      <w:r>
        <w:rPr/>
      </w:r>
    </w:p>
    <w:p>
      <w:pPr>
        <w:pStyle w:val="TextBody"/>
        <w:bidi w:val="0"/>
        <w:spacing w:lineRule="auto" w:line="288"/>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(iv)    Cloud computing arrangements: Reflects (i) the capitalization of the current and long-term portion of qualifying implementation costs incurred in connection with cloud computing arrangements of €20.3 million and €54.6 million, respectively, under U.S. GAAP that are expensed as incurred under IFRS and related decrease in deferred tax liabilities of €19.3 million in the balance sheet and (ii) the decrease in expenses for the period of €5.1 million and €15.0 million, and a decrease in the deferred tax benefit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 xml:space="preserve">1.3 million and €3.9 million in the statement of operations for the six-months ended June 30, 2026 and the year ended December 31, 2025, respectively.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(v)    Contract fulfillment costs: Reflects (i) the write off of the current and non-current portion of contract fulfillment costs of €3.9 million and €6.9 million, respectively, under IFRS that are expensed as incurred under industry specific guidance for cable operators under U.S. GAAP and related increase in deferred tax liabilities of €2.8 million in the balance sheet and (ii) the net increase in expenses recognized under U.S. GAAP of €1.0 million and €0.2 million and related deferred tax benefit of €0.3 million and €0.1 million in the statement of operations for the six-months ended June 30, 2026 and the year ended December 31, 2025, respectively.</w:t>
      </w:r>
    </w:p>
    <w:p>
      <w:pPr>
        <w:pStyle w:val="TextBody"/>
        <w:bidi w:val="0"/>
        <w:spacing w:before="0" w:after="0"/>
        <w:ind w:left="0" w:right="0" w:hanging="45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(III)    Reflects reclassifications due to presentational and classification differences between the historical consolidated financial statements of VodafoneZiggo prepared in accordance with IFRS and the historical consolidated financial statements of Liberty Global prepared in accordance with U.S. GAAP, including:</w:t>
      </w:r>
    </w:p>
    <w:p>
      <w:pPr>
        <w:pStyle w:val="TextBody"/>
        <w:bidi w:val="0"/>
        <w:spacing w:before="0" w:after="0"/>
        <w:ind w:left="0" w:right="0" w:hanging="45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Current assets: Reflects the reclassification of (a) contract assets and contract costs of €198.4 million, (b) derivative financial instruments of €112.8 million, (c) inventories of €31.5 million and (d) income tax receivable of €9.3 million to other current assets. </w:t>
      </w:r>
    </w:p>
    <w:p>
      <w:pPr>
        <w:pStyle w:val="TextBody"/>
        <w:bidi w:val="0"/>
        <w:spacing w:before="0" w:after="0"/>
        <w:ind w:left="0" w:right="0" w:hanging="45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(ii)    Non-current assets: Reflects the reclassification of (a) capitalized software (license) costs of €385.2 million</w:t>
      </w:r>
      <w:r>
        <w:rPr>
          <w:color w:val="000000"/>
        </w:rPr>
        <w:t xml:space="preserve"> </w:t>
      </w:r>
      <w:r>
        <w:rPr>
          <w:rFonts w:ascii="Times New Roman;serif" w:hAnsi="Times New Roman;serif"/>
          <w:b w:val="false"/>
          <w:color w:val="000000"/>
          <w:sz w:val="20"/>
        </w:rPr>
        <w:t xml:space="preserve">from intangible assets and goodwill to property and equipment, (b) goodwill of €7,369.0 million included as part of intangible assets and goodwill to a separate financial statement line item, and (c) derivative financial instruments of €216.9 million and contract assets and contract costs of €79.8 million to other assets. </w:t>
      </w:r>
    </w:p>
    <w:p>
      <w:pPr>
        <w:pStyle w:val="TextBody"/>
        <w:bidi w:val="0"/>
        <w:spacing w:before="0" w:after="0"/>
        <w:ind w:left="0" w:right="0" w:hanging="45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Current liabilities: Reflects the reclassification of (a) current portion of debt of €999.7 million presented as part of current debt to current portion of debt and finance lease obligations, (b) deferred revenue of €205.7 million included as part of accruals and deferred income to deferred revenue, (c) current derivative liabilities of €56.0 million, lease liabilities of €68.4 million, current provisions of €15.3 million, and accrued expenses of €261.9 million included as part of accruals and deferred income to other accrued and current liabilities, (d) current accrued capital expenditures of €30.8 million included as part of accruals and deferred income to accrued capital expenditures, and (e) current finance lease obligations included as part of lease liabilities of €13.6 million to current portion of debt and finance lease obligations.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    Non-current liabilities: Reflects the reclassification of (a) long-term portion of debt of €11,489.6 million presented as part of non-current debt to long-term debt and finance lease obligations, (b) long-term finance lease obligations of €22.7 million presented as part of lease liabilities to long-term debt and finance lease obligations and (c) long-term derivative financial instruments of €113.7 million, deferred tax liabilities of €575.2 million, long-term provisions of €26.9 million, and other liabilities of €29.7 million to other long-term liabilities.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    Functional expenses: Reflects adjustments to conform the historical expense presentation of VodafoneZiggo to the acquirer's functional income statement presentation, including the reclassification of (a) €849.5 million and €1,681.2 million from costs of outsourced work and other external costs, (b) €241.7 million and €479.7 million from personnel expenses, and (c) €0.1 million and €0.2 million of share-based compensation from impairment, restructuring and other operating items, net, to programming and other direct costs of services, SG&amp;A and other operating based on the function of the respective activities and employees for the six-months ended June 30, 2026 and year ended December 31, 2025, respectively.    </w:t>
      </w:r>
    </w:p>
    <w:p>
      <w:pPr>
        <w:pStyle w:val="TextBody"/>
        <w:bidi w:val="0"/>
        <w:spacing w:before="0" w:after="0"/>
        <w:ind w:left="0" w:right="0" w:hanging="360"/>
        <w:jc w:val="both"/>
        <w:rPr/>
      </w:pPr>
      <w:r>
        <w:rPr/>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    Finance income: Reflects the reclassification of (a) realized and unrealized gains on derivative instruments, net of €116.4 million and nil, (b) foreign currency transaction gains of €0.3 million and €640.1 million, and (c) interest income of €0.8 million and €3.0 million included as part of finance income to separate financial statement line items for the six months ended June 30, 2026 and year ended December 31, 2025, respectively.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    Finance costs: Reflects the reclassification of (a) interest expense of €330.5 million and €692.2 million, (b) realized and unrealized losses on derivative instruments, net of nil and €481.8 million, (c) foreign currency transaction losses, net of €113.8 million and nil, (d) losses on debt extinguishment of nil and €1.5 million, and (e) other finance expenses of €1.2 million and €0.9 million included as part of finance costs to separate financial statement line items for the six months ended June 30, 2026 and year ended December 31, 2025, respectively.</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(IV)    Amounts were translated from EUR to USD using the period end exchange rate as of June 30, 2026 of 1.1414 for the balance sheet, the period average exchange rate for the six months ended June 30, 2026 of 1.1666 and the period average exchange rate for the year ended December 31, 2025 of 1.1304.</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    Reflects (i) the cash consideration paid to Vodafone at closing of the Transaction of €977.5 million ($1,115.7 million), (ii) the recognition of a non-controlling interest of €479.9 million ($547.8 million) for the fair value of the 10% equity interest issued to Vodafone in Ziggo Group, and (iii) the recognition of a liability for the deferred consideration payable to Vodafone of €169.1 million ($193.0 million), representing additional consideration attributable to the off-market components of certain arrangements payable to Vodafone in connection with the Transaction. As described above, the fair value of the 10% equity interest in Ziggo Group issued to Vodafone as part of the Transaction and the fair value of the additional consideration attributable to the off-market components of certain arrangements payable to Vodafone in connection with the Transaction are subject to revision following management's final analysis and the revisions could have a material effect on the accompanying pro forma condensed combined financial statements.</w:t>
      </w:r>
    </w:p>
    <w:p>
      <w:pPr>
        <w:pStyle w:val="TextBody"/>
        <w:bidi w:val="0"/>
        <w:spacing w:before="0" w:after="0"/>
        <w:jc w:val="both"/>
        <w:rPr/>
      </w:pPr>
      <w:r>
        <w:rPr/>
      </w:r>
    </w:p>
    <w:p>
      <w:pPr>
        <w:pStyle w:val="TextBody"/>
        <w:bidi w:val="0"/>
        <w:spacing w:lineRule="auto" w:line="288" w:before="0" w:after="1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Reflects adjustment to remove VodafoneZiggo's historical goodwill of €7,375.5 million ($8,418.4 million) and record goodwill resulting from the acquisition of €3,688.8 million ($4,210.6 million) calculated as follows:</w:t>
      </w:r>
    </w:p>
    <w:tbl>
      <w:tblPr>
        <w:tblW w:w="7186" w:type="dxa"/>
        <w:jc w:val="left"/>
        <w:tblInd w:w="0" w:type="dxa"/>
        <w:tblLayout w:type="fixed"/>
        <w:tblCellMar>
          <w:top w:w="28" w:type="dxa"/>
          <w:left w:w="28" w:type="dxa"/>
          <w:bottom w:w="28" w:type="dxa"/>
          <w:right w:w="28" w:type="dxa"/>
        </w:tblCellMar>
      </w:tblPr>
      <w:tblGrid>
        <w:gridCol w:w="1597"/>
        <w:gridCol w:w="1404"/>
        <w:gridCol w:w="1408"/>
        <w:gridCol w:w="226"/>
        <w:gridCol w:w="766"/>
        <w:gridCol w:w="109"/>
        <w:gridCol w:w="109"/>
        <w:gridCol w:w="109"/>
        <w:gridCol w:w="109"/>
        <w:gridCol w:w="211"/>
        <w:gridCol w:w="766"/>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USD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preliminary purchase consideration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the previously held equity interest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preliminary acquisition-date fair value</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finance lease obligations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9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    Reflects the adjustment of historical intangible assets acquired by the Company to their estimated fair values. As part of the preliminary valuation analysis, the Company identified intangible assets, including customer relationships, spectrum licenses, and trade names. The fair value of identifiable intangible assets is determined primarily using the “income approach,” which requires a forecast of all of the expected future cash flows.</w:t>
      </w:r>
    </w:p>
    <w:p>
      <w:pPr>
        <w:pStyle w:val="TextBody"/>
        <w:bidi w:val="0"/>
        <w:spacing w:before="0" w:after="0"/>
        <w:ind w:left="0" w:right="0" w:hanging="540"/>
        <w:jc w:val="left"/>
        <w:rPr/>
      </w:pPr>
      <w:r>
        <w:rPr/>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VodafoneZiggo’s identifiable intangible assets and their estimated useful lives and uses a straight-line method of amortization:</w:t>
      </w:r>
    </w:p>
    <w:tbl>
      <w:tblPr>
        <w:tblW w:w="10205" w:type="dxa"/>
        <w:jc w:val="left"/>
        <w:tblInd w:w="0" w:type="dxa"/>
        <w:tblLayout w:type="fixed"/>
        <w:tblCellMar>
          <w:top w:w="28" w:type="dxa"/>
          <w:left w:w="28" w:type="dxa"/>
          <w:bottom w:w="28" w:type="dxa"/>
          <w:right w:w="28" w:type="dxa"/>
        </w:tblCellMar>
      </w:tblPr>
      <w:tblGrid>
        <w:gridCol w:w="681"/>
        <w:gridCol w:w="550"/>
        <w:gridCol w:w="554"/>
        <w:gridCol w:w="263"/>
        <w:gridCol w:w="958"/>
        <w:gridCol w:w="136"/>
        <w:gridCol w:w="109"/>
        <w:gridCol w:w="109"/>
        <w:gridCol w:w="109"/>
        <w:gridCol w:w="420"/>
        <w:gridCol w:w="420"/>
        <w:gridCol w:w="421"/>
        <w:gridCol w:w="109"/>
        <w:gridCol w:w="109"/>
        <w:gridCol w:w="109"/>
        <w:gridCol w:w="476"/>
        <w:gridCol w:w="1429"/>
        <w:gridCol w:w="248"/>
        <w:gridCol w:w="109"/>
        <w:gridCol w:w="109"/>
        <w:gridCol w:w="109"/>
        <w:gridCol w:w="530"/>
        <w:gridCol w:w="1592"/>
        <w:gridCol w:w="276"/>
        <w:gridCol w:w="109"/>
        <w:gridCol w:w="161"/>
      </w:tblGrid>
      <w:tr>
        <w:trPr/>
        <w:tc>
          <w:tcPr>
            <w:tcW w:w="68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Amortization expense for the year ended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Amortization expense for the six months ended </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w:t>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to 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Spectrum licenses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3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Historical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3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accounting adjustments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2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allocation of purchase price to acquired intangible assets is based on preliminary fair value estimates and is subject to revision following management’s final analysis and the revisions could have a material effect on the accompanying unaudited pro forma condensed combined financial statements. A 10% change in the valuation of intangible assets would cause a corresponding increase or decrease in the balance of goodwill of approximately $603 million</w:t>
      </w:r>
      <w:r>
        <w:rPr>
          <w:color w:val="000000"/>
        </w:rPr>
        <w:t xml:space="preserve"> </w:t>
      </w:r>
      <w:r>
        <w:rPr>
          <w:rFonts w:ascii="Times New Roman;serif" w:hAnsi="Times New Roman;serif"/>
          <w:b w:val="false"/>
          <w:color w:val="000000"/>
          <w:sz w:val="20"/>
        </w:rPr>
        <w:t>and annual amortization expense of approximately $43 million based on the estimated useful lives summarized in the table above.</w:t>
      </w:r>
    </w:p>
    <w:p>
      <w:pPr>
        <w:pStyle w:val="TextBody"/>
        <w:bidi w:val="0"/>
        <w:spacing w:lineRule="auto" w:line="288" w:before="0" w:after="0"/>
        <w:ind w:left="0" w:right="0" w:hanging="540"/>
        <w:jc w:val="both"/>
        <w:rPr>
          <w:color w:val="EE2724"/>
        </w:rPr>
      </w:pPr>
      <w:r>
        <w:rPr>
          <w:color w:val="EE2724"/>
        </w:rPr>
        <w:t>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    Reflects the adjustment of historical property and equipment acquired by the Company to their estimated fair values. As part of the preliminary valuation analysis, the Company identified property and equipment, including distribution systems, support equipment, buildings and land, and customer premises equipment (“CPE”). The fair value of identifiable property and equipment is determined primarily using the “cost approach,” which requires an estimate of the replacement cost and remaining useful lives.</w:t>
      </w:r>
    </w:p>
    <w:p>
      <w:pPr>
        <w:pStyle w:val="TextBody"/>
        <w:bidi w:val="0"/>
        <w:spacing w:before="0" w:after="0"/>
        <w:ind w:left="0" w:right="0" w:firstLine="720"/>
        <w:jc w:val="left"/>
        <w:rPr/>
      </w:pPr>
      <w:r>
        <w:rPr/>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VodafoneZiggo's identifiable property and equipment and their estimated useful lives and uses a straight-line method of depreciation:</w:t>
      </w:r>
    </w:p>
    <w:tbl>
      <w:tblPr>
        <w:tblW w:w="10205" w:type="dxa"/>
        <w:jc w:val="left"/>
        <w:tblInd w:w="0" w:type="dxa"/>
        <w:tblLayout w:type="fixed"/>
        <w:tblCellMar>
          <w:top w:w="28" w:type="dxa"/>
          <w:left w:w="28" w:type="dxa"/>
          <w:bottom w:w="28" w:type="dxa"/>
          <w:right w:w="28" w:type="dxa"/>
        </w:tblCellMar>
      </w:tblPr>
      <w:tblGrid>
        <w:gridCol w:w="772"/>
        <w:gridCol w:w="656"/>
        <w:gridCol w:w="659"/>
        <w:gridCol w:w="259"/>
        <w:gridCol w:w="943"/>
        <w:gridCol w:w="134"/>
        <w:gridCol w:w="109"/>
        <w:gridCol w:w="109"/>
        <w:gridCol w:w="109"/>
        <w:gridCol w:w="410"/>
        <w:gridCol w:w="410"/>
        <w:gridCol w:w="412"/>
        <w:gridCol w:w="109"/>
        <w:gridCol w:w="109"/>
        <w:gridCol w:w="109"/>
        <w:gridCol w:w="377"/>
        <w:gridCol w:w="1470"/>
        <w:gridCol w:w="194"/>
        <w:gridCol w:w="109"/>
        <w:gridCol w:w="109"/>
        <w:gridCol w:w="109"/>
        <w:gridCol w:w="499"/>
        <w:gridCol w:w="1498"/>
        <w:gridCol w:w="261"/>
        <w:gridCol w:w="109"/>
        <w:gridCol w:w="161"/>
      </w:tblGrid>
      <w:tr>
        <w:trPr/>
        <w:tc>
          <w:tcPr>
            <w:tcW w:w="77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Depreciation expense for the year ended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Depreciation expense for the six months ended </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Identifiable property and equipment: </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systems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to 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equipment, buildings and land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to 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8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Historical 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8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accounting adjustments to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9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allocation of purchase price to acquired property and equipment is based on preliminary fair value estimates and is subject to revision following management’s final analysis and the revisions could have a material effect on the accompanying unaudited pro forma condensed combined financial statements. A 10% change in the valuation of property and equipment would cause a corresponding increase or decrease in the balance of goodwill of approximately $633 million and annual depreciation expense of approximately $82 million, based on the estimated useful lives summarized in the table above.</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(6)    Reflects the measurement of acquired right-of-use assets and assumed lease liabilities based on the discount rate at the date of acquisition, resulting in a (i) net increase to right-of-use assets of €10.2 million ($11.6 million), including an adjustment associated with unfavorable lease terms of €3.5 million ($4.0 million) identified through the preliminary valuation analysis, and (ii) increase in lease liabilities of €13.7 million ($15.6 million). These estimates remain subject to finalization of the preliminary purchase price allocation. No adjustment has been made to the pro forma combined statement of operations as the impact of the measurement of the acquired right-of-use assets and assumed liabilities is immaterial.</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(7)    Reflects (i) the reclassification of €216.1 million ($246.7 million) of assets and €104.2 million ($118.9 million) of liabilities related to the NL TowerCo Assets and Liabilities, as defined below, to current assets and liabilities held-for-sale, respectively, as it was probable the held-for-sale criteria would be met within a short period of time after the acquisition date, (ii) the measurement of the NL TowerCo Assets and Liabilities at fair value less expected costs to sell of €608.6 million ($694.7 million) based on the expected proceeds from the NL TowerCo Sale, as defined and described below, of approximately €669.0 million ($763.6 million) less expected costs to sell and indirect taxes resulting from the transaction of €60.4 million ($68.9 million) in the pro forma condensed combined balance sheet. </w:t>
      </w:r>
    </w:p>
    <w:p>
      <w:pPr>
        <w:pStyle w:val="TextBody"/>
        <w:bidi w:val="0"/>
        <w:spacing w:before="0" w:after="0"/>
        <w:ind w:left="0" w:right="0" w:hanging="54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completion of the Transaction, VodafoneZiggo entered into an agreement to sell certain towers and rooftop installations and other related assets and liabilities (the “NL TowerCo Assets and Liabilities”) to an entity to be jointly owned and managed by DigitalBridge, TD Greystone Infrastructure and L&amp;G (the “NL TowerCo Sale”) for consideration of approximately €669.0 million ($763.6 million). Subsequent to the completion of the NL TowerCo Sale, VodafoneZiggo will lease back the assets sold for a period of 12 years (together with the NL TowerCo Sale referred to as the “NL TowerCo Sale Leaseback”). Completion of the NL TowerCo Sale Leaseback is expected to occur during the fourth quarter of 2026. The NL TowerCo Assets and Liabilities have been presented as held-for-sale and are measured at fair value less expected costs to sell in the pro forma condensed combined financial statements.</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adjustments have been made in the pro forma condensed combined statement of operations as the NL TowerCo Sale Leaseback is a separate transaction from the VodafoneZiggo Acquisition.    </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(8)    Reflects the purchase accounting adjustments to VodafoneZiggo’s historical deferred tax liability balance of €575.2 million ($656.5 million) to a deferred tax liability balance of €1,801.8 million ($2,056.5 million) resulting in a net increase of €1,226.6 million ($1,400.0 million), based on the statutory tax rate in the Netherlands of 25.8%.</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(9)    Reflects the release of the valuation allowance recorded against the tax carryforward losses of the Ziggo Group of €617.0 million ($704.2 million). Following completion of the Transaction, the entities that comprise the VodafoneZiggo fiscal unity will become members of the Ziggo Group fiscal unity for Dutch income tax purposes. As a result, management has concluded that tax carryforward losses of the Ziggo Group fiscal unity subject to valuation allowance prior to the Transaction are more likely than not to be realized. This conclusion reflects management's current assessment based on information available as of the date of the pro forma financial information and remains subject to ongoing review of post-Transaction tax matters, integration activities and related assumptions. The income tax benefit associated with the valuation allowance release is also reflected in the pro forma condensed combined statement of operations as a non-recurring adjustment to income tax expense. </w:t>
      </w:r>
    </w:p>
    <w:p>
      <w:pPr>
        <w:pStyle w:val="TextBody"/>
        <w:bidi w:val="0"/>
        <w:spacing w:before="0" w:after="0"/>
        <w:jc w:val="left"/>
        <w:rPr/>
      </w:pPr>
      <w:r>
        <w:rPr/>
      </w:r>
    </w:p>
    <w:p>
      <w:pPr>
        <w:pStyle w:val="TextBody"/>
        <w:bidi w:val="0"/>
        <w:spacing w:lineRule="auto" w:line="288"/>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(10)    Reflects (i) the elimination of the Company’s previously held equity-method investment in VodafoneZiggo of $1,623.8 million, which includes the carrying value of the shareholder loan receivable from VodafoneZiggo of €907.9 million ($1,036.3 million), (ii) the elimination of the shareholder loan payable to Liberty Global of €1,815.8 million ($2,072.5 million), which includes the carrying value of the shareholder loan payable to Liberty Global prior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9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completion of the Transaction and the shareholder loan payable to Vodafone acquired by Liberty Global as part of the Transaction and (iii) the elimination of interest expense recorded on the shareholder loans of €50.7 million ($59.1 million) and €102.2 million ($115.5 million) for the six months ended June 30, 2026 and year ended December 31, 2025, respectively. Following completion of the Transaction, VodafoneZiggo will be consolidated by Liberty Global, and accordingly, the shareholder loans receivable and payable, including related interest income and interest expense, between VodafoneZiggo and Liberty Global will eliminate in consolidation.</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(11)    Reflects (i) the elimination of the Company’s share of loss from VodafoneZiggo of $38.9 million and $99.0 million, which includes interest income recorded on the shareholder loan payable to Liberty Global of €25.6 million ($29.6 million) and €51.1 million ($57.7 million), for the six-months ended June 30, 2026 and year ended December 31, 2025, respectively, prior to completion of the Transaction, (ii) the elimination of revenue recorded under the NL JV Framework Agreement of $110.7 million and $204.5 million and related operating costs and expenses of $103.1 million and $191.6 million, including $46.5 million and $83.0 million of direct costs related to CPE sales from Liberty Global to VodafoneZiggo, for the six-months ended June 30, 2026 and year ended December 31, 2025, respectively, and (iii) the elimination of intercompany receivables and payables between VodafoneZiggo and Liberty Global for outstanding amounts owed under the NL JV Framework Agreement of $40.8 million as of June 30, 2026. Following completion of the Transaction, VodafoneZiggo will be consolidated by Liberty Global and accordingly, any intercompany revenues/receivables and expenses/payables between VodafoneZiggo and Liberty Global will be eliminated in consolidation.</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(12)    Reflects (i) the write-off of the current and noncurrent portion of historical deferred costs of obtaining contracts, primarily consisting of capitalized sales commissions, of €76.7 million ($87.6 million) and €29.3 million ($33.5 million), respectively, that do not meet the conceptual definition of an asset as the value of these costs is effectively incorporated into the fair value of the customer relationship intangible asset recognized as part of the Transaction described in Note 4 and (ii) the elimination of historical amortization expense related to these costs amounting to €20.3 million ($23.6 million) and €76.7 million ($86.7 million) for the six-months ended June 30, 2026 and year ended December 31, 2025, respectively.</w:t>
      </w:r>
    </w:p>
    <w:p>
      <w:pPr>
        <w:pStyle w:val="TextBody"/>
        <w:bidi w:val="0"/>
        <w:spacing w:before="0" w:after="0"/>
        <w:ind w:left="0" w:right="0" w:hanging="45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(13)    Reflects the recognition of contingent liabilities related to ongoing litigation of VodafoneZiggo at their estimated acquisition-date fair value of €6.1 million ($7.0 million) assumed in the Transaction. As this is a non-recurring adjustment to establish the opening balance sheet, it has no impact on the pro forma statements of operations.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(14)    Reflects the accrual of additional transaction costs incurred subsequent to June 30, 2026 of €11.3 million ($12.9 million. The remaining transaction costs of $12.9 million are included in the historical statement of operations for the six months ended June 30, 2026. These costs are non-recurring and will not affect the statement of operations beyond 12 months after the acquisition date.</w:t>
      </w:r>
    </w:p>
    <w:p>
      <w:pPr>
        <w:pStyle w:val="TextBody"/>
        <w:bidi w:val="0"/>
        <w:spacing w:before="0" w:after="0"/>
        <w:ind w:left="0" w:right="0" w:hanging="45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(15)    Reflects the adjustment associated with the estimated off-market components of certain arrangements payable to Vodafone of €11.7 million ($13.6 million) and €23.4 million ($26.5 million) for the six-months ended June 30, 2026 and year ended December 31, 2025, respectively. Such amounts represent additional consideration transferred in the Transaction and are included as part of the purchase consideration for the Transaction as described above. The remaining contractual payments, representing the estimated market-based component of such arrangements, are approximately €6.5 million ($7.3 million) annually. These estimates are subject to revision following management's final analysis and the revisions could have a material effect on the accompanying pro forma condensed combined financial statements. A 10% change in the estimated unfavorable off-market component would cause a corresponding increase or decrease in annual SG&amp;A expenses of approximately €2.3 million ($2.7 million).</w:t>
      </w:r>
    </w:p>
    <w:p>
      <w:pPr>
        <w:pStyle w:val="TextBody"/>
        <w:bidi w:val="0"/>
        <w:spacing w:before="0" w:after="0"/>
        <w:ind w:left="0" w:right="0" w:hanging="450"/>
        <w:jc w:val="both"/>
        <w:rPr/>
      </w:pPr>
      <w:r>
        <w:rPr/>
      </w:r>
    </w:p>
    <w:p>
      <w:pPr>
        <w:pStyle w:val="TextBody"/>
        <w:bidi w:val="0"/>
        <w:spacing w:lineRule="auto" w:line="288"/>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(16)    Reflects the adjustment to (i) record the assumed third-party debt of VodafoneZiggo at its preliminary estimated fair value of €9,735.4 million ($11,112.0 million) as of the acquisition date rather than historical amortized cost, including the write off of associated deferred financing costs of €43.9 million ($50.1 million) recorded in long-term debt and finance lease obligations in the pro forma condensed combined balance sheet and (ii) an increase in interest expense of €93.0 million ($108.5 million) and €178.2 million ($201.4 million) for the six-months ended June 30, 2026 and year ended December 31, 2025, respectively, for the amortization of the debt fair value adjustments over the remaining term of the underlying debt using the effective interest method in the pro forma condensed combined statement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9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PRO FORMA CONDENSED COMBINED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The estimated fair values of the third-party debt instruments are determined using the average of applicable bid and ask prices.</w:t>
      </w:r>
    </w:p>
    <w:p>
      <w:pPr>
        <w:pStyle w:val="TextBody"/>
        <w:bidi w:val="0"/>
        <w:spacing w:before="0" w:after="0"/>
        <w:ind w:left="0" w:right="0" w:hanging="45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(17)    Represents the recognition of a gain of €129.8 million ($148.1 million) resulting from the remeasurement of the Company's previously held 50% equity interest in VodafoneZiggo to its acquisition-date fair value upon obtaining control for the difference between the estimated fair value of the previously held equity interest of €1,552.4 million ($1,771.9 million) and the historical carrying value of our equity method investment in VodafoneZiggo of €1,422.6 million ($1,623.8 million) immediately prior to the Transaction. As the gain is nonrecurring and directly attributable to the Transaction, no corresponding adjustment has been reflected in the unaudited pro forma condensed combined statement of operations beyond the acquisition date.</w:t>
      </w:r>
    </w:p>
    <w:p>
      <w:pPr>
        <w:pStyle w:val="TextBody"/>
        <w:bidi w:val="0"/>
        <w:spacing w:before="0" w:after="0"/>
        <w:ind w:left="0" w:right="0" w:hanging="450"/>
        <w:jc w:val="both"/>
        <w:rPr/>
      </w:pPr>
      <w:r>
        <w:rPr/>
      </w:r>
    </w:p>
    <w:p>
      <w:pPr>
        <w:pStyle w:val="TextBody"/>
        <w:bidi w:val="0"/>
        <w:spacing w:lineRule="auto" w:line="288" w:before="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(18)    Reflects the adjustment to income tax benefit (expense) of €45.7 million ($53.3 million) and €(0.5) million ($(0.6) million) related to the combined pro forma pre-tax income of legal entities within the Ziggo Group fiscal unity for the six-months ended June 30, 2026 and year ended December 31, 2025, respectively, based on the statutory tax rate in the Netherlands of 25.8% and calculated as follows:</w:t>
      </w:r>
    </w:p>
    <w:tbl>
      <w:tblPr>
        <w:tblW w:w="6394" w:type="dxa"/>
        <w:jc w:val="left"/>
        <w:tblInd w:w="0" w:type="dxa"/>
        <w:tblLayout w:type="fixed"/>
        <w:tblCellMar>
          <w:top w:w="28" w:type="dxa"/>
          <w:left w:w="28" w:type="dxa"/>
          <w:bottom w:w="28" w:type="dxa"/>
          <w:right w:w="28" w:type="dxa"/>
        </w:tblCellMar>
      </w:tblPr>
      <w:tblGrid>
        <w:gridCol w:w="987"/>
        <w:gridCol w:w="870"/>
        <w:gridCol w:w="873"/>
        <w:gridCol w:w="325"/>
        <w:gridCol w:w="787"/>
        <w:gridCol w:w="417"/>
        <w:gridCol w:w="109"/>
        <w:gridCol w:w="109"/>
        <w:gridCol w:w="109"/>
        <w:gridCol w:w="297"/>
        <w:gridCol w:w="867"/>
        <w:gridCol w:w="381"/>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w:t>
              <w:b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Dutch statutory income tax rate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expense</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permanent differences are primarily related to (i) share of result of affiliates, (ii) interest expense related to the shareholder loan, (iii) the estimated off-market component of certain arrangements payable to Vodafone and (iv) for the six months ended June 30, 2026, the gain associated with the Transaction.</w:t>
      </w:r>
    </w:p>
    <w:p>
      <w:pPr>
        <w:pStyle w:val="TextBody"/>
        <w:bidi w:val="0"/>
        <w:spacing w:before="0" w:after="0"/>
        <w:ind w:left="0" w:right="0" w:hanging="450"/>
        <w:jc w:val="both"/>
        <w:rPr/>
      </w:pPr>
      <w:r>
        <w:rPr/>
      </w:r>
    </w:p>
    <w:p>
      <w:pPr>
        <w:pStyle w:val="TextBody"/>
        <w:bidi w:val="0"/>
        <w:spacing w:lineRule="auto" w:line="288"/>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(19)    Reflects the net earnings (loss) of the Ziggo Group attributable to the 10% non-controlling interest owned by Vodafone following the completion of the transaction of €(1.2) million ($(1.4) million) and €63.0 million ($71.2 million) calculated based on net earnings (loss) of the Ziggo Group of €(12.3) million ($(14.3) million) and €629.5 million ($711.6 million) for the six-months ended June 30, 2026 and year ended December 31, 2025, respectively.</w:t>
      </w:r>
    </w:p>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94"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0585/000157058526000125/ex101-shareholdersagreemen.htm" TargetMode="External"/><Relationship Id="rId3" Type="http://schemas.openxmlformats.org/officeDocument/2006/relationships/image" Target="media/image1.jpe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2.png"/><Relationship Id="rId16" Type="http://schemas.openxmlformats.org/officeDocument/2006/relationships/image" Target="media/image2.png"/><Relationship Id="rId17" Type="http://schemas.openxmlformats.org/officeDocument/2006/relationships/image" Target="media/image2.png"/><Relationship Id="rId18" Type="http://schemas.openxmlformats.org/officeDocument/2006/relationships/image" Target="media/image2.png"/><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38012</Words>
  <Characters>215299</Characters>
  <CharactersWithSpaces>250200</CharactersWithSpaces>
  <Paragraphs>6167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